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5BB51CA" w14:textId="77777777" w:rsidR="00D267A4" w:rsidRPr="005E05A7" w:rsidRDefault="00D267A4" w:rsidP="0078293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rPr>
          <w:rFonts w:ascii="Times New Roman" w:eastAsia="Calibri" w:hAnsi="Times New Roman" w:cs="Calibri"/>
          <w:b/>
          <w:bCs/>
          <w:sz w:val="24"/>
          <w:szCs w:val="24"/>
          <w:u w:color="000000"/>
          <w:lang w:val="ru-RU"/>
        </w:rPr>
      </w:pPr>
      <w:r w:rsidRPr="005E05A7">
        <w:rPr>
          <w:rFonts w:ascii="Times New Roman" w:eastAsia="Calibri" w:hAnsi="Times New Roman" w:cs="Calibri"/>
          <w:b/>
          <w:bCs/>
          <w:sz w:val="24"/>
          <w:szCs w:val="24"/>
          <w:u w:color="000000"/>
          <w:lang w:val="ru-RU"/>
        </w:rPr>
        <w:t>ЭНДОТЕЛИАЛЬНАЯ ЛИПАЗА И УГЛЕВОДНЫЕ ПАТАМЕ</w:t>
      </w:r>
      <w:r w:rsidR="00782932" w:rsidRPr="005E05A7">
        <w:rPr>
          <w:rFonts w:ascii="Times New Roman" w:eastAsia="Calibri" w:hAnsi="Times New Roman" w:cs="Calibri"/>
          <w:b/>
          <w:bCs/>
          <w:sz w:val="24"/>
          <w:szCs w:val="24"/>
          <w:u w:color="000000"/>
          <w:lang w:val="ru-RU"/>
        </w:rPr>
        <w:t xml:space="preserve">ТРЫ У ПАЦИЕНТОВ С НЕАЛКОГОЛЬНОЙ </w:t>
      </w:r>
      <w:r w:rsidRPr="005E05A7">
        <w:rPr>
          <w:rFonts w:ascii="Times New Roman" w:eastAsia="Calibri" w:hAnsi="Times New Roman" w:cs="Calibri"/>
          <w:b/>
          <w:bCs/>
          <w:sz w:val="24"/>
          <w:szCs w:val="24"/>
          <w:u w:color="000000"/>
          <w:lang w:val="ru-RU"/>
        </w:rPr>
        <w:t>ЖИРОВОЙ БОЛЕЗНЬЮ ПЕЧЕНИ НА ФОНЕ ГИПЕРТОНИЧЕСКОЙ БОЛЕЗНИ</w:t>
      </w:r>
    </w:p>
    <w:p w14:paraId="4E3D79CA" w14:textId="1687EC15" w:rsidR="00CF47DD" w:rsidRPr="005E05A7" w:rsidRDefault="00D267A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val="ru-RU"/>
        </w:rPr>
      </w:pPr>
      <w:r w:rsidRPr="005E05A7">
        <w:rPr>
          <w:rFonts w:ascii="Times New Roman" w:eastAsia="Calibri" w:hAnsi="Times New Roman" w:cs="Calibri"/>
          <w:b/>
          <w:bCs/>
          <w:sz w:val="24"/>
          <w:szCs w:val="24"/>
          <w:u w:color="000000"/>
          <w:lang w:val="ru-RU"/>
        </w:rPr>
        <w:t>Башкирова А.Д.</w:t>
      </w:r>
      <w:r w:rsidR="005E05A7">
        <w:rPr>
          <w:rFonts w:ascii="Times New Roman" w:eastAsia="Calibri" w:hAnsi="Times New Roman" w:cs="Calibri"/>
          <w:b/>
          <w:bCs/>
          <w:sz w:val="24"/>
          <w:szCs w:val="24"/>
          <w:u w:color="000000"/>
          <w:lang w:val="ru-RU"/>
        </w:rPr>
        <w:t>, Лапшина Е.А.</w:t>
      </w:r>
      <w:bookmarkStart w:id="0" w:name="_GoBack"/>
      <w:bookmarkEnd w:id="0"/>
    </w:p>
    <w:p w14:paraId="27761832" w14:textId="77777777" w:rsidR="00CF47DD" w:rsidRPr="005E05A7" w:rsidRDefault="00D267A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i/>
          <w:iCs/>
          <w:sz w:val="24"/>
          <w:szCs w:val="24"/>
          <w:u w:color="000000"/>
          <w:lang w:val="ru-RU"/>
        </w:rPr>
      </w:pPr>
      <w:r w:rsidRPr="005E05A7">
        <w:rPr>
          <w:rFonts w:ascii="Times New Roman" w:eastAsia="Calibri" w:hAnsi="Times New Roman" w:cs="Calibri"/>
          <w:i/>
          <w:iCs/>
          <w:sz w:val="24"/>
          <w:szCs w:val="24"/>
          <w:u w:color="000000"/>
          <w:lang w:val="ru-RU"/>
        </w:rPr>
        <w:t>Кафедра внутренней медицины</w:t>
      </w:r>
      <w:r w:rsidR="00F60814" w:rsidRPr="005E05A7">
        <w:rPr>
          <w:rFonts w:ascii="Times New Roman" w:eastAsia="Calibri" w:hAnsi="Times New Roman" w:cs="Calibri"/>
          <w:i/>
          <w:iCs/>
          <w:sz w:val="24"/>
          <w:szCs w:val="24"/>
          <w:u w:color="000000"/>
          <w:lang w:val="ru-RU"/>
        </w:rPr>
        <w:t xml:space="preserve"> </w:t>
      </w:r>
      <w:r w:rsidR="00F60814">
        <w:rPr>
          <w:rFonts w:ascii="Times New Roman" w:eastAsia="Calibri" w:hAnsi="Times New Roman" w:cs="Calibri"/>
          <w:i/>
          <w:iCs/>
          <w:sz w:val="24"/>
          <w:szCs w:val="24"/>
          <w:u w:color="000000"/>
          <w:lang w:val="ru-RU"/>
        </w:rPr>
        <w:t>№</w:t>
      </w:r>
      <w:r w:rsidR="00F60814" w:rsidRPr="005E05A7">
        <w:rPr>
          <w:rFonts w:ascii="Times New Roman" w:eastAsia="Calibri" w:hAnsi="Times New Roman" w:cs="Calibri"/>
          <w:i/>
          <w:iCs/>
          <w:sz w:val="24"/>
          <w:szCs w:val="24"/>
          <w:u w:color="000000"/>
          <w:lang w:val="ru-RU"/>
        </w:rPr>
        <w:t xml:space="preserve">1, </w:t>
      </w:r>
      <w:r w:rsidRPr="005E05A7">
        <w:rPr>
          <w:rFonts w:ascii="Times New Roman" w:eastAsia="Calibri" w:hAnsi="Times New Roman" w:cs="Calibri"/>
          <w:i/>
          <w:iCs/>
          <w:sz w:val="24"/>
          <w:szCs w:val="24"/>
          <w:u w:color="000000"/>
          <w:lang w:val="ru-RU"/>
        </w:rPr>
        <w:t>Харьковский национальный медицинский университет, Харьков, Украина</w:t>
      </w:r>
    </w:p>
    <w:p w14:paraId="788AF985" w14:textId="77777777" w:rsidR="00D267A4" w:rsidRPr="005E05A7" w:rsidRDefault="00D267A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E05A7">
        <w:rPr>
          <w:rFonts w:ascii="Times New Roman" w:hAnsi="Times New Roman"/>
          <w:sz w:val="24"/>
          <w:szCs w:val="24"/>
          <w:lang w:val="ru-RU"/>
        </w:rPr>
        <w:t>Неалкогольная жировая болезнь печени (НАЖБП) является одной из самых актуальных проблем современной медицины. С каждым годом ее распространенность увеличивается, что требует еще большего внимания к этой проблеме. В качестве триггеров, связанных с развитием НАЖБП и метаболических нарушений, выступает оксидативный стресс, воспаление, дислипидемия, инсулинорезистентность (ИР), абдоминальное ожирение, низкий уровень адипонектина и эндотелиальная дисфункция. Эндотелиальная липаза (ЭЛ) идентифицируется как новый член семейства триглицеридов и очень похожа на липопротеиновую липазу и печеночную липазу, но является более чувствительным маркером гидролиза фосфолипидов, что свидетельствуют о том, что ЭЛ является новым маркером кардиоваскулярного риска, который тесно связан с дислипидемией и ИР.</w:t>
      </w:r>
    </w:p>
    <w:p w14:paraId="06936ED6" w14:textId="77777777" w:rsidR="00CF47DD" w:rsidRDefault="0078293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5E05A7">
        <w:rPr>
          <w:rFonts w:ascii="Times New Roman" w:eastAsia="Calibri" w:hAnsi="Times New Roman" w:cs="Calibri"/>
          <w:bCs/>
          <w:sz w:val="24"/>
          <w:szCs w:val="24"/>
          <w:u w:color="000000"/>
          <w:lang w:val="ru-RU"/>
        </w:rPr>
        <w:t>Материалы и методы</w:t>
      </w:r>
      <w:r w:rsidR="00F60814" w:rsidRPr="005E05A7">
        <w:rPr>
          <w:rFonts w:ascii="Times New Roman" w:eastAsia="Calibri" w:hAnsi="Times New Roman" w:cs="Calibri"/>
          <w:bCs/>
          <w:sz w:val="24"/>
          <w:szCs w:val="24"/>
          <w:u w:color="000000"/>
          <w:lang w:val="ru-RU"/>
        </w:rPr>
        <w:t>:</w:t>
      </w:r>
      <w:r w:rsidR="00F60814" w:rsidRPr="005E05A7">
        <w:rPr>
          <w:rFonts w:ascii="Times New Roman" w:eastAsia="Calibri" w:hAnsi="Times New Roman" w:cs="Calibri"/>
          <w:b/>
          <w:bCs/>
          <w:sz w:val="24"/>
          <w:szCs w:val="24"/>
          <w:u w:color="000000"/>
          <w:lang w:val="ru-RU"/>
        </w:rPr>
        <w:t xml:space="preserve"> </w:t>
      </w:r>
      <w:r w:rsidRPr="005E05A7">
        <w:rPr>
          <w:rFonts w:ascii="Times New Roman" w:eastAsia="Calibri" w:hAnsi="Times New Roman" w:cs="Calibri"/>
          <w:sz w:val="24"/>
          <w:szCs w:val="24"/>
          <w:u w:color="000000"/>
          <w:lang w:val="ru-RU"/>
        </w:rPr>
        <w:t xml:space="preserve">Было обследовано 36 пациентов с НАЖБП на фоне гипертонической болезни (ГБ) и избыточной массы тела. Учитывая тот факт, что наличие сахарного диабета (СД) 2 типа играет патогенную роль в формировании стеатоза печени, мы провели распределение обследованных пациентов на следующие группы: группа 1 - с ГБ без увеличения показателя индекса </w:t>
      </w:r>
      <w:r w:rsidRPr="00782932">
        <w:rPr>
          <w:rFonts w:ascii="Times New Roman" w:eastAsia="Calibri" w:hAnsi="Times New Roman" w:cs="Calibri"/>
          <w:sz w:val="24"/>
          <w:szCs w:val="24"/>
          <w:u w:color="000000"/>
        </w:rPr>
        <w:t>NAFLD</w:t>
      </w:r>
      <w:r w:rsidRPr="005E05A7">
        <w:rPr>
          <w:rFonts w:ascii="Times New Roman" w:eastAsia="Calibri" w:hAnsi="Times New Roman" w:cs="Calibri"/>
          <w:sz w:val="24"/>
          <w:szCs w:val="24"/>
          <w:u w:color="000000"/>
          <w:lang w:val="ru-RU"/>
        </w:rPr>
        <w:t xml:space="preserve"> </w:t>
      </w:r>
      <w:r w:rsidRPr="00782932">
        <w:rPr>
          <w:rFonts w:ascii="Times New Roman" w:eastAsia="Calibri" w:hAnsi="Times New Roman" w:cs="Calibri"/>
          <w:sz w:val="24"/>
          <w:szCs w:val="24"/>
          <w:u w:color="000000"/>
        </w:rPr>
        <w:t>liver</w:t>
      </w:r>
      <w:r w:rsidRPr="005E05A7">
        <w:rPr>
          <w:rFonts w:ascii="Times New Roman" w:eastAsia="Calibri" w:hAnsi="Times New Roman" w:cs="Calibri"/>
          <w:sz w:val="24"/>
          <w:szCs w:val="24"/>
          <w:u w:color="000000"/>
          <w:lang w:val="ru-RU"/>
        </w:rPr>
        <w:t xml:space="preserve"> </w:t>
      </w:r>
      <w:r w:rsidRPr="00782932">
        <w:rPr>
          <w:rFonts w:ascii="Times New Roman" w:eastAsia="Calibri" w:hAnsi="Times New Roman" w:cs="Calibri"/>
          <w:sz w:val="24"/>
          <w:szCs w:val="24"/>
          <w:u w:color="000000"/>
        </w:rPr>
        <w:t>fat</w:t>
      </w:r>
      <w:r w:rsidRPr="005E05A7">
        <w:rPr>
          <w:rFonts w:ascii="Times New Roman" w:eastAsia="Calibri" w:hAnsi="Times New Roman" w:cs="Calibri"/>
          <w:sz w:val="24"/>
          <w:szCs w:val="24"/>
          <w:u w:color="000000"/>
          <w:lang w:val="ru-RU"/>
        </w:rPr>
        <w:t xml:space="preserve"> </w:t>
      </w:r>
      <w:r w:rsidRPr="00782932">
        <w:rPr>
          <w:rFonts w:ascii="Times New Roman" w:eastAsia="Calibri" w:hAnsi="Times New Roman" w:cs="Calibri"/>
          <w:sz w:val="24"/>
          <w:szCs w:val="24"/>
          <w:u w:color="000000"/>
        </w:rPr>
        <w:t>score</w:t>
      </w:r>
      <w:r w:rsidRPr="005E05A7">
        <w:rPr>
          <w:rFonts w:ascii="Times New Roman" w:eastAsia="Calibri" w:hAnsi="Times New Roman" w:cs="Calibri"/>
          <w:sz w:val="24"/>
          <w:szCs w:val="24"/>
          <w:u w:color="000000"/>
          <w:lang w:val="ru-RU"/>
        </w:rPr>
        <w:t xml:space="preserve"> с нормальной массой тела (</w:t>
      </w:r>
      <w:r w:rsidRPr="00782932">
        <w:rPr>
          <w:rFonts w:ascii="Times New Roman" w:eastAsia="Calibri" w:hAnsi="Times New Roman" w:cs="Calibri"/>
          <w:sz w:val="24"/>
          <w:szCs w:val="24"/>
          <w:u w:color="000000"/>
        </w:rPr>
        <w:t>n</w:t>
      </w:r>
      <w:r w:rsidRPr="005E05A7">
        <w:rPr>
          <w:rFonts w:ascii="Times New Roman" w:eastAsia="Calibri" w:hAnsi="Times New Roman" w:cs="Calibri"/>
          <w:sz w:val="24"/>
          <w:szCs w:val="24"/>
          <w:u w:color="000000"/>
          <w:lang w:val="ru-RU"/>
        </w:rPr>
        <w:t xml:space="preserve"> = 8); 2-я группа - с ГБ без увеличения показателя индекса </w:t>
      </w:r>
      <w:r w:rsidRPr="00782932">
        <w:rPr>
          <w:rFonts w:ascii="Times New Roman" w:eastAsia="Calibri" w:hAnsi="Times New Roman" w:cs="Calibri"/>
          <w:sz w:val="24"/>
          <w:szCs w:val="24"/>
          <w:u w:color="000000"/>
        </w:rPr>
        <w:t>NAFLD</w:t>
      </w:r>
      <w:r w:rsidRPr="005E05A7">
        <w:rPr>
          <w:rFonts w:ascii="Times New Roman" w:eastAsia="Calibri" w:hAnsi="Times New Roman" w:cs="Calibri"/>
          <w:sz w:val="24"/>
          <w:szCs w:val="24"/>
          <w:u w:color="000000"/>
          <w:lang w:val="ru-RU"/>
        </w:rPr>
        <w:t xml:space="preserve"> </w:t>
      </w:r>
      <w:r w:rsidRPr="00782932">
        <w:rPr>
          <w:rFonts w:ascii="Times New Roman" w:eastAsia="Calibri" w:hAnsi="Times New Roman" w:cs="Calibri"/>
          <w:sz w:val="24"/>
          <w:szCs w:val="24"/>
          <w:u w:color="000000"/>
        </w:rPr>
        <w:t>liver</w:t>
      </w:r>
      <w:r w:rsidRPr="005E05A7">
        <w:rPr>
          <w:rFonts w:ascii="Times New Roman" w:eastAsia="Calibri" w:hAnsi="Times New Roman" w:cs="Calibri"/>
          <w:sz w:val="24"/>
          <w:szCs w:val="24"/>
          <w:u w:color="000000"/>
          <w:lang w:val="ru-RU"/>
        </w:rPr>
        <w:t xml:space="preserve"> </w:t>
      </w:r>
      <w:r w:rsidRPr="00782932">
        <w:rPr>
          <w:rFonts w:ascii="Times New Roman" w:eastAsia="Calibri" w:hAnsi="Times New Roman" w:cs="Calibri"/>
          <w:sz w:val="24"/>
          <w:szCs w:val="24"/>
          <w:u w:color="000000"/>
        </w:rPr>
        <w:t>fat</w:t>
      </w:r>
      <w:r w:rsidRPr="005E05A7">
        <w:rPr>
          <w:rFonts w:ascii="Times New Roman" w:eastAsia="Calibri" w:hAnsi="Times New Roman" w:cs="Calibri"/>
          <w:sz w:val="24"/>
          <w:szCs w:val="24"/>
          <w:u w:color="000000"/>
          <w:lang w:val="ru-RU"/>
        </w:rPr>
        <w:t xml:space="preserve"> </w:t>
      </w:r>
      <w:r w:rsidRPr="00782932">
        <w:rPr>
          <w:rFonts w:ascii="Times New Roman" w:eastAsia="Calibri" w:hAnsi="Times New Roman" w:cs="Calibri"/>
          <w:sz w:val="24"/>
          <w:szCs w:val="24"/>
          <w:u w:color="000000"/>
        </w:rPr>
        <w:t>score</w:t>
      </w:r>
      <w:r w:rsidRPr="005E05A7">
        <w:rPr>
          <w:rFonts w:ascii="Times New Roman" w:eastAsia="Calibri" w:hAnsi="Times New Roman" w:cs="Calibri"/>
          <w:sz w:val="24"/>
          <w:szCs w:val="24"/>
          <w:u w:color="000000"/>
          <w:lang w:val="ru-RU"/>
        </w:rPr>
        <w:t xml:space="preserve"> с избыточной массой тела (</w:t>
      </w:r>
      <w:r w:rsidRPr="00782932">
        <w:rPr>
          <w:rFonts w:ascii="Times New Roman" w:eastAsia="Calibri" w:hAnsi="Times New Roman" w:cs="Calibri"/>
          <w:sz w:val="24"/>
          <w:szCs w:val="24"/>
          <w:u w:color="000000"/>
        </w:rPr>
        <w:t>n</w:t>
      </w:r>
      <w:r w:rsidRPr="005E05A7">
        <w:rPr>
          <w:rFonts w:ascii="Times New Roman" w:eastAsia="Calibri" w:hAnsi="Times New Roman" w:cs="Calibri"/>
          <w:sz w:val="24"/>
          <w:szCs w:val="24"/>
          <w:u w:color="000000"/>
          <w:lang w:val="ru-RU"/>
        </w:rPr>
        <w:t xml:space="preserve"> = 8); 3 группа - со стеатозом печени без СД 2 типа (</w:t>
      </w:r>
      <w:r w:rsidRPr="00782932">
        <w:rPr>
          <w:rFonts w:ascii="Times New Roman" w:eastAsia="Calibri" w:hAnsi="Times New Roman" w:cs="Calibri"/>
          <w:sz w:val="24"/>
          <w:szCs w:val="24"/>
          <w:u w:color="000000"/>
        </w:rPr>
        <w:t>n</w:t>
      </w:r>
      <w:r w:rsidRPr="005E05A7">
        <w:rPr>
          <w:rFonts w:ascii="Times New Roman" w:eastAsia="Calibri" w:hAnsi="Times New Roman" w:cs="Calibri"/>
          <w:sz w:val="24"/>
          <w:szCs w:val="24"/>
          <w:u w:color="000000"/>
          <w:lang w:val="ru-RU"/>
        </w:rPr>
        <w:t xml:space="preserve"> = 10); 4 группа - со стеатозом печени и СД 2 типа (</w:t>
      </w:r>
      <w:r w:rsidRPr="00782932">
        <w:rPr>
          <w:rFonts w:ascii="Times New Roman" w:eastAsia="Calibri" w:hAnsi="Times New Roman" w:cs="Calibri"/>
          <w:sz w:val="24"/>
          <w:szCs w:val="24"/>
          <w:u w:color="000000"/>
        </w:rPr>
        <w:t>n</w:t>
      </w:r>
      <w:r w:rsidRPr="005E05A7">
        <w:rPr>
          <w:rFonts w:ascii="Times New Roman" w:eastAsia="Calibri" w:hAnsi="Times New Roman" w:cs="Calibri"/>
          <w:sz w:val="24"/>
          <w:szCs w:val="24"/>
          <w:u w:color="000000"/>
          <w:lang w:val="ru-RU"/>
        </w:rPr>
        <w:t xml:space="preserve"> = 10). Контрольная группа 5 составила 20 практичнски здоровых лиц. Пациенты были сопоставимы по полу и возрасту. Средний возраст составил [53 ± 7,5]. Степень выраженности стеатоза определяли с помощью индекса </w:t>
      </w:r>
      <w:r w:rsidRPr="00782932">
        <w:rPr>
          <w:rFonts w:ascii="Times New Roman" w:eastAsia="Calibri" w:hAnsi="Times New Roman" w:cs="Calibri"/>
          <w:sz w:val="24"/>
          <w:szCs w:val="24"/>
          <w:u w:color="000000"/>
        </w:rPr>
        <w:t>NAFLD</w:t>
      </w:r>
      <w:r w:rsidRPr="005E05A7">
        <w:rPr>
          <w:rFonts w:ascii="Times New Roman" w:eastAsia="Calibri" w:hAnsi="Times New Roman" w:cs="Calibri"/>
          <w:sz w:val="24"/>
          <w:szCs w:val="24"/>
          <w:u w:color="000000"/>
          <w:lang w:val="ru-RU"/>
        </w:rPr>
        <w:t xml:space="preserve"> </w:t>
      </w:r>
      <w:r w:rsidRPr="00782932">
        <w:rPr>
          <w:rFonts w:ascii="Times New Roman" w:eastAsia="Calibri" w:hAnsi="Times New Roman" w:cs="Calibri"/>
          <w:sz w:val="24"/>
          <w:szCs w:val="24"/>
          <w:u w:color="000000"/>
        </w:rPr>
        <w:t>liver</w:t>
      </w:r>
      <w:r w:rsidRPr="005E05A7">
        <w:rPr>
          <w:rFonts w:ascii="Times New Roman" w:eastAsia="Calibri" w:hAnsi="Times New Roman" w:cs="Calibri"/>
          <w:sz w:val="24"/>
          <w:szCs w:val="24"/>
          <w:u w:color="000000"/>
          <w:lang w:val="ru-RU"/>
        </w:rPr>
        <w:t xml:space="preserve"> </w:t>
      </w:r>
      <w:r w:rsidRPr="00782932">
        <w:rPr>
          <w:rFonts w:ascii="Times New Roman" w:eastAsia="Calibri" w:hAnsi="Times New Roman" w:cs="Calibri"/>
          <w:sz w:val="24"/>
          <w:szCs w:val="24"/>
          <w:u w:color="000000"/>
        </w:rPr>
        <w:t>fat</w:t>
      </w:r>
      <w:r w:rsidRPr="005E05A7">
        <w:rPr>
          <w:rFonts w:ascii="Times New Roman" w:eastAsia="Calibri" w:hAnsi="Times New Roman" w:cs="Calibri"/>
          <w:sz w:val="24"/>
          <w:szCs w:val="24"/>
          <w:u w:color="000000"/>
          <w:lang w:val="ru-RU"/>
        </w:rPr>
        <w:t xml:space="preserve"> </w:t>
      </w:r>
      <w:r w:rsidRPr="00782932">
        <w:rPr>
          <w:rFonts w:ascii="Times New Roman" w:eastAsia="Calibri" w:hAnsi="Times New Roman" w:cs="Calibri"/>
          <w:sz w:val="24"/>
          <w:szCs w:val="24"/>
          <w:u w:color="000000"/>
        </w:rPr>
        <w:t>score</w:t>
      </w:r>
      <w:r w:rsidRPr="005E05A7">
        <w:rPr>
          <w:rFonts w:ascii="Times New Roman" w:eastAsia="Calibri" w:hAnsi="Times New Roman" w:cs="Calibri"/>
          <w:sz w:val="24"/>
          <w:szCs w:val="24"/>
          <w:u w:color="000000"/>
          <w:lang w:val="ru-RU"/>
        </w:rPr>
        <w:t xml:space="preserve">. </w:t>
      </w:r>
      <w:r w:rsidRPr="00782932">
        <w:rPr>
          <w:rFonts w:ascii="Times New Roman" w:eastAsia="Calibri" w:hAnsi="Times New Roman" w:cs="Calibri"/>
          <w:sz w:val="24"/>
          <w:szCs w:val="24"/>
          <w:u w:color="000000"/>
        </w:rPr>
        <w:t xml:space="preserve">Концентрацию 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ЭЛ</w:t>
      </w:r>
      <w:r w:rsidRPr="00782932">
        <w:rPr>
          <w:rFonts w:ascii="Times New Roman" w:eastAsia="Calibri" w:hAnsi="Times New Roman" w:cs="Calibri"/>
          <w:sz w:val="24"/>
          <w:szCs w:val="24"/>
          <w:u w:color="000000"/>
        </w:rPr>
        <w:t xml:space="preserve"> в сыворотке крови определяли методом ИФА с использованием наборов реагентов "Aviscera Bioscience INC" (США).</w:t>
      </w:r>
    </w:p>
    <w:p w14:paraId="610FC39C" w14:textId="77777777" w:rsidR="00672F14" w:rsidRPr="00672F14" w:rsidRDefault="00782932" w:rsidP="00672F1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Times New Roman" w:eastAsia="Calibri" w:hAnsi="Times New Roman" w:cs="Calibri"/>
          <w:sz w:val="24"/>
          <w:szCs w:val="24"/>
          <w:u w:color="000000"/>
        </w:rPr>
      </w:pPr>
      <w:r w:rsidRPr="00782932">
        <w:rPr>
          <w:rFonts w:ascii="Times New Roman" w:eastAsia="Calibri" w:hAnsi="Times New Roman" w:cs="Calibri"/>
          <w:bCs/>
          <w:sz w:val="24"/>
          <w:szCs w:val="24"/>
          <w:u w:color="000000"/>
        </w:rPr>
        <w:t>Результаты:</w:t>
      </w:r>
      <w:r w:rsidR="00F60814" w:rsidRPr="00782932">
        <w:rPr>
          <w:rFonts w:ascii="Times New Roman" w:eastAsia="Calibri" w:hAnsi="Times New Roman" w:cs="Calibri"/>
          <w:bCs/>
          <w:sz w:val="24"/>
          <w:szCs w:val="24"/>
          <w:u w:color="000000"/>
        </w:rPr>
        <w:t xml:space="preserve"> </w:t>
      </w:r>
      <w:r w:rsidR="00672F14"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Все пациенты с НАЖБП на фоне гипертонии и </w:t>
      </w:r>
      <w:r w:rsidR="00672F14">
        <w:rPr>
          <w:rFonts w:ascii="Times New Roman" w:eastAsia="Calibri" w:hAnsi="Times New Roman" w:cs="Calibri"/>
          <w:sz w:val="24"/>
          <w:szCs w:val="24"/>
          <w:u w:color="000000"/>
        </w:rPr>
        <w:t>СД</w:t>
      </w:r>
      <w:r w:rsidR="00672F14"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 2 типа имели значительно (р &lt;0,001) более высокий уровень гиперинсулинизма (</w:t>
      </w:r>
      <w:r w:rsidR="00672F14">
        <w:rPr>
          <w:rFonts w:ascii="Times New Roman" w:eastAsia="Calibri" w:hAnsi="Times New Roman" w:cs="Calibri"/>
          <w:sz w:val="24"/>
          <w:szCs w:val="24"/>
          <w:u w:color="000000"/>
        </w:rPr>
        <w:t>[</w:t>
      </w:r>
      <w:r w:rsidR="00672F14" w:rsidRPr="00672F14">
        <w:rPr>
          <w:rFonts w:ascii="Times New Roman" w:eastAsia="Calibri" w:hAnsi="Times New Roman" w:cs="Calibri"/>
          <w:sz w:val="24"/>
          <w:szCs w:val="24"/>
          <w:u w:color="000000"/>
        </w:rPr>
        <w:t>32,27 + 4,71</w:t>
      </w:r>
      <w:r w:rsidR="00672F14">
        <w:rPr>
          <w:rFonts w:ascii="Times New Roman" w:eastAsia="Calibri" w:hAnsi="Times New Roman" w:cs="Calibri"/>
          <w:sz w:val="24"/>
          <w:szCs w:val="24"/>
          <w:u w:color="000000"/>
        </w:rPr>
        <w:t>]</w:t>
      </w:r>
      <w:r w:rsidR="00672F14"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 против </w:t>
      </w:r>
      <w:r w:rsidR="00672F14">
        <w:rPr>
          <w:rFonts w:ascii="Times New Roman" w:eastAsia="Calibri" w:hAnsi="Times New Roman" w:cs="Calibri"/>
          <w:sz w:val="24"/>
          <w:szCs w:val="24"/>
          <w:u w:color="000000"/>
        </w:rPr>
        <w:t>[</w:t>
      </w:r>
      <w:r w:rsidR="00672F14" w:rsidRPr="00672F14">
        <w:rPr>
          <w:rFonts w:ascii="Times New Roman" w:eastAsia="Calibri" w:hAnsi="Times New Roman" w:cs="Calibri"/>
          <w:sz w:val="24"/>
          <w:szCs w:val="24"/>
          <w:u w:color="000000"/>
        </w:rPr>
        <w:t>20,75 + 9,5</w:t>
      </w:r>
      <w:r w:rsidR="00672F14">
        <w:rPr>
          <w:rFonts w:ascii="Times New Roman" w:eastAsia="Calibri" w:hAnsi="Times New Roman" w:cs="Calibri"/>
          <w:sz w:val="24"/>
          <w:szCs w:val="24"/>
          <w:u w:color="000000"/>
        </w:rPr>
        <w:t>] мкЕ/</w:t>
      </w:r>
      <w:r w:rsidR="00672F14" w:rsidRPr="00672F14">
        <w:rPr>
          <w:rFonts w:ascii="Times New Roman" w:eastAsia="Calibri" w:hAnsi="Times New Roman" w:cs="Calibri"/>
          <w:sz w:val="24"/>
          <w:szCs w:val="24"/>
          <w:u w:color="000000"/>
        </w:rPr>
        <w:t>мл) и значительно</w:t>
      </w:r>
      <w:r w:rsidR="00672F14">
        <w:rPr>
          <w:rFonts w:ascii="Times New Roman" w:eastAsia="Calibri" w:hAnsi="Times New Roman" w:cs="Calibri"/>
          <w:sz w:val="24"/>
          <w:szCs w:val="24"/>
          <w:u w:color="000000"/>
          <w:lang w:val="ru-RU"/>
        </w:rPr>
        <w:t>е</w:t>
      </w:r>
      <w:r w:rsidR="00672F14"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 (р &lt;0,001)  </w:t>
      </w:r>
      <w:r w:rsid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увеличение </w:t>
      </w:r>
      <w:r w:rsidR="00672F14" w:rsidRPr="00672F14">
        <w:rPr>
          <w:rFonts w:ascii="Times New Roman" w:eastAsia="Calibri" w:hAnsi="Times New Roman" w:cs="Calibri"/>
          <w:sz w:val="24"/>
          <w:szCs w:val="24"/>
          <w:u w:color="000000"/>
        </w:rPr>
        <w:t>значения индекс</w:t>
      </w:r>
      <w:r w:rsidR="00672F14">
        <w:rPr>
          <w:rFonts w:ascii="Times New Roman" w:eastAsia="Calibri" w:hAnsi="Times New Roman" w:cs="Calibri"/>
          <w:sz w:val="24"/>
          <w:szCs w:val="24"/>
          <w:u w:color="000000"/>
        </w:rPr>
        <w:t>а</w:t>
      </w:r>
      <w:r w:rsidR="00672F14"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 HOMA-IR (</w:t>
      </w:r>
      <w:r w:rsidR="00672F14">
        <w:rPr>
          <w:rFonts w:ascii="Times New Roman" w:eastAsia="Calibri" w:hAnsi="Times New Roman" w:cs="Calibri"/>
          <w:sz w:val="24"/>
          <w:szCs w:val="24"/>
          <w:u w:color="000000"/>
        </w:rPr>
        <w:t>[</w:t>
      </w:r>
      <w:r w:rsidR="00672F14" w:rsidRPr="00672F14">
        <w:rPr>
          <w:rFonts w:ascii="Times New Roman" w:eastAsia="Calibri" w:hAnsi="Times New Roman" w:cs="Calibri"/>
          <w:sz w:val="24"/>
          <w:szCs w:val="24"/>
          <w:u w:color="000000"/>
        </w:rPr>
        <w:t>9,52 + 4,21</w:t>
      </w:r>
      <w:r w:rsidR="00672F14">
        <w:rPr>
          <w:rFonts w:ascii="Times New Roman" w:eastAsia="Calibri" w:hAnsi="Times New Roman" w:cs="Calibri"/>
          <w:sz w:val="24"/>
          <w:szCs w:val="24"/>
          <w:u w:color="000000"/>
        </w:rPr>
        <w:t>]</w:t>
      </w:r>
      <w:r w:rsidR="00672F14"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 против </w:t>
      </w:r>
      <w:r w:rsidR="00672F14">
        <w:rPr>
          <w:rFonts w:ascii="Times New Roman" w:eastAsia="Calibri" w:hAnsi="Times New Roman" w:cs="Calibri"/>
          <w:sz w:val="24"/>
          <w:szCs w:val="24"/>
          <w:u w:color="000000"/>
        </w:rPr>
        <w:t>[</w:t>
      </w:r>
      <w:r w:rsidR="00672F14" w:rsidRPr="00672F14">
        <w:rPr>
          <w:rFonts w:ascii="Times New Roman" w:eastAsia="Calibri" w:hAnsi="Times New Roman" w:cs="Calibri"/>
          <w:sz w:val="24"/>
          <w:szCs w:val="24"/>
          <w:u w:color="000000"/>
        </w:rPr>
        <w:t>4,76 + 2,23</w:t>
      </w:r>
      <w:r w:rsidR="00672F14">
        <w:rPr>
          <w:rFonts w:ascii="Times New Roman" w:eastAsia="Calibri" w:hAnsi="Times New Roman" w:cs="Calibri"/>
          <w:sz w:val="24"/>
          <w:szCs w:val="24"/>
          <w:u w:color="000000"/>
        </w:rPr>
        <w:t>]</w:t>
      </w:r>
      <w:r w:rsidR="00672F14" w:rsidRPr="00672F14">
        <w:rPr>
          <w:rFonts w:ascii="Times New Roman" w:eastAsia="Calibri" w:hAnsi="Times New Roman" w:cs="Calibri"/>
          <w:sz w:val="24"/>
          <w:szCs w:val="24"/>
          <w:u w:color="000000"/>
        </w:rPr>
        <w:t>)</w:t>
      </w:r>
      <w:r w:rsid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 в сравнении с группой 3</w:t>
      </w:r>
      <w:r w:rsidR="00672F14"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. У пациентов с </w:t>
      </w:r>
      <w:r w:rsidR="00672F14">
        <w:rPr>
          <w:rFonts w:ascii="Times New Roman" w:eastAsia="Calibri" w:hAnsi="Times New Roman" w:cs="Calibri"/>
          <w:sz w:val="24"/>
          <w:szCs w:val="24"/>
          <w:u w:color="000000"/>
        </w:rPr>
        <w:t>СД 2 типа</w:t>
      </w:r>
      <w:r w:rsidR="00672F14"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 уровень HbA1c </w:t>
      </w:r>
      <w:r w:rsid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был </w:t>
      </w:r>
      <w:r w:rsidR="00672F14"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выше, чем у пациентов без </w:t>
      </w:r>
      <w:r w:rsidR="00672F14">
        <w:rPr>
          <w:rFonts w:ascii="Times New Roman" w:eastAsia="Calibri" w:hAnsi="Times New Roman" w:cs="Calibri"/>
          <w:sz w:val="24"/>
          <w:szCs w:val="24"/>
          <w:u w:color="000000"/>
        </w:rPr>
        <w:t>СД</w:t>
      </w:r>
      <w:r w:rsidR="00672F14"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, независимо от </w:t>
      </w:r>
      <w:r w:rsidR="00672F14">
        <w:rPr>
          <w:rFonts w:ascii="Times New Roman" w:eastAsia="Calibri" w:hAnsi="Times New Roman" w:cs="Calibri"/>
          <w:sz w:val="24"/>
          <w:szCs w:val="24"/>
          <w:u w:color="000000"/>
        </w:rPr>
        <w:t>степени выраженности стеатоза</w:t>
      </w:r>
      <w:r w:rsidR="00672F14" w:rsidRPr="00672F14">
        <w:rPr>
          <w:rFonts w:ascii="Times New Roman" w:eastAsia="Calibri" w:hAnsi="Times New Roman" w:cs="Calibri"/>
          <w:sz w:val="24"/>
          <w:szCs w:val="24"/>
          <w:u w:color="000000"/>
        </w:rPr>
        <w:t>.</w:t>
      </w:r>
    </w:p>
    <w:p w14:paraId="34D01688" w14:textId="77777777" w:rsidR="00672F14" w:rsidRDefault="00672F14" w:rsidP="00672F1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Times New Roman" w:eastAsia="Calibri" w:hAnsi="Times New Roman" w:cs="Calibri"/>
          <w:sz w:val="24"/>
          <w:szCs w:val="24"/>
          <w:u w:color="000000"/>
        </w:rPr>
      </w:pPr>
      <w:r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Уровень 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ЭЛ</w:t>
      </w:r>
      <w:r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 значительно выш</w:t>
      </w:r>
      <w:r w:rsidR="00372699">
        <w:rPr>
          <w:rFonts w:ascii="Times New Roman" w:eastAsia="Calibri" w:hAnsi="Times New Roman" w:cs="Calibri"/>
          <w:sz w:val="24"/>
          <w:szCs w:val="24"/>
          <w:u w:color="000000"/>
        </w:rPr>
        <w:t>е в группе 3 ([11,709 ± 3,22] нг/</w:t>
      </w:r>
      <w:r w:rsidRPr="00672F14">
        <w:rPr>
          <w:rFonts w:ascii="Times New Roman" w:eastAsia="Calibri" w:hAnsi="Times New Roman" w:cs="Calibri"/>
          <w:sz w:val="24"/>
          <w:szCs w:val="24"/>
          <w:u w:color="000000"/>
        </w:rPr>
        <w:t>мл</w:t>
      </w:r>
      <w:r w:rsidR="00372699">
        <w:rPr>
          <w:rFonts w:ascii="Times New Roman" w:eastAsia="Calibri" w:hAnsi="Times New Roman" w:cs="Calibri"/>
          <w:sz w:val="24"/>
          <w:szCs w:val="24"/>
          <w:u w:color="000000"/>
        </w:rPr>
        <w:t>)</w:t>
      </w:r>
      <w:r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 по сравнению</w:t>
      </w:r>
      <w:r w:rsidR="00372699">
        <w:rPr>
          <w:rFonts w:ascii="Times New Roman" w:eastAsia="Calibri" w:hAnsi="Times New Roman" w:cs="Calibri"/>
          <w:sz w:val="24"/>
          <w:szCs w:val="24"/>
          <w:u w:color="000000"/>
        </w:rPr>
        <w:t xml:space="preserve"> с группой 5 ([8,231 ± 2,474] нг/</w:t>
      </w:r>
      <w:r w:rsidRPr="00672F14">
        <w:rPr>
          <w:rFonts w:ascii="Times New Roman" w:eastAsia="Calibri" w:hAnsi="Times New Roman" w:cs="Calibri"/>
          <w:sz w:val="24"/>
          <w:szCs w:val="24"/>
          <w:u w:color="000000"/>
        </w:rPr>
        <w:t>мл</w:t>
      </w:r>
      <w:r w:rsidR="00372699">
        <w:rPr>
          <w:rFonts w:ascii="Times New Roman" w:eastAsia="Calibri" w:hAnsi="Times New Roman" w:cs="Calibri"/>
          <w:sz w:val="24"/>
          <w:szCs w:val="24"/>
          <w:u w:color="000000"/>
        </w:rPr>
        <w:t>)</w:t>
      </w:r>
      <w:r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 и группой 1 </w:t>
      </w:r>
      <w:r w:rsidR="00372699">
        <w:rPr>
          <w:rFonts w:ascii="Times New Roman" w:eastAsia="Calibri" w:hAnsi="Times New Roman" w:cs="Calibri"/>
          <w:sz w:val="24"/>
          <w:szCs w:val="24"/>
          <w:u w:color="000000"/>
        </w:rPr>
        <w:t>([9,56 ± 2,15] нг/</w:t>
      </w:r>
      <w:r w:rsidRPr="00672F14">
        <w:rPr>
          <w:rFonts w:ascii="Times New Roman" w:eastAsia="Calibri" w:hAnsi="Times New Roman" w:cs="Calibri"/>
          <w:sz w:val="24"/>
          <w:szCs w:val="24"/>
          <w:u w:color="000000"/>
        </w:rPr>
        <w:t>мл</w:t>
      </w:r>
      <w:r w:rsidR="00372699">
        <w:rPr>
          <w:rFonts w:ascii="Times New Roman" w:eastAsia="Calibri" w:hAnsi="Times New Roman" w:cs="Calibri"/>
          <w:sz w:val="24"/>
          <w:szCs w:val="24"/>
          <w:u w:color="000000"/>
        </w:rPr>
        <w:t>)</w:t>
      </w:r>
      <w:r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. </w:t>
      </w:r>
      <w:r w:rsidR="00372699">
        <w:rPr>
          <w:rFonts w:ascii="Times New Roman" w:eastAsia="Calibri" w:hAnsi="Times New Roman" w:cs="Calibri"/>
          <w:sz w:val="24"/>
          <w:szCs w:val="24"/>
          <w:u w:color="000000"/>
        </w:rPr>
        <w:t>Наиболее</w:t>
      </w:r>
      <w:r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 высокие уровни </w:t>
      </w:r>
      <w:r w:rsidR="00372699">
        <w:rPr>
          <w:rFonts w:ascii="Times New Roman" w:eastAsia="Calibri" w:hAnsi="Times New Roman" w:cs="Calibri"/>
          <w:sz w:val="24"/>
          <w:szCs w:val="24"/>
          <w:u w:color="000000"/>
        </w:rPr>
        <w:t>ЭЛ</w:t>
      </w:r>
      <w:r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 были </w:t>
      </w:r>
      <w:r w:rsidR="00372699">
        <w:rPr>
          <w:rFonts w:ascii="Times New Roman" w:eastAsia="Calibri" w:hAnsi="Times New Roman" w:cs="Calibri"/>
          <w:sz w:val="24"/>
          <w:szCs w:val="24"/>
          <w:u w:color="000000"/>
        </w:rPr>
        <w:t>зарегистрированы</w:t>
      </w:r>
      <w:r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 в группе 4</w:t>
      </w:r>
      <w:r w:rsidR="00372699">
        <w:rPr>
          <w:rFonts w:ascii="Times New Roman" w:eastAsia="Calibri" w:hAnsi="Times New Roman" w:cs="Calibri"/>
          <w:sz w:val="24"/>
          <w:szCs w:val="24"/>
          <w:u w:color="000000"/>
        </w:rPr>
        <w:t xml:space="preserve"> - [11,84 ± 3801] нг/</w:t>
      </w:r>
      <w:r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мл. Корреляционный анализ между уровнями HbA1c и </w:t>
      </w:r>
      <w:r w:rsidR="00372699">
        <w:rPr>
          <w:rFonts w:ascii="Times New Roman" w:eastAsia="Calibri" w:hAnsi="Times New Roman" w:cs="Calibri"/>
          <w:sz w:val="24"/>
          <w:szCs w:val="24"/>
          <w:u w:color="000000"/>
        </w:rPr>
        <w:t>ЭЛ</w:t>
      </w:r>
      <w:r w:rsidRPr="00672F14">
        <w:rPr>
          <w:rFonts w:ascii="Times New Roman" w:eastAsia="Calibri" w:hAnsi="Times New Roman" w:cs="Calibri"/>
          <w:sz w:val="24"/>
          <w:szCs w:val="24"/>
          <w:u w:color="000000"/>
        </w:rPr>
        <w:t xml:space="preserve"> показал достоверную прямую связь между параметрами</w:t>
      </w:r>
      <w:r w:rsidR="00372699">
        <w:rPr>
          <w:rFonts w:ascii="Times New Roman" w:eastAsia="Calibri" w:hAnsi="Times New Roman" w:cs="Calibri"/>
          <w:sz w:val="24"/>
          <w:szCs w:val="24"/>
          <w:u w:color="000000"/>
        </w:rPr>
        <w:t xml:space="preserve"> (р &lt;0,05</w:t>
      </w:r>
      <w:r w:rsidR="00372699" w:rsidRPr="00672F14">
        <w:rPr>
          <w:rFonts w:ascii="Times New Roman" w:eastAsia="Calibri" w:hAnsi="Times New Roman" w:cs="Calibri"/>
          <w:sz w:val="24"/>
          <w:szCs w:val="24"/>
          <w:u w:color="000000"/>
        </w:rPr>
        <w:t>)</w:t>
      </w:r>
      <w:r w:rsidRPr="00672F14">
        <w:rPr>
          <w:rFonts w:ascii="Times New Roman" w:eastAsia="Calibri" w:hAnsi="Times New Roman" w:cs="Calibri"/>
          <w:sz w:val="24"/>
          <w:szCs w:val="24"/>
          <w:u w:color="000000"/>
        </w:rPr>
        <w:t>.</w:t>
      </w:r>
    </w:p>
    <w:p w14:paraId="2DFD3799" w14:textId="77777777" w:rsidR="00CF47DD" w:rsidRDefault="00372699" w:rsidP="00672F1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372699">
        <w:rPr>
          <w:rFonts w:ascii="Times New Roman" w:eastAsia="Calibri" w:hAnsi="Times New Roman" w:cs="Calibri"/>
          <w:bCs/>
          <w:sz w:val="24"/>
          <w:szCs w:val="24"/>
          <w:u w:color="000000"/>
        </w:rPr>
        <w:t>Выводы:</w:t>
      </w:r>
      <w:r w:rsidR="00F60814">
        <w:rPr>
          <w:rFonts w:ascii="Times New Roman" w:eastAsia="Calibri" w:hAnsi="Times New Roman" w:cs="Calibri"/>
          <w:b/>
          <w:bCs/>
          <w:sz w:val="24"/>
          <w:szCs w:val="24"/>
          <w:u w:color="000000"/>
        </w:rPr>
        <w:t xml:space="preserve"> 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Таким образом, уровень ЭЛ</w:t>
      </w:r>
      <w:r w:rsidRPr="00372699">
        <w:rPr>
          <w:rFonts w:ascii="Times New Roman" w:eastAsia="Calibri" w:hAnsi="Times New Roman" w:cs="Calibri"/>
          <w:sz w:val="24"/>
          <w:szCs w:val="24"/>
          <w:u w:color="000000"/>
        </w:rPr>
        <w:t xml:space="preserve"> у больных с 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>ГБ</w:t>
      </w:r>
      <w:r w:rsidRPr="00372699">
        <w:rPr>
          <w:rFonts w:ascii="Times New Roman" w:eastAsia="Calibri" w:hAnsi="Times New Roman" w:cs="Calibri"/>
          <w:sz w:val="24"/>
          <w:szCs w:val="24"/>
          <w:u w:color="000000"/>
        </w:rPr>
        <w:t xml:space="preserve"> в сочетании с тяжестью стеатоза 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является </w:t>
      </w:r>
      <w:r w:rsidR="00FB6AA5">
        <w:rPr>
          <w:rFonts w:ascii="Times New Roman" w:eastAsia="Calibri" w:hAnsi="Times New Roman" w:cs="Calibri"/>
          <w:sz w:val="24"/>
          <w:szCs w:val="24"/>
          <w:u w:color="000000"/>
        </w:rPr>
        <w:t>триггером</w:t>
      </w:r>
      <w:r w:rsidRPr="00372699">
        <w:rPr>
          <w:rFonts w:ascii="Times New Roman" w:eastAsia="Calibri" w:hAnsi="Times New Roman" w:cs="Calibri"/>
          <w:sz w:val="24"/>
          <w:szCs w:val="24"/>
          <w:u w:color="000000"/>
        </w:rPr>
        <w:t xml:space="preserve"> для </w:t>
      </w:r>
      <w:r>
        <w:rPr>
          <w:rFonts w:ascii="Times New Roman" w:eastAsia="Calibri" w:hAnsi="Times New Roman" w:cs="Calibri"/>
          <w:sz w:val="24"/>
          <w:szCs w:val="24"/>
          <w:u w:color="000000"/>
        </w:rPr>
        <w:t xml:space="preserve">формирования </w:t>
      </w:r>
      <w:r w:rsidRPr="00372699">
        <w:rPr>
          <w:rFonts w:ascii="Times New Roman" w:eastAsia="Calibri" w:hAnsi="Times New Roman" w:cs="Calibri"/>
          <w:sz w:val="24"/>
          <w:szCs w:val="24"/>
          <w:u w:color="000000"/>
        </w:rPr>
        <w:t xml:space="preserve">атеросклеротического поражения сосудов и </w:t>
      </w:r>
      <w:r w:rsidR="00FB6AA5">
        <w:rPr>
          <w:rFonts w:ascii="Times New Roman" w:eastAsia="Calibri" w:hAnsi="Times New Roman" w:cs="Calibri"/>
          <w:sz w:val="24"/>
          <w:szCs w:val="24"/>
          <w:u w:color="000000"/>
        </w:rPr>
        <w:t>кардиоваскулярного риска</w:t>
      </w:r>
      <w:r w:rsidRPr="00372699">
        <w:rPr>
          <w:rFonts w:ascii="Times New Roman" w:eastAsia="Calibri" w:hAnsi="Times New Roman" w:cs="Calibri"/>
          <w:sz w:val="24"/>
          <w:szCs w:val="24"/>
          <w:u w:color="000000"/>
        </w:rPr>
        <w:t xml:space="preserve">. В то же время, прогноз ухудшается с наличием дополнительных независимых факторов риска, таких как наличие </w:t>
      </w:r>
      <w:r w:rsidR="00FB6AA5">
        <w:rPr>
          <w:rFonts w:ascii="Times New Roman" w:eastAsia="Calibri" w:hAnsi="Times New Roman" w:cs="Calibri"/>
          <w:sz w:val="24"/>
          <w:szCs w:val="24"/>
          <w:u w:color="000000"/>
        </w:rPr>
        <w:t>СД 2 типа</w:t>
      </w:r>
      <w:r w:rsidRPr="00372699">
        <w:rPr>
          <w:rFonts w:ascii="Times New Roman" w:eastAsia="Calibri" w:hAnsi="Times New Roman" w:cs="Calibri"/>
          <w:sz w:val="24"/>
          <w:szCs w:val="24"/>
          <w:u w:color="000000"/>
        </w:rPr>
        <w:t>, который</w:t>
      </w:r>
      <w:r w:rsidR="00FB6AA5">
        <w:rPr>
          <w:rFonts w:ascii="Times New Roman" w:eastAsia="Calibri" w:hAnsi="Times New Roman" w:cs="Calibri"/>
          <w:sz w:val="24"/>
          <w:szCs w:val="24"/>
          <w:u w:color="000000"/>
        </w:rPr>
        <w:t xml:space="preserve"> непосредственно коррелирует с выраженностью</w:t>
      </w:r>
      <w:r w:rsidRPr="00372699">
        <w:rPr>
          <w:rFonts w:ascii="Times New Roman" w:eastAsia="Calibri" w:hAnsi="Times New Roman" w:cs="Calibri"/>
          <w:sz w:val="24"/>
          <w:szCs w:val="24"/>
          <w:u w:color="000000"/>
        </w:rPr>
        <w:t xml:space="preserve"> стеатоза печени.</w:t>
      </w:r>
    </w:p>
    <w:p w14:paraId="664ABA67" w14:textId="77777777" w:rsidR="00CF47DD" w:rsidRDefault="00CF47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BDDE8BE" w14:textId="77777777" w:rsidR="00CF47DD" w:rsidRDefault="00CF47D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</w:pPr>
    </w:p>
    <w:sectPr w:rsidR="00CF47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701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1CB8E" w14:textId="77777777" w:rsidR="00E26E14" w:rsidRDefault="00E26E14">
      <w:r>
        <w:separator/>
      </w:r>
    </w:p>
  </w:endnote>
  <w:endnote w:type="continuationSeparator" w:id="0">
    <w:p w14:paraId="4D4F6D67" w14:textId="77777777" w:rsidR="00E26E14" w:rsidRDefault="00E26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8DE47" w14:textId="77777777" w:rsidR="005E05A7" w:rsidRDefault="005E05A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9A784" w14:textId="77777777" w:rsidR="00CF47DD" w:rsidRDefault="00CF47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2FB1F" w14:textId="77777777" w:rsidR="005E05A7" w:rsidRDefault="005E05A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A2F78" w14:textId="77777777" w:rsidR="00E26E14" w:rsidRDefault="00E26E14">
      <w:r>
        <w:separator/>
      </w:r>
    </w:p>
  </w:footnote>
  <w:footnote w:type="continuationSeparator" w:id="0">
    <w:p w14:paraId="63443333" w14:textId="77777777" w:rsidR="00E26E14" w:rsidRDefault="00E26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7209C" w14:textId="77777777" w:rsidR="005E05A7" w:rsidRDefault="005E05A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E96B6" w14:textId="77777777" w:rsidR="00CF47DD" w:rsidRDefault="00CF47D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BC330" w14:textId="77777777" w:rsidR="005E05A7" w:rsidRDefault="005E05A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7DD"/>
    <w:rsid w:val="00372699"/>
    <w:rsid w:val="005E05A7"/>
    <w:rsid w:val="00672F14"/>
    <w:rsid w:val="00782932"/>
    <w:rsid w:val="0088454A"/>
    <w:rsid w:val="00CF47DD"/>
    <w:rsid w:val="00D267A4"/>
    <w:rsid w:val="00E26E14"/>
    <w:rsid w:val="00F60814"/>
    <w:rsid w:val="00FB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E15505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styleId="a5">
    <w:name w:val="header"/>
    <w:basedOn w:val="a"/>
    <w:link w:val="a6"/>
    <w:uiPriority w:val="99"/>
    <w:unhideWhenUsed/>
    <w:rsid w:val="005E05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05A7"/>
    <w:rPr>
      <w:sz w:val="24"/>
      <w:szCs w:val="24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5E05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05A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2019-02-11T18:15:00Z</dcterms:created>
  <dcterms:modified xsi:type="dcterms:W3CDTF">2019-05-18T19:14:00Z</dcterms:modified>
</cp:coreProperties>
</file>