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befor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0" w:before="0" w:line="240" w:lineRule="auto"/>
        <w:ind w:firstLine="720"/>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ADVANTAGES OF INTERACTIVE PADLET FOR DEVELOPING EDUCATIONAL MATERIALS IN THE MEDICAL FIELD FOR HIGHER EDUCATION STUDENTS</w:t>
      </w:r>
    </w:p>
    <w:p w:rsidR="00000000" w:rsidDel="00000000" w:rsidP="00000000" w:rsidRDefault="00000000" w:rsidRPr="00000000" w14:paraId="00000003">
      <w:pPr>
        <w:spacing w:after="0" w:before="0" w:line="240" w:lineRule="auto"/>
        <w:ind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Колісник Марина</w:t>
      </w:r>
    </w:p>
    <w:p w:rsidR="00000000" w:rsidDel="00000000" w:rsidP="00000000" w:rsidRDefault="00000000" w:rsidRPr="00000000" w14:paraId="00000004">
      <w:pPr>
        <w:spacing w:after="0" w:before="0" w:line="240" w:lineRule="auto"/>
        <w:ind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ст.викладач</w:t>
      </w:r>
    </w:p>
    <w:p w:rsidR="00000000" w:rsidDel="00000000" w:rsidP="00000000" w:rsidRDefault="00000000" w:rsidRPr="00000000" w14:paraId="00000005">
      <w:pPr>
        <w:spacing w:after="0" w:before="0" w:line="240" w:lineRule="auto"/>
        <w:ind w:firstLine="720"/>
        <w:jc w:val="right"/>
        <w:rPr>
          <w:rFonts w:ascii="Times New Roman" w:cs="Times New Roman" w:eastAsia="Times New Roman" w:hAnsi="Times New Roman"/>
          <w:sz w:val="28"/>
          <w:szCs w:val="28"/>
        </w:rPr>
      </w:pPr>
      <w:hyperlink r:id="rId6">
        <w:r w:rsidDel="00000000" w:rsidR="00000000" w:rsidRPr="00000000">
          <w:rPr>
            <w:rFonts w:ascii="Times New Roman" w:cs="Times New Roman" w:eastAsia="Times New Roman" w:hAnsi="Times New Roman"/>
            <w:color w:val="1155cc"/>
            <w:sz w:val="28"/>
            <w:szCs w:val="28"/>
            <w:u w:val="single"/>
            <w:rtl w:val="0"/>
          </w:rPr>
          <w:t xml:space="preserve">mi.kolisnyk@knmu.edu.ua</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6">
      <w:pPr>
        <w:spacing w:after="0" w:before="0" w:line="36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scientific paper explores the effectiveness of using the interactive board Padlet in the educational process for medical students. The article highlights the advantages and disadvantages of using Padlet, such as interactivity, information visualization, technical limitations, pedagogical and organizational challenges, and psychological aspects. Particular attention is paid to the potential of Padlet for creating electronic portfolios, organizing discussions on clinical cases, and developing interactive educational materials. Based on the results of scientific studies, the positive impact of Padlet on student engagement, motivation for learning, and material retention quality is demonstrated. Modern education increasingly emphasizes interactive teaching methods, which enable students to actively participate in the learning process, develop critical thinking, and enhance collaboration. One such tool is the interactive board Padlet, which provides vast opportunities for creating dynamic and visually appealing educational content. This paper examines the features of using Padlet in medical education and analyzes the experience of researchers in this field. </w:t>
      </w:r>
    </w:p>
    <w:p w:rsidR="00000000" w:rsidDel="00000000" w:rsidP="00000000" w:rsidRDefault="00000000" w:rsidRPr="00000000" w14:paraId="00000007">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Medical education requires mastering a large volume of theoretical material, developing practical skills, analyzing clinical cases, and making well-reasoned decisions. Traditional teaching methods, such as lectures and practical classes, while remaining critical, still have certain limitations. Interactive technologies, particularly Padlet, help overcome these limitations and make learning more effective and engaging.</w:t>
      </w:r>
    </w:p>
    <w:p w:rsidR="00000000" w:rsidDel="00000000" w:rsidP="00000000" w:rsidRDefault="00000000" w:rsidRPr="00000000" w14:paraId="00000008">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Padlet is an online board that allows users to create and share various types of content, such as texts, images, videos, files, and links. It can organize collaborative projects, share ideas, and provide feedback.</w:t>
      </w:r>
    </w:p>
    <w:p w:rsidR="00000000" w:rsidDel="00000000" w:rsidP="00000000" w:rsidRDefault="00000000" w:rsidRPr="00000000" w14:paraId="00000009">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 of Padlet in medical education has several advantages, including interactivity, visualization, convenience, and accessibility. Students can interact actively with the material by adding comments, questions, and ideas. Learners have the opportunity to use various content formats, enabling the creation of visual aids to improve memory retention. Padlet fosters the development of teamwork and communication skills, and the boards can be adapted to different educational goals and lesson formats. Moreover, it is noteworthy that the board is accessible from any device with an internet connection.</w:t>
      </w:r>
    </w:p>
    <w:p w:rsidR="00000000" w:rsidDel="00000000" w:rsidP="00000000" w:rsidRDefault="00000000" w:rsidRPr="00000000" w14:paraId="0000000A">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the Department of Latin Language and Medical Terminology KHNMU, the interactive board Padlet is used during classes for communication, homework review, and mastering theoretical and practical material. Padlet is also used as a feedback tool to gather students’ opinions on the organization of the learning process, where students can leave feedback about lessons, materials, and the instructor. </w:t>
      </w:r>
    </w:p>
    <w:p w:rsidR="00000000" w:rsidDel="00000000" w:rsidP="00000000" w:rsidRDefault="00000000" w:rsidRPr="00000000" w14:paraId="0000000B">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Before creating a board, it is essential to determine the knowledge and skills that students are expected to acquire through its use. The board format should be chosen based on the type of task and the number of participants. Students need to understand how to work with the board and the tasks they are expected to complete. Regular feedback is crucial, as it helps students recognize their strengths and weaknesses and improve their results.</w:t>
      </w:r>
    </w:p>
    <w:p w:rsidR="00000000" w:rsidDel="00000000" w:rsidP="00000000" w:rsidRDefault="00000000" w:rsidRPr="00000000" w14:paraId="0000000C">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capabilities of using the interactive board depend on the selected subscription plan. The developers offer six modes of working with the interactive board: "free," "gold," "platinum," "team," "class," and "school." Each mode varies in price and functionality (from the least to the most). In the free version, students can collect their work, presentations, and other materials in one place. Each student can add their opinion on the translation of a term, the definition of a disease, etc. There is an option to create a board where students can conduct virtual experiments and analyze the results. You can create boards with different tasks, such as crosswords, quizzes, and matching exercises.</w:t>
      </w:r>
    </w:p>
    <w:p w:rsidR="00000000" w:rsidDel="00000000" w:rsidP="00000000" w:rsidRDefault="00000000" w:rsidRPr="00000000" w14:paraId="0000000D">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Padlet is a powerful educational tool that, when used strategically, enhances the learning experience for medical students. It provides valuable support for instructors and students in creating a more interactive, engaging, and personalized learning environment. Future research and practice should continue to explore the potential of Padlet in various educational contexts and address the challenges that arise from its use.</w:t>
      </w:r>
    </w:p>
    <w:p w:rsidR="00000000" w:rsidDel="00000000" w:rsidP="00000000" w:rsidRDefault="00000000" w:rsidRPr="00000000" w14:paraId="0000000E">
      <w:pPr>
        <w:spacing w:after="0" w:before="0" w:line="36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References:</w:t>
      </w:r>
    </w:p>
    <w:p w:rsidR="00000000" w:rsidDel="00000000" w:rsidP="00000000" w:rsidRDefault="00000000" w:rsidRPr="00000000" w14:paraId="0000000F">
      <w:pPr>
        <w:numPr>
          <w:ilvl w:val="0"/>
          <w:numId w:val="1"/>
        </w:numPr>
        <w:spacing w:after="0" w:before="0" w:line="360" w:lineRule="auto"/>
        <w:ind w:left="144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Власенко, І. В. Використання інтерактивних технологій у вищій освіті: можливості та виклики. </w:t>
      </w:r>
      <w:r w:rsidDel="00000000" w:rsidR="00000000" w:rsidRPr="00000000">
        <w:rPr>
          <w:rFonts w:ascii="Times New Roman" w:cs="Times New Roman" w:eastAsia="Times New Roman" w:hAnsi="Times New Roman"/>
          <w:i w:val="1"/>
          <w:sz w:val="24"/>
          <w:szCs w:val="24"/>
          <w:rtl w:val="0"/>
        </w:rPr>
        <w:t xml:space="preserve">Освіта і сучасність</w:t>
      </w:r>
      <w:r w:rsidDel="00000000" w:rsidR="00000000" w:rsidRPr="00000000">
        <w:rPr>
          <w:rFonts w:ascii="Times New Roman" w:cs="Times New Roman" w:eastAsia="Times New Roman" w:hAnsi="Times New Roman"/>
          <w:sz w:val="24"/>
          <w:szCs w:val="24"/>
          <w:rtl w:val="0"/>
        </w:rPr>
        <w:t xml:space="preserve">, №2(34). С. 45–50. </w:t>
      </w:r>
    </w:p>
    <w:p w:rsidR="00000000" w:rsidDel="00000000" w:rsidP="00000000" w:rsidRDefault="00000000" w:rsidRPr="00000000" w14:paraId="00000010">
      <w:pPr>
        <w:numPr>
          <w:ilvl w:val="0"/>
          <w:numId w:val="1"/>
        </w:numPr>
        <w:spacing w:after="0" w:before="0" w:line="360" w:lineRule="auto"/>
        <w:ind w:left="144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Anderson, T., Dron, J. Three generations of distance education pedagogy. </w:t>
      </w:r>
      <w:r w:rsidDel="00000000" w:rsidR="00000000" w:rsidRPr="00000000">
        <w:rPr>
          <w:rFonts w:ascii="Times New Roman" w:cs="Times New Roman" w:eastAsia="Times New Roman" w:hAnsi="Times New Roman"/>
          <w:i w:val="1"/>
          <w:sz w:val="24"/>
          <w:szCs w:val="24"/>
          <w:rtl w:val="0"/>
        </w:rPr>
        <w:t xml:space="preserve">The International Review of Research in Open and Distributed Learning</w:t>
      </w:r>
      <w:r w:rsidDel="00000000" w:rsidR="00000000" w:rsidRPr="00000000">
        <w:rPr>
          <w:rFonts w:ascii="Times New Roman" w:cs="Times New Roman" w:eastAsia="Times New Roman" w:hAnsi="Times New Roman"/>
          <w:sz w:val="24"/>
          <w:szCs w:val="24"/>
          <w:rtl w:val="0"/>
        </w:rPr>
        <w:t xml:space="preserve">, № 12(3), 80–97 р.</w:t>
      </w:r>
    </w:p>
    <w:p w:rsidR="00000000" w:rsidDel="00000000" w:rsidP="00000000" w:rsidRDefault="00000000" w:rsidRPr="00000000" w14:paraId="00000011">
      <w:pPr>
        <w:numPr>
          <w:ilvl w:val="0"/>
          <w:numId w:val="1"/>
        </w:numPr>
        <w:spacing w:after="0" w:before="0" w:line="360" w:lineRule="auto"/>
        <w:ind w:left="144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Padlet. </w:t>
      </w:r>
      <w:r w:rsidDel="00000000" w:rsidR="00000000" w:rsidRPr="00000000">
        <w:rPr>
          <w:rFonts w:ascii="Times New Roman" w:cs="Times New Roman" w:eastAsia="Times New Roman" w:hAnsi="Times New Roman"/>
          <w:i w:val="1"/>
          <w:sz w:val="24"/>
          <w:szCs w:val="24"/>
          <w:rtl w:val="0"/>
        </w:rPr>
        <w:t xml:space="preserve">Padlet: Interactive board for collaborative learning</w:t>
      </w:r>
      <w:r w:rsidDel="00000000" w:rsidR="00000000" w:rsidRPr="00000000">
        <w:rPr>
          <w:rFonts w:ascii="Times New Roman" w:cs="Times New Roman" w:eastAsia="Times New Roman" w:hAnsi="Times New Roman"/>
          <w:sz w:val="24"/>
          <w:szCs w:val="24"/>
          <w:rtl w:val="0"/>
        </w:rPr>
        <w:t xml:space="preserve">. URL: </w:t>
      </w:r>
      <w:hyperlink r:id="rId7">
        <w:r w:rsidDel="00000000" w:rsidR="00000000" w:rsidRPr="00000000">
          <w:rPr>
            <w:rFonts w:ascii="Times New Roman" w:cs="Times New Roman" w:eastAsia="Times New Roman" w:hAnsi="Times New Roman"/>
            <w:color w:val="1155cc"/>
            <w:sz w:val="24"/>
            <w:szCs w:val="24"/>
            <w:u w:val="single"/>
            <w:rtl w:val="0"/>
          </w:rPr>
          <w:t xml:space="preserve">https://padlet.com/dashboard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2">
      <w:pPr>
        <w:spacing w:after="0" w:before="0" w:line="360" w:lineRule="auto"/>
        <w:ind w:left="144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before="24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Відомості про авторів, які взяли участь у </w:t>
      </w:r>
      <w:r w:rsidDel="00000000" w:rsidR="00000000" w:rsidRPr="00000000">
        <w:rPr>
          <w:rFonts w:ascii="Times New Roman" w:cs="Times New Roman" w:eastAsia="Times New Roman" w:hAnsi="Times New Roman"/>
          <w:b w:val="1"/>
          <w:sz w:val="28"/>
          <w:szCs w:val="28"/>
          <w:highlight w:val="white"/>
          <w:rtl w:val="0"/>
        </w:rPr>
        <w:t xml:space="preserve">2 Міжнародній науково-практичній конференції «Innovative Solutions in Science: Balancing Theory and Practice» (23-25 грудня 2024 | Сан-Франциско, США)</w:t>
      </w:r>
      <w:r w:rsidDel="00000000" w:rsidR="00000000" w:rsidRPr="00000000">
        <w:rPr>
          <w:rFonts w:ascii="Times New Roman" w:cs="Times New Roman" w:eastAsia="Times New Roman" w:hAnsi="Times New Roman"/>
          <w:b w:val="1"/>
          <w:sz w:val="28"/>
          <w:szCs w:val="28"/>
          <w:rtl w:val="0"/>
        </w:rPr>
        <w:t xml:space="preserve"> </w:t>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066.9214891827846"/>
        <w:gridCol w:w="1664.9002369849402"/>
        <w:gridCol w:w="4293.690084855899"/>
        <w:tblGridChange w:id="0">
          <w:tblGrid>
            <w:gridCol w:w="3066.9214891827846"/>
            <w:gridCol w:w="1664.9002369849402"/>
            <w:gridCol w:w="4293.690084855899"/>
          </w:tblGrid>
        </w:tblGridChange>
      </w:tblGrid>
      <w:tr>
        <w:trPr>
          <w:cantSplit w:val="0"/>
          <w:trHeight w:val="285" w:hRule="atLeast"/>
          <w:tblHeader w:val="0"/>
        </w:trPr>
        <w:tc>
          <w:tcPr>
            <w:tcBorders>
              <w:top w:color="000000" w:space="0" w:sz="5" w:val="single"/>
              <w:left w:color="000000" w:space="0" w:sz="5" w:val="single"/>
              <w:bottom w:color="000000" w:space="0" w:sz="5" w:val="single"/>
              <w:right w:color="000000" w:space="0" w:sz="5" w:val="single"/>
            </w:tcBorders>
            <w:tcMar>
              <w:top w:w="0.0" w:type="dxa"/>
              <w:left w:w="20.0" w:type="dxa"/>
              <w:bottom w:w="0.0" w:type="dxa"/>
              <w:right w:w="20.0" w:type="dxa"/>
            </w:tcMar>
            <w:vAlign w:val="top"/>
          </w:tcPr>
          <w:p w:rsidR="00000000" w:rsidDel="00000000" w:rsidP="00000000" w:rsidRDefault="00000000" w:rsidRPr="00000000" w14:paraId="00000014">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Прізвище ім’я по-батькові</w:t>
            </w:r>
          </w:p>
        </w:tc>
        <w:tc>
          <w:tcPr>
            <w:tcBorders>
              <w:top w:color="000000" w:space="0" w:sz="5" w:val="single"/>
              <w:left w:color="000000" w:space="0" w:sz="0" w:val="nil"/>
              <w:bottom w:color="000000" w:space="0" w:sz="5" w:val="single"/>
              <w:right w:color="000000" w:space="0" w:sz="5" w:val="single"/>
            </w:tcBorders>
            <w:tcMar>
              <w:top w:w="0.0" w:type="dxa"/>
              <w:left w:w="20.0" w:type="dxa"/>
              <w:bottom w:w="0.0" w:type="dxa"/>
              <w:right w:w="20.0" w:type="dxa"/>
            </w:tcMar>
            <w:vAlign w:val="top"/>
          </w:tcPr>
          <w:p w:rsidR="00000000" w:rsidDel="00000000" w:rsidP="00000000" w:rsidRDefault="00000000" w:rsidRPr="00000000" w14:paraId="00000015">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5" w:val="single"/>
              <w:left w:color="000000" w:space="0" w:sz="0" w:val="nil"/>
              <w:bottom w:color="000000" w:space="0" w:sz="5" w:val="single"/>
              <w:right w:color="000000" w:space="0" w:sz="5" w:val="single"/>
            </w:tcBorders>
            <w:tcMar>
              <w:top w:w="0.0" w:type="dxa"/>
              <w:left w:w="20.0" w:type="dxa"/>
              <w:bottom w:w="0.0" w:type="dxa"/>
              <w:right w:w="20.0" w:type="dxa"/>
            </w:tcMar>
            <w:vAlign w:val="top"/>
          </w:tcPr>
          <w:p w:rsidR="00000000" w:rsidDel="00000000" w:rsidP="00000000" w:rsidRDefault="00000000" w:rsidRPr="00000000" w14:paraId="00000016">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Колісник Марина Ігорівна </w:t>
            </w:r>
          </w:p>
        </w:tc>
      </w:tr>
      <w:tr>
        <w:trPr>
          <w:cantSplit w:val="0"/>
          <w:trHeight w:val="285" w:hRule="atLeast"/>
          <w:tblHeader w:val="0"/>
        </w:trPr>
        <w:tc>
          <w:tcPr>
            <w:gridSpan w:val="3"/>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17">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2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1A">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Для сертифікату Ім’я та Прізвище латинськими літерами</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1B">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1C">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Kolisnyk Maryna </w:t>
            </w:r>
          </w:p>
        </w:tc>
      </w:tr>
      <w:tr>
        <w:trPr>
          <w:cantSplit w:val="0"/>
          <w:trHeight w:val="285" w:hRule="atLeast"/>
          <w:tblHeader w:val="0"/>
        </w:trPr>
        <w:tc>
          <w:tcPr>
            <w:gridSpan w:val="3"/>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1D">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2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0">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Заклад вищої освіти або організація</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1">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2">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Харківський національний медичний універсітет </w:t>
            </w:r>
          </w:p>
        </w:tc>
      </w:tr>
      <w:tr>
        <w:trPr>
          <w:cantSplit w:val="0"/>
          <w:trHeight w:val="285" w:hRule="atLeast"/>
          <w:tblHeader w:val="0"/>
        </w:trPr>
        <w:tc>
          <w:tcPr>
            <w:gridSpan w:val="3"/>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3">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4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6">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Науковий ступінь та вчене звання</w:t>
            </w:r>
          </w:p>
          <w:p w:rsidR="00000000" w:rsidDel="00000000" w:rsidP="00000000" w:rsidRDefault="00000000" w:rsidRPr="00000000" w14:paraId="00000027">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Для здобувачів вищої освіти рівень (бакалавр / магістр)</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8">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9">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не має </w:t>
            </w:r>
          </w:p>
        </w:tc>
      </w:tr>
      <w:tr>
        <w:trPr>
          <w:cantSplit w:val="0"/>
          <w:trHeight w:val="285" w:hRule="atLeast"/>
          <w:tblHeader w:val="0"/>
        </w:trPr>
        <w:tc>
          <w:tcPr>
            <w:gridSpan w:val="3"/>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A">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2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D">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кафедри</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E">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2F">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Кафедра латинської мови та медичної термінології </w:t>
            </w:r>
          </w:p>
        </w:tc>
      </w:tr>
      <w:tr>
        <w:trPr>
          <w:cantSplit w:val="0"/>
          <w:trHeight w:val="285" w:hRule="atLeast"/>
          <w:tblHeader w:val="0"/>
        </w:trPr>
        <w:tc>
          <w:tcPr>
            <w:gridSpan w:val="3"/>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0">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2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3">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E-mail</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4">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5">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mi.kolisnyk@knmu.edu.ua</w:t>
            </w:r>
          </w:p>
        </w:tc>
      </w:tr>
      <w:tr>
        <w:trPr>
          <w:cantSplit w:val="0"/>
          <w:trHeight w:val="285" w:hRule="atLeast"/>
          <w:tblHeader w:val="0"/>
        </w:trPr>
        <w:tc>
          <w:tcPr>
            <w:gridSpan w:val="2"/>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6">
            <w:pPr>
              <w:spacing w:before="240" w:lineRule="auto"/>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sz w:val="24"/>
                <w:szCs w:val="24"/>
                <w:rtl w:val="0"/>
              </w:rPr>
              <w:t xml:space="preserve">Назва секції </w:t>
            </w:r>
            <w:r w:rsidDel="00000000" w:rsidR="00000000" w:rsidRPr="00000000">
              <w:rPr>
                <w:rFonts w:ascii="Times New Roman" w:cs="Times New Roman" w:eastAsia="Times New Roman" w:hAnsi="Times New Roman"/>
                <w:color w:val="ff0000"/>
                <w:sz w:val="24"/>
                <w:szCs w:val="24"/>
                <w:rtl w:val="0"/>
              </w:rPr>
              <w:t xml:space="preserve">(обов’язково)</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8">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ff0000"/>
                <w:sz w:val="24"/>
                <w:szCs w:val="24"/>
                <w:rtl w:val="0"/>
              </w:rPr>
              <w:t xml:space="preserve">22.Педагогіка,  філологія та лінгвістика</w:t>
            </w:r>
            <w:r w:rsidDel="00000000" w:rsidR="00000000" w:rsidRPr="00000000">
              <w:rPr>
                <w:rtl w:val="0"/>
              </w:rPr>
            </w:r>
          </w:p>
        </w:tc>
      </w:tr>
      <w:tr>
        <w:trPr>
          <w:cantSplit w:val="0"/>
          <w:trHeight w:val="285" w:hRule="atLeast"/>
          <w:tblHeader w:val="0"/>
        </w:trPr>
        <w:tc>
          <w:tcPr>
            <w:gridSpan w:val="3"/>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9">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2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C">
            <w:pPr>
              <w:spacing w:before="240" w:lineRule="auto"/>
              <w:jc w:val="both"/>
              <w:rPr>
                <w:rFonts w:ascii="Times New Roman" w:cs="Times New Roman" w:eastAsia="Times New Roman" w:hAnsi="Times New Roman"/>
                <w:sz w:val="24"/>
                <w:szCs w:val="24"/>
                <w:highlight w:val="white"/>
                <w:u w:val="single"/>
              </w:rPr>
            </w:pPr>
            <w:r w:rsidDel="00000000" w:rsidR="00000000" w:rsidRPr="00000000">
              <w:rPr>
                <w:rFonts w:ascii="Times New Roman" w:cs="Times New Roman" w:eastAsia="Times New Roman" w:hAnsi="Times New Roman"/>
                <w:sz w:val="24"/>
                <w:szCs w:val="24"/>
                <w:highlight w:val="white"/>
                <w:rtl w:val="0"/>
              </w:rPr>
              <w:t xml:space="preserve">Паперова версія сертифікату з мокрою печаткою та підписом</w:t>
            </w:r>
            <w:r w:rsidDel="00000000" w:rsidR="00000000" w:rsidRPr="00000000">
              <w:rPr>
                <w:rFonts w:ascii="Times New Roman" w:cs="Times New Roman" w:eastAsia="Times New Roman" w:hAnsi="Times New Roman"/>
                <w:sz w:val="24"/>
                <w:szCs w:val="24"/>
                <w:highlight w:val="white"/>
                <w:u w:val="single"/>
                <w:rtl w:val="0"/>
              </w:rPr>
              <w:t xml:space="preserve">(оплачується окремо)</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D">
            <w:pPr>
              <w:spacing w:befor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Автор 1</w:t>
            </w:r>
          </w:p>
        </w:tc>
        <w:tc>
          <w:tcPr>
            <w:tcBorders>
              <w:top w:color="000000" w:space="0" w:sz="0" w:val="nil"/>
              <w:left w:color="000000" w:space="0" w:sz="0" w:val="nil"/>
              <w:bottom w:color="000000" w:space="0" w:sz="5" w:val="single"/>
              <w:right w:color="000000" w:space="0" w:sz="5" w:val="single"/>
            </w:tcBorders>
            <w:shd w:fill="auto" w:val="clear"/>
            <w:tcMar>
              <w:top w:w="0.0" w:type="dxa"/>
              <w:left w:w="20.0" w:type="dxa"/>
              <w:bottom w:w="0.0" w:type="dxa"/>
              <w:right w:w="20.0" w:type="dxa"/>
            </w:tcMar>
            <w:vAlign w:val="top"/>
          </w:tcPr>
          <w:p w:rsidR="00000000" w:rsidDel="00000000" w:rsidP="00000000" w:rsidRDefault="00000000" w:rsidRPr="00000000" w14:paraId="0000003E">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 </w:t>
            </w:r>
          </w:p>
        </w:tc>
      </w:tr>
    </w:tbl>
    <w:p w:rsidR="00000000" w:rsidDel="00000000" w:rsidP="00000000" w:rsidRDefault="00000000" w:rsidRPr="00000000" w14:paraId="0000003F">
      <w:pPr>
        <w:spacing w:after="0" w:before="0" w:line="360" w:lineRule="auto"/>
        <w:ind w:left="144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360" w:lineRule="auto"/>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mi.kolisnyk@knmu.edu.ua" TargetMode="External"/><Relationship Id="rId7" Type="http://schemas.openxmlformats.org/officeDocument/2006/relationships/hyperlink" Target="https://padlet.com/dashboar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