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7819" w:rsidRPr="000B37EE" w:rsidRDefault="000B37EE" w:rsidP="002E7819">
      <w:pPr>
        <w:tabs>
          <w:tab w:val="left" w:pos="1843"/>
        </w:tabs>
        <w:spacing w:after="0" w:line="360" w:lineRule="auto"/>
        <w:ind w:firstLine="709"/>
        <w:jc w:val="both"/>
        <w:rPr>
          <w:rFonts w:ascii="Times New Roman" w:hAnsi="Times New Roman" w:cs="Times New Roman"/>
          <w:b/>
          <w:sz w:val="24"/>
          <w:szCs w:val="28"/>
          <w:lang w:val="en-US"/>
        </w:rPr>
      </w:pPr>
      <w:r>
        <w:rPr>
          <w:rFonts w:ascii="Times New Roman" w:hAnsi="Times New Roman" w:cs="Times New Roman"/>
          <w:b/>
          <w:sz w:val="24"/>
          <w:szCs w:val="28"/>
          <w:lang w:val="en-US"/>
        </w:rPr>
        <w:t>L</w:t>
      </w:r>
      <w:r w:rsidR="002E7819" w:rsidRPr="000B37EE">
        <w:rPr>
          <w:rFonts w:ascii="Times New Roman" w:hAnsi="Times New Roman" w:cs="Times New Roman"/>
          <w:b/>
          <w:sz w:val="24"/>
          <w:szCs w:val="28"/>
          <w:lang w:val="en-US"/>
        </w:rPr>
        <w:t xml:space="preserve">eft ventricular myocardial remodeling parameters </w:t>
      </w:r>
      <w:r>
        <w:rPr>
          <w:rFonts w:ascii="Times New Roman" w:hAnsi="Times New Roman" w:cs="Times New Roman"/>
          <w:b/>
          <w:sz w:val="24"/>
          <w:szCs w:val="28"/>
          <w:lang w:val="en-US"/>
        </w:rPr>
        <w:t>and</w:t>
      </w:r>
      <w:r w:rsidR="002E7819" w:rsidRPr="000B37EE">
        <w:rPr>
          <w:rFonts w:ascii="Times New Roman" w:hAnsi="Times New Roman" w:cs="Times New Roman"/>
          <w:b/>
          <w:sz w:val="24"/>
          <w:szCs w:val="28"/>
          <w:lang w:val="en-US"/>
        </w:rPr>
        <w:t xml:space="preserve"> biomarkers of tissue</w:t>
      </w:r>
      <w:r>
        <w:rPr>
          <w:rFonts w:ascii="Times New Roman" w:hAnsi="Times New Roman" w:cs="Times New Roman"/>
          <w:b/>
          <w:sz w:val="24"/>
          <w:szCs w:val="28"/>
          <w:lang w:val="en-US"/>
        </w:rPr>
        <w:t>s</w:t>
      </w:r>
      <w:r w:rsidR="002E7819" w:rsidRPr="000B37EE">
        <w:rPr>
          <w:rFonts w:ascii="Times New Roman" w:hAnsi="Times New Roman" w:cs="Times New Roman"/>
          <w:b/>
          <w:sz w:val="24"/>
          <w:szCs w:val="28"/>
          <w:lang w:val="en-US"/>
        </w:rPr>
        <w:t xml:space="preserve"> vascularization in patients with essential hypertension</w:t>
      </w:r>
    </w:p>
    <w:p w:rsidR="002E7819" w:rsidRPr="000B37EE" w:rsidRDefault="002E7819" w:rsidP="002E7819">
      <w:pPr>
        <w:tabs>
          <w:tab w:val="left" w:pos="1843"/>
        </w:tabs>
        <w:spacing w:after="0" w:line="360" w:lineRule="auto"/>
        <w:ind w:firstLine="709"/>
        <w:jc w:val="both"/>
        <w:rPr>
          <w:rFonts w:ascii="Times New Roman" w:hAnsi="Times New Roman" w:cs="Times New Roman"/>
          <w:b/>
          <w:sz w:val="24"/>
          <w:szCs w:val="28"/>
          <w:lang w:val="en-US"/>
        </w:rPr>
      </w:pPr>
      <w:proofErr w:type="spellStart"/>
      <w:r w:rsidRPr="000B37EE">
        <w:rPr>
          <w:rFonts w:ascii="Times New Roman" w:hAnsi="Times New Roman" w:cs="Times New Roman"/>
          <w:b/>
          <w:sz w:val="24"/>
          <w:szCs w:val="28"/>
          <w:lang w:val="en-US"/>
        </w:rPr>
        <w:t>Demydenko</w:t>
      </w:r>
      <w:proofErr w:type="spellEnd"/>
      <w:r w:rsidRPr="000B37EE">
        <w:rPr>
          <w:rFonts w:ascii="Times New Roman" w:hAnsi="Times New Roman" w:cs="Times New Roman"/>
          <w:b/>
          <w:sz w:val="24"/>
          <w:szCs w:val="28"/>
          <w:lang w:val="en-US"/>
        </w:rPr>
        <w:t xml:space="preserve"> G.</w:t>
      </w:r>
      <w:r w:rsidR="000B37EE">
        <w:rPr>
          <w:rFonts w:ascii="Times New Roman" w:hAnsi="Times New Roman" w:cs="Times New Roman"/>
          <w:b/>
          <w:sz w:val="24"/>
          <w:szCs w:val="28"/>
          <w:lang w:val="en-US"/>
        </w:rPr>
        <w:t xml:space="preserve">, </w:t>
      </w:r>
      <w:proofErr w:type="spellStart"/>
      <w:r w:rsidR="000B37EE">
        <w:rPr>
          <w:rFonts w:ascii="Times New Roman" w:hAnsi="Times New Roman" w:cs="Times New Roman"/>
          <w:b/>
          <w:sz w:val="24"/>
          <w:szCs w:val="28"/>
          <w:lang w:val="en-US"/>
        </w:rPr>
        <w:t>Kovalyova</w:t>
      </w:r>
      <w:proofErr w:type="spellEnd"/>
      <w:r w:rsidR="000B37EE">
        <w:rPr>
          <w:rFonts w:ascii="Times New Roman" w:hAnsi="Times New Roman" w:cs="Times New Roman"/>
          <w:b/>
          <w:sz w:val="24"/>
          <w:szCs w:val="28"/>
          <w:lang w:val="en-US"/>
        </w:rPr>
        <w:t xml:space="preserve"> O., </w:t>
      </w:r>
      <w:proofErr w:type="spellStart"/>
      <w:r w:rsidR="000B37EE">
        <w:rPr>
          <w:rFonts w:ascii="Times New Roman" w:hAnsi="Times New Roman" w:cs="Times New Roman"/>
          <w:b/>
          <w:sz w:val="24"/>
          <w:szCs w:val="28"/>
          <w:lang w:val="en-US"/>
        </w:rPr>
        <w:t>Ashcheulova</w:t>
      </w:r>
      <w:proofErr w:type="spellEnd"/>
      <w:r w:rsidR="000B37EE">
        <w:rPr>
          <w:rFonts w:ascii="Times New Roman" w:hAnsi="Times New Roman" w:cs="Times New Roman"/>
          <w:b/>
          <w:sz w:val="24"/>
          <w:szCs w:val="28"/>
          <w:lang w:val="en-US"/>
        </w:rPr>
        <w:t xml:space="preserve"> T.</w:t>
      </w:r>
    </w:p>
    <w:p w:rsidR="002E7819" w:rsidRPr="000B37EE" w:rsidRDefault="002E7819" w:rsidP="002E7819">
      <w:pPr>
        <w:spacing w:after="0" w:line="360" w:lineRule="auto"/>
        <w:ind w:firstLine="708"/>
        <w:jc w:val="both"/>
        <w:rPr>
          <w:rFonts w:ascii="Times New Roman" w:hAnsi="Times New Roman" w:cs="Times New Roman"/>
          <w:lang w:val="uk-UA"/>
        </w:rPr>
      </w:pPr>
      <w:r w:rsidRPr="000B37EE">
        <w:rPr>
          <w:rFonts w:ascii="Times New Roman" w:hAnsi="Times New Roman" w:cs="Times New Roman"/>
          <w:b/>
          <w:sz w:val="24"/>
          <w:szCs w:val="28"/>
          <w:lang w:val="en-US"/>
        </w:rPr>
        <w:t>The aim of the study</w:t>
      </w:r>
      <w:r w:rsidRPr="000B37EE">
        <w:rPr>
          <w:rFonts w:ascii="Times New Roman" w:hAnsi="Times New Roman" w:cs="Times New Roman"/>
          <w:sz w:val="24"/>
          <w:szCs w:val="28"/>
          <w:lang w:val="en-US"/>
        </w:rPr>
        <w:t xml:space="preserve"> was to investigate the activity of </w:t>
      </w:r>
      <w:proofErr w:type="spellStart"/>
      <w:r w:rsidRPr="000B37EE">
        <w:rPr>
          <w:rFonts w:ascii="Times New Roman" w:hAnsi="Times New Roman" w:cs="Times New Roman"/>
          <w:sz w:val="24"/>
          <w:szCs w:val="28"/>
          <w:lang w:val="en-US"/>
        </w:rPr>
        <w:t>adipokine</w:t>
      </w:r>
      <w:proofErr w:type="spellEnd"/>
      <w:r w:rsidRPr="000B37EE">
        <w:rPr>
          <w:rFonts w:ascii="Times New Roman" w:hAnsi="Times New Roman" w:cs="Times New Roman"/>
          <w:sz w:val="24"/>
          <w:szCs w:val="28"/>
          <w:lang w:val="en-US"/>
        </w:rPr>
        <w:t xml:space="preserve"> </w:t>
      </w:r>
      <w:proofErr w:type="spellStart"/>
      <w:r w:rsidRPr="000B37EE">
        <w:rPr>
          <w:rFonts w:ascii="Times New Roman" w:hAnsi="Times New Roman" w:cs="Times New Roman"/>
          <w:sz w:val="24"/>
          <w:szCs w:val="28"/>
          <w:lang w:val="en-US"/>
        </w:rPr>
        <w:t>apelin</w:t>
      </w:r>
      <w:proofErr w:type="spellEnd"/>
      <w:r w:rsidRPr="000B37EE">
        <w:rPr>
          <w:rFonts w:ascii="Times New Roman" w:hAnsi="Times New Roman" w:cs="Times New Roman"/>
          <w:sz w:val="24"/>
          <w:szCs w:val="28"/>
          <w:lang w:val="en-US"/>
        </w:rPr>
        <w:t xml:space="preserve">, vascular endothelial growth factor, </w:t>
      </w:r>
      <w:r w:rsidR="00FA518D" w:rsidRPr="000B37EE">
        <w:rPr>
          <w:rFonts w:ascii="Times New Roman" w:hAnsi="Times New Roman" w:cs="Times New Roman"/>
          <w:sz w:val="24"/>
          <w:szCs w:val="28"/>
          <w:lang w:val="en-US"/>
        </w:rPr>
        <w:t>and vasoactive</w:t>
      </w:r>
      <w:r w:rsidRPr="000B37EE">
        <w:rPr>
          <w:rFonts w:ascii="Times New Roman" w:hAnsi="Times New Roman" w:cs="Times New Roman"/>
          <w:sz w:val="24"/>
          <w:szCs w:val="28"/>
          <w:lang w:val="en-US"/>
        </w:rPr>
        <w:t xml:space="preserve"> pool of nitric oxide in patients with essential hypertension. </w:t>
      </w:r>
      <w:r w:rsidRPr="000B37EE">
        <w:rPr>
          <w:rFonts w:ascii="Times New Roman" w:hAnsi="Times New Roman" w:cs="Times New Roman"/>
          <w:b/>
          <w:sz w:val="24"/>
          <w:szCs w:val="28"/>
          <w:lang w:val="en-US"/>
        </w:rPr>
        <w:t xml:space="preserve">Material and methods: </w:t>
      </w:r>
      <w:r w:rsidRPr="000B37EE">
        <w:rPr>
          <w:rFonts w:ascii="Times New Roman" w:hAnsi="Times New Roman" w:cs="Times New Roman"/>
          <w:sz w:val="24"/>
          <w:szCs w:val="28"/>
          <w:lang w:val="en-US"/>
        </w:rPr>
        <w:t>152 patients with EH in age of 30-80 years were examined. Vasoactive pool of nitric oxide activity was investigated by biochemical method. Apelin-12 levels and vascular endothelial growth factor in serum was investigated by ELISA. Ultrasound of the heart was performed in accordance with the recommendations of the European and Ukrainian Association of Echocardiography.</w:t>
      </w:r>
      <w:r w:rsidRPr="000B37EE">
        <w:rPr>
          <w:rFonts w:ascii="Times New Roman" w:hAnsi="Times New Roman" w:cs="Times New Roman"/>
          <w:lang w:val="en-US"/>
        </w:rPr>
        <w:t xml:space="preserve"> Relative wall thickness (RWT) that reflects geometrical changes of left ventricle (LV) was calculated as RWT</w:t>
      </w:r>
      <w:proofErr w:type="gramStart"/>
      <w:r w:rsidRPr="000B37EE">
        <w:rPr>
          <w:rFonts w:ascii="Times New Roman" w:hAnsi="Times New Roman" w:cs="Times New Roman"/>
          <w:lang w:val="en-US"/>
        </w:rPr>
        <w:t>=(</w:t>
      </w:r>
      <w:proofErr w:type="gramEnd"/>
      <w:r w:rsidRPr="000B37EE">
        <w:rPr>
          <w:rFonts w:ascii="Times New Roman" w:hAnsi="Times New Roman" w:cs="Times New Roman"/>
          <w:lang w:val="en-US"/>
        </w:rPr>
        <w:t>posterior wall thickness (PWT)+interventricular sept thickness (IVT)) / diastolic size). Changes in RWT</w:t>
      </w:r>
      <w:r w:rsidRPr="000B37EE">
        <w:rPr>
          <w:rFonts w:ascii="Times New Roman" w:hAnsi="Times New Roman" w:cs="Times New Roman"/>
          <w:lang w:val="uk-UA"/>
        </w:rPr>
        <w:t xml:space="preserve"> </w:t>
      </w:r>
      <w:r w:rsidRPr="000B37EE">
        <w:rPr>
          <w:rFonts w:ascii="Times New Roman" w:hAnsi="Times New Roman" w:cs="Times New Roman"/>
          <w:lang w:val="en-US"/>
        </w:rPr>
        <w:t xml:space="preserve">were classified according to gender. </w:t>
      </w:r>
    </w:p>
    <w:p w:rsidR="002E7819" w:rsidRPr="000B37EE" w:rsidRDefault="002E7819" w:rsidP="002E7819">
      <w:pPr>
        <w:autoSpaceDE w:val="0"/>
        <w:autoSpaceDN w:val="0"/>
        <w:adjustRightInd w:val="0"/>
        <w:spacing w:after="0" w:line="360" w:lineRule="auto"/>
        <w:ind w:firstLine="709"/>
        <w:jc w:val="both"/>
        <w:rPr>
          <w:rFonts w:ascii="Times New Roman" w:eastAsia="Calibri" w:hAnsi="Times New Roman" w:cs="Times New Roman"/>
          <w:sz w:val="20"/>
          <w:szCs w:val="20"/>
          <w:lang w:val="uk-UA"/>
        </w:rPr>
      </w:pPr>
      <w:r w:rsidRPr="000B37EE">
        <w:rPr>
          <w:rFonts w:ascii="Times New Roman" w:hAnsi="Times New Roman" w:cs="Times New Roman"/>
          <w:b/>
          <w:sz w:val="24"/>
          <w:szCs w:val="28"/>
          <w:lang w:val="en-US"/>
        </w:rPr>
        <w:t>Results</w:t>
      </w:r>
      <w:r w:rsidRPr="000B37EE">
        <w:rPr>
          <w:rFonts w:ascii="Times New Roman" w:hAnsi="Times New Roman" w:cs="Times New Roman"/>
          <w:b/>
          <w:sz w:val="24"/>
          <w:szCs w:val="28"/>
          <w:lang w:val="uk-UA"/>
        </w:rPr>
        <w:t>.</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In</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patients</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with</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EH</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myocardial</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remodeling</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was</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found</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in</w:t>
      </w:r>
      <w:r w:rsidRPr="000B37EE">
        <w:rPr>
          <w:rFonts w:ascii="Times New Roman" w:hAnsi="Times New Roman" w:cs="Times New Roman"/>
          <w:sz w:val="24"/>
          <w:szCs w:val="28"/>
          <w:lang w:val="uk-UA"/>
        </w:rPr>
        <w:t xml:space="preserve"> 72.37% </w:t>
      </w:r>
      <w:r w:rsidRPr="000B37EE">
        <w:rPr>
          <w:rFonts w:ascii="Times New Roman" w:hAnsi="Times New Roman" w:cs="Times New Roman"/>
          <w:sz w:val="24"/>
          <w:szCs w:val="28"/>
          <w:lang w:val="en-US"/>
        </w:rPr>
        <w:t>of</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cases</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was</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accompanied</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by</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endothelial</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dysfunction</w:t>
      </w:r>
      <w:r w:rsidRPr="000B37EE">
        <w:rPr>
          <w:rFonts w:ascii="Times New Roman" w:hAnsi="Times New Roman" w:cs="Times New Roman"/>
          <w:sz w:val="24"/>
          <w:szCs w:val="28"/>
          <w:lang w:val="uk-UA"/>
        </w:rPr>
        <w:t xml:space="preserve"> (</w:t>
      </w:r>
      <w:proofErr w:type="spellStart"/>
      <w:r w:rsidRPr="000B37EE">
        <w:rPr>
          <w:rFonts w:ascii="Times New Roman" w:hAnsi="Times New Roman" w:cs="Times New Roman"/>
          <w:sz w:val="24"/>
          <w:szCs w:val="28"/>
          <w:lang w:val="en-US"/>
        </w:rPr>
        <w:t>dysbalance</w:t>
      </w:r>
      <w:proofErr w:type="spellEnd"/>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of</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nitric</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oxide</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pool</w:t>
      </w:r>
      <w:r w:rsidRPr="000B37EE">
        <w:rPr>
          <w:rFonts w:ascii="Times New Roman" w:eastAsia="Calibri" w:hAnsi="Times New Roman" w:cs="Times New Roman"/>
          <w:sz w:val="24"/>
          <w:szCs w:val="28"/>
          <w:lang w:val="uk-UA"/>
        </w:rPr>
        <w:t xml:space="preserve"> </w:t>
      </w:r>
      <w:r w:rsidRPr="000B37EE">
        <w:rPr>
          <w:rFonts w:ascii="Times New Roman" w:eastAsia="Calibri" w:hAnsi="Times New Roman" w:cs="Times New Roman"/>
          <w:sz w:val="24"/>
          <w:szCs w:val="28"/>
          <w:lang w:val="en-US"/>
        </w:rPr>
        <w:t>was</w:t>
      </w:r>
      <w:r w:rsidRPr="000B37EE">
        <w:rPr>
          <w:rFonts w:ascii="Times New Roman" w:eastAsia="Calibri" w:hAnsi="Times New Roman" w:cs="Times New Roman"/>
          <w:sz w:val="24"/>
          <w:szCs w:val="28"/>
          <w:lang w:val="uk-UA"/>
        </w:rPr>
        <w:t xml:space="preserve"> </w:t>
      </w:r>
      <w:r w:rsidRPr="000B37EE">
        <w:rPr>
          <w:rFonts w:ascii="Times New Roman" w:eastAsia="Calibri" w:hAnsi="Times New Roman" w:cs="Times New Roman"/>
          <w:sz w:val="24"/>
          <w:szCs w:val="28"/>
          <w:lang w:val="en-US"/>
        </w:rPr>
        <w:t>characterized</w:t>
      </w:r>
      <w:r w:rsidRPr="000B37EE">
        <w:rPr>
          <w:rFonts w:ascii="Times New Roman" w:eastAsia="Calibri" w:hAnsi="Times New Roman" w:cs="Times New Roman"/>
          <w:sz w:val="24"/>
          <w:szCs w:val="28"/>
          <w:lang w:val="uk-UA"/>
        </w:rPr>
        <w:t xml:space="preserve"> </w:t>
      </w:r>
      <w:r w:rsidRPr="000B37EE">
        <w:rPr>
          <w:rFonts w:ascii="Times New Roman" w:eastAsia="Calibri" w:hAnsi="Times New Roman" w:cs="Times New Roman"/>
          <w:sz w:val="24"/>
          <w:szCs w:val="28"/>
          <w:lang w:val="en-US"/>
        </w:rPr>
        <w:t xml:space="preserve">by depositing of NO, activation of </w:t>
      </w:r>
      <w:proofErr w:type="spellStart"/>
      <w:r w:rsidRPr="000B37EE">
        <w:rPr>
          <w:rFonts w:ascii="Times New Roman" w:eastAsia="Calibri" w:hAnsi="Times New Roman" w:cs="Times New Roman"/>
          <w:sz w:val="24"/>
          <w:szCs w:val="28"/>
          <w:lang w:val="en-US"/>
        </w:rPr>
        <w:t>iNOS</w:t>
      </w:r>
      <w:proofErr w:type="spellEnd"/>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Significant differences in groups were found in nitrite activity, S-</w:t>
      </w:r>
      <w:proofErr w:type="spellStart"/>
      <w:r w:rsidRPr="000B37EE">
        <w:rPr>
          <w:rFonts w:ascii="Times New Roman" w:hAnsi="Times New Roman" w:cs="Times New Roman"/>
          <w:sz w:val="24"/>
          <w:szCs w:val="28"/>
          <w:lang w:val="en-US"/>
        </w:rPr>
        <w:t>nitrozothiol</w:t>
      </w:r>
      <w:proofErr w:type="spellEnd"/>
      <w:r w:rsidRPr="000B37EE">
        <w:rPr>
          <w:rFonts w:ascii="Times New Roman" w:hAnsi="Times New Roman" w:cs="Times New Roman"/>
          <w:sz w:val="24"/>
          <w:szCs w:val="28"/>
          <w:lang w:val="en-US"/>
        </w:rPr>
        <w:t xml:space="preserve">, </w:t>
      </w:r>
      <w:proofErr w:type="spellStart"/>
      <w:r w:rsidRPr="000B37EE">
        <w:rPr>
          <w:rFonts w:ascii="Times New Roman" w:hAnsi="Times New Roman" w:cs="Times New Roman"/>
          <w:sz w:val="24"/>
          <w:szCs w:val="28"/>
          <w:lang w:val="en-US"/>
        </w:rPr>
        <w:t>iNOS</w:t>
      </w:r>
      <w:proofErr w:type="spellEnd"/>
      <w:r w:rsidRPr="000B37EE">
        <w:rPr>
          <w:rFonts w:ascii="Times New Roman" w:hAnsi="Times New Roman" w:cs="Times New Roman"/>
          <w:sz w:val="24"/>
          <w:szCs w:val="28"/>
          <w:lang w:val="en-US"/>
        </w:rPr>
        <w:t xml:space="preserve">. </w:t>
      </w:r>
      <w:proofErr w:type="spellStart"/>
      <w:proofErr w:type="gramStart"/>
      <w:r w:rsidRPr="000B37EE">
        <w:rPr>
          <w:rStyle w:val="FontStyle45"/>
          <w:sz w:val="20"/>
          <w:szCs w:val="20"/>
          <w:lang w:val="en-US" w:eastAsia="uk-UA"/>
        </w:rPr>
        <w:t>iNOS</w:t>
      </w:r>
      <w:proofErr w:type="spellEnd"/>
      <w:proofErr w:type="gramEnd"/>
      <w:r w:rsidRPr="000B37EE">
        <w:rPr>
          <w:rStyle w:val="FontStyle45"/>
          <w:sz w:val="20"/>
          <w:szCs w:val="20"/>
          <w:lang w:val="uk-UA" w:eastAsia="uk-UA"/>
        </w:rPr>
        <w:t xml:space="preserve"> </w:t>
      </w:r>
      <w:r w:rsidRPr="000B37EE">
        <w:rPr>
          <w:rStyle w:val="FontStyle45"/>
          <w:sz w:val="20"/>
          <w:szCs w:val="20"/>
          <w:lang w:val="en-US" w:eastAsia="uk-UA"/>
        </w:rPr>
        <w:t>activity raised according PWRWT</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=0,48), </w:t>
      </w:r>
      <w:r w:rsidRPr="000B37EE">
        <w:rPr>
          <w:rStyle w:val="FontStyle45"/>
          <w:sz w:val="20"/>
          <w:szCs w:val="20"/>
          <w:lang w:val="en-US" w:eastAsia="uk-UA"/>
        </w:rPr>
        <w:t xml:space="preserve">IVT </w:t>
      </w:r>
      <w:r w:rsidRPr="000B37EE">
        <w:rPr>
          <w:rStyle w:val="FontStyle45"/>
          <w:sz w:val="20"/>
          <w:szCs w:val="20"/>
          <w:lang w:val="uk-UA" w:eastAsia="uk-UA"/>
        </w:rPr>
        <w:t>(</w:t>
      </w:r>
      <w:r w:rsidRPr="000B37EE">
        <w:rPr>
          <w:rStyle w:val="FontStyle45"/>
          <w:sz w:val="20"/>
          <w:szCs w:val="20"/>
          <w:lang w:val="en-US" w:eastAsia="uk-UA"/>
        </w:rPr>
        <w:t>r</w:t>
      </w:r>
      <w:r w:rsidRPr="000B37EE">
        <w:rPr>
          <w:rStyle w:val="FontStyle45"/>
          <w:sz w:val="20"/>
          <w:szCs w:val="20"/>
          <w:lang w:val="uk-UA" w:eastAsia="uk-UA"/>
        </w:rPr>
        <w:t xml:space="preserve">=0,56), </w:t>
      </w:r>
      <w:r w:rsidRPr="000B37EE">
        <w:rPr>
          <w:rStyle w:val="FontStyle45"/>
          <w:sz w:val="20"/>
          <w:szCs w:val="20"/>
          <w:lang w:val="en-US" w:eastAsia="uk-UA"/>
        </w:rPr>
        <w:t>RWT</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=0,64, р&lt;0,05). </w:t>
      </w:r>
      <w:r w:rsidRPr="000B37EE">
        <w:rPr>
          <w:rFonts w:ascii="Times New Roman" w:hAnsi="Times New Roman" w:cs="Times New Roman"/>
          <w:sz w:val="24"/>
          <w:szCs w:val="28"/>
          <w:lang w:val="en-US"/>
        </w:rPr>
        <w:t xml:space="preserve">Increasing of </w:t>
      </w:r>
      <w:proofErr w:type="spellStart"/>
      <w:r w:rsidRPr="000B37EE">
        <w:rPr>
          <w:rFonts w:ascii="Times New Roman" w:hAnsi="Times New Roman" w:cs="Times New Roman"/>
          <w:sz w:val="24"/>
          <w:szCs w:val="28"/>
          <w:lang w:val="en-US"/>
        </w:rPr>
        <w:t>apelin</w:t>
      </w:r>
      <w:proofErr w:type="spellEnd"/>
      <w:r w:rsidRPr="000B37EE">
        <w:rPr>
          <w:rFonts w:ascii="Times New Roman" w:hAnsi="Times New Roman" w:cs="Times New Roman"/>
          <w:sz w:val="24"/>
          <w:szCs w:val="28"/>
          <w:lang w:val="en-US"/>
        </w:rPr>
        <w:t xml:space="preserve"> and vascular endothelial growth factor </w:t>
      </w:r>
      <w:r w:rsidRPr="000B37EE">
        <w:rPr>
          <w:rFonts w:ascii="Times New Roman" w:eastAsia="Calibri" w:hAnsi="Times New Roman" w:cs="Times New Roman"/>
          <w:sz w:val="20"/>
          <w:szCs w:val="20"/>
          <w:lang w:val="uk-UA"/>
        </w:rPr>
        <w:t>(</w:t>
      </w:r>
      <w:r w:rsidRPr="000B37EE">
        <w:rPr>
          <w:rStyle w:val="FontStyle45"/>
          <w:sz w:val="20"/>
          <w:szCs w:val="20"/>
          <w:lang w:val="en-US" w:eastAsia="uk-UA"/>
        </w:rPr>
        <w:t>VEGF</w:t>
      </w:r>
      <w:r w:rsidRPr="000B37EE">
        <w:rPr>
          <w:rFonts w:ascii="Times New Roman" w:eastAsia="Calibri" w:hAnsi="Times New Roman" w:cs="Times New Roman"/>
          <w:sz w:val="20"/>
          <w:szCs w:val="20"/>
          <w:lang w:val="uk-UA"/>
        </w:rPr>
        <w:t xml:space="preserve">) </w:t>
      </w:r>
      <w:r w:rsidRPr="000B37EE">
        <w:rPr>
          <w:rFonts w:ascii="Times New Roman" w:hAnsi="Times New Roman" w:cs="Times New Roman"/>
          <w:sz w:val="24"/>
          <w:szCs w:val="28"/>
          <w:lang w:val="en-US"/>
        </w:rPr>
        <w:t>was ratably to RWT, which is confirmed by correlations</w:t>
      </w:r>
      <w:r w:rsidRPr="000B37EE">
        <w:rPr>
          <w:rFonts w:ascii="Times New Roman" w:eastAsia="Calibri" w:hAnsi="Times New Roman" w:cs="Times New Roman"/>
          <w:sz w:val="24"/>
          <w:szCs w:val="28"/>
          <w:lang w:val="en-US"/>
        </w:rPr>
        <w:t xml:space="preserve"> </w:t>
      </w:r>
      <w:r w:rsidRPr="000B37EE">
        <w:rPr>
          <w:rFonts w:ascii="Times New Roman" w:eastAsia="Calibri" w:hAnsi="Times New Roman" w:cs="Times New Roman"/>
          <w:sz w:val="20"/>
          <w:szCs w:val="20"/>
          <w:lang w:val="uk-UA"/>
        </w:rPr>
        <w:t>(</w:t>
      </w:r>
      <w:r w:rsidRPr="000B37EE">
        <w:rPr>
          <w:rStyle w:val="FontStyle45"/>
          <w:sz w:val="20"/>
          <w:szCs w:val="20"/>
          <w:lang w:val="en-US" w:eastAsia="uk-UA"/>
        </w:rPr>
        <w:t>VEGF</w:t>
      </w:r>
      <w:r w:rsidRPr="000B37EE">
        <w:rPr>
          <w:rStyle w:val="FontStyle45"/>
          <w:sz w:val="20"/>
          <w:szCs w:val="20"/>
          <w:lang w:val="uk-UA" w:eastAsia="uk-UA"/>
        </w:rPr>
        <w:t xml:space="preserve"> - </w:t>
      </w:r>
      <w:r w:rsidRPr="000B37EE">
        <w:rPr>
          <w:rStyle w:val="FontStyle45"/>
          <w:sz w:val="20"/>
          <w:szCs w:val="20"/>
          <w:lang w:val="en-US" w:eastAsia="uk-UA"/>
        </w:rPr>
        <w:t>RWT</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=0,54), </w:t>
      </w:r>
      <w:r w:rsidRPr="000B37EE">
        <w:rPr>
          <w:rStyle w:val="FontStyle45"/>
          <w:sz w:val="20"/>
          <w:szCs w:val="20"/>
          <w:lang w:val="en-US" w:eastAsia="uk-UA"/>
        </w:rPr>
        <w:t>RIVT</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=0,52), </w:t>
      </w:r>
      <w:r w:rsidRPr="000B37EE">
        <w:rPr>
          <w:rStyle w:val="FontStyle45"/>
          <w:sz w:val="20"/>
          <w:szCs w:val="20"/>
          <w:lang w:val="en-US" w:eastAsia="uk-UA"/>
        </w:rPr>
        <w:t>PWRWT</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=0,56), </w:t>
      </w:r>
      <w:proofErr w:type="spellStart"/>
      <w:r w:rsidRPr="000B37EE">
        <w:rPr>
          <w:rStyle w:val="FontStyle45"/>
          <w:sz w:val="20"/>
          <w:szCs w:val="20"/>
          <w:lang w:val="en-US" w:eastAsia="uk-UA"/>
        </w:rPr>
        <w:t>apelin</w:t>
      </w:r>
      <w:proofErr w:type="spellEnd"/>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=0,85</w:t>
      </w:r>
      <w:r w:rsidRPr="000B37EE">
        <w:rPr>
          <w:rFonts w:ascii="Times New Roman" w:eastAsia="Calibri" w:hAnsi="Times New Roman" w:cs="Times New Roman"/>
          <w:sz w:val="20"/>
          <w:szCs w:val="20"/>
          <w:lang w:val="uk-UA"/>
        </w:rPr>
        <w:t xml:space="preserve">); </w:t>
      </w:r>
      <w:proofErr w:type="spellStart"/>
      <w:r w:rsidRPr="000B37EE">
        <w:rPr>
          <w:rFonts w:ascii="Times New Roman" w:eastAsia="Calibri" w:hAnsi="Times New Roman" w:cs="Times New Roman"/>
          <w:sz w:val="20"/>
          <w:szCs w:val="20"/>
          <w:lang w:val="en-US"/>
        </w:rPr>
        <w:t>apelin</w:t>
      </w:r>
      <w:proofErr w:type="spellEnd"/>
      <w:r w:rsidRPr="000B37EE">
        <w:rPr>
          <w:rFonts w:ascii="Times New Roman" w:eastAsia="Calibri" w:hAnsi="Times New Roman" w:cs="Times New Roman"/>
          <w:sz w:val="20"/>
          <w:szCs w:val="20"/>
          <w:lang w:val="en-US"/>
        </w:rPr>
        <w:t xml:space="preserve"> </w:t>
      </w:r>
      <w:r w:rsidRPr="000B37EE">
        <w:rPr>
          <w:rStyle w:val="FontStyle45"/>
          <w:sz w:val="20"/>
          <w:szCs w:val="20"/>
          <w:lang w:val="uk-UA" w:eastAsia="uk-UA"/>
        </w:rPr>
        <w:t xml:space="preserve">– </w:t>
      </w:r>
      <w:r w:rsidR="000B37EE">
        <w:rPr>
          <w:rStyle w:val="FontStyle45"/>
          <w:sz w:val="20"/>
          <w:szCs w:val="20"/>
          <w:lang w:val="en-US" w:eastAsia="uk-UA"/>
        </w:rPr>
        <w:t xml:space="preserve">LT </w:t>
      </w:r>
      <w:r w:rsidRPr="000B37EE">
        <w:rPr>
          <w:rFonts w:ascii="Times New Roman" w:hAnsi="Times New Roman" w:cs="Times New Roman"/>
          <w:lang w:val="en-US"/>
        </w:rPr>
        <w:t>end diastolic volume</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=-0,48), </w:t>
      </w:r>
      <w:r w:rsidR="000B37EE">
        <w:rPr>
          <w:rStyle w:val="FontStyle45"/>
          <w:sz w:val="20"/>
          <w:szCs w:val="20"/>
          <w:lang w:val="en-US" w:eastAsia="uk-UA"/>
        </w:rPr>
        <w:t xml:space="preserve">LV </w:t>
      </w:r>
      <w:r w:rsidRPr="000B37EE">
        <w:rPr>
          <w:rFonts w:ascii="Times New Roman" w:hAnsi="Times New Roman" w:cs="Times New Roman"/>
          <w:lang w:val="en-US"/>
        </w:rPr>
        <w:t>end diastolic size</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=-0,41), </w:t>
      </w:r>
      <w:r w:rsidR="000B37EE">
        <w:rPr>
          <w:rStyle w:val="FontStyle45"/>
          <w:sz w:val="20"/>
          <w:szCs w:val="20"/>
          <w:lang w:val="en-US" w:eastAsia="uk-UA"/>
        </w:rPr>
        <w:t xml:space="preserve">LV </w:t>
      </w:r>
      <w:r w:rsidRPr="000B37EE">
        <w:rPr>
          <w:rFonts w:ascii="Times New Roman" w:hAnsi="Times New Roman" w:cs="Times New Roman"/>
          <w:lang w:val="en-US"/>
        </w:rPr>
        <w:t>end systolic volume</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=-0,41), </w:t>
      </w:r>
      <w:r w:rsidRPr="000B37EE">
        <w:rPr>
          <w:rStyle w:val="FontStyle45"/>
          <w:sz w:val="20"/>
          <w:szCs w:val="20"/>
          <w:lang w:val="en-US" w:eastAsia="uk-UA"/>
        </w:rPr>
        <w:t>RWT</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=0,62), </w:t>
      </w:r>
      <w:r w:rsidRPr="000B37EE">
        <w:rPr>
          <w:rStyle w:val="FontStyle45"/>
          <w:sz w:val="20"/>
          <w:szCs w:val="20"/>
          <w:lang w:val="en-US" w:eastAsia="uk-UA"/>
        </w:rPr>
        <w:t>RIVT</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 xml:space="preserve">=0,2), </w:t>
      </w:r>
      <w:r w:rsidRPr="000B37EE">
        <w:rPr>
          <w:rStyle w:val="FontStyle45"/>
          <w:sz w:val="20"/>
          <w:szCs w:val="20"/>
          <w:lang w:val="en-US" w:eastAsia="uk-UA"/>
        </w:rPr>
        <w:t>PWRWT</w:t>
      </w:r>
      <w:r w:rsidRPr="000B37EE">
        <w:rPr>
          <w:rStyle w:val="FontStyle45"/>
          <w:sz w:val="20"/>
          <w:szCs w:val="20"/>
          <w:lang w:val="uk-UA" w:eastAsia="uk-UA"/>
        </w:rPr>
        <w:t xml:space="preserve"> (</w:t>
      </w:r>
      <w:r w:rsidRPr="000B37EE">
        <w:rPr>
          <w:rStyle w:val="FontStyle45"/>
          <w:sz w:val="20"/>
          <w:szCs w:val="20"/>
          <w:lang w:val="en-US" w:eastAsia="uk-UA"/>
        </w:rPr>
        <w:t>r</w:t>
      </w:r>
      <w:r w:rsidRPr="000B37EE">
        <w:rPr>
          <w:rStyle w:val="FontStyle45"/>
          <w:sz w:val="20"/>
          <w:szCs w:val="20"/>
          <w:lang w:val="uk-UA" w:eastAsia="uk-UA"/>
        </w:rPr>
        <w:t>=0,60))</w:t>
      </w:r>
      <w:r w:rsidRPr="000B37EE">
        <w:rPr>
          <w:rFonts w:ascii="Times New Roman" w:eastAsia="Calibri" w:hAnsi="Times New Roman" w:cs="Times New Roman"/>
          <w:sz w:val="20"/>
          <w:szCs w:val="20"/>
          <w:lang w:val="uk-UA"/>
        </w:rPr>
        <w:t xml:space="preserve">. </w:t>
      </w:r>
    </w:p>
    <w:p w:rsidR="002E7819" w:rsidRPr="000B37EE" w:rsidRDefault="002E7819" w:rsidP="002E7819">
      <w:pPr>
        <w:tabs>
          <w:tab w:val="left" w:pos="1843"/>
        </w:tabs>
        <w:spacing w:after="0" w:line="360" w:lineRule="auto"/>
        <w:ind w:firstLine="709"/>
        <w:jc w:val="both"/>
        <w:rPr>
          <w:rFonts w:ascii="Times New Roman" w:hAnsi="Times New Roman" w:cs="Times New Roman"/>
          <w:sz w:val="24"/>
          <w:szCs w:val="28"/>
          <w:lang w:val="en-US"/>
        </w:rPr>
      </w:pPr>
      <w:bookmarkStart w:id="0" w:name="_GoBack"/>
      <w:r w:rsidRPr="000B37EE">
        <w:rPr>
          <w:rFonts w:ascii="Times New Roman" w:hAnsi="Times New Roman" w:cs="Times New Roman"/>
          <w:b/>
          <w:sz w:val="24"/>
          <w:szCs w:val="28"/>
          <w:lang w:val="en-US"/>
        </w:rPr>
        <w:t>Conclusions.</w:t>
      </w:r>
      <w:r w:rsidRPr="000B37EE">
        <w:rPr>
          <w:rFonts w:ascii="Times New Roman" w:hAnsi="Times New Roman" w:cs="Times New Roman"/>
          <w:sz w:val="24"/>
          <w:szCs w:val="28"/>
          <w:lang w:val="en-US"/>
        </w:rPr>
        <w:t xml:space="preserve"> Endothelial dysfunction was revealed in </w:t>
      </w:r>
      <w:r w:rsidRPr="000B37EE">
        <w:rPr>
          <w:rFonts w:ascii="Times New Roman" w:eastAsia="Calibri" w:hAnsi="Times New Roman" w:cs="Times New Roman"/>
          <w:lang w:val="en-US"/>
        </w:rPr>
        <w:t xml:space="preserve">89% of patients with EH, that was characterized by </w:t>
      </w:r>
      <w:proofErr w:type="spellStart"/>
      <w:r w:rsidRPr="000B37EE">
        <w:rPr>
          <w:rFonts w:ascii="Times New Roman" w:hAnsi="Times New Roman" w:cs="Times New Roman"/>
          <w:sz w:val="24"/>
          <w:szCs w:val="28"/>
          <w:lang w:val="en-US"/>
        </w:rPr>
        <w:t>dysbalance</w:t>
      </w:r>
      <w:proofErr w:type="spellEnd"/>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of</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nitric</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oxide</w:t>
      </w:r>
      <w:r w:rsidRPr="000B37EE">
        <w:rPr>
          <w:rFonts w:ascii="Times New Roman" w:hAnsi="Times New Roman" w:cs="Times New Roman"/>
          <w:sz w:val="24"/>
          <w:szCs w:val="28"/>
          <w:lang w:val="uk-UA"/>
        </w:rPr>
        <w:t xml:space="preserve"> </w:t>
      </w:r>
      <w:r w:rsidRPr="000B37EE">
        <w:rPr>
          <w:rFonts w:ascii="Times New Roman" w:hAnsi="Times New Roman" w:cs="Times New Roman"/>
          <w:sz w:val="24"/>
          <w:szCs w:val="28"/>
          <w:lang w:val="en-US"/>
        </w:rPr>
        <w:t>pool</w:t>
      </w:r>
      <w:r w:rsidRPr="000B37EE">
        <w:rPr>
          <w:rFonts w:ascii="Times New Roman" w:eastAsia="Calibri" w:hAnsi="Times New Roman" w:cs="Times New Roman"/>
          <w:lang w:val="en-US"/>
        </w:rPr>
        <w:t xml:space="preserve">. Increasing of </w:t>
      </w:r>
      <w:proofErr w:type="spellStart"/>
      <w:r w:rsidRPr="000B37EE">
        <w:rPr>
          <w:rFonts w:ascii="Times New Roman" w:eastAsia="Calibri" w:hAnsi="Times New Roman" w:cs="Times New Roman"/>
          <w:lang w:val="en-US"/>
        </w:rPr>
        <w:t>apelin</w:t>
      </w:r>
      <w:proofErr w:type="spellEnd"/>
      <w:r w:rsidRPr="000B37EE">
        <w:rPr>
          <w:rFonts w:ascii="Times New Roman" w:eastAsia="Calibri" w:hAnsi="Times New Roman" w:cs="Times New Roman"/>
          <w:lang w:val="en-US"/>
        </w:rPr>
        <w:t xml:space="preserve"> and vascular endothelial growth factor was ratably to increasing of RWT, </w:t>
      </w:r>
      <w:r w:rsidRPr="000B37EE">
        <w:rPr>
          <w:rFonts w:ascii="Times New Roman" w:hAnsi="Times New Roman" w:cs="Times New Roman"/>
          <w:sz w:val="24"/>
          <w:szCs w:val="28"/>
          <w:lang w:val="en-US"/>
        </w:rPr>
        <w:t>which is confirmed by correlations</w:t>
      </w:r>
      <w:r w:rsidRPr="000B37EE">
        <w:rPr>
          <w:rFonts w:ascii="Times New Roman" w:eastAsia="Calibri" w:hAnsi="Times New Roman" w:cs="Times New Roman"/>
          <w:lang w:val="en-US"/>
        </w:rPr>
        <w:t>.</w:t>
      </w:r>
      <w:r w:rsidRPr="000B37EE">
        <w:rPr>
          <w:rFonts w:ascii="Times New Roman" w:eastAsia="Calibri" w:hAnsi="Times New Roman" w:cs="Times New Roman"/>
          <w:lang w:val="uk-UA"/>
        </w:rPr>
        <w:t xml:space="preserve"> </w:t>
      </w:r>
      <w:r w:rsidRPr="000B37EE">
        <w:rPr>
          <w:rFonts w:ascii="Times New Roman" w:hAnsi="Times New Roman" w:cs="Times New Roman"/>
          <w:sz w:val="24"/>
          <w:szCs w:val="28"/>
          <w:lang w:val="en-US"/>
        </w:rPr>
        <w:t xml:space="preserve">The presence of a positive significant association of </w:t>
      </w:r>
      <w:proofErr w:type="spellStart"/>
      <w:r w:rsidRPr="000B37EE">
        <w:rPr>
          <w:rFonts w:ascii="Times New Roman" w:hAnsi="Times New Roman" w:cs="Times New Roman"/>
          <w:sz w:val="24"/>
          <w:szCs w:val="28"/>
          <w:lang w:val="en-US"/>
        </w:rPr>
        <w:t>apelin</w:t>
      </w:r>
      <w:proofErr w:type="spellEnd"/>
      <w:r w:rsidRPr="000B37EE">
        <w:rPr>
          <w:rFonts w:ascii="Times New Roman" w:hAnsi="Times New Roman" w:cs="Times New Roman"/>
          <w:sz w:val="24"/>
          <w:szCs w:val="28"/>
          <w:lang w:val="en-US"/>
        </w:rPr>
        <w:t xml:space="preserve"> with vascular endothelial growth factor, LV wall thickness parameters indicatives the involvement of these peptides in the process of cardiac remodeling in hypertensive patients.</w:t>
      </w:r>
      <w:bookmarkEnd w:id="0"/>
    </w:p>
    <w:sectPr w:rsidR="002E7819" w:rsidRPr="000B37EE" w:rsidSect="003911B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2E7819"/>
    <w:rsid w:val="000B37EE"/>
    <w:rsid w:val="002800C3"/>
    <w:rsid w:val="002E7819"/>
    <w:rsid w:val="003911B4"/>
    <w:rsid w:val="0039749F"/>
    <w:rsid w:val="006B56F3"/>
    <w:rsid w:val="006D0F31"/>
    <w:rsid w:val="00BE07A6"/>
    <w:rsid w:val="00ED163A"/>
    <w:rsid w:val="00FA51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C5AF8B-C663-4812-984C-4D84CA613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781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45">
    <w:name w:val="Font Style45"/>
    <w:rsid w:val="002E7819"/>
    <w:rPr>
      <w:rFonts w:ascii="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1</Pages>
  <Words>1434</Words>
  <Characters>818</Characters>
  <Application>Microsoft Office Word</Application>
  <DocSecurity>0</DocSecurity>
  <Lines>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Анна Демиденко</cp:lastModifiedBy>
  <cp:revision>3</cp:revision>
  <dcterms:created xsi:type="dcterms:W3CDTF">2014-12-23T09:01:00Z</dcterms:created>
  <dcterms:modified xsi:type="dcterms:W3CDTF">2015-01-20T07:39:00Z</dcterms:modified>
</cp:coreProperties>
</file>