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5073" w:rsidRPr="00BE5073" w:rsidRDefault="00BE5073" w:rsidP="00BE5073">
      <w:pPr>
        <w:pStyle w:val="Default"/>
        <w:rPr>
          <w:lang w:val="en-US"/>
        </w:rPr>
      </w:pPr>
      <w:r w:rsidRPr="00BE5073">
        <w:rPr>
          <w:b/>
          <w:bCs/>
          <w:lang w:val="en-US"/>
        </w:rPr>
        <w:t>ESTIMATION OF MORTALITY PROGNOSIS IN PATIENTS WITH ACUTE MYOCARDIAL INFARCTION AND TYPE 2 DIABETES MELLITUS TAKING INTO ACCOUNT INTERCELLULAR MATRIX PARAMETERS</w:t>
      </w:r>
    </w:p>
    <w:p w:rsidR="00BE5073" w:rsidRPr="00BE5073" w:rsidRDefault="00BE5073" w:rsidP="00BE5073">
      <w:pPr>
        <w:pStyle w:val="Default"/>
        <w:rPr>
          <w:lang w:val="en-US"/>
        </w:rPr>
      </w:pPr>
      <w:r w:rsidRPr="00BE5073">
        <w:rPr>
          <w:b/>
          <w:bCs/>
          <w:i/>
          <w:iCs/>
          <w:lang w:val="en-US"/>
        </w:rPr>
        <w:t>C. Med. Sc. Koteliukh M. Yu.,</w:t>
      </w:r>
    </w:p>
    <w:p w:rsidR="00BE5073" w:rsidRPr="00BE5073" w:rsidRDefault="00BE5073" w:rsidP="00BE5073">
      <w:pPr>
        <w:pStyle w:val="Default"/>
        <w:rPr>
          <w:lang w:val="en-US"/>
        </w:rPr>
      </w:pPr>
      <w:r w:rsidRPr="00BE5073">
        <w:rPr>
          <w:b/>
          <w:bCs/>
          <w:i/>
          <w:iCs/>
          <w:lang w:val="en-US"/>
        </w:rPr>
        <w:t>D. Med. Sc. Kravchun P. G.,</w:t>
      </w:r>
    </w:p>
    <w:p w:rsidR="00BE5073" w:rsidRPr="00BE5073" w:rsidRDefault="00BE5073" w:rsidP="00BE5073">
      <w:pPr>
        <w:pStyle w:val="Default"/>
        <w:rPr>
          <w:lang w:val="en-US"/>
        </w:rPr>
      </w:pPr>
      <w:r w:rsidRPr="00BE5073">
        <w:rPr>
          <w:b/>
          <w:bCs/>
          <w:i/>
          <w:iCs/>
          <w:lang w:val="en-US"/>
        </w:rPr>
        <w:t>C. Med. Sc. Borzova O. Yu.,</w:t>
      </w:r>
    </w:p>
    <w:p w:rsidR="00BE5073" w:rsidRPr="00BE5073" w:rsidRDefault="00BE5073" w:rsidP="00BE5073">
      <w:pPr>
        <w:pStyle w:val="Default"/>
        <w:rPr>
          <w:lang w:val="en-US"/>
        </w:rPr>
      </w:pPr>
      <w:r w:rsidRPr="00BE5073">
        <w:rPr>
          <w:b/>
          <w:bCs/>
          <w:i/>
          <w:iCs/>
          <w:lang w:val="en-US"/>
        </w:rPr>
        <w:t>C. Med. Sc. Rynchak P. I</w:t>
      </w:r>
      <w:proofErr w:type="gramStart"/>
      <w:r w:rsidRPr="00BE5073">
        <w:rPr>
          <w:b/>
          <w:bCs/>
          <w:i/>
          <w:iCs/>
          <w:lang w:val="en-US"/>
        </w:rPr>
        <w:t>.,</w:t>
      </w:r>
      <w:proofErr w:type="gramEnd"/>
    </w:p>
    <w:p w:rsidR="00BE5073" w:rsidRPr="00BE5073" w:rsidRDefault="00BE5073" w:rsidP="00BE5073">
      <w:pPr>
        <w:pStyle w:val="Default"/>
        <w:rPr>
          <w:lang w:val="en-US"/>
        </w:rPr>
      </w:pPr>
      <w:r w:rsidRPr="00BE5073">
        <w:rPr>
          <w:b/>
          <w:bCs/>
          <w:i/>
          <w:iCs/>
          <w:lang w:val="en-US"/>
        </w:rPr>
        <w:t>M. Res. Zhuravleva M. I.</w:t>
      </w:r>
    </w:p>
    <w:p w:rsidR="00BE5073" w:rsidRPr="00BE5073" w:rsidRDefault="00BE5073" w:rsidP="00BE5073">
      <w:pPr>
        <w:pStyle w:val="Default"/>
        <w:rPr>
          <w:lang w:val="en-US"/>
        </w:rPr>
      </w:pPr>
      <w:r w:rsidRPr="00BE5073">
        <w:rPr>
          <w:b/>
          <w:bCs/>
          <w:i/>
          <w:iCs/>
          <w:lang w:val="en-US"/>
        </w:rPr>
        <w:t>Ukraine, Kharkiv, Kharkiv National Medical University,</w:t>
      </w:r>
    </w:p>
    <w:p w:rsidR="00BE5073" w:rsidRPr="00BE5073" w:rsidRDefault="00BE5073" w:rsidP="00BE5073">
      <w:pPr>
        <w:pStyle w:val="Default"/>
        <w:rPr>
          <w:lang w:val="en-US"/>
        </w:rPr>
      </w:pPr>
      <w:r w:rsidRPr="00BE5073">
        <w:rPr>
          <w:b/>
          <w:bCs/>
          <w:i/>
          <w:iCs/>
          <w:lang w:val="en-US"/>
        </w:rPr>
        <w:t>Department of internal medicine № 2, clinical immunology and allergology</w:t>
      </w:r>
    </w:p>
    <w:p w:rsidR="00BE5073" w:rsidRPr="00BE5073" w:rsidRDefault="00BE5073" w:rsidP="00BE5073">
      <w:pPr>
        <w:pStyle w:val="Default"/>
        <w:rPr>
          <w:lang w:val="en-US"/>
        </w:rPr>
      </w:pPr>
      <w:r w:rsidRPr="00BE5073">
        <w:rPr>
          <w:b/>
          <w:bCs/>
          <w:i/>
          <w:iCs/>
          <w:lang w:val="en-US"/>
        </w:rPr>
        <w:t xml:space="preserve">Abstract. </w:t>
      </w:r>
      <w:r w:rsidRPr="00BE5073">
        <w:rPr>
          <w:i/>
          <w:iCs/>
          <w:lang w:val="en-US"/>
        </w:rPr>
        <w:t xml:space="preserve">Ischemic heart disease ranks first among cardiovascular disorders and is one of the main causes of disability and mortality worldwide. The development and course of acute myocardial infarction </w:t>
      </w:r>
      <w:proofErr w:type="gramStart"/>
      <w:r w:rsidRPr="00BE5073">
        <w:rPr>
          <w:i/>
          <w:iCs/>
          <w:lang w:val="en-US"/>
        </w:rPr>
        <w:t>is known to be accompanied</w:t>
      </w:r>
      <w:proofErr w:type="gramEnd"/>
      <w:r w:rsidRPr="00BE5073">
        <w:rPr>
          <w:i/>
          <w:iCs/>
          <w:lang w:val="en-US"/>
        </w:rPr>
        <w:t xml:space="preserve"> by changes in extracellular matrix. Today the impact of hyperglycemia on intercellular matrix system in patients with acute myocardial infarction and type 2 </w:t>
      </w:r>
      <w:proofErr w:type="gramStart"/>
      <w:r w:rsidRPr="00BE5073">
        <w:rPr>
          <w:i/>
          <w:iCs/>
          <w:lang w:val="en-US"/>
        </w:rPr>
        <w:t>diabetes still</w:t>
      </w:r>
      <w:proofErr w:type="gramEnd"/>
      <w:r w:rsidRPr="00BE5073">
        <w:rPr>
          <w:i/>
          <w:iCs/>
          <w:lang w:val="en-US"/>
        </w:rPr>
        <w:t xml:space="preserve"> remains disputable.</w:t>
      </w:r>
    </w:p>
    <w:p w:rsidR="00BE5073" w:rsidRPr="00BE5073" w:rsidRDefault="00BE5073" w:rsidP="00BE5073">
      <w:pPr>
        <w:pStyle w:val="Default"/>
        <w:rPr>
          <w:lang w:val="en-US"/>
        </w:rPr>
      </w:pPr>
      <w:r w:rsidRPr="00BE5073">
        <w:rPr>
          <w:i/>
          <w:iCs/>
          <w:lang w:val="en-US"/>
        </w:rPr>
        <w:t>The study demonstrated a statistically significant increase in matrix metalloproteinase-13 in an insufficient increase in the level of tissue inhibitor of metalloproteinase-4 in patients with acute myocardial infarction and type 2 diabetes, indicating an imbalance in intercellular matrix system. The authors defined prognostic characteristics regarding matrix metalloproteinase-13 and tissue inhibitor of metalloproteinase-4 in patients with acute myocardial infarction and type 2 diabetes as for mortality of these patients.</w:t>
      </w:r>
    </w:p>
    <w:p w:rsidR="00BE5073" w:rsidRPr="00BE5073" w:rsidRDefault="00BE5073" w:rsidP="00BE5073">
      <w:pPr>
        <w:pStyle w:val="Default"/>
        <w:rPr>
          <w:lang w:val="en-US"/>
        </w:rPr>
      </w:pPr>
      <w:r w:rsidRPr="00BE5073">
        <w:rPr>
          <w:b/>
          <w:bCs/>
          <w:i/>
          <w:iCs/>
          <w:lang w:val="en-US"/>
        </w:rPr>
        <w:t xml:space="preserve">Keywords: </w:t>
      </w:r>
      <w:r w:rsidRPr="00BE5073">
        <w:rPr>
          <w:i/>
          <w:iCs/>
          <w:lang w:val="en-US"/>
        </w:rPr>
        <w:t>acute myocardial infarction, matrix metalloproteinase-13, extracellular matrix, tissue inhibitor of metalloproteinase-4, type 2 diabetes mellitus.</w:t>
      </w:r>
    </w:p>
    <w:p w:rsidR="00BE5073" w:rsidRPr="00BE5073" w:rsidRDefault="00BE5073" w:rsidP="00BE5073">
      <w:pPr>
        <w:pStyle w:val="Default"/>
        <w:rPr>
          <w:lang w:val="en-US"/>
        </w:rPr>
      </w:pPr>
      <w:r w:rsidRPr="00BE5073">
        <w:rPr>
          <w:b/>
          <w:bCs/>
          <w:lang w:val="en-US"/>
        </w:rPr>
        <w:t xml:space="preserve">Introduction. </w:t>
      </w:r>
      <w:r w:rsidRPr="00BE5073">
        <w:rPr>
          <w:lang w:val="en-US"/>
        </w:rPr>
        <w:t>Ischemic heart disease (IHD) is the leading cause of death in the world and Ukraine [3; 7]. The course and prognosis of IHD depends on the presence of comorbid pathology. Type 2 diabetes mellitus (DM) is a significant factor causing an adverse course of ICHD [2; 6].</w:t>
      </w:r>
    </w:p>
    <w:p w:rsidR="00BE5073" w:rsidRPr="00BE5073" w:rsidRDefault="00BE5073" w:rsidP="00BE5073">
      <w:pPr>
        <w:pStyle w:val="Default"/>
        <w:rPr>
          <w:lang w:val="en-US"/>
        </w:rPr>
      </w:pPr>
      <w:r w:rsidRPr="00BE5073">
        <w:rPr>
          <w:lang w:val="en-US"/>
        </w:rPr>
        <w:t xml:space="preserve">Matrix metalloproteinases </w:t>
      </w:r>
      <w:proofErr w:type="gramStart"/>
      <w:r w:rsidRPr="00BE5073">
        <w:rPr>
          <w:lang w:val="en-US"/>
        </w:rPr>
        <w:t>have recently been shown</w:t>
      </w:r>
      <w:proofErr w:type="gramEnd"/>
      <w:r w:rsidRPr="00BE5073">
        <w:rPr>
          <w:lang w:val="en-US"/>
        </w:rPr>
        <w:t xml:space="preserve"> [10] to play an important role in the development of atherosclerosis and vascular wall reconstruction. Studies [8] revealed that increased glucose concentrations </w:t>
      </w:r>
      <w:proofErr w:type="gramStart"/>
      <w:r w:rsidRPr="00BE5073">
        <w:rPr>
          <w:lang w:val="en-US"/>
        </w:rPr>
        <w:t>may</w:t>
      </w:r>
      <w:proofErr w:type="gramEnd"/>
      <w:r w:rsidRPr="00BE5073">
        <w:rPr>
          <w:lang w:val="en-US"/>
        </w:rPr>
        <w:t xml:space="preserve"> cause dysfunction of several intracellular signaling cascades as well as generation of active forms of oxygen, and lead to accumulation of end products of glycation. However, the main mechanisms between hyperglycemia and vascular diseases remain unclear.</w:t>
      </w:r>
    </w:p>
    <w:p w:rsidR="00BE5073" w:rsidRPr="00BE5073" w:rsidRDefault="00BE5073" w:rsidP="00BE5073">
      <w:pPr>
        <w:pStyle w:val="Default"/>
        <w:rPr>
          <w:lang w:val="en-US"/>
        </w:rPr>
      </w:pPr>
      <w:r w:rsidRPr="00BE5073">
        <w:rPr>
          <w:lang w:val="en-US"/>
        </w:rPr>
        <w:t>Matrix metalloproteinases (MMPs) are members of Zn 2+ and Ca 2+ -dependent endopeptidases family, which are important for cellular migration and tissue remodeling in pathological conditions and acute myocardial infarction (AMI) in particular [6]. An increase in MMPs degradation in an atherosclerotic plaque may be one of the key factors leading to instability of the plaque and development of cardiovascular events [10].</w:t>
      </w:r>
    </w:p>
    <w:p w:rsidR="00BE5073" w:rsidRPr="00BE5073" w:rsidRDefault="00BE5073" w:rsidP="00BE5073">
      <w:pPr>
        <w:pStyle w:val="Default"/>
        <w:rPr>
          <w:lang w:val="en-US"/>
        </w:rPr>
      </w:pPr>
      <w:r w:rsidRPr="00BE5073">
        <w:rPr>
          <w:lang w:val="en-US"/>
        </w:rPr>
        <w:t>Studies conducted by Sudip Das, Arunkumar Maiti et al. [9] showed that the activity of matrix metalloproteinase-9 and matrix metalloproteinase-2 increased in blood plasma in patients with type 2 DM. According to scientists, hyperglycemia, directly or indirectly (for example, by oxidative stress or end products of glycation) can result in MMPs expression in large vessels. Despite these data, the role of MMPs in the development of type 2 DM remains unexplored.</w:t>
      </w:r>
    </w:p>
    <w:p w:rsidR="00BE5073" w:rsidRPr="00BE5073" w:rsidRDefault="00BE5073" w:rsidP="00BE5073">
      <w:pPr>
        <w:pStyle w:val="Default"/>
        <w:rPr>
          <w:lang w:val="en-US"/>
        </w:rPr>
      </w:pPr>
      <w:r w:rsidRPr="00BE5073">
        <w:rPr>
          <w:i/>
          <w:iCs/>
          <w:lang w:val="en-US"/>
        </w:rPr>
        <w:t xml:space="preserve">The purpose of the study </w:t>
      </w:r>
      <w:r w:rsidRPr="00BE5073">
        <w:rPr>
          <w:lang w:val="en-US"/>
        </w:rPr>
        <w:t>is to construct a model for predicting cardiovascular death in patients with acute myocardial infarction and type 2 DM, taking into account matrix metalloproteinase-13 and tissue inhibitor of metalloproteinase-4 by determining their prognostic value.</w:t>
      </w:r>
    </w:p>
    <w:p w:rsidR="00BE5073" w:rsidRPr="00BE5073" w:rsidRDefault="00BE5073" w:rsidP="00BE5073">
      <w:pPr>
        <w:pStyle w:val="Default"/>
        <w:rPr>
          <w:lang w:val="en-US"/>
        </w:rPr>
      </w:pPr>
      <w:r w:rsidRPr="00BE5073">
        <w:rPr>
          <w:b/>
          <w:bCs/>
          <w:lang w:val="en-US"/>
        </w:rPr>
        <w:t xml:space="preserve">Material and methods. </w:t>
      </w:r>
      <w:proofErr w:type="gramStart"/>
      <w:r w:rsidRPr="00BE5073">
        <w:rPr>
          <w:lang w:val="en-US"/>
        </w:rPr>
        <w:t>The study involved examination of 120 patients including 46 women (42.6 %) and 74 men (57.4 %) who underwent in-patient treatment in the myocardial infarction unit of Kharkiv City Clinical Hospital No. 27 (clinical center of the Department of Internal Medicine No. 2, Clinical Immunology and Allergology of Kharkiv National Medical University of the Ministry of Health of Ukraine) and in the first cardiology department of the Central Clinical Hospital “Ukrzaliznytsia”.</w:t>
      </w:r>
      <w:proofErr w:type="gramEnd"/>
      <w:r w:rsidRPr="00BE5073">
        <w:rPr>
          <w:lang w:val="en-US"/>
        </w:rPr>
        <w:t xml:space="preserve"> All patients were divided into groups: the main group </w:t>
      </w:r>
      <w:r w:rsidRPr="00BE5073">
        <w:rPr>
          <w:lang w:val="en-US"/>
        </w:rPr>
        <w:lastRenderedPageBreak/>
        <w:t xml:space="preserve">comprised 60 patients with AMI and concomitant type 2 diabetes mellitus (31 men and 29 women aged 45-88 years); comparison </w:t>
      </w:r>
      <w:r w:rsidRPr="00BE5073">
        <w:rPr>
          <w:b/>
          <w:bCs/>
          <w:i/>
          <w:iCs/>
          <w:lang w:val="en-US"/>
        </w:rPr>
        <w:t>Science Review</w:t>
      </w:r>
    </w:p>
    <w:p w:rsidR="00BE5073" w:rsidRPr="00BE5073" w:rsidRDefault="00BE5073" w:rsidP="00BE5073">
      <w:pPr>
        <w:pStyle w:val="Default"/>
        <w:rPr>
          <w:color w:val="auto"/>
          <w:lang w:val="en-US"/>
        </w:rPr>
      </w:pPr>
      <w:r w:rsidRPr="00BE5073">
        <w:rPr>
          <w:b/>
          <w:bCs/>
          <w:color w:val="auto"/>
          <w:lang w:val="en-US"/>
        </w:rPr>
        <w:t xml:space="preserve">46 </w:t>
      </w:r>
      <w:r w:rsidRPr="00BE5073">
        <w:rPr>
          <w:b/>
          <w:bCs/>
          <w:i/>
          <w:iCs/>
          <w:color w:val="auto"/>
          <w:lang w:val="en-US"/>
        </w:rPr>
        <w:t>1(8), Vol.3, January 2018 https://ws-conference.com/</w:t>
      </w:r>
    </w:p>
    <w:p w:rsidR="00BE5073" w:rsidRPr="00BE5073" w:rsidRDefault="00BE5073" w:rsidP="00BE5073">
      <w:pPr>
        <w:pStyle w:val="Default"/>
        <w:rPr>
          <w:color w:val="auto"/>
          <w:lang w:val="en-US"/>
        </w:rPr>
      </w:pPr>
    </w:p>
    <w:p w:rsidR="00BE5073" w:rsidRPr="00BE5073" w:rsidRDefault="00BE5073" w:rsidP="00BE5073">
      <w:pPr>
        <w:pStyle w:val="Default"/>
        <w:pageBreakBefore/>
        <w:rPr>
          <w:color w:val="auto"/>
          <w:lang w:val="en-US"/>
        </w:rPr>
      </w:pPr>
      <w:proofErr w:type="gramStart"/>
      <w:r w:rsidRPr="00BE5073">
        <w:rPr>
          <w:color w:val="auto"/>
          <w:lang w:val="en-US"/>
        </w:rPr>
        <w:lastRenderedPageBreak/>
        <w:t>group</w:t>
      </w:r>
      <w:proofErr w:type="gramEnd"/>
      <w:r w:rsidRPr="00BE5073">
        <w:rPr>
          <w:color w:val="auto"/>
          <w:lang w:val="en-US"/>
        </w:rPr>
        <w:t xml:space="preserve"> included 40 patients with AMI without type 2 DM (32 men and 8 women aged 45-75 years). Control group included 20 practically healthy individuals (11 men and 9 women aged 22-27 years).</w:t>
      </w:r>
    </w:p>
    <w:p w:rsidR="00BE5073" w:rsidRPr="00BE5073" w:rsidRDefault="00BE5073" w:rsidP="00BE5073">
      <w:pPr>
        <w:pStyle w:val="Default"/>
        <w:rPr>
          <w:color w:val="auto"/>
          <w:lang w:val="en-US"/>
        </w:rPr>
      </w:pPr>
      <w:proofErr w:type="gramStart"/>
      <w:r w:rsidRPr="00BE5073">
        <w:rPr>
          <w:color w:val="auto"/>
          <w:lang w:val="en-US"/>
        </w:rPr>
        <w:t>Acute myocardial infarction was diagnosed in accordance with the order of the Ministry of Health No. 455 as of 02.07.2014 “On approval and implementation of medical-technological documents on standardization of medical care for acute coronary syndrome with elevation of ST segment” [4]; Order of the Ministry of Health of Ukraine No. 436 as of 03.07.2006, “Protocol on the provision of medical care to patients with acute coronary syndrome without ST elevation” [5].</w:t>
      </w:r>
      <w:proofErr w:type="gramEnd"/>
    </w:p>
    <w:p w:rsidR="00BE5073" w:rsidRPr="00BE5073" w:rsidRDefault="00BE5073" w:rsidP="00BE5073">
      <w:pPr>
        <w:pStyle w:val="Default"/>
        <w:rPr>
          <w:color w:val="auto"/>
          <w:lang w:val="en-US"/>
        </w:rPr>
      </w:pPr>
      <w:r w:rsidRPr="00BE5073">
        <w:rPr>
          <w:color w:val="auto"/>
          <w:lang w:val="en-US"/>
        </w:rPr>
        <w:t xml:space="preserve">Duration of type 2 DM was from one to thirty years (average duration was 9.4 years). Type 2 DM </w:t>
      </w:r>
      <w:proofErr w:type="gramStart"/>
      <w:r w:rsidRPr="00BE5073">
        <w:rPr>
          <w:color w:val="auto"/>
          <w:lang w:val="en-US"/>
        </w:rPr>
        <w:t>was diagnosed</w:t>
      </w:r>
      <w:proofErr w:type="gramEnd"/>
      <w:r w:rsidRPr="00BE5073">
        <w:rPr>
          <w:color w:val="auto"/>
          <w:lang w:val="en-US"/>
        </w:rPr>
        <w:t xml:space="preserve"> according to the consistent recommendations of the American Diabetes Association (ADA) and the European Association for the Study of Diabetes (EASD) 2015.</w:t>
      </w:r>
    </w:p>
    <w:p w:rsidR="00BE5073" w:rsidRPr="00BE5073" w:rsidRDefault="00BE5073" w:rsidP="00BE5073">
      <w:pPr>
        <w:pStyle w:val="Default"/>
        <w:rPr>
          <w:color w:val="auto"/>
          <w:lang w:val="en-US"/>
        </w:rPr>
      </w:pPr>
      <w:r w:rsidRPr="00BE5073">
        <w:rPr>
          <w:color w:val="auto"/>
          <w:lang w:val="en-US"/>
        </w:rPr>
        <w:t>Exclusion criteria were as follows: rheumatic diseases, cancer, diffuse connective tissue diseases, pituitary and hypothalamic diseases, thyroid disease, and symptomatic hypertension.</w:t>
      </w:r>
    </w:p>
    <w:p w:rsidR="00BE5073" w:rsidRPr="00BE5073" w:rsidRDefault="00BE5073" w:rsidP="00BE5073">
      <w:pPr>
        <w:pStyle w:val="Default"/>
        <w:rPr>
          <w:color w:val="auto"/>
          <w:lang w:val="en-US"/>
        </w:rPr>
      </w:pPr>
      <w:r w:rsidRPr="00BE5073">
        <w:rPr>
          <w:color w:val="auto"/>
          <w:lang w:val="en-US"/>
        </w:rPr>
        <w:t xml:space="preserve">The content of matrix metalloproteinase-13 (MMP-13) </w:t>
      </w:r>
      <w:proofErr w:type="gramStart"/>
      <w:r w:rsidRPr="00BE5073">
        <w:rPr>
          <w:color w:val="auto"/>
          <w:lang w:val="en-US"/>
        </w:rPr>
        <w:t>was determined</w:t>
      </w:r>
      <w:proofErr w:type="gramEnd"/>
      <w:r w:rsidRPr="00BE5073">
        <w:rPr>
          <w:color w:val="auto"/>
          <w:lang w:val="en-US"/>
        </w:rPr>
        <w:t xml:space="preserve"> by the immunoassay method using a set of “Human MMP-13” reagents (RayBiotech, Norcross, USA). Tissue inhibitor of metalloproteinase-4 (TIMP-4) </w:t>
      </w:r>
      <w:proofErr w:type="gramStart"/>
      <w:r w:rsidRPr="00BE5073">
        <w:rPr>
          <w:color w:val="auto"/>
          <w:lang w:val="en-US"/>
        </w:rPr>
        <w:t>was assessed</w:t>
      </w:r>
      <w:proofErr w:type="gramEnd"/>
      <w:r w:rsidRPr="00BE5073">
        <w:rPr>
          <w:color w:val="auto"/>
          <w:lang w:val="en-US"/>
        </w:rPr>
        <w:t xml:space="preserve"> by immuno-enzyme method using a set of “Human TIMP- 4” reagents (R&amp;D Systems, Minneapolis, USA). The immunoassay studies </w:t>
      </w:r>
      <w:proofErr w:type="gramStart"/>
      <w:r w:rsidRPr="00BE5073">
        <w:rPr>
          <w:color w:val="auto"/>
          <w:lang w:val="en-US"/>
        </w:rPr>
        <w:t>were conducted</w:t>
      </w:r>
      <w:proofErr w:type="gramEnd"/>
      <w:r w:rsidRPr="00BE5073">
        <w:rPr>
          <w:color w:val="auto"/>
          <w:lang w:val="en-US"/>
        </w:rPr>
        <w:t xml:space="preserve"> in the Central Research Biochemical Laboratory at Kharkov National Medical University.</w:t>
      </w:r>
    </w:p>
    <w:p w:rsidR="00BE5073" w:rsidRPr="00BE5073" w:rsidRDefault="00BE5073" w:rsidP="00BE5073">
      <w:pPr>
        <w:pStyle w:val="Default"/>
        <w:rPr>
          <w:color w:val="auto"/>
          <w:lang w:val="en-US"/>
        </w:rPr>
      </w:pPr>
      <w:r w:rsidRPr="00BE5073">
        <w:rPr>
          <w:color w:val="auto"/>
          <w:lang w:val="en-US"/>
        </w:rPr>
        <w:t xml:space="preserve">The </w:t>
      </w:r>
      <w:proofErr w:type="gramStart"/>
      <w:r w:rsidRPr="00BE5073">
        <w:rPr>
          <w:color w:val="auto"/>
          <w:lang w:val="en-US"/>
        </w:rPr>
        <w:t>design of the research was approved by the Ethics Committee of Kharkiv National Medical University</w:t>
      </w:r>
      <w:proofErr w:type="gramEnd"/>
      <w:r w:rsidRPr="00BE5073">
        <w:rPr>
          <w:color w:val="auto"/>
          <w:lang w:val="en-US"/>
        </w:rPr>
        <w:t xml:space="preserve">. All the patients who </w:t>
      </w:r>
      <w:proofErr w:type="gramStart"/>
      <w:r w:rsidRPr="00BE5073">
        <w:rPr>
          <w:color w:val="auto"/>
          <w:lang w:val="en-US"/>
        </w:rPr>
        <w:t>were admitted</w:t>
      </w:r>
      <w:proofErr w:type="gramEnd"/>
      <w:r w:rsidRPr="00BE5073">
        <w:rPr>
          <w:color w:val="auto"/>
          <w:lang w:val="en-US"/>
        </w:rPr>
        <w:t xml:space="preserve"> to the study signed a voluntary informed consent to participate.</w:t>
      </w:r>
    </w:p>
    <w:p w:rsidR="00BE5073" w:rsidRPr="00BE5073" w:rsidRDefault="00BE5073" w:rsidP="00BE5073">
      <w:pPr>
        <w:pStyle w:val="Default"/>
        <w:rPr>
          <w:color w:val="auto"/>
          <w:lang w:val="en-US"/>
        </w:rPr>
      </w:pPr>
      <w:r w:rsidRPr="00BE5073">
        <w:rPr>
          <w:color w:val="auto"/>
          <w:lang w:val="en-US"/>
        </w:rPr>
        <w:t xml:space="preserve">Statistical computer processing of the results </w:t>
      </w:r>
      <w:proofErr w:type="gramStart"/>
      <w:r w:rsidRPr="00BE5073">
        <w:rPr>
          <w:color w:val="auto"/>
          <w:lang w:val="en-US"/>
        </w:rPr>
        <w:t>was carried</w:t>
      </w:r>
      <w:proofErr w:type="gramEnd"/>
      <w:r w:rsidRPr="00BE5073">
        <w:rPr>
          <w:color w:val="auto"/>
          <w:lang w:val="en-US"/>
        </w:rPr>
        <w:t xml:space="preserve"> out using Microsoft Office Excel and Statistica 6.0 software. Comparative analysis of samples involved calculation of the arithmetic mean and statistical error of the mean arithmetic (M ± m). Differences between groups in the distribution close to normal </w:t>
      </w:r>
      <w:proofErr w:type="gramStart"/>
      <w:r w:rsidRPr="00BE5073">
        <w:rPr>
          <w:color w:val="auto"/>
          <w:lang w:val="en-US"/>
        </w:rPr>
        <w:t>were estimated</w:t>
      </w:r>
      <w:proofErr w:type="gramEnd"/>
      <w:r w:rsidRPr="00BE5073">
        <w:rPr>
          <w:color w:val="auto"/>
          <w:lang w:val="en-US"/>
        </w:rPr>
        <w:t xml:space="preserve"> using the Student’s t-test. Differences at (p &lt;0.05) were considered statistically significant. Fisher's criterion </w:t>
      </w:r>
      <w:proofErr w:type="gramStart"/>
      <w:r w:rsidRPr="00BE5073">
        <w:rPr>
          <w:color w:val="auto"/>
          <w:lang w:val="en-US"/>
        </w:rPr>
        <w:t>was used</w:t>
      </w:r>
      <w:proofErr w:type="gramEnd"/>
      <w:r w:rsidRPr="00BE5073">
        <w:rPr>
          <w:color w:val="auto"/>
          <w:lang w:val="en-US"/>
        </w:rPr>
        <w:t xml:space="preserve"> in the analysis of the difference in frequencies in two independent samples.</w:t>
      </w:r>
    </w:p>
    <w:p w:rsidR="00BE5073" w:rsidRPr="00BE5073" w:rsidRDefault="00BE5073" w:rsidP="00BE5073">
      <w:pPr>
        <w:pStyle w:val="Default"/>
        <w:rPr>
          <w:color w:val="auto"/>
          <w:lang w:val="en-US"/>
        </w:rPr>
      </w:pPr>
      <w:r w:rsidRPr="00BE5073">
        <w:rPr>
          <w:color w:val="auto"/>
          <w:lang w:val="en-US"/>
        </w:rPr>
        <w:t xml:space="preserve">ROC curve (Receiver Operator Characteristic) [1] </w:t>
      </w:r>
      <w:proofErr w:type="gramStart"/>
      <w:r w:rsidRPr="00BE5073">
        <w:rPr>
          <w:color w:val="auto"/>
          <w:lang w:val="en-US"/>
        </w:rPr>
        <w:t>was used</w:t>
      </w:r>
      <w:proofErr w:type="gramEnd"/>
      <w:r w:rsidRPr="00BE5073">
        <w:rPr>
          <w:color w:val="auto"/>
          <w:lang w:val="en-US"/>
        </w:rPr>
        <w:t xml:space="preserve"> to evaluate the predictive properties. The purpose of the model was to predict cardiovascular death in patients with acute Q-positive myocardial infarction with type 2 DM. Predictive model of cardiovascular death </w:t>
      </w:r>
      <w:proofErr w:type="gramStart"/>
      <w:r w:rsidRPr="00BE5073">
        <w:rPr>
          <w:color w:val="auto"/>
          <w:lang w:val="en-US"/>
        </w:rPr>
        <w:t>was elaborated</w:t>
      </w:r>
      <w:proofErr w:type="gramEnd"/>
      <w:r w:rsidRPr="00BE5073">
        <w:rPr>
          <w:color w:val="auto"/>
          <w:lang w:val="en-US"/>
        </w:rPr>
        <w:t xml:space="preserve"> with the use of a logistic regression method. For a dichotomous logistic regression, the predicted variable has only two values: “1” - an event occurred and "0" in the opposite case. The result of the calculation in prognosis falls in the range 0 - 1 and </w:t>
      </w:r>
      <w:proofErr w:type="gramStart"/>
      <w:r w:rsidRPr="00BE5073">
        <w:rPr>
          <w:color w:val="auto"/>
          <w:lang w:val="en-US"/>
        </w:rPr>
        <w:t>can be interpreted</w:t>
      </w:r>
      <w:proofErr w:type="gramEnd"/>
      <w:r w:rsidRPr="00BE5073">
        <w:rPr>
          <w:color w:val="auto"/>
          <w:lang w:val="en-US"/>
        </w:rPr>
        <w:t xml:space="preserve"> as the probability of the predicted event.</w:t>
      </w:r>
    </w:p>
    <w:p w:rsidR="00BE5073" w:rsidRPr="00BE5073" w:rsidRDefault="00BE5073" w:rsidP="00BE5073">
      <w:pPr>
        <w:pStyle w:val="Default"/>
        <w:rPr>
          <w:color w:val="auto"/>
          <w:lang w:val="en-US"/>
        </w:rPr>
      </w:pPr>
      <w:r w:rsidRPr="00BE5073">
        <w:rPr>
          <w:color w:val="auto"/>
          <w:lang w:val="en-US"/>
        </w:rPr>
        <w:t xml:space="preserve">Such properties of the regression equation </w:t>
      </w:r>
      <w:proofErr w:type="gramStart"/>
      <w:r w:rsidRPr="00BE5073">
        <w:rPr>
          <w:color w:val="auto"/>
          <w:lang w:val="en-US"/>
        </w:rPr>
        <w:t>are provided</w:t>
      </w:r>
      <w:proofErr w:type="gramEnd"/>
      <w:r w:rsidRPr="00BE5073">
        <w:rPr>
          <w:color w:val="auto"/>
          <w:lang w:val="en-US"/>
        </w:rPr>
        <w:t xml:space="preserve"> by applying the following regression equation (logit transform):</w:t>
      </w:r>
    </w:p>
    <w:p w:rsidR="00BE5073" w:rsidRPr="00BE5073" w:rsidRDefault="00BE5073" w:rsidP="00BE5073">
      <w:pPr>
        <w:pStyle w:val="Default"/>
        <w:rPr>
          <w:color w:val="auto"/>
          <w:lang w:val="en-US"/>
        </w:rPr>
      </w:pPr>
      <w:r w:rsidRPr="00BE5073">
        <w:rPr>
          <w:color w:val="auto"/>
          <w:lang w:val="en-US"/>
        </w:rPr>
        <w:t xml:space="preserve">(1) 1 </w:t>
      </w:r>
      <w:proofErr w:type="gramStart"/>
      <w:r w:rsidRPr="00BE5073">
        <w:rPr>
          <w:color w:val="auto"/>
          <w:lang w:val="en-US"/>
        </w:rPr>
        <w:t>1</w:t>
      </w:r>
      <w:proofErr w:type="gramEnd"/>
      <w:r w:rsidRPr="00BE5073">
        <w:rPr>
          <w:color w:val="auto"/>
          <w:lang w:val="en-US"/>
        </w:rPr>
        <w:t xml:space="preserve"> y P e</w:t>
      </w:r>
    </w:p>
    <w:p w:rsidR="00BE5073" w:rsidRPr="00BE5073" w:rsidRDefault="00BE5073" w:rsidP="00BE5073">
      <w:pPr>
        <w:pStyle w:val="Default"/>
        <w:rPr>
          <w:color w:val="auto"/>
          <w:lang w:val="en-US"/>
        </w:rPr>
      </w:pPr>
      <w:r w:rsidRPr="00BE5073">
        <w:rPr>
          <w:color w:val="auto"/>
          <w:lang w:val="en-US"/>
        </w:rPr>
        <w:t xml:space="preserve">where </w:t>
      </w:r>
      <w:r w:rsidRPr="00BE5073">
        <w:rPr>
          <w:i/>
          <w:iCs/>
          <w:color w:val="auto"/>
          <w:lang w:val="en-US"/>
        </w:rPr>
        <w:t xml:space="preserve">P </w:t>
      </w:r>
      <w:r w:rsidRPr="00BE5073">
        <w:rPr>
          <w:color w:val="auto"/>
          <w:lang w:val="en-US"/>
        </w:rPr>
        <w:t xml:space="preserve">is the probability that a predictable event will occur; </w:t>
      </w:r>
      <w:r w:rsidRPr="00BE5073">
        <w:rPr>
          <w:i/>
          <w:iCs/>
          <w:color w:val="auto"/>
          <w:lang w:val="en-US"/>
        </w:rPr>
        <w:t xml:space="preserve">e </w:t>
      </w:r>
      <w:r w:rsidRPr="00BE5073">
        <w:rPr>
          <w:color w:val="auto"/>
          <w:lang w:val="en-US"/>
        </w:rPr>
        <w:t xml:space="preserve">is the basis of natural logarithms 2.71; </w:t>
      </w:r>
      <w:r w:rsidRPr="00BE5073">
        <w:rPr>
          <w:i/>
          <w:iCs/>
          <w:color w:val="auto"/>
          <w:lang w:val="en-US"/>
        </w:rPr>
        <w:t xml:space="preserve">y </w:t>
      </w:r>
      <w:r w:rsidRPr="00BE5073">
        <w:rPr>
          <w:color w:val="auto"/>
          <w:lang w:val="en-US"/>
        </w:rPr>
        <w:t xml:space="preserve">is the standard linear regression equation: </w:t>
      </w:r>
      <w:r w:rsidRPr="00BE5073">
        <w:rPr>
          <w:color w:val="auto"/>
        </w:rPr>
        <w:t>у</w:t>
      </w:r>
      <w:r w:rsidRPr="00BE5073">
        <w:rPr>
          <w:color w:val="auto"/>
          <w:lang w:val="en-US"/>
        </w:rPr>
        <w:t>= x1*k1*+ x2*k2+ … + xn*kn+</w:t>
      </w:r>
      <w:r w:rsidRPr="00BE5073">
        <w:rPr>
          <w:color w:val="auto"/>
        </w:rPr>
        <w:t>с</w:t>
      </w:r>
      <w:r w:rsidRPr="00BE5073">
        <w:rPr>
          <w:color w:val="auto"/>
          <w:lang w:val="en-US"/>
        </w:rPr>
        <w:t xml:space="preserve">, where </w:t>
      </w:r>
      <w:r w:rsidRPr="00BE5073">
        <w:rPr>
          <w:i/>
          <w:iCs/>
          <w:color w:val="auto"/>
          <w:lang w:val="en-US"/>
        </w:rPr>
        <w:t xml:space="preserve">y </w:t>
      </w:r>
      <w:r w:rsidRPr="00BE5073">
        <w:rPr>
          <w:color w:val="auto"/>
          <w:lang w:val="en-US"/>
        </w:rPr>
        <w:t xml:space="preserve">is the value of dependent variable, </w:t>
      </w:r>
      <w:r w:rsidRPr="00BE5073">
        <w:rPr>
          <w:i/>
          <w:iCs/>
          <w:color w:val="auto"/>
          <w:lang w:val="en-US"/>
        </w:rPr>
        <w:t xml:space="preserve">xi </w:t>
      </w:r>
      <w:r w:rsidRPr="00BE5073">
        <w:rPr>
          <w:color w:val="auto"/>
          <w:lang w:val="en-US"/>
        </w:rPr>
        <w:t xml:space="preserve">is the value of independent variables, ki are the coefficients in independent variables, </w:t>
      </w:r>
      <w:r w:rsidRPr="00BE5073">
        <w:rPr>
          <w:i/>
          <w:iCs/>
          <w:color w:val="auto"/>
          <w:lang w:val="en-US"/>
        </w:rPr>
        <w:t xml:space="preserve">c </w:t>
      </w:r>
      <w:r w:rsidRPr="00BE5073">
        <w:rPr>
          <w:color w:val="auto"/>
          <w:lang w:val="en-US"/>
        </w:rPr>
        <w:t>is the constant.</w:t>
      </w:r>
    </w:p>
    <w:p w:rsidR="00BE5073" w:rsidRPr="00BE5073" w:rsidRDefault="00BE5073" w:rsidP="00BE5073">
      <w:pPr>
        <w:pStyle w:val="Default"/>
        <w:rPr>
          <w:color w:val="auto"/>
          <w:lang w:val="en-US"/>
        </w:rPr>
      </w:pPr>
      <w:r w:rsidRPr="00BE5073">
        <w:rPr>
          <w:color w:val="auto"/>
          <w:lang w:val="en-US"/>
        </w:rPr>
        <w:t xml:space="preserve">Logistic equation coefficients, which were calculated in the assessment of the relationship between the studied parameters with a binary variable of cardiovascular death cases (mortality – “1”, mortality – “0”), allowed to estimate the probability of cardiovascular death. At the same time, </w:t>
      </w:r>
      <w:proofErr w:type="gramStart"/>
      <w:r w:rsidRPr="00BE5073">
        <w:rPr>
          <w:color w:val="auto"/>
          <w:lang w:val="en-US"/>
        </w:rPr>
        <w:t>step-by-step</w:t>
      </w:r>
      <w:proofErr w:type="gramEnd"/>
      <w:r w:rsidRPr="00BE5073">
        <w:rPr>
          <w:color w:val="auto"/>
          <w:lang w:val="en-US"/>
        </w:rPr>
        <w:t xml:space="preserve"> method identified only those indicators that reliably related to the predicted value.</w:t>
      </w:r>
    </w:p>
    <w:p w:rsidR="00BE5073" w:rsidRPr="00BE5073" w:rsidRDefault="00BE5073" w:rsidP="00BE5073">
      <w:pPr>
        <w:pStyle w:val="Default"/>
        <w:rPr>
          <w:color w:val="auto"/>
          <w:lang w:val="en-US"/>
        </w:rPr>
      </w:pPr>
      <w:r w:rsidRPr="00BE5073">
        <w:rPr>
          <w:color w:val="auto"/>
          <w:lang w:val="en-US"/>
        </w:rPr>
        <w:t xml:space="preserve">The relative contribution of individual predictors </w:t>
      </w:r>
      <w:proofErr w:type="gramStart"/>
      <w:r w:rsidRPr="00BE5073">
        <w:rPr>
          <w:color w:val="auto"/>
          <w:lang w:val="en-US"/>
        </w:rPr>
        <w:t>is expressed</w:t>
      </w:r>
      <w:proofErr w:type="gramEnd"/>
      <w:r w:rsidRPr="00BE5073">
        <w:rPr>
          <w:color w:val="auto"/>
          <w:lang w:val="en-US"/>
        </w:rPr>
        <w:t xml:space="preserve"> by statistical value (WaldChi- Square).</w:t>
      </w:r>
    </w:p>
    <w:p w:rsidR="00BE5073" w:rsidRPr="00BE5073" w:rsidRDefault="00BE5073" w:rsidP="00BE5073">
      <w:pPr>
        <w:pStyle w:val="Default"/>
        <w:rPr>
          <w:color w:val="auto"/>
          <w:lang w:val="en-US"/>
        </w:rPr>
      </w:pPr>
      <w:r w:rsidRPr="00BE5073">
        <w:rPr>
          <w:color w:val="auto"/>
          <w:lang w:val="en-US"/>
        </w:rPr>
        <w:lastRenderedPageBreak/>
        <w:t xml:space="preserve">Elimination of less-relevant predictors showed the following set of </w:t>
      </w:r>
      <w:proofErr w:type="gramStart"/>
      <w:r w:rsidRPr="00BE5073">
        <w:rPr>
          <w:color w:val="auto"/>
          <w:lang w:val="en-US"/>
        </w:rPr>
        <w:t>5</w:t>
      </w:r>
      <w:proofErr w:type="gramEnd"/>
      <w:r w:rsidRPr="00BE5073">
        <w:rPr>
          <w:color w:val="auto"/>
          <w:lang w:val="en-US"/>
        </w:rPr>
        <w:t xml:space="preserve"> variables for patients with AMI and type 2 DM: age, glucose, matrix metalloproteinase-13, tissue inhibitor of metalloproteinase-4, stent placement.</w:t>
      </w:r>
    </w:p>
    <w:p w:rsidR="00BE5073" w:rsidRPr="00BE5073" w:rsidRDefault="00BE5073" w:rsidP="00BE5073">
      <w:pPr>
        <w:pStyle w:val="Default"/>
        <w:rPr>
          <w:color w:val="auto"/>
          <w:lang w:val="en-US"/>
        </w:rPr>
      </w:pPr>
      <w:r w:rsidRPr="00BE5073">
        <w:rPr>
          <w:color w:val="auto"/>
          <w:lang w:val="en-US"/>
        </w:rPr>
        <w:t>Patients with probability values that exceeded 0.5 were qualified as a high-risk group of cardiovascular death in AMI and type 2 DM.</w:t>
      </w:r>
    </w:p>
    <w:p w:rsidR="00BE5073" w:rsidRPr="00BE5073" w:rsidRDefault="00BE5073" w:rsidP="00BE5073">
      <w:pPr>
        <w:pStyle w:val="Default"/>
        <w:rPr>
          <w:color w:val="auto"/>
          <w:lang w:val="en-US"/>
        </w:rPr>
      </w:pPr>
      <w:r w:rsidRPr="00BE5073">
        <w:rPr>
          <w:b/>
          <w:bCs/>
          <w:color w:val="auto"/>
          <w:lang w:val="en-US"/>
        </w:rPr>
        <w:t xml:space="preserve">Results and their discussion. </w:t>
      </w:r>
      <w:r w:rsidRPr="00BE5073">
        <w:rPr>
          <w:color w:val="auto"/>
          <w:lang w:val="en-US"/>
        </w:rPr>
        <w:t xml:space="preserve">Study of MMP-13 content at the 1st-2nd day (Table 1) in patients with AMI in the presence or absence of type 2 DM showed differences when compared with the control group. MMP-13 </w:t>
      </w:r>
      <w:proofErr w:type="gramStart"/>
      <w:r w:rsidRPr="00BE5073">
        <w:rPr>
          <w:color w:val="auto"/>
          <w:lang w:val="en-US"/>
        </w:rPr>
        <w:t>was found</w:t>
      </w:r>
      <w:proofErr w:type="gramEnd"/>
      <w:r w:rsidRPr="00BE5073">
        <w:rPr>
          <w:color w:val="auto"/>
          <w:lang w:val="en-US"/>
        </w:rPr>
        <w:t xml:space="preserve"> to be increased in patients with AMI and type 2 DM by 94 % and </w:t>
      </w:r>
      <w:r w:rsidRPr="00BE5073">
        <w:rPr>
          <w:b/>
          <w:bCs/>
          <w:i/>
          <w:iCs/>
          <w:color w:val="auto"/>
          <w:lang w:val="en-US"/>
        </w:rPr>
        <w:t>Science Review</w:t>
      </w:r>
    </w:p>
    <w:p w:rsidR="00BE5073" w:rsidRPr="00BE5073" w:rsidRDefault="00BE5073" w:rsidP="00BE5073">
      <w:pPr>
        <w:pStyle w:val="Default"/>
        <w:rPr>
          <w:color w:val="auto"/>
          <w:lang w:val="en-US"/>
        </w:rPr>
      </w:pPr>
      <w:r w:rsidRPr="00BE5073">
        <w:rPr>
          <w:b/>
          <w:bCs/>
          <w:i/>
          <w:iCs/>
          <w:color w:val="auto"/>
          <w:lang w:val="en-US"/>
        </w:rPr>
        <w:t xml:space="preserve">https://ws-conference.com/ 1(8), Vol.3, January 2018 </w:t>
      </w:r>
      <w:r w:rsidRPr="00BE5073">
        <w:rPr>
          <w:b/>
          <w:bCs/>
          <w:color w:val="auto"/>
          <w:lang w:val="en-US"/>
        </w:rPr>
        <w:t>47</w:t>
      </w:r>
    </w:p>
    <w:p w:rsidR="00BE5073" w:rsidRPr="00BE5073" w:rsidRDefault="00BE5073" w:rsidP="00BE5073">
      <w:pPr>
        <w:pStyle w:val="Default"/>
        <w:rPr>
          <w:color w:val="auto"/>
          <w:lang w:val="en-US"/>
        </w:rPr>
      </w:pPr>
      <w:bookmarkStart w:id="0" w:name="_GoBack"/>
      <w:bookmarkEnd w:id="0"/>
    </w:p>
    <w:p w:rsidR="00BE5073" w:rsidRPr="00BE5073" w:rsidRDefault="00BE5073" w:rsidP="00BE5073">
      <w:pPr>
        <w:pStyle w:val="Default"/>
        <w:pageBreakBefore/>
        <w:rPr>
          <w:color w:val="auto"/>
          <w:lang w:val="en-US"/>
        </w:rPr>
      </w:pPr>
      <w:proofErr w:type="gramStart"/>
      <w:r w:rsidRPr="00BE5073">
        <w:rPr>
          <w:color w:val="auto"/>
          <w:lang w:val="en-US"/>
        </w:rPr>
        <w:lastRenderedPageBreak/>
        <w:t>by</w:t>
      </w:r>
      <w:proofErr w:type="gramEnd"/>
      <w:r w:rsidRPr="00BE5073">
        <w:rPr>
          <w:color w:val="auto"/>
          <w:lang w:val="en-US"/>
        </w:rPr>
        <w:t xml:space="preserve"> 48 % in patients without type 2 DM compared with the control group (p&lt;0.05). TIMP-4 level at the 1st-2nd day was significantly higher in patients with AMI by 19 % in the presence of type 2 DM and by 21 % in the absence of type 2 DM when compared with the control group (p&lt;0.05). Patients with AMI and concomitant type 2 DM were found to have a statistically significant increase in the concentration of MMP-13 by 36 % compared with patients without type 2 DM (p&lt;0.05). TIMP-4 indices were not found to have statistically significant differences in the comparison of patients with AMI in the presence or absence of type 2 DM (p&gt;0.05).</w:t>
      </w:r>
    </w:p>
    <w:p w:rsidR="00BE5073" w:rsidRPr="00BE5073" w:rsidRDefault="00BE5073" w:rsidP="00BE5073">
      <w:pPr>
        <w:pStyle w:val="Default"/>
        <w:rPr>
          <w:color w:val="auto"/>
          <w:lang w:val="en-US"/>
        </w:rPr>
      </w:pPr>
      <w:r w:rsidRPr="00BE5073">
        <w:rPr>
          <w:color w:val="auto"/>
          <w:lang w:val="en-US"/>
        </w:rPr>
        <w:t>Analysis of the results of the study of MMP-13 at the 10th-14th day (Table 1) in patients with AMI and type 2 DM showed an increase by 31 % and 13 % without type 2 DM when compared with the control group (p&lt;0.05). TIMP-4 level at the 10th-14th day was higher in patients with AMI and type 2 DM by 53 % and 77 % without type 2 DM when compared with the control group (p&lt;0.05). The study showed a statistically significant increase in the content of MMP-13 by 17 % in patients with AMI and type 2 DM when compared to patients without type 2 DM (p&lt;0.05). There was an increase in the level of TIMP-4 by 14 % in patients with AMI and type 2 DM as compared to patients without type 2 DM (p&lt;0,05). According to literature the content of MMP-13 and TIMP-4 in patients with AMI at the 1st-7th day remains elevated, and then the level of MMP-13 is gradually reduced [10].</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2132"/>
        <w:gridCol w:w="2132"/>
        <w:gridCol w:w="2132"/>
        <w:gridCol w:w="2134"/>
      </w:tblGrid>
      <w:tr w:rsidR="00BE5073" w:rsidRPr="00BE5073">
        <w:tblPrEx>
          <w:tblCellMar>
            <w:top w:w="0" w:type="dxa"/>
            <w:bottom w:w="0" w:type="dxa"/>
          </w:tblCellMar>
        </w:tblPrEx>
        <w:trPr>
          <w:trHeight w:val="202"/>
        </w:trPr>
        <w:tc>
          <w:tcPr>
            <w:tcW w:w="2132" w:type="dxa"/>
          </w:tcPr>
          <w:p w:rsidR="00BE5073" w:rsidRPr="00BE5073" w:rsidRDefault="00BE5073" w:rsidP="00BE5073">
            <w:pPr>
              <w:pStyle w:val="Default"/>
              <w:rPr>
                <w:lang w:val="en-US"/>
              </w:rPr>
            </w:pPr>
            <w:r w:rsidRPr="00BE5073">
              <w:rPr>
                <w:color w:val="auto"/>
                <w:lang w:val="en-US"/>
              </w:rPr>
              <w:t xml:space="preserve">Table 1. Matrix metalloproteinase-13, tissue inhibitor of metalloproteinase-4 in patients with acute myocardial infarction with the presence and absence of type 2 diabetes mellitus </w:t>
            </w:r>
            <w:r w:rsidRPr="00BE5073">
              <w:rPr>
                <w:lang w:val="en-US"/>
              </w:rPr>
              <w:t>Indices, units of measurement</w:t>
            </w:r>
          </w:p>
        </w:tc>
        <w:tc>
          <w:tcPr>
            <w:tcW w:w="2132" w:type="dxa"/>
          </w:tcPr>
          <w:p w:rsidR="00BE5073" w:rsidRPr="00BE5073" w:rsidRDefault="00BE5073" w:rsidP="00BE5073">
            <w:pPr>
              <w:pStyle w:val="Default"/>
              <w:rPr>
                <w:lang w:val="en-US"/>
              </w:rPr>
            </w:pPr>
            <w:r w:rsidRPr="00BE5073">
              <w:rPr>
                <w:lang w:val="en-US"/>
              </w:rPr>
              <w:t>AMI with type 2 DM</w:t>
            </w:r>
          </w:p>
          <w:p w:rsidR="00BE5073" w:rsidRPr="00BE5073" w:rsidRDefault="00BE5073" w:rsidP="00BE5073">
            <w:pPr>
              <w:pStyle w:val="Default"/>
              <w:rPr>
                <w:lang w:val="en-US"/>
              </w:rPr>
            </w:pPr>
            <w:r w:rsidRPr="00BE5073">
              <w:rPr>
                <w:lang w:val="en-US"/>
              </w:rPr>
              <w:t>(n = 60 patients)</w:t>
            </w:r>
          </w:p>
        </w:tc>
        <w:tc>
          <w:tcPr>
            <w:tcW w:w="2132" w:type="dxa"/>
          </w:tcPr>
          <w:p w:rsidR="00BE5073" w:rsidRPr="00BE5073" w:rsidRDefault="00BE5073" w:rsidP="00BE5073">
            <w:pPr>
              <w:pStyle w:val="Default"/>
              <w:rPr>
                <w:lang w:val="en-US"/>
              </w:rPr>
            </w:pPr>
            <w:r w:rsidRPr="00BE5073">
              <w:rPr>
                <w:lang w:val="en-US"/>
              </w:rPr>
              <w:t>AMI without type 2 DM (n=40 patients)</w:t>
            </w:r>
          </w:p>
        </w:tc>
        <w:tc>
          <w:tcPr>
            <w:tcW w:w="2132" w:type="dxa"/>
          </w:tcPr>
          <w:p w:rsidR="00BE5073" w:rsidRPr="00BE5073" w:rsidRDefault="00BE5073" w:rsidP="00BE5073">
            <w:pPr>
              <w:pStyle w:val="Default"/>
            </w:pPr>
            <w:r w:rsidRPr="00BE5073">
              <w:t>Control group</w:t>
            </w:r>
          </w:p>
          <w:p w:rsidR="00BE5073" w:rsidRPr="00BE5073" w:rsidRDefault="00BE5073" w:rsidP="00BE5073">
            <w:pPr>
              <w:pStyle w:val="Default"/>
            </w:pPr>
            <w:r w:rsidRPr="00BE5073">
              <w:t>(n = 20 patients)</w:t>
            </w:r>
          </w:p>
        </w:tc>
      </w:tr>
      <w:tr w:rsidR="00BE5073" w:rsidRPr="00BE5073">
        <w:tblPrEx>
          <w:tblCellMar>
            <w:top w:w="0" w:type="dxa"/>
            <w:bottom w:w="0" w:type="dxa"/>
          </w:tblCellMar>
        </w:tblPrEx>
        <w:trPr>
          <w:trHeight w:val="90"/>
        </w:trPr>
        <w:tc>
          <w:tcPr>
            <w:tcW w:w="8530" w:type="dxa"/>
            <w:gridSpan w:val="4"/>
          </w:tcPr>
          <w:p w:rsidR="00BE5073" w:rsidRPr="00BE5073" w:rsidRDefault="00BE5073" w:rsidP="00BE5073">
            <w:pPr>
              <w:pStyle w:val="Default"/>
            </w:pPr>
            <w:r w:rsidRPr="00BE5073">
              <w:t>M ± m</w:t>
            </w:r>
          </w:p>
        </w:tc>
      </w:tr>
      <w:tr w:rsidR="00BE5073" w:rsidRPr="00BE5073">
        <w:tblPrEx>
          <w:tblCellMar>
            <w:top w:w="0" w:type="dxa"/>
            <w:bottom w:w="0" w:type="dxa"/>
          </w:tblCellMar>
        </w:tblPrEx>
        <w:trPr>
          <w:trHeight w:val="112"/>
        </w:trPr>
        <w:tc>
          <w:tcPr>
            <w:tcW w:w="2132" w:type="dxa"/>
          </w:tcPr>
          <w:p w:rsidR="00BE5073" w:rsidRPr="00BE5073" w:rsidRDefault="00BE5073" w:rsidP="00BE5073">
            <w:pPr>
              <w:pStyle w:val="Default"/>
              <w:rPr>
                <w:lang w:val="en-US"/>
              </w:rPr>
            </w:pPr>
            <w:r w:rsidRPr="00BE5073">
              <w:rPr>
                <w:lang w:val="en-US"/>
              </w:rPr>
              <w:t>MMP-13 at the 1st-2nd day, pg/ml</w:t>
            </w:r>
          </w:p>
        </w:tc>
        <w:tc>
          <w:tcPr>
            <w:tcW w:w="2132" w:type="dxa"/>
          </w:tcPr>
          <w:p w:rsidR="00BE5073" w:rsidRPr="00BE5073" w:rsidRDefault="00BE5073" w:rsidP="00BE5073">
            <w:pPr>
              <w:pStyle w:val="Default"/>
            </w:pPr>
            <w:r w:rsidRPr="00BE5073">
              <w:t>65.6±2.5*#</w:t>
            </w:r>
          </w:p>
        </w:tc>
        <w:tc>
          <w:tcPr>
            <w:tcW w:w="2132" w:type="dxa"/>
          </w:tcPr>
          <w:p w:rsidR="00BE5073" w:rsidRPr="00BE5073" w:rsidRDefault="00BE5073" w:rsidP="00BE5073">
            <w:pPr>
              <w:pStyle w:val="Default"/>
            </w:pPr>
            <w:r w:rsidRPr="00BE5073">
              <w:t>47.9±3.8*</w:t>
            </w:r>
          </w:p>
        </w:tc>
        <w:tc>
          <w:tcPr>
            <w:tcW w:w="2132" w:type="dxa"/>
          </w:tcPr>
          <w:p w:rsidR="00BE5073" w:rsidRPr="00BE5073" w:rsidRDefault="00BE5073" w:rsidP="00BE5073">
            <w:pPr>
              <w:pStyle w:val="Default"/>
            </w:pPr>
            <w:r w:rsidRPr="00BE5073">
              <w:t>32.2±2.6</w:t>
            </w:r>
          </w:p>
        </w:tc>
      </w:tr>
      <w:tr w:rsidR="00BE5073" w:rsidRPr="00BE5073">
        <w:tblPrEx>
          <w:tblCellMar>
            <w:top w:w="0" w:type="dxa"/>
            <w:bottom w:w="0" w:type="dxa"/>
          </w:tblCellMar>
        </w:tblPrEx>
        <w:trPr>
          <w:trHeight w:val="112"/>
        </w:trPr>
        <w:tc>
          <w:tcPr>
            <w:tcW w:w="2132" w:type="dxa"/>
          </w:tcPr>
          <w:p w:rsidR="00BE5073" w:rsidRPr="00BE5073" w:rsidRDefault="00BE5073" w:rsidP="00BE5073">
            <w:pPr>
              <w:pStyle w:val="Default"/>
              <w:rPr>
                <w:lang w:val="en-US"/>
              </w:rPr>
            </w:pPr>
            <w:r w:rsidRPr="00BE5073">
              <w:rPr>
                <w:lang w:val="en-US"/>
              </w:rPr>
              <w:t>MMP-13 at the 10th-14th day, pg/ml</w:t>
            </w:r>
          </w:p>
        </w:tc>
        <w:tc>
          <w:tcPr>
            <w:tcW w:w="2132" w:type="dxa"/>
          </w:tcPr>
          <w:p w:rsidR="00BE5073" w:rsidRPr="00BE5073" w:rsidRDefault="00BE5073" w:rsidP="00BE5073">
            <w:pPr>
              <w:pStyle w:val="Default"/>
            </w:pPr>
            <w:r w:rsidRPr="00BE5073">
              <w:t>42.6±2.5*#</w:t>
            </w:r>
          </w:p>
        </w:tc>
        <w:tc>
          <w:tcPr>
            <w:tcW w:w="2132" w:type="dxa"/>
          </w:tcPr>
          <w:p w:rsidR="00BE5073" w:rsidRPr="00BE5073" w:rsidRDefault="00BE5073" w:rsidP="00BE5073">
            <w:pPr>
              <w:pStyle w:val="Default"/>
            </w:pPr>
            <w:r w:rsidRPr="00BE5073">
              <w:t>36.4±2.8</w:t>
            </w:r>
          </w:p>
        </w:tc>
        <w:tc>
          <w:tcPr>
            <w:tcW w:w="2132" w:type="dxa"/>
          </w:tcPr>
          <w:p w:rsidR="00BE5073" w:rsidRPr="00BE5073" w:rsidRDefault="00BE5073" w:rsidP="00BE5073">
            <w:pPr>
              <w:pStyle w:val="Default"/>
            </w:pPr>
            <w:r w:rsidRPr="00BE5073">
              <w:t>32.2±2.6</w:t>
            </w:r>
          </w:p>
        </w:tc>
      </w:tr>
      <w:tr w:rsidR="00BE5073" w:rsidRPr="00BE5073">
        <w:tblPrEx>
          <w:tblCellMar>
            <w:top w:w="0" w:type="dxa"/>
            <w:bottom w:w="0" w:type="dxa"/>
          </w:tblCellMar>
        </w:tblPrEx>
        <w:trPr>
          <w:trHeight w:val="112"/>
        </w:trPr>
        <w:tc>
          <w:tcPr>
            <w:tcW w:w="2132" w:type="dxa"/>
          </w:tcPr>
          <w:p w:rsidR="00BE5073" w:rsidRPr="00BE5073" w:rsidRDefault="00BE5073" w:rsidP="00BE5073">
            <w:pPr>
              <w:pStyle w:val="Default"/>
              <w:rPr>
                <w:lang w:val="en-US"/>
              </w:rPr>
            </w:pPr>
            <w:r w:rsidRPr="00BE5073">
              <w:rPr>
                <w:lang w:val="en-US"/>
              </w:rPr>
              <w:t>TIMP-4 at the 1st-2nd day, pg/ml</w:t>
            </w:r>
          </w:p>
        </w:tc>
        <w:tc>
          <w:tcPr>
            <w:tcW w:w="2132" w:type="dxa"/>
          </w:tcPr>
          <w:p w:rsidR="00BE5073" w:rsidRPr="00BE5073" w:rsidRDefault="00BE5073" w:rsidP="00BE5073">
            <w:pPr>
              <w:pStyle w:val="Default"/>
            </w:pPr>
            <w:r w:rsidRPr="00BE5073">
              <w:t>1518±136*</w:t>
            </w:r>
          </w:p>
        </w:tc>
        <w:tc>
          <w:tcPr>
            <w:tcW w:w="2132" w:type="dxa"/>
          </w:tcPr>
          <w:p w:rsidR="00BE5073" w:rsidRPr="00BE5073" w:rsidRDefault="00BE5073" w:rsidP="00BE5073">
            <w:pPr>
              <w:pStyle w:val="Default"/>
            </w:pPr>
            <w:r w:rsidRPr="00BE5073">
              <w:t>1540±113*</w:t>
            </w:r>
          </w:p>
        </w:tc>
        <w:tc>
          <w:tcPr>
            <w:tcW w:w="2132" w:type="dxa"/>
          </w:tcPr>
          <w:p w:rsidR="00BE5073" w:rsidRPr="00BE5073" w:rsidRDefault="00BE5073" w:rsidP="00BE5073">
            <w:pPr>
              <w:pStyle w:val="Default"/>
            </w:pPr>
            <w:r w:rsidRPr="00BE5073">
              <w:t>1269±75</w:t>
            </w:r>
          </w:p>
        </w:tc>
      </w:tr>
      <w:tr w:rsidR="00BE5073" w:rsidRPr="00BE5073">
        <w:tblPrEx>
          <w:tblCellMar>
            <w:top w:w="0" w:type="dxa"/>
            <w:bottom w:w="0" w:type="dxa"/>
          </w:tblCellMar>
        </w:tblPrEx>
        <w:trPr>
          <w:trHeight w:val="112"/>
        </w:trPr>
        <w:tc>
          <w:tcPr>
            <w:tcW w:w="2132" w:type="dxa"/>
          </w:tcPr>
          <w:p w:rsidR="00BE5073" w:rsidRPr="00BE5073" w:rsidRDefault="00BE5073" w:rsidP="00BE5073">
            <w:pPr>
              <w:pStyle w:val="Default"/>
              <w:rPr>
                <w:lang w:val="en-US"/>
              </w:rPr>
            </w:pPr>
            <w:r w:rsidRPr="00BE5073">
              <w:rPr>
                <w:lang w:val="en-US"/>
              </w:rPr>
              <w:t>TIMP-4 at the 10th-14th dat, pg/ml</w:t>
            </w:r>
          </w:p>
        </w:tc>
        <w:tc>
          <w:tcPr>
            <w:tcW w:w="2132" w:type="dxa"/>
          </w:tcPr>
          <w:p w:rsidR="00BE5073" w:rsidRPr="00BE5073" w:rsidRDefault="00BE5073" w:rsidP="00BE5073">
            <w:pPr>
              <w:pStyle w:val="Default"/>
            </w:pPr>
            <w:r w:rsidRPr="00BE5073">
              <w:t>1942±136*#</w:t>
            </w:r>
          </w:p>
        </w:tc>
        <w:tc>
          <w:tcPr>
            <w:tcW w:w="2132" w:type="dxa"/>
          </w:tcPr>
          <w:p w:rsidR="00BE5073" w:rsidRPr="00BE5073" w:rsidRDefault="00BE5073" w:rsidP="00BE5073">
            <w:pPr>
              <w:pStyle w:val="Default"/>
            </w:pPr>
            <w:r w:rsidRPr="00BE5073">
              <w:t>2250±175*</w:t>
            </w:r>
          </w:p>
        </w:tc>
        <w:tc>
          <w:tcPr>
            <w:tcW w:w="2132" w:type="dxa"/>
          </w:tcPr>
          <w:p w:rsidR="00BE5073" w:rsidRPr="00BE5073" w:rsidRDefault="00BE5073" w:rsidP="00BE5073">
            <w:pPr>
              <w:pStyle w:val="Default"/>
            </w:pPr>
            <w:r w:rsidRPr="00BE5073">
              <w:t>1269±75</w:t>
            </w:r>
          </w:p>
        </w:tc>
      </w:tr>
    </w:tbl>
    <w:p w:rsidR="00BE5073" w:rsidRPr="00BE5073" w:rsidRDefault="00BE5073" w:rsidP="00BE5073">
      <w:pPr>
        <w:pStyle w:val="Default"/>
        <w:rPr>
          <w:lang w:val="en-US"/>
        </w:rPr>
      </w:pPr>
      <w:r w:rsidRPr="00BE5073">
        <w:rPr>
          <w:lang w:val="uk-UA"/>
        </w:rPr>
        <w:br/>
      </w:r>
      <w:r w:rsidRPr="00BE5073">
        <w:rPr>
          <w:lang w:val="en-US"/>
        </w:rPr>
        <w:t xml:space="preserve">Note. </w:t>
      </w:r>
      <w:r w:rsidRPr="00BE5073">
        <w:rPr>
          <w:i/>
          <w:iCs/>
          <w:lang w:val="en-US"/>
        </w:rPr>
        <w:t xml:space="preserve">n </w:t>
      </w:r>
      <w:r w:rsidRPr="00BE5073">
        <w:rPr>
          <w:lang w:val="en-US"/>
        </w:rPr>
        <w:t xml:space="preserve">is the number of examined patients, </w:t>
      </w:r>
      <w:r w:rsidRPr="00BE5073">
        <w:rPr>
          <w:i/>
          <w:iCs/>
          <w:lang w:val="en-US"/>
        </w:rPr>
        <w:t xml:space="preserve">M ± m </w:t>
      </w:r>
      <w:r w:rsidRPr="00BE5073">
        <w:rPr>
          <w:lang w:val="en-US"/>
        </w:rPr>
        <w:t xml:space="preserve">is mean arithmetic ± standard deviation, </w:t>
      </w:r>
      <w:r w:rsidRPr="00BE5073">
        <w:rPr>
          <w:i/>
          <w:iCs/>
          <w:lang w:val="en-US"/>
        </w:rPr>
        <w:t xml:space="preserve">MMP-13 </w:t>
      </w:r>
      <w:r w:rsidRPr="00BE5073">
        <w:rPr>
          <w:lang w:val="en-US"/>
        </w:rPr>
        <w:t xml:space="preserve">is matrix metalloproteinase-13, </w:t>
      </w:r>
      <w:r w:rsidRPr="00BE5073">
        <w:rPr>
          <w:i/>
          <w:iCs/>
          <w:lang w:val="en-US"/>
        </w:rPr>
        <w:t xml:space="preserve">TIMP-4 </w:t>
      </w:r>
      <w:r w:rsidRPr="00BE5073">
        <w:rPr>
          <w:lang w:val="en-US"/>
        </w:rPr>
        <w:t>is tissue inhibitor of metalloproteinase-4, * - p&lt; 0.05 when comparing patients with control group, # - p &lt; 0.05 when comparing patients with AMI depending on the presence or absence of type 2 DM.</w:t>
      </w:r>
    </w:p>
    <w:p w:rsidR="00BE5073" w:rsidRPr="00BE5073" w:rsidRDefault="00BE5073" w:rsidP="00BE5073">
      <w:pPr>
        <w:pStyle w:val="Default"/>
        <w:rPr>
          <w:lang w:val="en-US"/>
        </w:rPr>
      </w:pPr>
      <w:proofErr w:type="gramStart"/>
      <w:r w:rsidRPr="00BE5073">
        <w:rPr>
          <w:lang w:val="en-US"/>
        </w:rPr>
        <w:t>According to the design of the study, we envisaged the possibility of using MMP-13 and TIMP-4 as predictors of cardiovascular death in patients with AMI and type 2 DM. ROC-curve showed predictive properties regarding the occurrence of cardiovascular death in patients with AMI and type 2 DM with an increase in the level of MMP-13 of 36.5 pg / ml, taking into account the sensitivity (85.71 %) and specificity (67.57 %)</w:t>
      </w:r>
      <w:proofErr w:type="gramEnd"/>
      <w:r w:rsidRPr="00BE5073">
        <w:rPr>
          <w:lang w:val="en-US"/>
        </w:rPr>
        <w:t xml:space="preserve"> (Figure 1) and with an increase in the TIMP-4 level of 1470 pg / ml (sensitivity - 71.43 % and specificity - 64.86 %) (Fig. 2).</w:t>
      </w:r>
      <w:r w:rsidRPr="00BE5073">
        <w:rPr>
          <w:lang w:val="en-US"/>
        </w:rPr>
        <w:br/>
      </w:r>
      <w:proofErr w:type="gramStart"/>
      <w:r w:rsidRPr="00BE5073">
        <w:rPr>
          <w:lang w:val="en-US"/>
        </w:rPr>
        <w:lastRenderedPageBreak/>
        <w:t>For the purpose of</w:t>
      </w:r>
      <w:proofErr w:type="gramEnd"/>
      <w:r w:rsidRPr="00BE5073">
        <w:rPr>
          <w:lang w:val="en-US"/>
        </w:rPr>
        <w:t xml:space="preserve"> using standard indicators, the model involved glucose, age and stent placement. The model was sensitive (86 %) in conditions of high specificity (97 %), which allows it to </w:t>
      </w:r>
      <w:proofErr w:type="gramStart"/>
      <w:r w:rsidRPr="00BE5073">
        <w:rPr>
          <w:lang w:val="en-US"/>
        </w:rPr>
        <w:t>be used</w:t>
      </w:r>
      <w:proofErr w:type="gramEnd"/>
      <w:r w:rsidRPr="00BE5073">
        <w:rPr>
          <w:lang w:val="en-US"/>
        </w:rPr>
        <w:t xml:space="preserve"> to predict cardiovascular death in patients with AMI and type 2 DM (Figure 3, Table 2).</w:t>
      </w:r>
    </w:p>
    <w:p w:rsidR="00BE5073" w:rsidRPr="00BE5073" w:rsidRDefault="00BE5073" w:rsidP="00BE5073">
      <w:pPr>
        <w:pStyle w:val="Default"/>
        <w:rPr>
          <w:lang w:val="en-US"/>
        </w:rPr>
      </w:pPr>
      <w:r w:rsidRPr="00BE5073">
        <w:rPr>
          <w:lang w:val="en-US"/>
        </w:rPr>
        <w:t>The formula for calculating the prediction of cardiovascular death in patients with AMI and type 2 DM is as follows:</w:t>
      </w:r>
    </w:p>
    <w:p w:rsidR="00BE5073" w:rsidRPr="00BE5073" w:rsidRDefault="00BE5073" w:rsidP="00BE5073">
      <w:pPr>
        <w:pStyle w:val="Default"/>
        <w:rPr>
          <w:lang w:val="en-US"/>
        </w:rPr>
      </w:pPr>
      <w:r w:rsidRPr="00BE5073">
        <w:rPr>
          <w:lang w:val="en-US"/>
        </w:rPr>
        <w:t>P = 1 / (1 + exp (0.96 × Glucose-0.28 × Age-0.936 × MMP13-0.014 × TIMP4 + 95.7 × stent + 70.4)</w:t>
      </w:r>
      <w:proofErr w:type="gramStart"/>
      <w:r w:rsidRPr="00BE5073">
        <w:rPr>
          <w:lang w:val="en-US"/>
        </w:rPr>
        <w:t>,(</w:t>
      </w:r>
      <w:proofErr w:type="gramEnd"/>
      <w:r w:rsidRPr="00BE5073">
        <w:rPr>
          <w:lang w:val="en-US"/>
        </w:rPr>
        <w:t>2)</w:t>
      </w:r>
    </w:p>
    <w:p w:rsidR="00BE5073" w:rsidRPr="00BE5073" w:rsidRDefault="00BE5073" w:rsidP="00BE5073">
      <w:pPr>
        <w:rPr>
          <w:rFonts w:ascii="Times New Roman" w:hAnsi="Times New Roman" w:cs="Times New Roman"/>
          <w:sz w:val="24"/>
          <w:szCs w:val="24"/>
          <w:lang w:val="en-US"/>
        </w:rPr>
      </w:pPr>
      <w:proofErr w:type="gramStart"/>
      <w:r w:rsidRPr="00BE5073">
        <w:rPr>
          <w:rFonts w:ascii="Times New Roman" w:hAnsi="Times New Roman" w:cs="Times New Roman"/>
          <w:sz w:val="24"/>
          <w:szCs w:val="24"/>
          <w:lang w:val="en-US"/>
        </w:rPr>
        <w:t>where</w:t>
      </w:r>
      <w:proofErr w:type="gramEnd"/>
      <w:r w:rsidRPr="00BE5073">
        <w:rPr>
          <w:rFonts w:ascii="Times New Roman" w:hAnsi="Times New Roman" w:cs="Times New Roman"/>
          <w:sz w:val="24"/>
          <w:szCs w:val="24"/>
          <w:lang w:val="en-US"/>
        </w:rPr>
        <w:t xml:space="preserve"> </w:t>
      </w:r>
      <w:r w:rsidRPr="00BE5073">
        <w:rPr>
          <w:rFonts w:ascii="Times New Roman" w:hAnsi="Times New Roman" w:cs="Times New Roman"/>
          <w:i/>
          <w:iCs/>
          <w:sz w:val="24"/>
          <w:szCs w:val="24"/>
          <w:lang w:val="en-US"/>
        </w:rPr>
        <w:t xml:space="preserve">P </w:t>
      </w:r>
      <w:r w:rsidRPr="00BE5073">
        <w:rPr>
          <w:rFonts w:ascii="Times New Roman" w:hAnsi="Times New Roman" w:cs="Times New Roman"/>
          <w:sz w:val="24"/>
          <w:szCs w:val="24"/>
          <w:lang w:val="en-US"/>
        </w:rPr>
        <w:t xml:space="preserve">(risk) is the probability of mortality; </w:t>
      </w:r>
      <w:r w:rsidRPr="00BE5073">
        <w:rPr>
          <w:rFonts w:ascii="Times New Roman" w:hAnsi="Times New Roman" w:cs="Times New Roman"/>
          <w:i/>
          <w:iCs/>
          <w:sz w:val="24"/>
          <w:szCs w:val="24"/>
          <w:lang w:val="en-US"/>
        </w:rPr>
        <w:t xml:space="preserve">Glucose </w:t>
      </w:r>
      <w:r w:rsidRPr="00BE5073">
        <w:rPr>
          <w:rFonts w:ascii="Times New Roman" w:hAnsi="Times New Roman" w:cs="Times New Roman"/>
          <w:sz w:val="24"/>
          <w:szCs w:val="24"/>
          <w:lang w:val="en-US"/>
        </w:rPr>
        <w:t xml:space="preserve">is glucose at the 1st-2nd day, mmol / l; </w:t>
      </w:r>
      <w:r w:rsidRPr="00BE5073">
        <w:rPr>
          <w:rFonts w:ascii="Times New Roman" w:hAnsi="Times New Roman" w:cs="Times New Roman"/>
          <w:i/>
          <w:iCs/>
          <w:sz w:val="24"/>
          <w:szCs w:val="24"/>
          <w:lang w:val="en-US"/>
        </w:rPr>
        <w:t xml:space="preserve">age </w:t>
      </w:r>
      <w:r w:rsidRPr="00BE5073">
        <w:rPr>
          <w:rFonts w:ascii="Times New Roman" w:hAnsi="Times New Roman" w:cs="Times New Roman"/>
          <w:sz w:val="24"/>
          <w:szCs w:val="24"/>
          <w:lang w:val="en-US"/>
        </w:rPr>
        <w:t xml:space="preserve">is age in years; </w:t>
      </w:r>
      <w:r w:rsidRPr="00BE5073">
        <w:rPr>
          <w:rFonts w:ascii="Times New Roman" w:hAnsi="Times New Roman" w:cs="Times New Roman"/>
          <w:i/>
          <w:iCs/>
          <w:sz w:val="24"/>
          <w:szCs w:val="24"/>
          <w:lang w:val="en-US"/>
        </w:rPr>
        <w:t xml:space="preserve">MMP13 </w:t>
      </w:r>
      <w:r w:rsidRPr="00BE5073">
        <w:rPr>
          <w:rFonts w:ascii="Times New Roman" w:hAnsi="Times New Roman" w:cs="Times New Roman"/>
          <w:sz w:val="24"/>
          <w:szCs w:val="24"/>
          <w:lang w:val="en-US"/>
        </w:rPr>
        <w:t xml:space="preserve">is matrix metalloproteinase-13 at the 1st-2nd day, pg / ml; </w:t>
      </w:r>
      <w:r w:rsidRPr="00BE5073">
        <w:rPr>
          <w:rFonts w:ascii="Times New Roman" w:hAnsi="Times New Roman" w:cs="Times New Roman"/>
          <w:i/>
          <w:iCs/>
          <w:sz w:val="24"/>
          <w:szCs w:val="24"/>
          <w:lang w:val="en-US"/>
        </w:rPr>
        <w:t xml:space="preserve">TIMP4 </w:t>
      </w:r>
      <w:r w:rsidRPr="00BE5073">
        <w:rPr>
          <w:rFonts w:ascii="Times New Roman" w:hAnsi="Times New Roman" w:cs="Times New Roman"/>
          <w:sz w:val="24"/>
          <w:szCs w:val="24"/>
          <w:lang w:val="en-US"/>
        </w:rPr>
        <w:t xml:space="preserve">is tissue inhibitor of metalloproteinase-4 at the 1st-2nd day, pg / ml; </w:t>
      </w:r>
      <w:r w:rsidRPr="00BE5073">
        <w:rPr>
          <w:rFonts w:ascii="Times New Roman" w:hAnsi="Times New Roman" w:cs="Times New Roman"/>
          <w:i/>
          <w:iCs/>
          <w:sz w:val="24"/>
          <w:szCs w:val="24"/>
          <w:lang w:val="en-US"/>
        </w:rPr>
        <w:t xml:space="preserve">stent </w:t>
      </w:r>
      <w:r w:rsidRPr="00BE5073">
        <w:rPr>
          <w:rFonts w:ascii="Times New Roman" w:hAnsi="Times New Roman" w:cs="Times New Roman"/>
          <w:sz w:val="24"/>
          <w:szCs w:val="24"/>
          <w:lang w:val="en-US"/>
        </w:rPr>
        <w:t>is stent placement.</w:t>
      </w:r>
      <w:r w:rsidRPr="00BE5073">
        <w:rPr>
          <w:rFonts w:ascii="Times New Roman" w:hAnsi="Times New Roman" w:cs="Times New Roman"/>
          <w:sz w:val="24"/>
          <w:szCs w:val="24"/>
          <w:lang w:val="en-US"/>
        </w:rPr>
        <w:br/>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284"/>
        <w:gridCol w:w="3284"/>
      </w:tblGrid>
      <w:tr w:rsidR="00BE5073" w:rsidRPr="00BE5073">
        <w:tblPrEx>
          <w:tblCellMar>
            <w:top w:w="0" w:type="dxa"/>
            <w:bottom w:w="0" w:type="dxa"/>
          </w:tblCellMar>
        </w:tblPrEx>
        <w:trPr>
          <w:trHeight w:val="90"/>
        </w:trPr>
        <w:tc>
          <w:tcPr>
            <w:tcW w:w="3284" w:type="dxa"/>
          </w:tcPr>
          <w:p w:rsidR="00BE5073" w:rsidRPr="00BE5073" w:rsidRDefault="00BE5073" w:rsidP="00BE5073">
            <w:pPr>
              <w:pStyle w:val="Default"/>
              <w:rPr>
                <w:lang w:val="en-US"/>
              </w:rPr>
            </w:pPr>
            <w:r w:rsidRPr="00BE5073">
              <w:rPr>
                <w:lang w:val="en-US"/>
              </w:rPr>
              <w:t>P02040608010002040608010</w:t>
            </w:r>
            <w:r w:rsidRPr="00BE5073">
              <w:rPr>
                <w:lang w:val="en-US"/>
              </w:rPr>
              <w:t>100-SpecificitySensitivity</w:t>
            </w:r>
          </w:p>
          <w:p w:rsidR="00BE5073" w:rsidRPr="00BE5073" w:rsidRDefault="00BE5073" w:rsidP="00BE5073">
            <w:pPr>
              <w:pStyle w:val="Default"/>
              <w:rPr>
                <w:lang w:val="en-US"/>
              </w:rPr>
            </w:pPr>
            <w:proofErr w:type="gramStart"/>
            <w:r w:rsidRPr="00BE5073">
              <w:rPr>
                <w:lang w:val="en-US"/>
              </w:rPr>
              <w:t>which</w:t>
            </w:r>
            <w:proofErr w:type="gramEnd"/>
            <w:r w:rsidRPr="00BE5073">
              <w:rPr>
                <w:lang w:val="en-US"/>
              </w:rPr>
              <w:t xml:space="preserve"> reflects the quality of the diagnostic test; AUC = 0.9-1.0 - excellent quality; AUC = 0.8-0.9 - high quality; AUC = 0.7-0.8 - very good quality; AUC = 0,6-0,7 - satisfactory quality; AUC = 0.5-0.6 - unsatisfactory quality.</w:t>
            </w:r>
          </w:p>
          <w:p w:rsidR="00BE5073" w:rsidRPr="00BE5073" w:rsidRDefault="00BE5073" w:rsidP="00BE5073">
            <w:pPr>
              <w:pStyle w:val="Default"/>
              <w:rPr>
                <w:lang w:val="en-US"/>
              </w:rPr>
            </w:pPr>
            <w:r w:rsidRPr="00BE5073">
              <w:rPr>
                <w:lang w:val="en-US"/>
              </w:rPr>
              <w:t xml:space="preserve">Thus, estimation of MMP-13 and TIMP-4 in acute myocardial infarction </w:t>
            </w:r>
            <w:proofErr w:type="gramStart"/>
            <w:r w:rsidRPr="00BE5073">
              <w:rPr>
                <w:lang w:val="en-US"/>
              </w:rPr>
              <w:t>may be recommended</w:t>
            </w:r>
            <w:proofErr w:type="gramEnd"/>
            <w:r w:rsidRPr="00BE5073">
              <w:rPr>
                <w:lang w:val="en-US"/>
              </w:rPr>
              <w:t xml:space="preserve"> for use by health care practitioners to predict fatal cases in patients with myocardial infarction with type 2 DM.</w:t>
            </w:r>
          </w:p>
          <w:p w:rsidR="00BE5073" w:rsidRPr="00BE5073" w:rsidRDefault="00BE5073" w:rsidP="00BE5073">
            <w:pPr>
              <w:pStyle w:val="Default"/>
              <w:rPr>
                <w:lang w:val="en-US"/>
              </w:rPr>
            </w:pPr>
            <w:r w:rsidRPr="00BE5073">
              <w:rPr>
                <w:b/>
                <w:bCs/>
                <w:lang w:val="en-US"/>
              </w:rPr>
              <w:t>Conclusions.</w:t>
            </w:r>
          </w:p>
          <w:p w:rsidR="00BE5073" w:rsidRPr="00BE5073" w:rsidRDefault="00BE5073" w:rsidP="00BE5073">
            <w:pPr>
              <w:pStyle w:val="Default"/>
              <w:spacing w:after="9"/>
              <w:rPr>
                <w:lang w:val="en-US"/>
              </w:rPr>
            </w:pPr>
            <w:r w:rsidRPr="00BE5073">
              <w:rPr>
                <w:lang w:val="en-US"/>
              </w:rPr>
              <w:t>1. Patients with acute myocardial infarction, in the presence or absence of type 2 diabetes mellitus are found to have a statistically significant increase in the activity of the extracellular matrix system at the expense of matrix metalloproteinase-13 and tissue inhibitor metalloproteinase-4.</w:t>
            </w:r>
          </w:p>
          <w:p w:rsidR="00BE5073" w:rsidRPr="00BE5073" w:rsidRDefault="00BE5073" w:rsidP="00BE5073">
            <w:pPr>
              <w:pStyle w:val="Default"/>
              <w:spacing w:after="9"/>
              <w:rPr>
                <w:lang w:val="en-US"/>
              </w:rPr>
            </w:pPr>
            <w:r w:rsidRPr="00BE5073">
              <w:rPr>
                <w:lang w:val="en-US"/>
              </w:rPr>
              <w:t>2. The presence of type 2 diabetes mellitus is associated with compensatory work of tissue inhibitor of metalloproteinase-4 under conditions of elevated level of matrix metalloproteinase-13 in patients with acute myocardial infarction.</w:t>
            </w:r>
          </w:p>
          <w:p w:rsidR="00BE5073" w:rsidRPr="00BE5073" w:rsidRDefault="00BE5073" w:rsidP="00BE5073">
            <w:pPr>
              <w:pStyle w:val="Default"/>
              <w:rPr>
                <w:lang w:val="en-US"/>
              </w:rPr>
            </w:pPr>
            <w:r w:rsidRPr="00BE5073">
              <w:rPr>
                <w:lang w:val="en-US"/>
              </w:rPr>
              <w:lastRenderedPageBreak/>
              <w:t xml:space="preserve">3. Patients with acute myocardial infarction and type 2 diabetes mellitus </w:t>
            </w:r>
            <w:proofErr w:type="gramStart"/>
            <w:r w:rsidRPr="00BE5073">
              <w:rPr>
                <w:lang w:val="en-US"/>
              </w:rPr>
              <w:t>are found</w:t>
            </w:r>
            <w:proofErr w:type="gramEnd"/>
            <w:r w:rsidRPr="00BE5073">
              <w:rPr>
                <w:lang w:val="en-US"/>
              </w:rPr>
              <w:t xml:space="preserve"> to have a more severe hyperproduction of matrix metalloproteinase-13 than in patients with acute myocardial infarction without type 2 diabetes mellitus, which may be due to hyperglycemic effects.</w:t>
            </w:r>
          </w:p>
          <w:p w:rsidR="00BE5073" w:rsidRPr="00BE5073" w:rsidRDefault="00BE5073" w:rsidP="00BE5073">
            <w:pPr>
              <w:pStyle w:val="Default"/>
              <w:rPr>
                <w:lang w:val="en-US"/>
              </w:rPr>
            </w:pPr>
            <w:r w:rsidRPr="00BE5073">
              <w:rPr>
                <w:b/>
                <w:bCs/>
                <w:i/>
                <w:iCs/>
                <w:lang w:val="en-US"/>
              </w:rPr>
              <w:t>Science Review</w:t>
            </w:r>
          </w:p>
          <w:p w:rsidR="00BE5073" w:rsidRPr="00BE5073" w:rsidRDefault="00BE5073" w:rsidP="00BE5073">
            <w:pPr>
              <w:pStyle w:val="Default"/>
              <w:rPr>
                <w:color w:val="auto"/>
                <w:lang w:val="en-US"/>
              </w:rPr>
            </w:pPr>
            <w:r w:rsidRPr="00BE5073">
              <w:rPr>
                <w:b/>
                <w:bCs/>
                <w:i/>
                <w:iCs/>
                <w:color w:val="auto"/>
                <w:lang w:val="en-US"/>
              </w:rPr>
              <w:t xml:space="preserve">https://ws-conference.com/ 1(8), Vol.3, January 2018 </w:t>
            </w:r>
            <w:r w:rsidRPr="00BE5073">
              <w:rPr>
                <w:b/>
                <w:bCs/>
                <w:color w:val="auto"/>
                <w:lang w:val="en-US"/>
              </w:rPr>
              <w:t>49</w:t>
            </w:r>
          </w:p>
          <w:p w:rsidR="00BE5073" w:rsidRPr="00BE5073" w:rsidRDefault="00BE5073" w:rsidP="00BE5073">
            <w:pPr>
              <w:pStyle w:val="Default"/>
              <w:rPr>
                <w:color w:val="auto"/>
                <w:lang w:val="en-US"/>
              </w:rPr>
            </w:pPr>
          </w:p>
          <w:p w:rsidR="00BE5073" w:rsidRPr="00BE5073" w:rsidRDefault="00BE5073" w:rsidP="00BE5073">
            <w:pPr>
              <w:pStyle w:val="Default"/>
              <w:pageBreakBefore/>
              <w:rPr>
                <w:color w:val="auto"/>
                <w:lang w:val="en-US"/>
              </w:rPr>
            </w:pPr>
          </w:p>
          <w:p w:rsidR="00BE5073" w:rsidRPr="00BE5073" w:rsidRDefault="00BE5073" w:rsidP="00BE5073">
            <w:pPr>
              <w:pStyle w:val="Default"/>
              <w:spacing w:after="9"/>
              <w:rPr>
                <w:color w:val="auto"/>
                <w:lang w:val="en-US"/>
              </w:rPr>
            </w:pPr>
            <w:r w:rsidRPr="00BE5073">
              <w:rPr>
                <w:color w:val="auto"/>
                <w:lang w:val="en-US"/>
              </w:rPr>
              <w:t>4. Matrix metalloproteinase-13 at the level of &gt;36.15 pg / ml and tissue inhibitor of metalloproteinase-4 at the level of 1440 pg / ml revealed prognostic properties for the mortality of patients with acute myocardial infarction and type 2 diabetes mellitus.</w:t>
            </w:r>
          </w:p>
          <w:p w:rsidR="00BE5073" w:rsidRPr="00BE5073" w:rsidRDefault="00BE5073" w:rsidP="00BE5073">
            <w:pPr>
              <w:pStyle w:val="Default"/>
              <w:rPr>
                <w:color w:val="auto"/>
                <w:lang w:val="en-US"/>
              </w:rPr>
            </w:pPr>
            <w:r w:rsidRPr="00BE5073">
              <w:rPr>
                <w:color w:val="auto"/>
                <w:lang w:val="en-US"/>
              </w:rPr>
              <w:t>5. The prognostic model combining age, glucose, matrix metalloproteinase-13, tissue inhibitor of metalloproteinase-4 and stent placement made it possible to obtain sensitivity (86 %) and specificity (97 %).</w:t>
            </w:r>
          </w:p>
          <w:p w:rsidR="00BE5073" w:rsidRPr="00BE5073" w:rsidRDefault="00BE5073" w:rsidP="00BE5073">
            <w:pPr>
              <w:pStyle w:val="Default"/>
              <w:rPr>
                <w:color w:val="auto"/>
                <w:lang w:val="en-US"/>
              </w:rPr>
            </w:pPr>
          </w:p>
          <w:p w:rsidR="00BE5073" w:rsidRPr="00BE5073" w:rsidRDefault="00BE5073" w:rsidP="00BE5073">
            <w:pPr>
              <w:pStyle w:val="Default"/>
              <w:rPr>
                <w:color w:val="auto"/>
                <w:lang w:val="en-US"/>
              </w:rPr>
            </w:pPr>
            <w:r w:rsidRPr="00BE5073">
              <w:rPr>
                <w:b/>
                <w:bCs/>
                <w:color w:val="auto"/>
                <w:lang w:val="en-US"/>
              </w:rPr>
              <w:t>REFERENCES</w:t>
            </w:r>
          </w:p>
          <w:p w:rsidR="00BE5073" w:rsidRPr="00BE5073" w:rsidRDefault="00BE5073" w:rsidP="00BE5073">
            <w:pPr>
              <w:pStyle w:val="Default"/>
              <w:spacing w:after="1"/>
              <w:rPr>
                <w:color w:val="auto"/>
                <w:lang w:val="en-US"/>
              </w:rPr>
            </w:pPr>
            <w:r w:rsidRPr="00BE5073">
              <w:rPr>
                <w:color w:val="auto"/>
                <w:lang w:val="en-US"/>
              </w:rPr>
              <w:t>1. Bogomolov A. V., Kukushkin Yu. A. Tekhnologiya ROC-analiza kachestva diagnosticheskikh mediko-biologicheskikh issledovaniy [The technology of the ROC-analysis of diagnostic-quality biomedical research] Proceedings of the Sistemnyy analiz v meditsine (Russia, Blagoveshchensk</w:t>
            </w:r>
            <w:r w:rsidRPr="00BE5073">
              <w:rPr>
                <w:i/>
                <w:iCs/>
                <w:color w:val="auto"/>
                <w:lang w:val="en-US"/>
              </w:rPr>
              <w:t xml:space="preserve">, </w:t>
            </w:r>
            <w:r w:rsidRPr="00BE5073">
              <w:rPr>
                <w:color w:val="auto"/>
                <w:lang w:val="en-US"/>
              </w:rPr>
              <w:t xml:space="preserve">24-25 </w:t>
            </w:r>
            <w:proofErr w:type="gramStart"/>
            <w:r w:rsidRPr="00BE5073">
              <w:rPr>
                <w:color w:val="auto"/>
                <w:lang w:val="en-US"/>
              </w:rPr>
              <w:t>September,</w:t>
            </w:r>
            <w:proofErr w:type="gramEnd"/>
            <w:r w:rsidRPr="00BE5073">
              <w:rPr>
                <w:color w:val="auto"/>
                <w:lang w:val="en-US"/>
              </w:rPr>
              <w:t xml:space="preserve"> 2013) (eds. red. V. P. Kolosova), Blagoveshchensk</w:t>
            </w:r>
            <w:r w:rsidRPr="00BE5073">
              <w:rPr>
                <w:i/>
                <w:iCs/>
                <w:color w:val="auto"/>
                <w:lang w:val="en-US"/>
              </w:rPr>
              <w:t>: AMGU, pp</w:t>
            </w:r>
            <w:r w:rsidRPr="00BE5073">
              <w:rPr>
                <w:color w:val="auto"/>
                <w:lang w:val="en-US"/>
              </w:rPr>
              <w:t>. 7-10.</w:t>
            </w:r>
          </w:p>
          <w:p w:rsidR="00BE5073" w:rsidRPr="00BE5073" w:rsidRDefault="00BE5073" w:rsidP="00BE5073">
            <w:pPr>
              <w:pStyle w:val="Default"/>
              <w:spacing w:after="1"/>
              <w:rPr>
                <w:color w:val="auto"/>
                <w:lang w:val="en-US"/>
              </w:rPr>
            </w:pPr>
            <w:r w:rsidRPr="00BE5073">
              <w:rPr>
                <w:color w:val="auto"/>
                <w:lang w:val="en-US"/>
              </w:rPr>
              <w:t xml:space="preserve">2. Vasileva Ye. M. (2013) Znachenie metabolicheskikh i fermentativnikh narusheniy v </w:t>
            </w:r>
            <w:r w:rsidRPr="00BE5073">
              <w:rPr>
                <w:color w:val="auto"/>
                <w:lang w:val="en-US"/>
              </w:rPr>
              <w:lastRenderedPageBreak/>
              <w:t>vozniknovenii serdechno-sosudistykh osloneniy u bolnykh sakharnym d</w:t>
            </w:r>
            <w:r w:rsidRPr="00BE5073">
              <w:rPr>
                <w:color w:val="auto"/>
              </w:rPr>
              <w:t>і</w:t>
            </w:r>
            <w:r w:rsidRPr="00BE5073">
              <w:rPr>
                <w:color w:val="auto"/>
                <w:lang w:val="en-US"/>
              </w:rPr>
              <w:t>abetom 2 tipa (obzor) [The value of the metabolic and enzymatic disturbances in the occurrence of cardiovascular complications in patients with type 2 diabetes mellitus]. Vestnik novikh meditsinskikh tekhnologiy, 2013, TXX, №2, pp.199-201.</w:t>
            </w:r>
          </w:p>
          <w:p w:rsidR="00BE5073" w:rsidRPr="00BE5073" w:rsidRDefault="00BE5073" w:rsidP="00BE5073">
            <w:pPr>
              <w:pStyle w:val="Default"/>
              <w:spacing w:after="1"/>
              <w:rPr>
                <w:color w:val="auto"/>
                <w:lang w:val="en-US"/>
              </w:rPr>
            </w:pPr>
            <w:r w:rsidRPr="00BE5073">
              <w:rPr>
                <w:color w:val="auto"/>
                <w:lang w:val="en-US"/>
              </w:rPr>
              <w:t>3. Derzhavna sluzhba statystyky Ukrainy. Statystychnyi biul. (2014) Zaklady okhorony zdorovia ta zakhvoriuvanist naselennia Ukrainy u 2013 rotsi [Health care and morbidity Ukraine in 2013], Kyiv. Available at: www.ukrstat.gov.ua (accessed 10 January 2016)</w:t>
            </w:r>
          </w:p>
          <w:p w:rsidR="00BE5073" w:rsidRPr="00BE5073" w:rsidRDefault="00BE5073" w:rsidP="00BE5073">
            <w:pPr>
              <w:pStyle w:val="Default"/>
              <w:spacing w:after="1"/>
              <w:rPr>
                <w:color w:val="auto"/>
                <w:lang w:val="en-US"/>
              </w:rPr>
            </w:pPr>
            <w:r w:rsidRPr="00BE5073">
              <w:rPr>
                <w:color w:val="auto"/>
                <w:lang w:val="en-US"/>
              </w:rPr>
              <w:t>4. Ministerstva okhorony zdorovia Nakaz Ministerstva okhorony zdorovia № 455 vid 02.07.2014 roku «Pro zatverdzhennia ta vprovadzhennia medyko-tekhnolohichnykh dokumentiv zi standartyzatsii medychnoi dopomohy pry hostromu koronarnomu syndromi z elevatsiieiu sehmenta ST» [On approval and introduction of medical and technological documents for standardization of care in acute coronary syndrome with elevation segment ST]. Available at: http://www.moz.gov.ua/ua/ portal/ dn_20140702_0455.html (accessed 15 January 2016)</w:t>
            </w:r>
          </w:p>
          <w:p w:rsidR="00BE5073" w:rsidRPr="00BE5073" w:rsidRDefault="00BE5073" w:rsidP="00BE5073">
            <w:pPr>
              <w:pStyle w:val="Default"/>
              <w:spacing w:after="1"/>
              <w:rPr>
                <w:color w:val="auto"/>
                <w:lang w:val="en-US"/>
              </w:rPr>
            </w:pPr>
            <w:r w:rsidRPr="00BE5073">
              <w:rPr>
                <w:color w:val="auto"/>
                <w:lang w:val="en-US"/>
              </w:rPr>
              <w:t xml:space="preserve">5. Ministerstva okhorony zdorovia Nakaz Ministerstva okhorony zdorovia Ukrainy № 436 vid 03.07.2006 roku «Protokol nadannia medychnoi dopomohy khvorym z hostrym koronarnym syndromom bez elevatsii ST». [The protocol of care for patients with acute coronary syndrome without </w:t>
            </w:r>
            <w:r w:rsidRPr="00BE5073">
              <w:rPr>
                <w:color w:val="auto"/>
                <w:lang w:val="en-US"/>
              </w:rPr>
              <w:lastRenderedPageBreak/>
              <w:t>elevation of segment ST] Available at: http://www.moz.gov.ua/ua/portal/ dn_20060703_436.html (accessed 16 January 2016)</w:t>
            </w:r>
          </w:p>
          <w:p w:rsidR="00BE5073" w:rsidRPr="00BE5073" w:rsidRDefault="00BE5073" w:rsidP="00BE5073">
            <w:pPr>
              <w:pStyle w:val="Default"/>
              <w:spacing w:after="1"/>
              <w:rPr>
                <w:color w:val="auto"/>
                <w:lang w:val="en-US"/>
              </w:rPr>
            </w:pPr>
            <w:r w:rsidRPr="00BE5073">
              <w:rPr>
                <w:color w:val="auto"/>
                <w:lang w:val="en-US"/>
              </w:rPr>
              <w:t>6. Vsemirnaya organizatsiya zdravokhraneniya Sakharnyy diabet Informatsionnyy byulleten [Diabetes mellitus], Octomber 2013, № 312. Available at: http://www.who.int/ru/ (accessed 20 January 2016)</w:t>
            </w:r>
          </w:p>
          <w:p w:rsidR="00BE5073" w:rsidRPr="00BE5073" w:rsidRDefault="00BE5073" w:rsidP="00BE5073">
            <w:pPr>
              <w:pStyle w:val="Default"/>
              <w:spacing w:after="1"/>
              <w:rPr>
                <w:color w:val="auto"/>
                <w:lang w:val="en-US"/>
              </w:rPr>
            </w:pPr>
            <w:r w:rsidRPr="00BE5073">
              <w:rPr>
                <w:color w:val="auto"/>
                <w:lang w:val="en-US"/>
              </w:rPr>
              <w:t>7. Vsemirnaya organizatsiya zdravokhraneniya Serdechno-sosudistye zabolevaniya Informatsionnyy byuleten [cardio-vascular diseases], Januar 2015, № 317. Available at: http://www.who.int/mediacentre /factsheets/ fs317/ru/ (accessed 26 January 2016)</w:t>
            </w:r>
          </w:p>
          <w:p w:rsidR="00BE5073" w:rsidRPr="00BE5073" w:rsidRDefault="00BE5073" w:rsidP="00BE5073">
            <w:pPr>
              <w:pStyle w:val="Default"/>
              <w:spacing w:after="1"/>
              <w:rPr>
                <w:color w:val="auto"/>
                <w:lang w:val="en-US"/>
              </w:rPr>
            </w:pPr>
            <w:r w:rsidRPr="00BE5073">
              <w:rPr>
                <w:color w:val="auto"/>
                <w:lang w:val="en-US"/>
              </w:rPr>
              <w:t>8. Adler A. I. UKPDS-modelling of cardiovascular risk assessment and lifetime simulation of outcomes / A. I. Adler // Diabet Med</w:t>
            </w:r>
            <w:r w:rsidRPr="00BE5073">
              <w:rPr>
                <w:color w:val="auto"/>
              </w:rPr>
              <w:t>ю</w:t>
            </w:r>
            <w:r w:rsidRPr="00BE5073">
              <w:rPr>
                <w:color w:val="auto"/>
                <w:lang w:val="en-US"/>
              </w:rPr>
              <w:t xml:space="preserve"> – 2008. – Vol. 25. – </w:t>
            </w:r>
            <w:proofErr w:type="gramStart"/>
            <w:r w:rsidRPr="00BE5073">
              <w:rPr>
                <w:color w:val="auto"/>
              </w:rPr>
              <w:t>Р</w:t>
            </w:r>
            <w:r w:rsidRPr="00BE5073">
              <w:rPr>
                <w:color w:val="auto"/>
                <w:lang w:val="en-US"/>
              </w:rPr>
              <w:t>. 41</w:t>
            </w:r>
            <w:proofErr w:type="gramEnd"/>
            <w:r w:rsidRPr="00BE5073">
              <w:rPr>
                <w:color w:val="auto"/>
                <w:lang w:val="en-US"/>
              </w:rPr>
              <w:t>-46.</w:t>
            </w:r>
          </w:p>
          <w:p w:rsidR="00BE5073" w:rsidRPr="00BE5073" w:rsidRDefault="00BE5073" w:rsidP="00BE5073">
            <w:pPr>
              <w:pStyle w:val="Default"/>
              <w:spacing w:after="1"/>
              <w:rPr>
                <w:color w:val="auto"/>
                <w:lang w:val="en-US"/>
              </w:rPr>
            </w:pPr>
            <w:r w:rsidRPr="00BE5073">
              <w:rPr>
                <w:color w:val="auto"/>
                <w:lang w:val="en-US"/>
              </w:rPr>
              <w:t xml:space="preserve">9. Das S., Maiti A. Matrix metalloproteinases in subjects with type 2 diabetes mellitus: Pattern of MMP-2 and MMP-9 profile in diabetes mellitus type-2 / S. Das, A. Maiti // Patients American international journal of research in formal, Applied &amp; Natural Sciences. – 2013. – Vol. 3 (1). – </w:t>
            </w:r>
            <w:proofErr w:type="gramStart"/>
            <w:r w:rsidRPr="00BE5073">
              <w:rPr>
                <w:color w:val="auto"/>
              </w:rPr>
              <w:t>Р</w:t>
            </w:r>
            <w:r w:rsidRPr="00BE5073">
              <w:rPr>
                <w:color w:val="auto"/>
                <w:lang w:val="en-US"/>
              </w:rPr>
              <w:t>. 57</w:t>
            </w:r>
            <w:proofErr w:type="gramEnd"/>
            <w:r w:rsidRPr="00BE5073">
              <w:rPr>
                <w:color w:val="auto"/>
                <w:lang w:val="en-US"/>
              </w:rPr>
              <w:t>-60.</w:t>
            </w:r>
          </w:p>
          <w:p w:rsidR="00BE5073" w:rsidRPr="00BE5073" w:rsidRDefault="00BE5073" w:rsidP="00BE5073">
            <w:pPr>
              <w:pStyle w:val="Default"/>
              <w:rPr>
                <w:color w:val="auto"/>
                <w:lang w:val="en-US"/>
              </w:rPr>
            </w:pPr>
            <w:r w:rsidRPr="00BE5073">
              <w:rPr>
                <w:color w:val="auto"/>
                <w:lang w:val="en-US"/>
              </w:rPr>
              <w:t>10. Vanhoutte D. et al. Relevance of matrix metalloproteinases and their inhibitors after myocardial infarction: a temporal and spatial window / D. Vanhoutte, M. Schellings et al. // Cardiovascular Research. – 2006. – Vol. 69. – P. 604 - 613.</w:t>
            </w:r>
          </w:p>
          <w:p w:rsidR="00BE5073" w:rsidRPr="00BE5073" w:rsidRDefault="00BE5073" w:rsidP="00BE5073">
            <w:pPr>
              <w:pStyle w:val="Default"/>
              <w:rPr>
                <w:lang w:val="en-US"/>
              </w:rPr>
            </w:pPr>
          </w:p>
        </w:tc>
        <w:tc>
          <w:tcPr>
            <w:tcW w:w="3284" w:type="dxa"/>
          </w:tcPr>
          <w:p w:rsidR="00BE5073" w:rsidRPr="00BE5073" w:rsidRDefault="00BE5073" w:rsidP="00BE5073">
            <w:pPr>
              <w:pStyle w:val="Default"/>
              <w:rPr>
                <w:lang w:val="en-US"/>
              </w:rPr>
            </w:pPr>
          </w:p>
        </w:tc>
      </w:tr>
      <w:tr w:rsidR="00BE5073" w:rsidRPr="00BE5073">
        <w:tblPrEx>
          <w:tblCellMar>
            <w:top w:w="0" w:type="dxa"/>
            <w:bottom w:w="0" w:type="dxa"/>
          </w:tblCellMar>
        </w:tblPrEx>
        <w:trPr>
          <w:trHeight w:val="90"/>
        </w:trPr>
        <w:tc>
          <w:tcPr>
            <w:tcW w:w="3284" w:type="dxa"/>
          </w:tcPr>
          <w:p w:rsidR="00BE5073" w:rsidRPr="00BE5073" w:rsidRDefault="00BE5073" w:rsidP="00BE5073">
            <w:pPr>
              <w:pStyle w:val="Default"/>
              <w:rPr>
                <w:lang w:val="en-US"/>
              </w:rPr>
            </w:pPr>
          </w:p>
        </w:tc>
        <w:tc>
          <w:tcPr>
            <w:tcW w:w="3284" w:type="dxa"/>
          </w:tcPr>
          <w:p w:rsidR="00BE5073" w:rsidRPr="00BE5073" w:rsidRDefault="00BE5073" w:rsidP="00BE5073">
            <w:pPr>
              <w:pStyle w:val="Default"/>
              <w:rPr>
                <w:lang w:val="en-US"/>
              </w:rPr>
            </w:pPr>
          </w:p>
        </w:tc>
      </w:tr>
      <w:tr w:rsidR="00BE5073" w:rsidRPr="00BE5073">
        <w:tblPrEx>
          <w:tblCellMar>
            <w:top w:w="0" w:type="dxa"/>
            <w:bottom w:w="0" w:type="dxa"/>
          </w:tblCellMar>
        </w:tblPrEx>
        <w:trPr>
          <w:trHeight w:val="90"/>
        </w:trPr>
        <w:tc>
          <w:tcPr>
            <w:tcW w:w="3284" w:type="dxa"/>
          </w:tcPr>
          <w:p w:rsidR="00BE5073" w:rsidRPr="00BE5073" w:rsidRDefault="00BE5073" w:rsidP="00BE5073">
            <w:pPr>
              <w:pStyle w:val="Default"/>
              <w:rPr>
                <w:lang w:val="en-US"/>
              </w:rPr>
            </w:pPr>
          </w:p>
        </w:tc>
        <w:tc>
          <w:tcPr>
            <w:tcW w:w="3284" w:type="dxa"/>
          </w:tcPr>
          <w:p w:rsidR="00BE5073" w:rsidRPr="00BE5073" w:rsidRDefault="00BE5073" w:rsidP="00BE5073">
            <w:pPr>
              <w:pStyle w:val="Default"/>
              <w:rPr>
                <w:lang w:val="en-US"/>
              </w:rPr>
            </w:pPr>
          </w:p>
        </w:tc>
      </w:tr>
      <w:tr w:rsidR="00BE5073" w:rsidRPr="00BE5073">
        <w:tblPrEx>
          <w:tblCellMar>
            <w:top w:w="0" w:type="dxa"/>
            <w:bottom w:w="0" w:type="dxa"/>
          </w:tblCellMar>
        </w:tblPrEx>
        <w:trPr>
          <w:trHeight w:val="90"/>
        </w:trPr>
        <w:tc>
          <w:tcPr>
            <w:tcW w:w="3284" w:type="dxa"/>
          </w:tcPr>
          <w:p w:rsidR="00BE5073" w:rsidRPr="00BE5073" w:rsidRDefault="00BE5073">
            <w:pPr>
              <w:pStyle w:val="Default"/>
              <w:rPr>
                <w:sz w:val="20"/>
                <w:szCs w:val="20"/>
                <w:lang w:val="en-US"/>
              </w:rPr>
            </w:pPr>
          </w:p>
        </w:tc>
        <w:tc>
          <w:tcPr>
            <w:tcW w:w="3284" w:type="dxa"/>
          </w:tcPr>
          <w:p w:rsidR="00BE5073" w:rsidRPr="00BE5073" w:rsidRDefault="00BE5073">
            <w:pPr>
              <w:pStyle w:val="Default"/>
              <w:rPr>
                <w:sz w:val="20"/>
                <w:szCs w:val="20"/>
                <w:lang w:val="en-US"/>
              </w:rPr>
            </w:pPr>
          </w:p>
        </w:tc>
      </w:tr>
      <w:tr w:rsidR="00BE5073" w:rsidRPr="00BE5073">
        <w:tblPrEx>
          <w:tblCellMar>
            <w:top w:w="0" w:type="dxa"/>
            <w:bottom w:w="0" w:type="dxa"/>
          </w:tblCellMar>
        </w:tblPrEx>
        <w:trPr>
          <w:trHeight w:val="90"/>
        </w:trPr>
        <w:tc>
          <w:tcPr>
            <w:tcW w:w="3284" w:type="dxa"/>
          </w:tcPr>
          <w:p w:rsidR="00BE5073" w:rsidRPr="00BE5073" w:rsidRDefault="00BE5073">
            <w:pPr>
              <w:pStyle w:val="Default"/>
              <w:rPr>
                <w:sz w:val="20"/>
                <w:szCs w:val="20"/>
                <w:lang w:val="en-US"/>
              </w:rPr>
            </w:pPr>
          </w:p>
        </w:tc>
        <w:tc>
          <w:tcPr>
            <w:tcW w:w="3284" w:type="dxa"/>
          </w:tcPr>
          <w:p w:rsidR="00BE5073" w:rsidRPr="00BE5073" w:rsidRDefault="00BE5073">
            <w:pPr>
              <w:pStyle w:val="Default"/>
              <w:rPr>
                <w:sz w:val="20"/>
                <w:szCs w:val="20"/>
                <w:lang w:val="en-US"/>
              </w:rPr>
            </w:pPr>
          </w:p>
        </w:tc>
      </w:tr>
      <w:tr w:rsidR="00BE5073" w:rsidRPr="00BE5073">
        <w:tblPrEx>
          <w:tblCellMar>
            <w:top w:w="0" w:type="dxa"/>
            <w:bottom w:w="0" w:type="dxa"/>
          </w:tblCellMar>
        </w:tblPrEx>
        <w:trPr>
          <w:trHeight w:val="90"/>
        </w:trPr>
        <w:tc>
          <w:tcPr>
            <w:tcW w:w="3284" w:type="dxa"/>
          </w:tcPr>
          <w:p w:rsidR="00BE5073" w:rsidRPr="00BE5073" w:rsidRDefault="00BE5073">
            <w:pPr>
              <w:pStyle w:val="Default"/>
              <w:rPr>
                <w:sz w:val="20"/>
                <w:szCs w:val="20"/>
                <w:lang w:val="en-US"/>
              </w:rPr>
            </w:pPr>
          </w:p>
        </w:tc>
        <w:tc>
          <w:tcPr>
            <w:tcW w:w="3284" w:type="dxa"/>
          </w:tcPr>
          <w:p w:rsidR="00BE5073" w:rsidRPr="00BE5073" w:rsidRDefault="00BE5073">
            <w:pPr>
              <w:pStyle w:val="Default"/>
              <w:rPr>
                <w:sz w:val="20"/>
                <w:szCs w:val="20"/>
                <w:lang w:val="en-US"/>
              </w:rPr>
            </w:pPr>
          </w:p>
        </w:tc>
      </w:tr>
    </w:tbl>
    <w:p w:rsidR="000159F7" w:rsidRPr="00BE5073" w:rsidRDefault="00BE5073" w:rsidP="00BE5073">
      <w:pPr>
        <w:rPr>
          <w:rFonts w:ascii="Times New Roman" w:hAnsi="Times New Roman" w:cs="Times New Roman"/>
          <w:lang w:val="en-US"/>
        </w:rPr>
      </w:pPr>
    </w:p>
    <w:sectPr w:rsidR="000159F7" w:rsidRPr="00BE50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073"/>
    <w:rsid w:val="001F000D"/>
    <w:rsid w:val="006F389D"/>
    <w:rsid w:val="00BE50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A0DEDD-0E3B-465A-811D-14724C4E2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E507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10</Pages>
  <Words>2604</Words>
  <Characters>14846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cp:revision>
  <dcterms:created xsi:type="dcterms:W3CDTF">2018-10-28T09:35:00Z</dcterms:created>
  <dcterms:modified xsi:type="dcterms:W3CDTF">2018-10-28T09:43:00Z</dcterms:modified>
</cp:coreProperties>
</file>