
<file path=[Content_Types].xml><?xml version="1.0" encoding="utf-8"?>
<Types xmlns="http://schemas.openxmlformats.org/package/2006/content-types">
  <Default Extension="png" ContentType="image/png"/>
  <Default Extension="xls" ContentType="application/vnd.ms-excel"/>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1ACB" w:rsidRDefault="00553C15">
      <w:pPr>
        <w:jc w:val="center"/>
        <w:rPr>
          <w:rFonts w:ascii="Times New Roman" w:hAnsi="Times New Roman" w:cs="Times New Roman"/>
          <w:spacing w:val="10"/>
          <w:position w:val="2"/>
          <w:sz w:val="28"/>
        </w:rPr>
      </w:pPr>
      <w:r>
        <w:rPr>
          <w:rFonts w:ascii="Times New Roman" w:hAnsi="Times New Roman" w:cs="Times New Roman"/>
          <w:spacing w:val="10"/>
          <w:position w:val="2"/>
          <w:sz w:val="28"/>
        </w:rPr>
        <w:t>МІНІСТЕРСТВО ОХОРОНИ ЗДОРОВ'Я УКРАЇНИ</w:t>
      </w:r>
    </w:p>
    <w:p w:rsidR="00501ACB" w:rsidRDefault="00553C15">
      <w:pPr>
        <w:jc w:val="center"/>
        <w:rPr>
          <w:rFonts w:ascii="Times New Roman" w:hAnsi="Times New Roman" w:cs="Times New Roman"/>
          <w:spacing w:val="10"/>
          <w:position w:val="2"/>
          <w:sz w:val="28"/>
        </w:rPr>
      </w:pPr>
      <w:r>
        <w:rPr>
          <w:rFonts w:ascii="Times New Roman" w:hAnsi="Times New Roman" w:cs="Times New Roman"/>
          <w:spacing w:val="10"/>
          <w:position w:val="2"/>
          <w:sz w:val="28"/>
        </w:rPr>
        <w:t>ХАРКІВСЬКИЙ НАЦІОНАЛЬНИЙ МЕДИЧНИЙ УНІВЕРСИТЕТ</w:t>
      </w:r>
    </w:p>
    <w:p w:rsidR="00501ACB" w:rsidRDefault="00553C15">
      <w:pPr>
        <w:jc w:val="center"/>
        <w:rPr>
          <w:rFonts w:ascii="Times New Roman" w:hAnsi="Times New Roman" w:cs="Times New Roman"/>
          <w:spacing w:val="10"/>
          <w:position w:val="2"/>
          <w:sz w:val="28"/>
        </w:rPr>
      </w:pPr>
      <w:r>
        <w:rPr>
          <w:rFonts w:ascii="Times New Roman" w:hAnsi="Times New Roman" w:cs="Times New Roman"/>
          <w:spacing w:val="10"/>
          <w:position w:val="2"/>
          <w:sz w:val="28"/>
        </w:rPr>
        <w:t>КАФЕДРА КЛІНІЧНОЇ ЛАБОРАТОРНОЇ ДІАГНОСТИКИ</w:t>
      </w:r>
    </w:p>
    <w:p w:rsidR="00501ACB" w:rsidRDefault="00553C15">
      <w:pPr>
        <w:jc w:val="center"/>
        <w:rPr>
          <w:rFonts w:ascii="Times New Roman" w:hAnsi="Times New Roman" w:cs="Times New Roman"/>
          <w:spacing w:val="10"/>
          <w:position w:val="2"/>
          <w:sz w:val="28"/>
        </w:rPr>
      </w:pPr>
      <w:r>
        <w:rPr>
          <w:rFonts w:ascii="Times New Roman" w:hAnsi="Times New Roman" w:cs="Times New Roman"/>
          <w:spacing w:val="10"/>
          <w:position w:val="2"/>
          <w:sz w:val="28"/>
        </w:rPr>
        <w:t>Магістерська робота</w:t>
      </w:r>
    </w:p>
    <w:p w:rsidR="00501ACB" w:rsidRDefault="00553C15">
      <w:pPr>
        <w:jc w:val="center"/>
        <w:rPr>
          <w:rFonts w:ascii="Times New Roman" w:hAnsi="Times New Roman" w:cs="Times New Roman"/>
          <w:spacing w:val="10"/>
          <w:position w:val="2"/>
          <w:sz w:val="28"/>
          <w:lang w:val="uk-UA"/>
        </w:rPr>
      </w:pPr>
      <w:r>
        <w:rPr>
          <w:rFonts w:ascii="Times New Roman" w:hAnsi="Times New Roman" w:cs="Times New Roman"/>
          <w:spacing w:val="10"/>
          <w:position w:val="2"/>
          <w:sz w:val="28"/>
        </w:rPr>
        <w:t>На тему:</w:t>
      </w:r>
    </w:p>
    <w:p w:rsidR="00501ACB" w:rsidRDefault="00501ACB">
      <w:pPr>
        <w:jc w:val="center"/>
        <w:rPr>
          <w:rFonts w:ascii="Times New Roman" w:hAnsi="Times New Roman" w:cs="Times New Roman"/>
          <w:spacing w:val="10"/>
          <w:position w:val="2"/>
          <w:sz w:val="28"/>
          <w:lang w:val="uk-UA"/>
        </w:rPr>
      </w:pPr>
      <w:bookmarkStart w:id="0" w:name="_GoBack"/>
      <w:bookmarkEnd w:id="0"/>
    </w:p>
    <w:p w:rsidR="00501ACB" w:rsidRDefault="00501ACB">
      <w:pPr>
        <w:jc w:val="center"/>
        <w:rPr>
          <w:rFonts w:ascii="Times New Roman" w:hAnsi="Times New Roman" w:cs="Times New Roman"/>
          <w:spacing w:val="10"/>
          <w:position w:val="2"/>
          <w:sz w:val="28"/>
          <w:lang w:val="uk-UA"/>
        </w:rPr>
      </w:pPr>
    </w:p>
    <w:p w:rsidR="00501ACB" w:rsidRDefault="00501ACB">
      <w:pPr>
        <w:jc w:val="center"/>
        <w:rPr>
          <w:rFonts w:ascii="Times New Roman" w:hAnsi="Times New Roman" w:cs="Times New Roman"/>
          <w:spacing w:val="10"/>
          <w:position w:val="2"/>
          <w:sz w:val="28"/>
          <w:lang w:val="uk-UA"/>
        </w:rPr>
      </w:pPr>
    </w:p>
    <w:p w:rsidR="00501ACB" w:rsidRDefault="00553C15">
      <w:pPr>
        <w:jc w:val="center"/>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t>«ДИНАМІКА ЛАБОРАТОРНИХ ПОКАЗНИКІВ У ПАЦІЄНТІВ З ІНФАРКТОМ МІОКАРДА НА РІЗНИХ ЕТАПАХ»</w:t>
      </w:r>
    </w:p>
    <w:p w:rsidR="00501ACB" w:rsidRDefault="00501ACB">
      <w:pPr>
        <w:jc w:val="center"/>
        <w:rPr>
          <w:rFonts w:ascii="Times New Roman" w:hAnsi="Times New Roman" w:cs="Times New Roman"/>
          <w:b/>
          <w:spacing w:val="10"/>
          <w:position w:val="2"/>
          <w:sz w:val="28"/>
          <w:lang w:val="uk-UA"/>
        </w:rPr>
      </w:pPr>
    </w:p>
    <w:p w:rsidR="00501ACB" w:rsidRDefault="00501ACB">
      <w:pPr>
        <w:jc w:val="right"/>
        <w:rPr>
          <w:rFonts w:ascii="Times New Roman" w:hAnsi="Times New Roman" w:cs="Times New Roman"/>
          <w:b/>
          <w:spacing w:val="10"/>
          <w:position w:val="2"/>
          <w:sz w:val="28"/>
          <w:lang w:val="uk-UA"/>
        </w:rPr>
      </w:pPr>
    </w:p>
    <w:p w:rsidR="00501ACB" w:rsidRDefault="00501ACB">
      <w:pPr>
        <w:jc w:val="right"/>
        <w:rPr>
          <w:rFonts w:ascii="Times New Roman" w:hAnsi="Times New Roman" w:cs="Times New Roman"/>
          <w:b/>
          <w:spacing w:val="10"/>
          <w:position w:val="2"/>
          <w:sz w:val="28"/>
          <w:lang w:val="uk-UA"/>
        </w:rPr>
      </w:pP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Виконала:</w:t>
      </w: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Магістрант 2 курсу</w:t>
      </w: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Спеціальності 224</w:t>
      </w: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 «Технології медичної діагностики та лікування»</w:t>
      </w: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Групи ТМД-22-089</w:t>
      </w: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Мартіянова Кристина Вячеславівна </w:t>
      </w: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Науковий керівник:</w:t>
      </w: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к. біол. н.,асистент Леонтьєва Л.В.</w:t>
      </w: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Завідувач кафедрою, д. мед. н, проф.</w:t>
      </w:r>
    </w:p>
    <w:p w:rsidR="00501ACB" w:rsidRDefault="00553C15">
      <w:pPr>
        <w:jc w:val="right"/>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Залюбовська О.І.</w:t>
      </w:r>
    </w:p>
    <w:p w:rsidR="00501ACB" w:rsidRDefault="00501ACB">
      <w:pPr>
        <w:suppressLineNumbers/>
        <w:jc w:val="right"/>
        <w:rPr>
          <w:rFonts w:ascii="Times New Roman" w:hAnsi="Times New Roman" w:cs="Times New Roman"/>
          <w:spacing w:val="10"/>
          <w:position w:val="2"/>
          <w:sz w:val="28"/>
          <w:lang w:val="uk-UA"/>
        </w:rPr>
      </w:pPr>
    </w:p>
    <w:p w:rsidR="00501ACB" w:rsidRDefault="00501ACB">
      <w:pPr>
        <w:jc w:val="center"/>
        <w:rPr>
          <w:rFonts w:ascii="Times New Roman" w:hAnsi="Times New Roman" w:cs="Times New Roman"/>
          <w:spacing w:val="10"/>
          <w:position w:val="2"/>
          <w:sz w:val="28"/>
          <w:lang w:val="uk-UA"/>
        </w:rPr>
      </w:pPr>
    </w:p>
    <w:p w:rsidR="00501ACB" w:rsidRDefault="00553C15">
      <w:pPr>
        <w:jc w:val="center"/>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Харків - 2023</w:t>
      </w:r>
    </w:p>
    <w:p w:rsidR="00501ACB" w:rsidRDefault="00553C15">
      <w:pPr>
        <w:spacing w:line="360" w:lineRule="auto"/>
        <w:jc w:val="center"/>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lastRenderedPageBreak/>
        <w:t>ЗМІСТ</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ЗМІСТ  …………………………………………………………………………....2</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СПИСКИ УМОВНИХ СКОРОЧЕНЬ  ………………………………………....4</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ВСТУП  ……………………………………………………………………….….5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ОГЛЯД ЛІТЕРАТУРИ  …………………………………………………….…...7</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РОЗДІЛ І. ТЕОРЕТИЧНІ ЗНАННЯ  …………………………………….…….7</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Основні відомості інфаркту міокарда  ………………………………...7</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Етіологічні та етіопатогенетичні чинники  …………………………...7</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Фактори ризику ………………………………………………………....10</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Епідеміологічні особливості …………………………………………..14</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Оцінка смертності за шкалою SCORE  ……………………………….18 </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Патогенетичні механізми  …………………………………………….. 20</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Клінічна симптоматика ………………………………………………...22</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Клінічна картина за формою  ……………………………………….... 23</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Клінічна картина за перебігом  ………………………………………. 26</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Лабораторні критерії ……………………………………………………27</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Принципи лікування  …………………………………………………...33</w:t>
      </w:r>
    </w:p>
    <w:p w:rsidR="00501ACB" w:rsidRDefault="00553C15">
      <w:pPr>
        <w:pStyle w:val="a4"/>
        <w:numPr>
          <w:ilvl w:val="1"/>
          <w:numId w:val="1"/>
        </w:num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Висновки до першого розділу  ………………………………………...34</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ПРАКТИЧНА ЧАСТИНА  ……………………………………………............35</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РОЗДІЛ ІІ. МАТЕРІАЛИ ТА МЕТОДИ ДОСЛІДЖЕННЯ  ………………..35</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2.1. Матеріали досліджень  …………………………………………………...35</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2.2. Методологія ………………………………………………………………..35</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РОЗДІЛ ІІІ. РЕЗУЛЬТАТИ ДОСЛІДЖЕННЯ ТА</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ЇХ ОБГОВОРЕННЯ  ……………………………………………………………38</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lastRenderedPageBreak/>
        <w:t>3.1. Матеріали та методи досліджень ………………………………………...38</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3.2. Порівняння біохімічних показників ……………………………………..40</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3.3. ЕКГ і ЕХО-КГ ………………………………………………………………51</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3.4. Висновки до третього розділу …………………………………………....53</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ВИСНОВКИ  ……………………………………………………………………..54</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СПИСОК ВИКОРИСТАНИХ ДЖЕРЕЛ  ……………………………………... 55</w:t>
      </w:r>
    </w:p>
    <w:p w:rsidR="00501ACB" w:rsidRDefault="00501ACB">
      <w:pPr>
        <w:suppressLineNumbers/>
        <w:spacing w:line="360" w:lineRule="auto"/>
        <w:rPr>
          <w:rFonts w:ascii="Times New Roman" w:hAnsi="Times New Roman" w:cs="Times New Roman"/>
          <w:spacing w:val="10"/>
          <w:position w:val="2"/>
          <w:sz w:val="28"/>
          <w:lang w:val="uk-UA"/>
        </w:rPr>
      </w:pPr>
    </w:p>
    <w:p w:rsidR="00501ACB" w:rsidRDefault="00501ACB">
      <w:pPr>
        <w:suppressLineNumbers/>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b/>
          <w:spacing w:val="10"/>
          <w:position w:val="2"/>
          <w:sz w:val="28"/>
          <w:lang w:val="uk-UA"/>
        </w:rPr>
      </w:pPr>
    </w:p>
    <w:p w:rsidR="00501ACB" w:rsidRDefault="00553C15">
      <w:pPr>
        <w:spacing w:line="360" w:lineRule="auto"/>
        <w:jc w:val="center"/>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lastRenderedPageBreak/>
        <w:t>СПИСКИ УМОВНИХ СКОРОЧЕНЬ</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АГ – артеріальна гіпертензія</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АЛТ – аланін амінотрансфераза</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АСТ – аспартатамінотрансфераза</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АТ – артеріальний тиск</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АТФ – аденозинтрифосфорна кислота</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ЕКГ – електрокардіографія</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ЕХО-КГ – ехокардіографія</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ІМ – інфаркт міокарда</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КФК – креатинфосфокіназа загальна</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ЛДГ – лактатдегідрогеназа</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СК-МВ – креатинкіназа - МВ</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ССЗ – серцево-судинні захворювання</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Шкала SCORE (Systematic COronary Risk Evaluation)</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ШКТ – шлунково – кишковий тракт </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ШОЕ – швидкість осідання еритроцитів</w:t>
      </w:r>
    </w:p>
    <w:p w:rsidR="00501ACB" w:rsidRDefault="00553C15">
      <w:pPr>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ЩЗ – щитоподібна залоза</w:t>
      </w: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spacing w:line="360" w:lineRule="auto"/>
        <w:rPr>
          <w:rFonts w:ascii="Times New Roman" w:hAnsi="Times New Roman" w:cs="Times New Roman"/>
          <w:spacing w:val="10"/>
          <w:position w:val="2"/>
          <w:sz w:val="28"/>
          <w:lang w:val="uk-UA"/>
        </w:rPr>
      </w:pPr>
    </w:p>
    <w:p w:rsidR="00501ACB" w:rsidRDefault="00501ACB">
      <w:pPr>
        <w:rPr>
          <w:rFonts w:ascii="Times New Roman" w:hAnsi="Times New Roman" w:cs="Times New Roman"/>
          <w:spacing w:val="10"/>
          <w:position w:val="2"/>
          <w:sz w:val="28"/>
          <w:lang w:val="uk-UA"/>
        </w:rPr>
      </w:pPr>
    </w:p>
    <w:p w:rsidR="00501ACB" w:rsidRDefault="00501ACB">
      <w:pPr>
        <w:rPr>
          <w:rFonts w:ascii="Times New Roman" w:hAnsi="Times New Roman" w:cs="Times New Roman"/>
          <w:spacing w:val="10"/>
          <w:position w:val="2"/>
          <w:sz w:val="28"/>
          <w:lang w:val="uk-UA"/>
        </w:rPr>
      </w:pPr>
    </w:p>
    <w:p w:rsidR="00501ACB" w:rsidRDefault="00501ACB">
      <w:pPr>
        <w:rPr>
          <w:rFonts w:ascii="Times New Roman" w:hAnsi="Times New Roman" w:cs="Times New Roman"/>
          <w:spacing w:val="10"/>
          <w:position w:val="2"/>
          <w:sz w:val="28"/>
          <w:lang w:val="uk-UA"/>
        </w:rPr>
      </w:pPr>
    </w:p>
    <w:p w:rsidR="00501ACB" w:rsidRDefault="00553C15">
      <w:pPr>
        <w:suppressLineNumbers/>
        <w:spacing w:line="360" w:lineRule="auto"/>
        <w:jc w:val="center"/>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t xml:space="preserve">ВСТУП </w:t>
      </w:r>
    </w:p>
    <w:p w:rsidR="00501ACB" w:rsidRDefault="00553C15">
      <w:pPr>
        <w:suppressLineNumbers/>
        <w:spacing w:line="360" w:lineRule="auto"/>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t xml:space="preserve">   Актуальність теми</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На сьогоднішній день, серцево-судинні захворювання займають перші місця за чисельністю смертності та інвалідизації населення. Серед найпоширеніших патологій відокремлюють ішемічну хворобу серця. Ішемічна хвороба серця – захворювання, яке виникає внаслідок порушення кровопостачання міокарда. Серед форм ішемічної хвороби серця відокремлюють таку не менш розповсюджену хворобу, як інфаркт міокарда </w:t>
      </w:r>
      <w:r>
        <w:rPr>
          <w:rFonts w:ascii="Times New Roman" w:hAnsi="Times New Roman" w:cs="Times New Roman"/>
          <w:sz w:val="28"/>
          <w:szCs w:val="28"/>
          <w:lang w:val="uk-UA"/>
        </w:rPr>
        <w:t>[23,4]</w:t>
      </w:r>
      <w:r>
        <w:rPr>
          <w:rFonts w:ascii="Times New Roman" w:hAnsi="Times New Roman" w:cs="Times New Roman"/>
          <w:spacing w:val="10"/>
          <w:position w:val="2"/>
          <w:sz w:val="28"/>
          <w:lang w:val="uk-UA"/>
        </w:rPr>
        <w:t xml:space="preserve">.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Інфаркт міокарда це некроз серцевого м’яза, в якому відбувається гостре порушення коронарного кровопостачання внаслідок тромбозу коронарної артерії. Це, як правило, і є причиною смертності. З кожним роком все частіше з'являється відсоток захворюваності і як наслідок інвалідизація та смертність пацієнтів.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 Чинники, що впливають на розвиток інфаркту це перевтома, зловживання алкоголем, куріння, стреси, фізичне напруження. Часто ішемія міокарда має безбольовий характер, тому кращим діагностуванням даної патології буде проведення клінічних, біохімічних, інструментальних досліджень. Завдяки лабораторним показникам і інструментальним методам можна заздалегідь визначити в якому стані знаходиться на теперішній час міокард </w:t>
      </w:r>
      <w:r>
        <w:rPr>
          <w:rFonts w:ascii="Times New Roman" w:hAnsi="Times New Roman" w:cs="Times New Roman"/>
          <w:sz w:val="28"/>
          <w:szCs w:val="28"/>
          <w:lang w:val="uk-UA"/>
        </w:rPr>
        <w:t>[5]</w:t>
      </w:r>
      <w:r>
        <w:rPr>
          <w:rFonts w:ascii="Times New Roman" w:hAnsi="Times New Roman" w:cs="Times New Roman"/>
          <w:spacing w:val="10"/>
          <w:position w:val="2"/>
          <w:sz w:val="28"/>
          <w:lang w:val="uk-UA"/>
        </w:rPr>
        <w:t>.</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Такі види лабораторних досліджень служать основою для виліковування даного захворювання. Ця робота присвячена динаміці лабораторних показників у пацієнтів із інфарктом міокарда на різних періодах захворювання. </w:t>
      </w:r>
    </w:p>
    <w:p w:rsidR="00501ACB" w:rsidRDefault="00553C15">
      <w:pPr>
        <w:rPr>
          <w:rFonts w:ascii="Times New Roman" w:hAnsi="Times New Roman" w:cs="Times New Roman"/>
          <w:sz w:val="28"/>
          <w:lang w:val="uk-UA"/>
        </w:rPr>
      </w:pPr>
      <w:r>
        <w:rPr>
          <w:rFonts w:ascii="Times New Roman" w:hAnsi="Times New Roman" w:cs="Times New Roman"/>
          <w:i/>
          <w:spacing w:val="10"/>
          <w:position w:val="2"/>
          <w:sz w:val="28"/>
          <w:lang w:val="uk-UA"/>
        </w:rPr>
        <w:lastRenderedPageBreak/>
        <w:t xml:space="preserve">Актуальність роботи </w:t>
      </w:r>
      <w:r>
        <w:rPr>
          <w:rFonts w:ascii="Times New Roman" w:hAnsi="Times New Roman" w:cs="Times New Roman"/>
          <w:spacing w:val="10"/>
          <w:position w:val="2"/>
          <w:sz w:val="28"/>
          <w:lang w:val="uk-UA"/>
        </w:rPr>
        <w:t xml:space="preserve">полягає в тому, що </w:t>
      </w:r>
      <w:r>
        <w:rPr>
          <w:rFonts w:ascii="Times New Roman" w:hAnsi="Times New Roman" w:cs="Times New Roman"/>
          <w:sz w:val="28"/>
          <w:lang w:val="uk-UA"/>
        </w:rPr>
        <w:t>своєчасне виявлення змін лабораторних показників впливає на ранню діагностику та подальше лікування інфаркту із застосуванням певних препаратів.</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i/>
          <w:spacing w:val="10"/>
          <w:position w:val="2"/>
          <w:sz w:val="28"/>
          <w:lang w:val="uk-UA"/>
        </w:rPr>
        <w:t xml:space="preserve">Мета роботи: </w:t>
      </w:r>
      <w:r>
        <w:rPr>
          <w:rFonts w:ascii="Times New Roman" w:hAnsi="Times New Roman" w:cs="Times New Roman"/>
          <w:sz w:val="28"/>
          <w:lang w:val="uk-UA"/>
        </w:rPr>
        <w:t>проаналізувати результати лабораторних досліджень крові пацієнтів з різними формами інфаркту міокарду на різних стадіях захворювання</w:t>
      </w:r>
      <w:r>
        <w:rPr>
          <w:rFonts w:ascii="Times New Roman" w:hAnsi="Times New Roman" w:cs="Times New Roman"/>
          <w:b/>
          <w:sz w:val="28"/>
          <w:lang w:val="uk-UA"/>
        </w:rPr>
        <w:t xml:space="preserve"> </w:t>
      </w:r>
      <w:r>
        <w:rPr>
          <w:rFonts w:ascii="Times New Roman" w:hAnsi="Times New Roman" w:cs="Times New Roman"/>
          <w:sz w:val="28"/>
          <w:lang w:val="uk-UA"/>
        </w:rPr>
        <w:t>та виявити найбільш ефективний лабораторний маркер для діагностики цього патологічного стану.</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Для досягнення мети необхідно було вирішити такі завдання:</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1. Ознайомитися з літературою з даної теми.</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2. Ідентифікувати історії хвороби.</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3. Дослідити статистичні дані.</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4. Зробити детальний розбір лабораторних показників на різних етапах захворювання.</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5. Продемонструвати вплив деяких лікарських препаратів, які підвищують чи знижують рівень тих чи інших показників. </w:t>
      </w:r>
    </w:p>
    <w:p w:rsidR="00501ACB" w:rsidRDefault="00553C15">
      <w:pPr>
        <w:suppressLineNumbers/>
        <w:spacing w:line="360" w:lineRule="auto"/>
        <w:rPr>
          <w:rFonts w:ascii="Times New Roman" w:hAnsi="Times New Roman" w:cs="Times New Roman"/>
          <w:i/>
          <w:spacing w:val="10"/>
          <w:position w:val="2"/>
          <w:sz w:val="28"/>
          <w:lang w:val="uk-UA"/>
        </w:rPr>
      </w:pPr>
      <w:r>
        <w:rPr>
          <w:rFonts w:ascii="Times New Roman" w:hAnsi="Times New Roman" w:cs="Times New Roman"/>
          <w:i/>
          <w:spacing w:val="10"/>
          <w:position w:val="2"/>
          <w:sz w:val="28"/>
          <w:lang w:val="uk-UA"/>
        </w:rPr>
        <w:t>Об’єкт дослідження:</w:t>
      </w:r>
      <w:r>
        <w:rPr>
          <w:rFonts w:ascii="Times New Roman" w:hAnsi="Times New Roman" w:cs="Times New Roman"/>
          <w:sz w:val="28"/>
          <w:szCs w:val="28"/>
          <w:lang w:val="uk-UA"/>
        </w:rPr>
        <w:t xml:space="preserve"> пацієнти із інфарктом міокарда, що проходили лікування в «Харківській клінічній лікарні на залізнодорожному транспорті №1, акціонерного товариства Українська Залізниця, філії «ЦОЗ»».</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i/>
          <w:spacing w:val="10"/>
          <w:position w:val="2"/>
          <w:sz w:val="28"/>
          <w:lang w:val="uk-UA"/>
        </w:rPr>
        <w:t xml:space="preserve">Предмет дослідження: </w:t>
      </w:r>
      <w:r>
        <w:rPr>
          <w:rFonts w:ascii="Times New Roman" w:hAnsi="Times New Roman" w:cs="Times New Roman"/>
          <w:spacing w:val="10"/>
          <w:position w:val="2"/>
          <w:sz w:val="28"/>
          <w:lang w:val="uk-UA"/>
        </w:rPr>
        <w:t>біохімічні зміни показників крові у пацієнтів з інфарктом міокарду, а також інші</w:t>
      </w:r>
      <w:r>
        <w:rPr>
          <w:rFonts w:ascii="Times New Roman" w:hAnsi="Times New Roman" w:cs="Times New Roman"/>
          <w:i/>
          <w:spacing w:val="10"/>
          <w:position w:val="2"/>
          <w:sz w:val="28"/>
          <w:lang w:val="uk-UA"/>
        </w:rPr>
        <w:t xml:space="preserve"> </w:t>
      </w:r>
      <w:r>
        <w:rPr>
          <w:rFonts w:ascii="Times New Roman" w:hAnsi="Times New Roman" w:cs="Times New Roman"/>
          <w:spacing w:val="10"/>
          <w:position w:val="2"/>
          <w:sz w:val="28"/>
          <w:lang w:val="uk-UA"/>
        </w:rPr>
        <w:t>клінічні, інструментальні та лабораторні дані.</w:t>
      </w:r>
    </w:p>
    <w:p w:rsidR="00501ACB" w:rsidRDefault="00553C15">
      <w:pPr>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b/>
          <w:bCs/>
          <w:sz w:val="28"/>
          <w:szCs w:val="28"/>
          <w:lang w:val="uk-UA"/>
        </w:rPr>
        <w:t>Практичне значення отриманих результатів</w:t>
      </w:r>
      <w:r>
        <w:rPr>
          <w:rFonts w:ascii="Times New Roman" w:hAnsi="Times New Roman" w:cs="Times New Roman"/>
          <w:b/>
          <w:sz w:val="28"/>
          <w:szCs w:val="28"/>
          <w:shd w:val="clear" w:color="auto" w:fill="FFFFFF"/>
          <w:lang w:val="uk-UA"/>
        </w:rPr>
        <w:t>.</w:t>
      </w:r>
      <w:r>
        <w:rPr>
          <w:rFonts w:ascii="Times New Roman" w:hAnsi="Times New Roman" w:cs="Times New Roman"/>
          <w:sz w:val="28"/>
          <w:szCs w:val="28"/>
          <w:shd w:val="clear" w:color="auto" w:fill="FFFFFF"/>
          <w:lang w:val="uk-UA"/>
        </w:rPr>
        <w:t xml:space="preserve"> Було проведено аналіз літературних джерел та проаналізовано результати лабораторних досліджень. Проведено статичну обробку отриманої інформації. Результати і висновки даної роботи можуть бути використанні  для удосконалення діагностичного та лікувального процесу щодо ведення хворих з інфарктом міокарду.</w:t>
      </w:r>
    </w:p>
    <w:p w:rsidR="00501ACB" w:rsidRDefault="00553C15">
      <w:pPr>
        <w:suppressLineNumbers/>
        <w:spacing w:line="360" w:lineRule="auto"/>
        <w:jc w:val="center"/>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lastRenderedPageBreak/>
        <w:t xml:space="preserve">ОГЛЯД ЛІТЕРАТУРИ  </w:t>
      </w:r>
    </w:p>
    <w:p w:rsidR="00501ACB" w:rsidRDefault="00553C15">
      <w:pPr>
        <w:suppressLineNumbers/>
        <w:spacing w:line="360" w:lineRule="auto"/>
        <w:jc w:val="center"/>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t xml:space="preserve">РОЗДІЛ І. ТЕОРЕТИЧНІ ЗНАННЯ  </w:t>
      </w:r>
    </w:p>
    <w:p w:rsidR="00501ACB" w:rsidRDefault="00553C15">
      <w:pPr>
        <w:suppressLineNumbers/>
        <w:spacing w:line="360" w:lineRule="auto"/>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t xml:space="preserve">        1.1. Основні відомості інфаркту міокарда</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Інфаркт (від лат. infarctus, від лат. Infarcire) — начиняти, наповнювати, утискувати, тобто це набування некрозу в певній тканині чи то органу, внаслідок порушення кровопостачання, в результаті чого це виникає розглянемо згодом.</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Інфаркт міокарда – це вогнищевий некроз серцевого м’яза, а саме міокарда. Інфаркт міокарда виникає в результаті ішемічної хвороби серця. Частіше всього є наслідком закриття коронарної артерії, але може виникнути і внаслідок раптового зменшення об’єму циркулюючої крові або вмісту кисню </w:t>
      </w:r>
      <w:r>
        <w:rPr>
          <w:rFonts w:ascii="Times New Roman" w:hAnsi="Times New Roman" w:cs="Times New Roman"/>
          <w:sz w:val="28"/>
          <w:szCs w:val="28"/>
          <w:lang w:val="uk-UA"/>
        </w:rPr>
        <w:t>[12,4]</w:t>
      </w:r>
      <w:r>
        <w:rPr>
          <w:rFonts w:ascii="Times New Roman" w:hAnsi="Times New Roman" w:cs="Times New Roman"/>
          <w:spacing w:val="10"/>
          <w:position w:val="2"/>
          <w:sz w:val="28"/>
          <w:lang w:val="uk-UA"/>
        </w:rPr>
        <w:t>.</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Перший клінічний випадок був підтвердженим патологоанатомічним дослідженням. Клінічна картина була описана в 1910 році Образцовим і Стражеско, а також Геріком у 1912 році. Перший, хто з’ясував локалізацію ІМ за допомогою ЕКГ – це Парді. Паркінсон і Бедфорд у 1928 році описали 2 типи ЕКГ</w:t>
      </w:r>
      <w:r>
        <w:rPr>
          <w:rFonts w:ascii="Times New Roman" w:hAnsi="Times New Roman" w:cs="Times New Roman"/>
          <w:sz w:val="28"/>
          <w:szCs w:val="28"/>
          <w:lang w:val="uk-UA"/>
        </w:rPr>
        <w:t>[3,4]</w:t>
      </w:r>
      <w:r>
        <w:rPr>
          <w:rFonts w:ascii="Times New Roman" w:hAnsi="Times New Roman" w:cs="Times New Roman"/>
          <w:spacing w:val="10"/>
          <w:position w:val="2"/>
          <w:sz w:val="28"/>
          <w:lang w:val="uk-UA"/>
        </w:rPr>
        <w:t>. В залежності від локалізації в передній чи то в задній стінці лівого шлуночка визначали тип Т</w:t>
      </w:r>
      <w:r>
        <w:rPr>
          <w:rFonts w:ascii="Times New Roman" w:hAnsi="Times New Roman" w:cs="Times New Roman"/>
          <w:spacing w:val="10"/>
          <w:position w:val="2"/>
          <w:sz w:val="28"/>
          <w:vertAlign w:val="subscript"/>
          <w:lang w:val="uk-UA"/>
        </w:rPr>
        <w:t>1</w:t>
      </w:r>
      <w:r>
        <w:rPr>
          <w:rFonts w:ascii="Times New Roman" w:hAnsi="Times New Roman" w:cs="Times New Roman"/>
          <w:spacing w:val="10"/>
          <w:position w:val="2"/>
          <w:sz w:val="28"/>
          <w:lang w:val="uk-UA"/>
        </w:rPr>
        <w:t xml:space="preserve"> і тип Т</w:t>
      </w:r>
      <w:r>
        <w:rPr>
          <w:rFonts w:ascii="Times New Roman" w:hAnsi="Times New Roman" w:cs="Times New Roman"/>
          <w:spacing w:val="10"/>
          <w:position w:val="2"/>
          <w:sz w:val="28"/>
          <w:vertAlign w:val="subscript"/>
          <w:lang w:val="uk-UA"/>
        </w:rPr>
        <w:t>3</w:t>
      </w:r>
      <w:r>
        <w:rPr>
          <w:rFonts w:ascii="Times New Roman" w:hAnsi="Times New Roman" w:cs="Times New Roman"/>
          <w:spacing w:val="10"/>
          <w:position w:val="2"/>
          <w:sz w:val="28"/>
          <w:lang w:val="uk-UA"/>
        </w:rPr>
        <w:t>. В типі Т</w:t>
      </w:r>
      <w:r>
        <w:rPr>
          <w:rFonts w:ascii="Times New Roman" w:hAnsi="Times New Roman" w:cs="Times New Roman"/>
          <w:spacing w:val="10"/>
          <w:position w:val="2"/>
          <w:sz w:val="28"/>
          <w:vertAlign w:val="subscript"/>
          <w:lang w:val="uk-UA"/>
        </w:rPr>
        <w:t>1</w:t>
      </w:r>
      <w:r>
        <w:rPr>
          <w:rFonts w:ascii="Times New Roman" w:hAnsi="Times New Roman" w:cs="Times New Roman"/>
          <w:spacing w:val="10"/>
          <w:position w:val="2"/>
          <w:sz w:val="28"/>
          <w:lang w:val="uk-UA"/>
        </w:rPr>
        <w:t xml:space="preserve"> зубець Т негативний в І відведенні, в типі Т</w:t>
      </w:r>
      <w:r>
        <w:rPr>
          <w:rFonts w:ascii="Times New Roman" w:hAnsi="Times New Roman" w:cs="Times New Roman"/>
          <w:spacing w:val="10"/>
          <w:position w:val="2"/>
          <w:sz w:val="28"/>
          <w:vertAlign w:val="subscript"/>
          <w:lang w:val="uk-UA"/>
        </w:rPr>
        <w:t>3</w:t>
      </w:r>
      <w:r>
        <w:rPr>
          <w:rFonts w:ascii="Times New Roman" w:hAnsi="Times New Roman" w:cs="Times New Roman"/>
          <w:spacing w:val="10"/>
          <w:position w:val="2"/>
          <w:sz w:val="28"/>
          <w:lang w:val="uk-UA"/>
        </w:rPr>
        <w:t xml:space="preserve"> зубець Т негативний в ІІІ стандартному відведенні. Зі зміною зубця Т було також відхилення сегментів </w:t>
      </w:r>
      <w:r>
        <w:rPr>
          <w:rFonts w:ascii="Times New Roman" w:hAnsi="Times New Roman" w:cs="Times New Roman"/>
          <w:spacing w:val="10"/>
          <w:position w:val="2"/>
          <w:sz w:val="28"/>
          <w:lang w:val="en-US"/>
        </w:rPr>
        <w:t>S</w:t>
      </w:r>
      <w:r>
        <w:rPr>
          <w:rFonts w:ascii="Times New Roman" w:hAnsi="Times New Roman" w:cs="Times New Roman"/>
          <w:spacing w:val="10"/>
          <w:position w:val="2"/>
          <w:sz w:val="28"/>
          <w:lang w:val="uk-UA"/>
        </w:rPr>
        <w:t>-</w:t>
      </w:r>
      <w:r>
        <w:rPr>
          <w:rFonts w:ascii="Times New Roman" w:hAnsi="Times New Roman" w:cs="Times New Roman"/>
          <w:spacing w:val="10"/>
          <w:position w:val="2"/>
          <w:sz w:val="28"/>
          <w:lang w:val="en-US"/>
        </w:rPr>
        <w:t>T</w:t>
      </w:r>
      <w:r>
        <w:rPr>
          <w:rFonts w:ascii="Times New Roman" w:hAnsi="Times New Roman" w:cs="Times New Roman"/>
          <w:spacing w:val="10"/>
          <w:position w:val="2"/>
          <w:sz w:val="28"/>
          <w:lang w:val="uk-UA"/>
        </w:rPr>
        <w:t xml:space="preserve"> в І або ІІІ відведеннях.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Виділення ІМ з синдрому грудної жаби  дало можливість підкреслити особливість ІМ і розробити детальну діагностику </w:t>
      </w:r>
      <w:r>
        <w:rPr>
          <w:rFonts w:ascii="Times New Roman" w:hAnsi="Times New Roman" w:cs="Times New Roman"/>
          <w:sz w:val="28"/>
          <w:szCs w:val="28"/>
          <w:lang w:val="uk-UA"/>
        </w:rPr>
        <w:t>[30,13]</w:t>
      </w:r>
      <w:r>
        <w:rPr>
          <w:rFonts w:ascii="Times New Roman" w:hAnsi="Times New Roman" w:cs="Times New Roman"/>
          <w:spacing w:val="10"/>
          <w:position w:val="2"/>
          <w:sz w:val="28"/>
          <w:lang w:val="uk-UA"/>
        </w:rPr>
        <w:t xml:space="preserve">.  </w:t>
      </w:r>
    </w:p>
    <w:p w:rsidR="00501ACB" w:rsidRDefault="00553C15">
      <w:pPr>
        <w:suppressLineNumbers/>
        <w:spacing w:line="360" w:lineRule="auto"/>
        <w:rPr>
          <w:rFonts w:ascii="Times New Roman" w:hAnsi="Times New Roman" w:cs="Times New Roman"/>
          <w:b/>
          <w:spacing w:val="10"/>
          <w:position w:val="2"/>
          <w:sz w:val="28"/>
          <w:lang w:val="uk-UA"/>
        </w:rPr>
      </w:pPr>
      <w:r>
        <w:rPr>
          <w:rFonts w:ascii="Times New Roman" w:hAnsi="Times New Roman" w:cs="Times New Roman"/>
          <w:b/>
          <w:spacing w:val="10"/>
          <w:position w:val="2"/>
          <w:sz w:val="28"/>
          <w:lang w:val="uk-UA"/>
        </w:rPr>
        <w:t xml:space="preserve">        1.2. Етіологічні та етіопатогенетичні чинники</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Етіологічним чинником є атеросклеротичне ураження коронарних артерій, а також коронаротромбоз, коронаросклероз і коронароспазм із оклюзією. </w:t>
      </w:r>
      <w:r>
        <w:rPr>
          <w:rFonts w:ascii="Times New Roman" w:hAnsi="Times New Roman" w:cs="Times New Roman"/>
          <w:spacing w:val="10"/>
          <w:position w:val="2"/>
          <w:sz w:val="28"/>
          <w:lang w:val="uk-UA"/>
        </w:rPr>
        <w:lastRenderedPageBreak/>
        <w:t xml:space="preserve">Коронаротромбоз виникає внаслідок порушення коронарного кровопостачання до серцевого м’яза і як наслідок виникає тромбоз судини.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Серед етіопатогенетичних факторів виділяють такі:</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Запальні зміни коронарних артерій</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До цих змін відноситься запалення коронарних артерій, яке поділяється на інфекційне, ревматичне, анафілактичне та ін. В деяких випадках стафілококова, стрептококова та інші інфекції здатні викликати запалення з подальшим розвитком тромбу, внаслідок якого відбувається закупорка артерій </w:t>
      </w:r>
      <w:r>
        <w:rPr>
          <w:rFonts w:ascii="Times New Roman" w:hAnsi="Times New Roman" w:cs="Times New Roman"/>
          <w:sz w:val="28"/>
          <w:szCs w:val="28"/>
          <w:lang w:val="uk-UA"/>
        </w:rPr>
        <w:t>[11,7]</w:t>
      </w:r>
      <w:r>
        <w:rPr>
          <w:rFonts w:ascii="Times New Roman" w:hAnsi="Times New Roman" w:cs="Times New Roman"/>
          <w:spacing w:val="10"/>
          <w:position w:val="2"/>
          <w:sz w:val="28"/>
          <w:lang w:val="uk-UA"/>
        </w:rPr>
        <w:t xml:space="preserve">.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Гостра ревматична хвороба</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Призводить до розвитку гіалінових змін та дрібноклітинних інфільтратів, які звужують просвіт артерій. У такому випадку закриття венозної артерії відбувається рідко. У хворих з ревматичними клапанними вадами серця, інфаркт з’являється більше у дорослому віці; при кальцифікації клапанів з’являється частіше у молодших осіб. У такому випадку інфаркт може супроводжуватись і без больового синдрому, але буде проявлятись набряком легенів або посиленою правошлуночковою недостатністю кровообігу </w:t>
      </w:r>
      <w:r>
        <w:rPr>
          <w:rFonts w:ascii="Times New Roman" w:hAnsi="Times New Roman" w:cs="Times New Roman"/>
          <w:sz w:val="28"/>
          <w:szCs w:val="28"/>
          <w:lang w:val="uk-UA"/>
        </w:rPr>
        <w:t>[12, 8]</w:t>
      </w:r>
      <w:r>
        <w:rPr>
          <w:rFonts w:ascii="Times New Roman" w:hAnsi="Times New Roman" w:cs="Times New Roman"/>
          <w:spacing w:val="10"/>
          <w:position w:val="2"/>
          <w:sz w:val="28"/>
          <w:lang w:val="uk-UA"/>
        </w:rPr>
        <w:t xml:space="preserve">.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Облітеруюче тромботичне запалення венозної артерії</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 Цей вид запалення призводить до закриття венозних артерій зустрічається досить рідко.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Алергічні розлади</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Мають значну роль в етіопатогенезі ІМ. ІМ може виникнути на фоні алергічної реакції у хворого, якого вжалила бджола або ж інша комаха.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Природжені аномалії коронарних артерій</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lastRenderedPageBreak/>
        <w:t xml:space="preserve">Ці аномалії, особливо це відхід лівої венозної артерії з легеневої артерії, можуть викликати ІМ.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Зловживання алкогольних напоїв</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ІМ у хронічного алкоголіка характеризується тяжким перебігом і летальним кінцем.  Хоча гостре отруєння алкогольним напоєм не викликає тромбоз венозної артерії </w:t>
      </w:r>
      <w:r>
        <w:rPr>
          <w:rFonts w:ascii="Times New Roman" w:hAnsi="Times New Roman" w:cs="Times New Roman"/>
          <w:sz w:val="28"/>
          <w:szCs w:val="28"/>
          <w:lang w:val="uk-UA"/>
        </w:rPr>
        <w:t>[9, 24]</w:t>
      </w:r>
      <w:r>
        <w:rPr>
          <w:rFonts w:ascii="Times New Roman" w:hAnsi="Times New Roman" w:cs="Times New Roman"/>
          <w:spacing w:val="10"/>
          <w:position w:val="2"/>
          <w:sz w:val="28"/>
          <w:lang w:val="uk-UA"/>
        </w:rPr>
        <w:t>.</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Вживання кави</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Етіологічний зв'язок між вживанням кави і коронарною хворобою ще не доведено до кінця. Так як при виконанні досліджень не було виявлено підвищення рівня холестерину після вживання кофеїну, хоча наглядно спостерігалось підвищення рівня вільних жирних кислот, які залежать від посиленої секреції катехоламінів під дією кофеїну.</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 Окис вуглецю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Лише в деяких випадках можна вважати, що окис вуглецю та його вихлопні гази є етіопатогенетичним фактором ІМ. Були виявлені декілька випадків, коли постійне вдихання вихлопних газів розглядалось як один з етіологічних чинників захворювання. У випадках з гострим отруєнням окисом вуглецю виявляють не ІМ, а більше ознаки гостро коронарної недостатності без інфаркту </w:t>
      </w:r>
      <w:r>
        <w:rPr>
          <w:rFonts w:ascii="Times New Roman" w:hAnsi="Times New Roman" w:cs="Times New Roman"/>
          <w:sz w:val="28"/>
          <w:szCs w:val="28"/>
          <w:lang w:val="uk-UA"/>
        </w:rPr>
        <w:t>[18, 1]</w:t>
      </w:r>
      <w:r>
        <w:rPr>
          <w:rFonts w:ascii="Times New Roman" w:hAnsi="Times New Roman" w:cs="Times New Roman"/>
          <w:spacing w:val="10"/>
          <w:position w:val="2"/>
          <w:sz w:val="28"/>
          <w:lang w:val="uk-UA"/>
        </w:rPr>
        <w:t xml:space="preserve">.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Хронічний легенево-серцевий синдром</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Цей чинник не впливає на частоту виникнення ІМ, але впливає безпосередньо на його перебіг. Коронарний біль з’являється рідко, спостерігається колапс і раптова зупинка постачання кровообігу. Рідка поява ІМ в осіб, які хворіють додатково ще емфіземою легень і частий безсимптомний перебіг ІМ поясняється утворенням колатерального кровообігу, у зв’язку з хронічною гіпоксемією </w:t>
      </w:r>
      <w:r>
        <w:rPr>
          <w:rFonts w:ascii="Times New Roman" w:hAnsi="Times New Roman" w:cs="Times New Roman"/>
          <w:sz w:val="28"/>
          <w:szCs w:val="28"/>
          <w:lang w:val="uk-UA"/>
        </w:rPr>
        <w:t>[12, 31]</w:t>
      </w:r>
      <w:r>
        <w:rPr>
          <w:rFonts w:ascii="Times New Roman" w:hAnsi="Times New Roman" w:cs="Times New Roman"/>
          <w:spacing w:val="10"/>
          <w:position w:val="2"/>
          <w:sz w:val="28"/>
          <w:lang w:val="uk-UA"/>
        </w:rPr>
        <w:t>.</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lastRenderedPageBreak/>
        <w:t>- Еритремія</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Еритремія може викликати тромботичні ускладнення у венозному кровообігу, у зв’язку зі зростанням в’язкості крові та уповільненням кровообігу.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 Гіпотиреоз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Поміж гіпотиреозом і коронарним захворюванням є етіологічний зв'язок. Мікседема посилює атеросклероз артерій завдяки гіперхолестерінемії. Частіше всього симптом грудної жаби з’являється у тих, хто приймає препарати для ЩЗ задля посилення роботи серця. При патологоанатомічному обстеженні у пацієнтів з мікседемою виявляють закриття венозних артерій і, як наслідок, ІМ </w:t>
      </w:r>
      <w:r>
        <w:rPr>
          <w:rFonts w:ascii="Times New Roman" w:hAnsi="Times New Roman" w:cs="Times New Roman"/>
          <w:sz w:val="28"/>
          <w:szCs w:val="28"/>
          <w:lang w:val="uk-UA"/>
        </w:rPr>
        <w:t>[9, 14]</w:t>
      </w:r>
      <w:r>
        <w:rPr>
          <w:rFonts w:ascii="Times New Roman" w:hAnsi="Times New Roman" w:cs="Times New Roman"/>
          <w:spacing w:val="10"/>
          <w:position w:val="2"/>
          <w:sz w:val="28"/>
          <w:lang w:val="uk-UA"/>
        </w:rPr>
        <w:t xml:space="preserve">.   </w:t>
      </w:r>
    </w:p>
    <w:p w:rsidR="00501ACB" w:rsidRDefault="00553C15">
      <w:pPr>
        <w:suppressLineNumbers/>
        <w:spacing w:line="360" w:lineRule="auto"/>
        <w:rPr>
          <w:rFonts w:ascii="Times New Roman" w:hAnsi="Times New Roman" w:cs="Times New Roman"/>
          <w:b/>
          <w:spacing w:val="10"/>
          <w:position w:val="2"/>
          <w:sz w:val="28"/>
          <w:lang w:val="uk-UA"/>
        </w:rPr>
      </w:pPr>
      <w:r>
        <w:rPr>
          <w:rFonts w:ascii="Times New Roman" w:hAnsi="Times New Roman" w:cs="Times New Roman"/>
          <w:spacing w:val="10"/>
          <w:position w:val="2"/>
          <w:sz w:val="28"/>
          <w:lang w:val="uk-UA"/>
        </w:rPr>
        <w:t xml:space="preserve">      </w:t>
      </w:r>
      <w:r>
        <w:rPr>
          <w:rFonts w:ascii="Times New Roman" w:hAnsi="Times New Roman" w:cs="Times New Roman"/>
          <w:b/>
          <w:spacing w:val="10"/>
          <w:position w:val="2"/>
          <w:sz w:val="28"/>
          <w:lang w:val="uk-UA"/>
        </w:rPr>
        <w:t xml:space="preserve">1.3. Фактори ризику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Серед факторів ризику відокремлюють модифіковані, яких можна уникнути протягом життя та не модифіковані на які ніяк вплинути не можна.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До модифікованих факторів ризику на захворюваність інфаркту міокарда відноситься вік, стать і спадковість, яка відіграє важливу роль.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У чоловіків ІМ вражає в більш ранньому віці і в 4-5 разів частіше, ніж у жінок. Захворюваність на ІМ завжди змінюється. У вік 40-49 років припадає 9 чоловіків і 1 жінка, у віці 80-89 років кількість хворих дорівнює порівну. Ці відміни залежать від впливу статевих гормонів, бо з появою менопаузи жінка втрачає свою відносну несприйнятливість </w:t>
      </w:r>
      <w:r>
        <w:rPr>
          <w:rFonts w:ascii="Times New Roman" w:hAnsi="Times New Roman" w:cs="Times New Roman"/>
          <w:sz w:val="28"/>
          <w:szCs w:val="28"/>
          <w:lang w:val="uk-UA"/>
        </w:rPr>
        <w:t>[17, 22]</w:t>
      </w:r>
      <w:r>
        <w:rPr>
          <w:rFonts w:ascii="Times New Roman" w:hAnsi="Times New Roman" w:cs="Times New Roman"/>
          <w:spacing w:val="10"/>
          <w:position w:val="2"/>
          <w:sz w:val="28"/>
          <w:lang w:val="uk-UA"/>
        </w:rPr>
        <w:t xml:space="preserve">. Передчасна поява менопаузи збільшує ризик появи ІМ. Імунітет жінок визначається не лише гормонами, а й тим, що присутня менша товщина інтими артерій і різний спосіб життя.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У нижченаведеному тексті показана ʺДинаміка показників гострого інфаркту міокарда в м. Харкові в залежності від статі.ʺ</w:t>
      </w:r>
    </w:p>
    <w:p w:rsidR="00501ACB" w:rsidRDefault="00501ACB">
      <w:pPr>
        <w:suppressLineNumbers/>
        <w:spacing w:line="360" w:lineRule="auto"/>
        <w:rPr>
          <w:rFonts w:ascii="Times New Roman" w:hAnsi="Times New Roman" w:cs="Times New Roman"/>
          <w:spacing w:val="10"/>
          <w:position w:val="2"/>
          <w:sz w:val="28"/>
          <w:lang w:val="uk-UA"/>
        </w:rPr>
      </w:pPr>
    </w:p>
    <w:p w:rsidR="00501ACB" w:rsidRDefault="00553C15">
      <w:pPr>
        <w:suppressLineNumbers/>
        <w:spacing w:line="360" w:lineRule="auto"/>
        <w:jc w:val="center"/>
        <w:rPr>
          <w:rFonts w:ascii="Times New Roman" w:hAnsi="Times New Roman" w:cs="Times New Roman"/>
          <w:spacing w:val="10"/>
          <w:position w:val="2"/>
          <w:sz w:val="28"/>
          <w:lang w:val="en-US"/>
        </w:rPr>
      </w:pPr>
      <w:r>
        <w:rPr>
          <w:rFonts w:ascii="Times New Roman" w:hAnsi="Times New Roman" w:cs="Times New Roman"/>
          <w:noProof/>
          <w:spacing w:val="10"/>
          <w:position w:val="2"/>
          <w:sz w:val="28"/>
          <w:lang w:eastAsia="ru-RU"/>
        </w:rPr>
        <w:lastRenderedPageBreak/>
        <mc:AlternateContent>
          <mc:Choice Requires="wps">
            <w:drawing>
              <wp:anchor distT="0" distB="0" distL="0" distR="0" simplePos="0" relativeHeight="2" behindDoc="0" locked="0" layoutInCell="1" allowOverlap="1">
                <wp:simplePos x="0" y="0"/>
                <wp:positionH relativeFrom="column">
                  <wp:posOffset>290302</wp:posOffset>
                </wp:positionH>
                <wp:positionV relativeFrom="paragraph">
                  <wp:posOffset>-379730</wp:posOffset>
                </wp:positionV>
                <wp:extent cx="5868833" cy="382270"/>
                <wp:effectExtent l="0" t="0" r="17780" b="17780"/>
                <wp:wrapNone/>
                <wp:docPr id="1026" name="Поле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68833" cy="382270"/>
                        </a:xfrm>
                        <a:prstGeom prst="rect">
                          <a:avLst/>
                        </a:prstGeom>
                        <a:solidFill>
                          <a:srgbClr val="FFFFFF"/>
                        </a:solidFill>
                        <a:ln w="6350" cap="flat" cmpd="sng">
                          <a:solidFill>
                            <a:srgbClr val="000000"/>
                          </a:solidFill>
                          <a:prstDash val="solid"/>
                          <a:round/>
                          <a:headEnd/>
                          <a:tailEnd/>
                        </a:ln>
                      </wps:spPr>
                      <wps:txbx>
                        <w:txbxContent>
                          <w:p w:rsidR="00501ACB" w:rsidRDefault="00553C15">
                            <w:pPr>
                              <w:rPr>
                                <w:rFonts w:ascii="Times New Roman" w:hAnsi="Times New Roman" w:cs="Times New Roman"/>
                                <w:sz w:val="24"/>
                              </w:rPr>
                            </w:pPr>
                            <w:r>
                              <w:rPr>
                                <w:rFonts w:ascii="Times New Roman" w:hAnsi="Times New Roman" w:cs="Times New Roman"/>
                                <w:sz w:val="24"/>
                              </w:rPr>
                              <w:t>Динаміка показників гострого інфаркту міокарда в м. Харкові в залежності від статі</w:t>
                            </w:r>
                          </w:p>
                        </w:txbxContent>
                      </wps:txbx>
                      <wps:bodyPr vert="horz" wrap="square" lIns="91440" tIns="45720" rIns="91440" bIns="45720" anchor="t">
                        <a:prstTxWarp prst="textNoShape">
                          <a:avLst/>
                        </a:prstTxWarp>
                        <a:noAutofit/>
                      </wps:bodyPr>
                    </wps:wsp>
                  </a:graphicData>
                </a:graphic>
                <wp14:sizeRelH relativeFrom="margin">
                  <wp14:pctWidth>0</wp14:pctWidth>
                </wp14:sizeRelH>
              </wp:anchor>
            </w:drawing>
          </mc:Choice>
          <mc:Fallback xmlns:wpsCustomData="http://www.wps.cn/officeDocument/2013/wpsCustomData">
            <w:pict>
              <v:rect id="1026" fillcolor="white" stroked="t" style="position:absolute;margin-left:22.86pt;margin-top:-29.9pt;width:462.11pt;height:30.1pt;z-index:2;mso-position-horizontal-relative:text;mso-position-vertical-relative:text;mso-width-percent:0;mso-width-relative:margin;mso-height-relative:page;mso-wrap-distance-left:0.0pt;mso-wrap-distance-right:0.0pt;visibility:visible;">
                <v:stroke weight="0.5pt"/>
                <v:fill/>
                <v:textbox inset="7.2pt,3.6pt,7.2pt,3.6pt">
                  <w:txbxContent>
                    <w:p>
                      <w:pPr>
                        <w:pStyle w:val="style0"/>
                        <w:rPr>
                          <w:rFonts w:ascii="Times New Roman" w:cs="Times New Roman" w:hAnsi="Times New Roman"/>
                          <w:sz w:val="24"/>
                        </w:rPr>
                      </w:pPr>
                      <w:r>
                        <w:rPr>
                          <w:rFonts w:ascii="Times New Roman" w:cs="Times New Roman" w:hAnsi="Times New Roman"/>
                          <w:sz w:val="24"/>
                        </w:rPr>
                        <w:t>Динаміка показників гострого інфаркту міокарда в м. Харкові в залежності від статі</w:t>
                      </w:r>
                    </w:p>
                  </w:txbxContent>
                </v:textbox>
              </v:rect>
            </w:pict>
          </mc:Fallback>
        </mc:AlternateContent>
      </w:r>
      <w:r>
        <w:rPr>
          <w:rFonts w:ascii="Times New Roman" w:hAnsi="Times New Roman" w:cs="Times New Roman"/>
          <w:noProof/>
          <w:spacing w:val="10"/>
          <w:position w:val="2"/>
          <w:sz w:val="28"/>
          <w:lang w:eastAsia="ru-RU"/>
        </w:rPr>
        <w:drawing>
          <wp:inline distT="0" distB="0" distL="114300" distR="114300">
            <wp:extent cx="4976037" cy="2785730"/>
            <wp:effectExtent l="0" t="0" r="0" b="0"/>
            <wp:docPr id="102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Також визначається значний вплив віку на перебіг хвороби. Протягом перших тижнів летальний кінець зростає у пацієнтів, хто має вік вище 50 років і подвоюється він на 70 році. Більш частою причиною смертності є гостра недостатність кровообігу та розрив серця </w:t>
      </w:r>
      <w:r>
        <w:rPr>
          <w:rFonts w:ascii="Times New Roman" w:hAnsi="Times New Roman" w:cs="Times New Roman"/>
          <w:sz w:val="28"/>
          <w:szCs w:val="28"/>
          <w:lang w:val="uk-UA"/>
        </w:rPr>
        <w:t>[12]</w:t>
      </w:r>
      <w:r>
        <w:rPr>
          <w:rFonts w:ascii="Times New Roman" w:hAnsi="Times New Roman" w:cs="Times New Roman"/>
          <w:spacing w:val="10"/>
          <w:position w:val="2"/>
          <w:sz w:val="28"/>
          <w:lang w:val="uk-UA"/>
        </w:rPr>
        <w:t xml:space="preserve">.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У клінічній картині теж є різниці. У дорослому віці хвороба часто не супроводжується больовим синдромом або ж присутній біль лише незначний та нетиповий . Початок також менш гострий, температура підвищується незначно. Пік зростання трансаміназ дещо знижено у старечих людей. Підвищення рівня трансаміназ дає можливість оцінити розміри інфаркту.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Також доречно зазначити, що гіпертонія частішає пропорційно віку. У віковій групі вище 70 років захворюваності її в 3-4 рази вище, аніж у групи осіб, яким до 40 років </w:t>
      </w:r>
      <w:r>
        <w:rPr>
          <w:rFonts w:ascii="Times New Roman" w:hAnsi="Times New Roman" w:cs="Times New Roman"/>
          <w:sz w:val="28"/>
          <w:szCs w:val="28"/>
          <w:lang w:val="uk-UA"/>
        </w:rPr>
        <w:t>[12]</w:t>
      </w:r>
      <w:r>
        <w:rPr>
          <w:rFonts w:ascii="Times New Roman" w:hAnsi="Times New Roman" w:cs="Times New Roman"/>
          <w:spacing w:val="10"/>
          <w:position w:val="2"/>
          <w:sz w:val="28"/>
          <w:lang w:val="uk-UA"/>
        </w:rPr>
        <w:t xml:space="preserve">.  Гіпертрофія і розширення шлуночків, викликані гіпертонією підвищує ризик летальності. У віці 40-70 років випадки на цукровий діабет збільшується в 3 рази.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З перебігом віку знижаються якісні властивості серцевого м’яза і загальна резистентність організму.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Останній модифікований фактор – спадковість. На сьогоднішній день, генетика відіграє велику значущість в ролі передачі захворювань нащадкам. </w:t>
      </w:r>
      <w:r>
        <w:rPr>
          <w:rFonts w:ascii="Times New Roman" w:hAnsi="Times New Roman" w:cs="Times New Roman"/>
          <w:spacing w:val="10"/>
          <w:position w:val="2"/>
          <w:sz w:val="28"/>
          <w:lang w:val="uk-UA"/>
        </w:rPr>
        <w:lastRenderedPageBreak/>
        <w:t xml:space="preserve">Якщо серед родичів хтось перехворів на інфаркт міокарда, то ще до народження дитини буде зрозуміло, що та дитина зможе повноцінно теж це перенести, але це не остаточний результат розвитку хвороби </w:t>
      </w:r>
      <w:r>
        <w:rPr>
          <w:rFonts w:ascii="Times New Roman" w:hAnsi="Times New Roman" w:cs="Times New Roman"/>
          <w:sz w:val="28"/>
          <w:szCs w:val="28"/>
          <w:lang w:val="uk-UA"/>
        </w:rPr>
        <w:t>[33, 5]</w:t>
      </w:r>
      <w:r>
        <w:rPr>
          <w:rFonts w:ascii="Times New Roman" w:hAnsi="Times New Roman" w:cs="Times New Roman"/>
          <w:spacing w:val="10"/>
          <w:position w:val="2"/>
          <w:sz w:val="28"/>
          <w:lang w:val="uk-UA"/>
        </w:rPr>
        <w:t xml:space="preserve">.  Є інші фактори, завдяки яким можна змінити спосіб життя і зберегти своє подальше життя.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До не модифікованих факторів належить зловживання курінням, алкоголем, ожиріння та ін. фактори.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 Найважливішим не модифікованим фактором вважається надлишкова вага або ожиріння різного ступеня. За статистичними даними зазначається, що на 2019 рік в Україні лише 39,6% українців мали нормальну вагу ,тоді як 59,1% мали надмірну вагу і 24,8% мали ожиріння. Ці дані зазначені в результатах дослідження STEPS щодо поширеності факторів ризику неінфекційних захворювань в Україні. І як ви бачите, статистичні дані на ожиріння зростають, не знижуються. А особливо хочу зазначити, що ожиріння зростає серед дітей та підлітків </w:t>
      </w:r>
      <w:r>
        <w:rPr>
          <w:rFonts w:ascii="Times New Roman" w:hAnsi="Times New Roman" w:cs="Times New Roman"/>
          <w:sz w:val="28"/>
          <w:szCs w:val="28"/>
          <w:lang w:val="uk-UA"/>
        </w:rPr>
        <w:t>[32]</w:t>
      </w:r>
      <w:r>
        <w:rPr>
          <w:rFonts w:ascii="Times New Roman" w:hAnsi="Times New Roman" w:cs="Times New Roman"/>
          <w:spacing w:val="10"/>
          <w:position w:val="2"/>
          <w:sz w:val="28"/>
          <w:lang w:val="uk-UA"/>
        </w:rPr>
        <w:t>.</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Другий фактор – підвищений артеріальний тиск. Нині кожен третій українець має підвищений тиск. Артеріальну гіпертензію виявляють у 25% українців серед дорослого населення. У першу чергу це стосується пацієнтів із коронарною хворобою, у яких діастолічний тиск сягає 100 мм.рт.ст. і більше. Така кореляція не спостерігається у хворих з підвищеним систолічним тиском. У хворих із артеріальною гіпертонією атеросклероз венозних і мозкових артерій проходить більш тяжче, аніж у осіб із нормальним тиском.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При профілактиці треба звертати увагу на ті фактори, що провокують ріст артеріальної гіпертонії, такі як ожиріння, цукровий діабет, надмірне вживання солі </w:t>
      </w:r>
      <w:r>
        <w:rPr>
          <w:rFonts w:ascii="Times New Roman" w:hAnsi="Times New Roman" w:cs="Times New Roman"/>
          <w:sz w:val="28"/>
          <w:szCs w:val="28"/>
          <w:lang w:val="uk-UA"/>
        </w:rPr>
        <w:t>[3, 20]</w:t>
      </w:r>
      <w:r>
        <w:rPr>
          <w:rFonts w:ascii="Times New Roman" w:hAnsi="Times New Roman" w:cs="Times New Roman"/>
          <w:spacing w:val="10"/>
          <w:position w:val="2"/>
          <w:sz w:val="28"/>
          <w:lang w:val="uk-UA"/>
        </w:rPr>
        <w:t>.</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Третій фактор – вживання алкоголю та тютюнопаління. Зловживання алкоголю підвищує артеріальний тиск, гіпертрофію м’язу і в подальшому, як </w:t>
      </w:r>
      <w:r>
        <w:rPr>
          <w:rFonts w:ascii="Times New Roman" w:hAnsi="Times New Roman" w:cs="Times New Roman"/>
          <w:spacing w:val="10"/>
          <w:position w:val="2"/>
          <w:sz w:val="28"/>
          <w:lang w:val="uk-UA"/>
        </w:rPr>
        <w:lastRenderedPageBreak/>
        <w:t xml:space="preserve">наслідок розвиток інфаркту міокарду та інсульту, внаслідок  порушення кровопостачання.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За статичними даними 68,8% українців палять і це, не рахуючи дані українців, які зловживають кальяном. Нікотин збільшує частоту патологій артеріального тиску шляхом звільнення катехоламінів, може викликати зростання кров’яного тиску та хвилинний об’єм серця. Нікотин підвищує вживання кисню міокардом, що призводить до розвитку аритмій </w:t>
      </w:r>
      <w:r>
        <w:rPr>
          <w:rFonts w:ascii="Times New Roman" w:hAnsi="Times New Roman" w:cs="Times New Roman"/>
          <w:sz w:val="28"/>
          <w:szCs w:val="28"/>
          <w:lang w:val="uk-UA"/>
        </w:rPr>
        <w:t>[12]</w:t>
      </w:r>
      <w:r>
        <w:rPr>
          <w:rFonts w:ascii="Times New Roman" w:hAnsi="Times New Roman" w:cs="Times New Roman"/>
          <w:spacing w:val="10"/>
          <w:position w:val="2"/>
          <w:sz w:val="28"/>
          <w:lang w:val="uk-UA"/>
        </w:rPr>
        <w:t>.  Тютюнопаління діє мобілізуючим чином на ліпіди. Доведено, що летальність була більше у курців молодої вікової групи.</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Далі хочу підкреслити такі фактори, як: знижена фізична активність, психоемоційні навантаження, стреси, нераціональне харчування, підвищений рівень цукру в крові та підвищений рівень холестерину.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На сьогоднішній день, психоемоційні навантаження і стреси впливають на ризик даної хвороби. Завдяки почуттю страху буде підвищуватись кров’яний тиск. Емоційні фактори впливають згубно на ліпіди, що може призвести до ожиріння </w:t>
      </w:r>
      <w:r>
        <w:rPr>
          <w:rFonts w:ascii="Times New Roman" w:hAnsi="Times New Roman" w:cs="Times New Roman"/>
          <w:sz w:val="28"/>
          <w:szCs w:val="28"/>
          <w:lang w:val="uk-UA"/>
        </w:rPr>
        <w:t>[6, 24]</w:t>
      </w:r>
      <w:r>
        <w:rPr>
          <w:rFonts w:ascii="Times New Roman" w:hAnsi="Times New Roman" w:cs="Times New Roman"/>
          <w:spacing w:val="10"/>
          <w:position w:val="2"/>
          <w:sz w:val="28"/>
          <w:lang w:val="uk-UA"/>
        </w:rPr>
        <w:t>.</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Фізична активність може полегшити деякі ускладнення ІМ шляхом розширення просвіту коронарних артерій та посилення колатерального кровообігу. Патологоанатомічно виявляють, що просвіт судин у не пошкоджених інфарктом ділянках був у пацієнтах, що займаються фізичними вправами, ширше ніж в іншій групі. Під впливом фізичної активності концентрація катехоламінів у міокарді знижується, рідше з’являються аритмії та підвищується м’язова маса лівого шлуночка. Фізичні вправи здатні зменшити кількість пребеталіпопротеїдів і знизити рівень тригліцеридів у сироватці </w:t>
      </w:r>
      <w:r>
        <w:rPr>
          <w:rFonts w:ascii="Times New Roman" w:hAnsi="Times New Roman" w:cs="Times New Roman"/>
          <w:sz w:val="28"/>
          <w:szCs w:val="28"/>
          <w:lang w:val="uk-UA"/>
        </w:rPr>
        <w:t>[6, 11]</w:t>
      </w:r>
      <w:r>
        <w:rPr>
          <w:rFonts w:ascii="Times New Roman" w:hAnsi="Times New Roman" w:cs="Times New Roman"/>
          <w:spacing w:val="10"/>
          <w:position w:val="2"/>
          <w:sz w:val="28"/>
          <w:lang w:val="uk-UA"/>
        </w:rPr>
        <w:t xml:space="preserve">.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Гіперглікемія – фактор, що передує коронарній хворобі в поєднанні з гіперліпідемією. Серед пацієнтів із діабетом часто зазначається артеріальна гіпертонія, яка має важливу роль при пошкодженні інтими артерії, що дає </w:t>
      </w:r>
      <w:r>
        <w:rPr>
          <w:rFonts w:ascii="Times New Roman" w:hAnsi="Times New Roman" w:cs="Times New Roman"/>
          <w:spacing w:val="10"/>
          <w:position w:val="2"/>
          <w:sz w:val="28"/>
          <w:lang w:val="uk-UA"/>
        </w:rPr>
        <w:lastRenderedPageBreak/>
        <w:t xml:space="preserve">початок атеросклерозу. При профілактиці варто звернути увагу на компенсацію порушень вуглеводного обміну шляхом застосування коректної дієти.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Гіперліпідемія спостерігається у хворих із високим рівнем холестерину, що призводить до розвитку ІМ. Рівень холестерину в сироватці крові зростає з віком </w:t>
      </w:r>
      <w:r>
        <w:rPr>
          <w:rFonts w:ascii="Times New Roman" w:hAnsi="Times New Roman" w:cs="Times New Roman"/>
          <w:sz w:val="28"/>
          <w:szCs w:val="28"/>
          <w:lang w:val="uk-UA"/>
        </w:rPr>
        <w:t>[5]</w:t>
      </w:r>
      <w:r>
        <w:rPr>
          <w:rFonts w:ascii="Times New Roman" w:hAnsi="Times New Roman" w:cs="Times New Roman"/>
          <w:spacing w:val="10"/>
          <w:position w:val="2"/>
          <w:sz w:val="28"/>
          <w:lang w:val="uk-UA"/>
        </w:rPr>
        <w:t>.</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Поєднання факторів ризику. Зі зростанням кількості факторів у даних осіб підвищується і схильність до появи атеросклерозу і його ускладнення. Підвищення рівня холестерину вище 6.5 ммоль, підвищення діастолічного тиску вище 12,7 кПа та тютюнопаління складають 3 головних фактора ризику. В осіб із цими трьома чинниками, перші прояви коронарної хвороби виявляють у 8 разів частіше, аніж в осіб без факторів ризику </w:t>
      </w:r>
      <w:r>
        <w:rPr>
          <w:rFonts w:ascii="Times New Roman" w:hAnsi="Times New Roman" w:cs="Times New Roman"/>
          <w:sz w:val="28"/>
          <w:szCs w:val="28"/>
          <w:lang w:val="uk-UA"/>
        </w:rPr>
        <w:t>[8,9]</w:t>
      </w:r>
      <w:r>
        <w:rPr>
          <w:rFonts w:ascii="Times New Roman" w:hAnsi="Times New Roman" w:cs="Times New Roman"/>
          <w:spacing w:val="10"/>
          <w:position w:val="2"/>
          <w:sz w:val="28"/>
          <w:lang w:val="uk-UA"/>
        </w:rPr>
        <w:t>.  Сукупність високої концентрації холестерину і тригліцеридів у сироватці крові підвищується незначно. Підтверджується і значення сукупності двох факторів такі, як гіперглікемія та гіпертригліцеридемія, що є передвісником ІМ і коронарної хвороби.</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Підсумовуючи вище сказане зауважу,  що кожен фактор ризику має безпосередній вплив на систему кровообігу.</w:t>
      </w:r>
    </w:p>
    <w:p w:rsidR="00501ACB" w:rsidRDefault="00553C15">
      <w:pPr>
        <w:suppressLineNumbers/>
        <w:spacing w:line="360" w:lineRule="auto"/>
        <w:rPr>
          <w:rFonts w:ascii="Times New Roman" w:hAnsi="Times New Roman" w:cs="Times New Roman"/>
          <w:b/>
          <w:spacing w:val="10"/>
          <w:position w:val="2"/>
          <w:sz w:val="28"/>
          <w:lang w:val="uk-UA"/>
        </w:rPr>
      </w:pPr>
      <w:r>
        <w:rPr>
          <w:rFonts w:ascii="Times New Roman" w:hAnsi="Times New Roman" w:cs="Times New Roman"/>
          <w:spacing w:val="10"/>
          <w:position w:val="2"/>
          <w:sz w:val="28"/>
          <w:lang w:val="uk-UA"/>
        </w:rPr>
        <w:t xml:space="preserve">    </w:t>
      </w:r>
      <w:r>
        <w:rPr>
          <w:rFonts w:ascii="Times New Roman" w:hAnsi="Times New Roman" w:cs="Times New Roman"/>
          <w:b/>
          <w:spacing w:val="10"/>
          <w:position w:val="2"/>
          <w:sz w:val="28"/>
          <w:lang w:val="uk-UA"/>
        </w:rPr>
        <w:t>1.4. Епідеміологічні особливості</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Хвороби системи кровообігу мають стійку тенденцію до захворюваності, інвалідизації та смертності. Згідно статистичних даних смертності: у 2019 році - 67%, у 2020 році – 66.2% і у 2021 році складає 60.1% хворобам системи кровообігу. Серед цих даних і даних захворюваності на інфаркт міокарда виділяють 75%  або 22231 хворих </w:t>
      </w:r>
      <w:r>
        <w:rPr>
          <w:rFonts w:ascii="Times New Roman" w:hAnsi="Times New Roman" w:cs="Times New Roman"/>
          <w:sz w:val="28"/>
          <w:szCs w:val="28"/>
          <w:lang w:val="uk-UA"/>
        </w:rPr>
        <w:t>[12]</w:t>
      </w:r>
      <w:r>
        <w:rPr>
          <w:rFonts w:ascii="Times New Roman" w:hAnsi="Times New Roman" w:cs="Times New Roman"/>
          <w:spacing w:val="10"/>
          <w:position w:val="2"/>
          <w:sz w:val="28"/>
          <w:lang w:val="uk-UA"/>
        </w:rPr>
        <w:t xml:space="preserve">.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 xml:space="preserve">Щороку в країні реєструється близько 40 тисяч випадків на інфаркт міокарда, серед них 30% пацієнтів мають летальний ісход. </w:t>
      </w: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lastRenderedPageBreak/>
        <w:t xml:space="preserve">На цій таблиці продемонстровано, який % смертності з кожної системи був у 2022 році в Україні </w:t>
      </w:r>
      <w:r>
        <w:rPr>
          <w:rFonts w:ascii="Times New Roman" w:hAnsi="Times New Roman" w:cs="Times New Roman"/>
          <w:sz w:val="28"/>
          <w:szCs w:val="28"/>
          <w:lang w:val="uk-UA"/>
        </w:rPr>
        <w:t>[12]</w:t>
      </w:r>
      <w:r>
        <w:rPr>
          <w:rFonts w:ascii="Times New Roman" w:hAnsi="Times New Roman" w:cs="Times New Roman"/>
          <w:spacing w:val="10"/>
          <w:position w:val="2"/>
          <w:sz w:val="28"/>
          <w:lang w:val="uk-UA"/>
        </w:rPr>
        <w:t xml:space="preserve">.   </w:t>
      </w:r>
    </w:p>
    <w:tbl>
      <w:tblPr>
        <w:tblStyle w:val="a8"/>
        <w:tblW w:w="0" w:type="auto"/>
        <w:tblLook w:val="04A0" w:firstRow="1" w:lastRow="0" w:firstColumn="1" w:lastColumn="0" w:noHBand="0" w:noVBand="1"/>
      </w:tblPr>
      <w:tblGrid>
        <w:gridCol w:w="4786"/>
        <w:gridCol w:w="1594"/>
        <w:gridCol w:w="3190"/>
      </w:tblGrid>
      <w:tr w:rsidR="00501ACB">
        <w:tc>
          <w:tcPr>
            <w:tcW w:w="4786" w:type="dxa"/>
          </w:tcPr>
          <w:p w:rsidR="00501ACB" w:rsidRDefault="00553C15">
            <w:pPr>
              <w:suppressLineNumbers/>
              <w:spacing w:line="360" w:lineRule="auto"/>
              <w:rPr>
                <w:rFonts w:ascii="Times New Roman" w:hAnsi="Times New Roman" w:cs="Times New Roman"/>
                <w:b/>
                <w:spacing w:val="10"/>
                <w:position w:val="2"/>
                <w:sz w:val="24"/>
                <w:lang w:val="uk-UA"/>
              </w:rPr>
            </w:pPr>
            <w:r>
              <w:rPr>
                <w:rFonts w:ascii="Times New Roman" w:hAnsi="Times New Roman" w:cs="Times New Roman"/>
                <w:b/>
                <w:spacing w:val="10"/>
                <w:position w:val="2"/>
                <w:sz w:val="24"/>
                <w:lang w:val="uk-UA"/>
              </w:rPr>
              <w:t>Усього</w:t>
            </w:r>
          </w:p>
        </w:tc>
        <w:tc>
          <w:tcPr>
            <w:tcW w:w="1594" w:type="dxa"/>
          </w:tcPr>
          <w:p w:rsidR="00501ACB" w:rsidRDefault="00553C15">
            <w:pPr>
              <w:suppressLineNumbers/>
              <w:spacing w:line="360" w:lineRule="auto"/>
              <w:rPr>
                <w:rFonts w:ascii="Times New Roman" w:hAnsi="Times New Roman" w:cs="Times New Roman"/>
                <w:b/>
                <w:spacing w:val="10"/>
                <w:position w:val="2"/>
                <w:sz w:val="24"/>
                <w:lang w:val="uk-UA"/>
              </w:rPr>
            </w:pPr>
            <w:r>
              <w:rPr>
                <w:rFonts w:ascii="Times New Roman" w:hAnsi="Times New Roman" w:cs="Times New Roman"/>
                <w:b/>
                <w:spacing w:val="10"/>
                <w:position w:val="2"/>
                <w:sz w:val="24"/>
                <w:lang w:val="uk-UA"/>
              </w:rPr>
              <w:t>57248</w:t>
            </w:r>
          </w:p>
        </w:tc>
        <w:tc>
          <w:tcPr>
            <w:tcW w:w="3190" w:type="dxa"/>
          </w:tcPr>
          <w:p w:rsidR="00501ACB" w:rsidRDefault="00553C15">
            <w:pPr>
              <w:suppressLineNumbers/>
              <w:spacing w:line="360" w:lineRule="auto"/>
              <w:rPr>
                <w:rFonts w:ascii="Times New Roman" w:hAnsi="Times New Roman" w:cs="Times New Roman"/>
                <w:b/>
                <w:spacing w:val="10"/>
                <w:position w:val="2"/>
                <w:sz w:val="24"/>
                <w:lang w:val="uk-UA"/>
              </w:rPr>
            </w:pPr>
            <w:r>
              <w:rPr>
                <w:rFonts w:ascii="Times New Roman" w:hAnsi="Times New Roman" w:cs="Times New Roman"/>
                <w:b/>
                <w:spacing w:val="10"/>
                <w:position w:val="2"/>
                <w:sz w:val="24"/>
                <w:lang w:val="uk-UA"/>
              </w:rPr>
              <w:t>100,00%</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I. Інфекційні та паразитарні хвороби</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туберкульоз</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xвороба, зумовлена ВІЛ (СНІД)</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483</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- 244</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- 158</w:t>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0,84%</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- 0,43%</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- 0,28%</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II. Новоутворення</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xml:space="preserve"> - злоякісні</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5777</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- 5720</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10,09%</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- 9,99%</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III. Хвороби крові й кровотворних органів</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21</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0,04%</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IV. Ендокринні хвороби, порушення обміну речовин</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цукровий діабет</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220</w:t>
            </w:r>
          </w:p>
          <w:p w:rsidR="00501ACB" w:rsidRDefault="00501ACB">
            <w:pPr>
              <w:suppressLineNumbers/>
              <w:spacing w:line="360" w:lineRule="auto"/>
              <w:rPr>
                <w:rFonts w:ascii="Times New Roman" w:hAnsi="Times New Roman" w:cs="Times New Roman"/>
                <w:spacing w:val="10"/>
                <w:position w:val="2"/>
                <w:lang w:val="uk-UA"/>
              </w:rPr>
            </w:pP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- 200</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0,38%</w:t>
            </w:r>
          </w:p>
          <w:p w:rsidR="00501ACB" w:rsidRDefault="00501ACB">
            <w:pPr>
              <w:suppressLineNumbers/>
              <w:spacing w:line="360" w:lineRule="auto"/>
              <w:rPr>
                <w:rFonts w:ascii="Times New Roman" w:hAnsi="Times New Roman" w:cs="Times New Roman"/>
                <w:spacing w:val="10"/>
                <w:position w:val="2"/>
                <w:lang w:val="uk-UA"/>
              </w:rPr>
            </w:pP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- 0,35%</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V. Розлади психіки та поведінки</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внаслідок вживання алкоголю</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67</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- 46</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0,12%</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- 0,08%</w:t>
            </w:r>
            <w:r>
              <w:rPr>
                <w:rFonts w:ascii="Times New Roman" w:hAnsi="Times New Roman" w:cs="Times New Roman"/>
                <w:spacing w:val="10"/>
                <w:position w:val="2"/>
                <w:lang w:val="uk-UA"/>
              </w:rPr>
              <w:tab/>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VI. Хвороби нервової системи</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444</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0,78%</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IX. Хвороби системи кровообігу</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ішемічна хвороба серця</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алкогольна кардіоміопатія</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xml:space="preserve">- цереброваскулярні хвороби </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36724</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- 25618</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- 379</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- 7110</w:t>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64,15%</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- 44,75%</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- 0,66%</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- 12,42%</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 Хвороби органів дихання</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грип та пневмонія</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1992</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- 1512</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3,48%</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- 2,64%</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XI. Хвороби органів травлення</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алкогольна хвороба печінки (цироз)</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2249</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- 173</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3,93%</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- 0,30%</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XII. Хвороби шкіри та підшкірної клітковини</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52</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0,09%</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XIII. Хвороби кістково-м'язової системи</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30</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0,05%</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XIV. Хвороби сечостатевої системи</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224</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0,39%</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XV. Вагітність, пологи, післяпологовий період</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6</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0,01%</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XVI. Стани, що виникають у перинатальному періоді</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88</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0,15%</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XVII. Природжені вади розвитку, хромосомні аномалії</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73</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0,13%</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XVIII. Симптоми, що не класифіковані в інших рубриках</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1904</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xml:space="preserve"> </w:t>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3,33%</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xml:space="preserve"> </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XX. Зовнішні причини смерті</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lastRenderedPageBreak/>
              <w:t>- транспортні нещасні випадки</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утоплення</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випадки, спричинені дією диму та полум'я</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отруєння отруйними речовинами (крім алкоголю)</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отруєння алкоголем</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навмисне самоушкодження</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наслідки нападу з метою убивства</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lastRenderedPageBreak/>
              <w:t>2478</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lastRenderedPageBreak/>
              <w:t>- 266</w:t>
            </w:r>
            <w:r>
              <w:rPr>
                <w:rFonts w:ascii="Times New Roman" w:hAnsi="Times New Roman" w:cs="Times New Roman"/>
                <w:spacing w:val="10"/>
                <w:position w:val="2"/>
                <w:lang w:val="uk-UA"/>
              </w:rPr>
              <w:tab/>
              <w:t xml:space="preserve"> </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- 46</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- 163</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- 191</w:t>
            </w:r>
            <w:r>
              <w:rPr>
                <w:rFonts w:ascii="Times New Roman" w:hAnsi="Times New Roman" w:cs="Times New Roman"/>
                <w:spacing w:val="10"/>
                <w:position w:val="2"/>
                <w:lang w:val="uk-UA"/>
              </w:rPr>
              <w:tab/>
            </w:r>
          </w:p>
          <w:p w:rsidR="00501ACB" w:rsidRDefault="00501ACB">
            <w:pPr>
              <w:suppressLineNumbers/>
              <w:spacing w:line="360" w:lineRule="auto"/>
              <w:rPr>
                <w:rFonts w:ascii="Times New Roman" w:hAnsi="Times New Roman" w:cs="Times New Roman"/>
                <w:spacing w:val="10"/>
                <w:position w:val="2"/>
                <w:lang w:val="uk-UA"/>
              </w:rPr>
            </w:pP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- 207</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- 389</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- 111</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lastRenderedPageBreak/>
              <w:t>4,33%</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lastRenderedPageBreak/>
              <w:t>- 0,46%</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- 0,08%</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- 0,28%</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- 0,33%</w:t>
            </w:r>
          </w:p>
          <w:p w:rsidR="00501ACB" w:rsidRDefault="00501ACB">
            <w:pPr>
              <w:suppressLineNumbers/>
              <w:spacing w:line="360" w:lineRule="auto"/>
              <w:rPr>
                <w:rFonts w:ascii="Times New Roman" w:hAnsi="Times New Roman" w:cs="Times New Roman"/>
                <w:spacing w:val="10"/>
                <w:position w:val="2"/>
                <w:lang w:val="uk-UA"/>
              </w:rPr>
            </w:pP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- 0,36%</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- 0,68%</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- 0,19%</w:t>
            </w:r>
          </w:p>
        </w:tc>
      </w:tr>
      <w:tr w:rsidR="00501ACB">
        <w:tc>
          <w:tcPr>
            <w:tcW w:w="4786"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lastRenderedPageBreak/>
              <w:t>XXII. Інші (коди для особливих цілей)</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COVID-19, вірус ідентифікований</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COVID-19, вірус не ідентифікований</w:t>
            </w:r>
          </w:p>
        </w:tc>
        <w:tc>
          <w:tcPr>
            <w:tcW w:w="1594"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4413</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- 4332</w:t>
            </w:r>
            <w:r>
              <w:rPr>
                <w:rFonts w:ascii="Times New Roman" w:hAnsi="Times New Roman" w:cs="Times New Roman"/>
                <w:spacing w:val="10"/>
                <w:position w:val="2"/>
                <w:lang w:val="uk-UA"/>
              </w:rPr>
              <w:tab/>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- 81</w:t>
            </w:r>
            <w:r>
              <w:rPr>
                <w:rFonts w:ascii="Times New Roman" w:hAnsi="Times New Roman" w:cs="Times New Roman"/>
                <w:spacing w:val="10"/>
                <w:position w:val="2"/>
                <w:lang w:val="uk-UA"/>
              </w:rPr>
              <w:tab/>
            </w:r>
          </w:p>
        </w:tc>
        <w:tc>
          <w:tcPr>
            <w:tcW w:w="3190" w:type="dxa"/>
          </w:tcPr>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7,71%</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- 7,57%</w:t>
            </w:r>
          </w:p>
          <w:p w:rsidR="00501ACB" w:rsidRDefault="00553C15">
            <w:pPr>
              <w:suppressLineNumbers/>
              <w:spacing w:line="360" w:lineRule="auto"/>
              <w:rPr>
                <w:rFonts w:ascii="Times New Roman" w:hAnsi="Times New Roman" w:cs="Times New Roman"/>
                <w:spacing w:val="10"/>
                <w:position w:val="2"/>
                <w:lang w:val="uk-UA"/>
              </w:rPr>
            </w:pPr>
            <w:r>
              <w:rPr>
                <w:rFonts w:ascii="Times New Roman" w:hAnsi="Times New Roman" w:cs="Times New Roman"/>
                <w:spacing w:val="10"/>
                <w:position w:val="2"/>
                <w:lang w:val="uk-UA"/>
              </w:rPr>
              <w:t>- 0,14%</w:t>
            </w:r>
          </w:p>
        </w:tc>
      </w:tr>
    </w:tbl>
    <w:p w:rsidR="00501ACB" w:rsidRDefault="00501ACB">
      <w:pPr>
        <w:suppressLineNumbers/>
        <w:spacing w:line="360" w:lineRule="auto"/>
        <w:rPr>
          <w:rFonts w:ascii="Times New Roman" w:hAnsi="Times New Roman" w:cs="Times New Roman"/>
          <w:spacing w:val="10"/>
          <w:position w:val="2"/>
          <w:sz w:val="28"/>
          <w:lang w:val="uk-UA"/>
        </w:rPr>
      </w:pPr>
    </w:p>
    <w:p w:rsidR="00501ACB" w:rsidRDefault="00553C15">
      <w:pPr>
        <w:suppressLineNumbers/>
        <w:spacing w:line="360" w:lineRule="auto"/>
        <w:rPr>
          <w:rFonts w:ascii="Times New Roman" w:hAnsi="Times New Roman" w:cs="Times New Roman"/>
          <w:spacing w:val="10"/>
          <w:position w:val="2"/>
          <w:sz w:val="28"/>
          <w:lang w:val="uk-UA"/>
        </w:rPr>
      </w:pPr>
      <w:r>
        <w:rPr>
          <w:rFonts w:ascii="Times New Roman" w:hAnsi="Times New Roman" w:cs="Times New Roman"/>
          <w:spacing w:val="10"/>
          <w:position w:val="2"/>
          <w:sz w:val="28"/>
          <w:lang w:val="uk-UA"/>
        </w:rPr>
        <w:t>Згідно вище наведених даних, можна зазначити, що найвищий відсоток смертності на 2022 рік припадає</w:t>
      </w:r>
      <w:r>
        <w:rPr>
          <w:rFonts w:ascii="Times New Roman" w:hAnsi="Times New Roman" w:cs="Times New Roman"/>
          <w:spacing w:val="10"/>
          <w:position w:val="2"/>
          <w:sz w:val="28"/>
        </w:rPr>
        <w:t xml:space="preserve"> </w:t>
      </w:r>
      <w:r>
        <w:rPr>
          <w:rFonts w:ascii="Times New Roman" w:hAnsi="Times New Roman" w:cs="Times New Roman"/>
          <w:spacing w:val="10"/>
          <w:position w:val="2"/>
          <w:sz w:val="28"/>
          <w:lang w:val="uk-UA"/>
        </w:rPr>
        <w:t xml:space="preserve">саме на хвороби системи кровообігу. На діаграмі буде відображатися так: </w:t>
      </w:r>
    </w:p>
    <w:p w:rsidR="00501ACB" w:rsidRDefault="00553C15">
      <w:pPr>
        <w:suppressLineNumbers/>
        <w:spacing w:line="360" w:lineRule="auto"/>
        <w:jc w:val="center"/>
        <w:rPr>
          <w:rFonts w:ascii="Times New Roman" w:hAnsi="Times New Roman" w:cs="Times New Roman"/>
          <w:spacing w:val="10"/>
          <w:position w:val="2"/>
          <w:sz w:val="28"/>
          <w:lang w:val="uk-UA"/>
        </w:rPr>
      </w:pPr>
      <w:r>
        <w:rPr>
          <w:rFonts w:ascii="Times New Roman" w:hAnsi="Times New Roman" w:cs="Times New Roman"/>
          <w:noProof/>
          <w:spacing w:val="10"/>
          <w:position w:val="2"/>
          <w:sz w:val="28"/>
          <w:lang w:eastAsia="ru-RU"/>
        </w:rPr>
        <w:drawing>
          <wp:inline distT="0" distB="0" distL="114300" distR="114300">
            <wp:extent cx="5720316" cy="3912781"/>
            <wp:effectExtent l="0" t="0" r="0" b="0"/>
            <wp:docPr id="103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Серед цих даних можна виокремити статистичні значення захворюваності на гострий інфаркт міокарда у Харківській області та в місті Харкові. У 2018 році в області захворюваність складало  100,77 на 100 000 населення, у м. Харкові – 120,94 </w:t>
      </w:r>
      <w:r>
        <w:rPr>
          <w:rFonts w:ascii="Times New Roman" w:hAnsi="Times New Roman" w:cs="Times New Roman"/>
          <w:sz w:val="28"/>
          <w:lang w:val="uk-UA"/>
        </w:rPr>
        <w:lastRenderedPageBreak/>
        <w:t xml:space="preserve">‰. Найвищі показники спостерігались у Красноградському – 134,01‰, Барвінському – 129,30‰ та Ізюмському районів – 112,89‰ . З 2014-2018 рр. рівень захворюваності почав зменшуватися в 10,1%,у той час як у місті показник захворюваності сягав від 118,35 до 142,75‰. </w:t>
      </w:r>
    </w:p>
    <w:tbl>
      <w:tblPr>
        <w:tblStyle w:val="a8"/>
        <w:tblpPr w:leftFromText="180" w:rightFromText="180" w:vertAnchor="text" w:horzAnchor="margin" w:tblpY="132"/>
        <w:tblW w:w="10596" w:type="dxa"/>
        <w:tblLook w:val="04A0" w:firstRow="1" w:lastRow="0" w:firstColumn="1" w:lastColumn="0" w:noHBand="0" w:noVBand="1"/>
      </w:tblPr>
      <w:tblGrid>
        <w:gridCol w:w="2835"/>
        <w:gridCol w:w="1449"/>
        <w:gridCol w:w="1578"/>
        <w:gridCol w:w="1578"/>
        <w:gridCol w:w="1578"/>
        <w:gridCol w:w="1578"/>
      </w:tblGrid>
      <w:tr w:rsidR="00501ACB">
        <w:tc>
          <w:tcPr>
            <w:tcW w:w="2835" w:type="dxa"/>
            <w:vMerge w:val="restart"/>
          </w:tcPr>
          <w:p w:rsidR="00501ACB" w:rsidRDefault="00501ACB">
            <w:pPr>
              <w:spacing w:line="360" w:lineRule="auto"/>
              <w:rPr>
                <w:rFonts w:ascii="Times New Roman" w:hAnsi="Times New Roman" w:cs="Times New Roman"/>
                <w:sz w:val="28"/>
                <w:lang w:val="uk-UA"/>
              </w:rPr>
            </w:pPr>
          </w:p>
        </w:tc>
        <w:tc>
          <w:tcPr>
            <w:tcW w:w="7761" w:type="dxa"/>
            <w:gridSpan w:val="5"/>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Роки</w:t>
            </w:r>
          </w:p>
        </w:tc>
      </w:tr>
      <w:tr w:rsidR="00501ACB">
        <w:tc>
          <w:tcPr>
            <w:tcW w:w="2835" w:type="dxa"/>
            <w:vMerge/>
          </w:tcPr>
          <w:p w:rsidR="00501ACB" w:rsidRDefault="00501ACB">
            <w:pPr>
              <w:spacing w:line="360" w:lineRule="auto"/>
              <w:rPr>
                <w:rFonts w:ascii="Times New Roman" w:hAnsi="Times New Roman" w:cs="Times New Roman"/>
                <w:sz w:val="28"/>
                <w:lang w:val="uk-UA"/>
              </w:rPr>
            </w:pPr>
          </w:p>
        </w:tc>
        <w:tc>
          <w:tcPr>
            <w:tcW w:w="1449" w:type="dxa"/>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2014</w:t>
            </w:r>
          </w:p>
        </w:tc>
        <w:tc>
          <w:tcPr>
            <w:tcW w:w="1578" w:type="dxa"/>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2015</w:t>
            </w:r>
          </w:p>
        </w:tc>
        <w:tc>
          <w:tcPr>
            <w:tcW w:w="1578" w:type="dxa"/>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2016</w:t>
            </w:r>
          </w:p>
        </w:tc>
        <w:tc>
          <w:tcPr>
            <w:tcW w:w="1578" w:type="dxa"/>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2017</w:t>
            </w:r>
          </w:p>
        </w:tc>
        <w:tc>
          <w:tcPr>
            <w:tcW w:w="1578" w:type="dxa"/>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2018</w:t>
            </w:r>
          </w:p>
        </w:tc>
      </w:tr>
      <w:tr w:rsidR="00501ACB">
        <w:tc>
          <w:tcPr>
            <w:tcW w:w="2835" w:type="dxa"/>
          </w:tcPr>
          <w:p w:rsidR="00501ACB" w:rsidRDefault="00553C15">
            <w:pPr>
              <w:spacing w:line="360" w:lineRule="auto"/>
              <w:rPr>
                <w:rFonts w:ascii="Times New Roman" w:hAnsi="Times New Roman" w:cs="Times New Roman"/>
                <w:b/>
                <w:sz w:val="28"/>
                <w:lang w:val="uk-UA"/>
              </w:rPr>
            </w:pPr>
            <w:r>
              <w:rPr>
                <w:rFonts w:ascii="Times New Roman" w:hAnsi="Times New Roman" w:cs="Times New Roman"/>
                <w:b/>
                <w:sz w:val="28"/>
                <w:lang w:val="uk-UA"/>
              </w:rPr>
              <w:t>м. Харків</w:t>
            </w:r>
          </w:p>
        </w:tc>
        <w:tc>
          <w:tcPr>
            <w:tcW w:w="1449"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135,31</w:t>
            </w:r>
          </w:p>
        </w:tc>
        <w:tc>
          <w:tcPr>
            <w:tcW w:w="1578"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142,75</w:t>
            </w:r>
          </w:p>
        </w:tc>
        <w:tc>
          <w:tcPr>
            <w:tcW w:w="1578"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133,20</w:t>
            </w:r>
          </w:p>
        </w:tc>
        <w:tc>
          <w:tcPr>
            <w:tcW w:w="1578"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118,35</w:t>
            </w:r>
          </w:p>
        </w:tc>
        <w:tc>
          <w:tcPr>
            <w:tcW w:w="1578"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120,94</w:t>
            </w:r>
          </w:p>
        </w:tc>
      </w:tr>
      <w:tr w:rsidR="00501ACB">
        <w:tc>
          <w:tcPr>
            <w:tcW w:w="2835" w:type="dxa"/>
          </w:tcPr>
          <w:p w:rsidR="00501ACB" w:rsidRDefault="00553C15">
            <w:pPr>
              <w:spacing w:line="360" w:lineRule="auto"/>
              <w:rPr>
                <w:rFonts w:ascii="Times New Roman" w:hAnsi="Times New Roman" w:cs="Times New Roman"/>
                <w:b/>
                <w:sz w:val="28"/>
                <w:lang w:val="uk-UA"/>
              </w:rPr>
            </w:pPr>
            <w:r>
              <w:rPr>
                <w:rFonts w:ascii="Times New Roman" w:hAnsi="Times New Roman" w:cs="Times New Roman"/>
                <w:b/>
                <w:sz w:val="28"/>
                <w:lang w:val="uk-UA"/>
              </w:rPr>
              <w:t>Харківська область</w:t>
            </w:r>
          </w:p>
        </w:tc>
        <w:tc>
          <w:tcPr>
            <w:tcW w:w="1449"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112,10</w:t>
            </w:r>
          </w:p>
        </w:tc>
        <w:tc>
          <w:tcPr>
            <w:tcW w:w="1578"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120,23</w:t>
            </w:r>
          </w:p>
        </w:tc>
        <w:tc>
          <w:tcPr>
            <w:tcW w:w="1578"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114,06</w:t>
            </w:r>
          </w:p>
        </w:tc>
        <w:tc>
          <w:tcPr>
            <w:tcW w:w="1578"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102,44</w:t>
            </w:r>
          </w:p>
        </w:tc>
        <w:tc>
          <w:tcPr>
            <w:tcW w:w="1578" w:type="dxa"/>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100,77</w:t>
            </w:r>
          </w:p>
        </w:tc>
      </w:tr>
    </w:tbl>
    <w:p w:rsidR="00501ACB" w:rsidRDefault="00501ACB">
      <w:pPr>
        <w:spacing w:line="360" w:lineRule="auto"/>
        <w:rPr>
          <w:rFonts w:ascii="Times New Roman" w:hAnsi="Times New Roman" w:cs="Times New Roman"/>
          <w:sz w:val="28"/>
          <w:lang w:val="uk-UA"/>
        </w:rPr>
      </w:pP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При оцінюванні динаміки захворювання спостерігається, що рівень захворюваності в області знижується. Як було зазначено попередньо, то чоловіки більш спрямовані перенести це. У 2018 р. серед показників захворюваності було зазначено, що серед чоловіків в області значення складало 128,32,у місті – 150,58. Максимальне значення серед чоловіків у Харкові зазначено у 2015 році - 186,29 на 100 000 осіб; мінімальне значення було у 2017 році – 131,36 на 100 000 осіб.</w:t>
      </w:r>
    </w:p>
    <w:tbl>
      <w:tblPr>
        <w:tblStyle w:val="a8"/>
        <w:tblW w:w="11341" w:type="dxa"/>
        <w:tblInd w:w="-832" w:type="dxa"/>
        <w:tblLayout w:type="fixed"/>
        <w:tblLook w:val="04A0" w:firstRow="1" w:lastRow="0" w:firstColumn="1" w:lastColumn="0" w:noHBand="0" w:noVBand="1"/>
      </w:tblPr>
      <w:tblGrid>
        <w:gridCol w:w="1702"/>
        <w:gridCol w:w="992"/>
        <w:gridCol w:w="851"/>
        <w:gridCol w:w="992"/>
        <w:gridCol w:w="992"/>
        <w:gridCol w:w="992"/>
        <w:gridCol w:w="993"/>
        <w:gridCol w:w="992"/>
        <w:gridCol w:w="850"/>
        <w:gridCol w:w="993"/>
        <w:gridCol w:w="992"/>
      </w:tblGrid>
      <w:tr w:rsidR="00501ACB">
        <w:trPr>
          <w:trHeight w:val="449"/>
        </w:trPr>
        <w:tc>
          <w:tcPr>
            <w:tcW w:w="1702" w:type="dxa"/>
            <w:vMerge w:val="restart"/>
          </w:tcPr>
          <w:p w:rsidR="00501ACB" w:rsidRDefault="00501ACB">
            <w:pPr>
              <w:spacing w:line="360" w:lineRule="auto"/>
              <w:rPr>
                <w:rFonts w:ascii="Times New Roman" w:hAnsi="Times New Roman" w:cs="Times New Roman"/>
                <w:sz w:val="28"/>
                <w:lang w:val="uk-UA"/>
              </w:rPr>
            </w:pPr>
          </w:p>
        </w:tc>
        <w:tc>
          <w:tcPr>
            <w:tcW w:w="9639" w:type="dxa"/>
            <w:gridSpan w:val="10"/>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 xml:space="preserve">Роки </w:t>
            </w:r>
          </w:p>
        </w:tc>
      </w:tr>
      <w:tr w:rsidR="00501ACB">
        <w:trPr>
          <w:trHeight w:val="204"/>
        </w:trPr>
        <w:tc>
          <w:tcPr>
            <w:tcW w:w="1702" w:type="dxa"/>
            <w:vMerge/>
          </w:tcPr>
          <w:p w:rsidR="00501ACB" w:rsidRDefault="00501ACB">
            <w:pPr>
              <w:spacing w:line="360" w:lineRule="auto"/>
              <w:rPr>
                <w:rFonts w:ascii="Times New Roman" w:hAnsi="Times New Roman" w:cs="Times New Roman"/>
                <w:sz w:val="28"/>
                <w:lang w:val="uk-UA"/>
              </w:rPr>
            </w:pPr>
          </w:p>
        </w:tc>
        <w:tc>
          <w:tcPr>
            <w:tcW w:w="1843" w:type="dxa"/>
            <w:gridSpan w:val="2"/>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2014</w:t>
            </w:r>
          </w:p>
        </w:tc>
        <w:tc>
          <w:tcPr>
            <w:tcW w:w="1984" w:type="dxa"/>
            <w:gridSpan w:val="2"/>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2015</w:t>
            </w:r>
          </w:p>
        </w:tc>
        <w:tc>
          <w:tcPr>
            <w:tcW w:w="1985" w:type="dxa"/>
            <w:gridSpan w:val="2"/>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2016</w:t>
            </w:r>
          </w:p>
        </w:tc>
        <w:tc>
          <w:tcPr>
            <w:tcW w:w="1842" w:type="dxa"/>
            <w:gridSpan w:val="2"/>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2017</w:t>
            </w:r>
          </w:p>
        </w:tc>
        <w:tc>
          <w:tcPr>
            <w:tcW w:w="1985" w:type="dxa"/>
            <w:gridSpan w:val="2"/>
            <w:vAlign w:val="center"/>
          </w:tcPr>
          <w:p w:rsidR="00501ACB" w:rsidRDefault="00553C15">
            <w:pPr>
              <w:spacing w:line="360" w:lineRule="auto"/>
              <w:jc w:val="center"/>
              <w:rPr>
                <w:rFonts w:ascii="Times New Roman" w:hAnsi="Times New Roman" w:cs="Times New Roman"/>
                <w:b/>
                <w:sz w:val="28"/>
                <w:lang w:val="uk-UA"/>
              </w:rPr>
            </w:pPr>
            <w:r>
              <w:rPr>
                <w:rFonts w:ascii="Times New Roman" w:hAnsi="Times New Roman" w:cs="Times New Roman"/>
                <w:b/>
                <w:sz w:val="28"/>
                <w:lang w:val="uk-UA"/>
              </w:rPr>
              <w:t>2018</w:t>
            </w:r>
          </w:p>
        </w:tc>
      </w:tr>
      <w:tr w:rsidR="00501ACB">
        <w:trPr>
          <w:trHeight w:val="204"/>
        </w:trPr>
        <w:tc>
          <w:tcPr>
            <w:tcW w:w="1702" w:type="dxa"/>
            <w:vMerge/>
          </w:tcPr>
          <w:p w:rsidR="00501ACB" w:rsidRDefault="00501ACB">
            <w:pPr>
              <w:spacing w:line="360" w:lineRule="auto"/>
              <w:rPr>
                <w:rFonts w:ascii="Times New Roman" w:hAnsi="Times New Roman" w:cs="Times New Roman"/>
                <w:sz w:val="28"/>
                <w:lang w:val="uk-UA"/>
              </w:rPr>
            </w:pP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ч</w:t>
            </w:r>
          </w:p>
        </w:tc>
        <w:tc>
          <w:tcPr>
            <w:tcW w:w="851"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ж</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ч</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ж</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ч</w:t>
            </w:r>
          </w:p>
        </w:tc>
        <w:tc>
          <w:tcPr>
            <w:tcW w:w="993"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ж</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ч</w:t>
            </w:r>
          </w:p>
        </w:tc>
        <w:tc>
          <w:tcPr>
            <w:tcW w:w="850"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ж</w:t>
            </w:r>
          </w:p>
        </w:tc>
        <w:tc>
          <w:tcPr>
            <w:tcW w:w="993"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ч</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ж</w:t>
            </w:r>
          </w:p>
        </w:tc>
      </w:tr>
      <w:tr w:rsidR="00501ACB">
        <w:trPr>
          <w:trHeight w:val="449"/>
        </w:trPr>
        <w:tc>
          <w:tcPr>
            <w:tcW w:w="1702" w:type="dxa"/>
          </w:tcPr>
          <w:p w:rsidR="00501ACB" w:rsidRDefault="00553C15">
            <w:pPr>
              <w:spacing w:line="360" w:lineRule="auto"/>
              <w:rPr>
                <w:rFonts w:ascii="Times New Roman" w:hAnsi="Times New Roman" w:cs="Times New Roman"/>
                <w:b/>
                <w:sz w:val="28"/>
                <w:lang w:val="uk-UA"/>
              </w:rPr>
            </w:pPr>
            <w:r>
              <w:rPr>
                <w:rFonts w:ascii="Times New Roman" w:hAnsi="Times New Roman" w:cs="Times New Roman"/>
                <w:b/>
                <w:sz w:val="28"/>
                <w:lang w:val="uk-UA"/>
              </w:rPr>
              <w:t>м. Харків</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169,35</w:t>
            </w:r>
          </w:p>
        </w:tc>
        <w:tc>
          <w:tcPr>
            <w:tcW w:w="851"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64,02</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186,29</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105,28</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167,75</w:t>
            </w:r>
          </w:p>
        </w:tc>
        <w:tc>
          <w:tcPr>
            <w:tcW w:w="993"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103,40</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148,61</w:t>
            </w:r>
          </w:p>
        </w:tc>
        <w:tc>
          <w:tcPr>
            <w:tcW w:w="850"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92,20</w:t>
            </w:r>
          </w:p>
        </w:tc>
        <w:tc>
          <w:tcPr>
            <w:tcW w:w="993"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150,58</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95,44</w:t>
            </w:r>
          </w:p>
        </w:tc>
      </w:tr>
      <w:tr w:rsidR="00501ACB">
        <w:trPr>
          <w:trHeight w:val="449"/>
        </w:trPr>
        <w:tc>
          <w:tcPr>
            <w:tcW w:w="1702" w:type="dxa"/>
          </w:tcPr>
          <w:p w:rsidR="00501ACB" w:rsidRDefault="00553C15">
            <w:pPr>
              <w:spacing w:line="360" w:lineRule="auto"/>
              <w:rPr>
                <w:rFonts w:ascii="Times New Roman" w:hAnsi="Times New Roman" w:cs="Times New Roman"/>
                <w:b/>
                <w:sz w:val="28"/>
                <w:lang w:val="uk-UA"/>
              </w:rPr>
            </w:pPr>
            <w:r>
              <w:rPr>
                <w:rFonts w:ascii="Times New Roman" w:hAnsi="Times New Roman" w:cs="Times New Roman"/>
                <w:b/>
                <w:sz w:val="28"/>
                <w:lang w:val="uk-UA"/>
              </w:rPr>
              <w:t>Харківська область</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141,57</w:t>
            </w:r>
          </w:p>
        </w:tc>
        <w:tc>
          <w:tcPr>
            <w:tcW w:w="851"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86,80</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157,99</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87,71</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145,39</w:t>
            </w:r>
          </w:p>
        </w:tc>
        <w:tc>
          <w:tcPr>
            <w:tcW w:w="993"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87,03</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131,36</w:t>
            </w:r>
          </w:p>
        </w:tc>
        <w:tc>
          <w:tcPr>
            <w:tcW w:w="850"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77,45</w:t>
            </w:r>
          </w:p>
        </w:tc>
        <w:tc>
          <w:tcPr>
            <w:tcW w:w="993"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128,32</w:t>
            </w:r>
          </w:p>
        </w:tc>
        <w:tc>
          <w:tcPr>
            <w:tcW w:w="992" w:type="dxa"/>
            <w:vAlign w:val="center"/>
          </w:tcPr>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sz w:val="28"/>
                <w:lang w:val="uk-UA"/>
              </w:rPr>
              <w:t>76,99</w:t>
            </w:r>
          </w:p>
        </w:tc>
      </w:tr>
    </w:tbl>
    <w:p w:rsidR="00501ACB" w:rsidRDefault="00501ACB">
      <w:pPr>
        <w:spacing w:line="360" w:lineRule="auto"/>
        <w:rPr>
          <w:rFonts w:ascii="Times New Roman" w:hAnsi="Times New Roman" w:cs="Times New Roman"/>
          <w:sz w:val="28"/>
          <w:lang w:val="uk-UA"/>
        </w:rPr>
      </w:pP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Найвищі показники серед чоловіків спостерігались за останні 5 років у Красноградському - 197,82 на 100 000 осіб, Барвінківському – 199,32 на 100 000 осіб, Валківському – 192,72 та Дворічанському – 194,39 районах.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Серед жіночого населення максимальне значення було визначено у 2015 році – 105,28 в Харкові та мінімальне значення сягнуло у 2014 р. – 64,02 на 100 000 осіб. </w:t>
      </w:r>
      <w:r>
        <w:rPr>
          <w:rFonts w:ascii="Times New Roman" w:hAnsi="Times New Roman" w:cs="Times New Roman"/>
          <w:sz w:val="28"/>
          <w:lang w:val="uk-UA"/>
        </w:rPr>
        <w:lastRenderedPageBreak/>
        <w:t>Істотне зростання захворюваності у жіночого населення було зазначено у Близнюківському - до 71,52, Нововодолазькому – до 101,14 та Сахновщинському - 62,65 на 100 000 осіб районах</w:t>
      </w:r>
      <w:r>
        <w:rPr>
          <w:rFonts w:ascii="Times New Roman" w:hAnsi="Times New Roman" w:cs="Times New Roman"/>
          <w:sz w:val="28"/>
          <w:szCs w:val="28"/>
          <w:lang w:val="uk-UA"/>
        </w:rPr>
        <w:t>[3,4]</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Таким чином, у результаті дослідженні за період 2014-2018 роки встановлено, що показник у чоловічого населення значно вищий, ніж у жіночого. Захворюваність у 2018 р. серед чоловічого населення Харківської області склала 128,32, у м. Харкові – 150,58 на 100 000 осіб. Серед жінок показник у 2018 р. склав 76,99, у м. Харкові – 95,44 на 100 000 осіб. </w:t>
      </w:r>
    </w:p>
    <w:p w:rsidR="00501ACB" w:rsidRDefault="00553C15">
      <w:pPr>
        <w:spacing w:line="360" w:lineRule="auto"/>
        <w:rPr>
          <w:rFonts w:ascii="Times New Roman" w:hAnsi="Times New Roman" w:cs="Times New Roman"/>
          <w:b/>
          <w:sz w:val="28"/>
          <w:lang w:val="uk-UA"/>
        </w:rPr>
      </w:pPr>
      <w:r>
        <w:rPr>
          <w:rFonts w:ascii="Times New Roman" w:hAnsi="Times New Roman" w:cs="Times New Roman"/>
          <w:b/>
          <w:sz w:val="28"/>
          <w:lang w:val="uk-UA"/>
        </w:rPr>
        <w:t xml:space="preserve">     1.5. Оцінка смертності за шкалою SCORE</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На наведеній нижче статистиці можна побачити оцінку смертності на найближчі 5 років за допомогою модифікованою шкалою </w:t>
      </w:r>
      <w:r>
        <w:rPr>
          <w:rFonts w:ascii="Times New Roman" w:hAnsi="Times New Roman" w:cs="Times New Roman"/>
          <w:sz w:val="28"/>
          <w:lang w:val="en-US"/>
        </w:rPr>
        <w:t>SCORE</w:t>
      </w:r>
      <w:r>
        <w:rPr>
          <w:rFonts w:ascii="Times New Roman" w:hAnsi="Times New Roman" w:cs="Times New Roman"/>
          <w:sz w:val="28"/>
        </w:rPr>
        <w:t>.</w:t>
      </w:r>
      <w:r>
        <w:rPr>
          <w:rFonts w:ascii="Times New Roman" w:hAnsi="Times New Roman" w:cs="Times New Roman"/>
          <w:sz w:val="28"/>
          <w:lang w:val="uk-UA"/>
        </w:rPr>
        <w:t xml:space="preserve"> Дана шкала дає можливість не лише спрогнозувати рівень ризику захворюваності, а й подальшу статистику летальності на декілька років. </w:t>
      </w:r>
    </w:p>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noProof/>
          <w:sz w:val="28"/>
          <w:lang w:eastAsia="ru-RU"/>
        </w:rPr>
        <w:object w:dxaOrig="8036" w:dyaOrig="113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1031" o:spid="_x0000_i1025" type="#_x0000_t75" style="width:355.5pt;height:389pt;visibility:visible;mso-wrap-distance-left:0;mso-wrap-distance-right:0" o:ole="">
            <v:imagedata r:id="rId10" o:title="" embosscolor="white"/>
          </v:shape>
          <o:OLEObject Type="Embed" ProgID="Excel.Sheet.8" ShapeID="1031" DrawAspect="Content" ObjectID="_1788272030" r:id="rId11"/>
        </w:objec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За шкалою SCORE ризик захворюваності виникає залежно від кількості чинників. Найвищий рівень реєструється в осіб з артеріальною гіпертензією та в осіб, що зловживають курінням і високим рівнем ожиріння. Коли присутні 3 фактори, то це буде лише збільшувати рівень летальності утричі </w:t>
      </w:r>
      <w:r>
        <w:rPr>
          <w:rFonts w:ascii="Times New Roman" w:hAnsi="Times New Roman" w:cs="Times New Roman"/>
          <w:sz w:val="28"/>
          <w:szCs w:val="28"/>
          <w:lang w:val="uk-UA"/>
        </w:rPr>
        <w:t>[7, 25]</w:t>
      </w:r>
      <w:r>
        <w:rPr>
          <w:rFonts w:ascii="Times New Roman" w:hAnsi="Times New Roman" w:cs="Times New Roman"/>
          <w:sz w:val="28"/>
          <w:lang w:val="uk-UA"/>
        </w:rPr>
        <w:t xml:space="preserve">. Модифікована шкала враховує значення систолічного АТ. За цими даними, саме АТ більше впливає на рівень смертності, так як систолічна АГ на 35% визначає рівень летальності,48% - летальність від ССЗ і 65% - летальність від мозкового інсульту. В той час, як діастолічний АТ становить 19,31 і 44%.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На наведеній нижче діаграмі зазначена смертність від ССЗ залежно від рівня АТ.</w:t>
      </w:r>
    </w:p>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114300" distR="114300">
            <wp:extent cx="5241851" cy="2721935"/>
            <wp:effectExtent l="0" t="0" r="0" b="0"/>
            <wp:docPr id="103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Лише у 15% осіб виявляють ізольовану діастолічну АГ, 17% мають ізольовану систолічну АГ і  в 68% осіб виявляють одночасне підвищення систолічного і діастолічного АТ. Результат такий, що 85% хворих або 960,5 тис. із АГ мають високий систолічний тиск.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Щодо поширеності гіперхолестринемії, то у кожної третьої жінки і кожного п’ятого чоловіка рівень коливається від 5,2 до 6,2 ммоль/л. У кожного п’ятого хворого виявляють гіперхолестеринемію.  На наведеній нижче діаграмі представлений розподіл обстежених за рівнем холестерину (%). </w:t>
      </w:r>
    </w:p>
    <w:p w:rsidR="00501ACB" w:rsidRDefault="00553C15">
      <w:pPr>
        <w:spacing w:line="360" w:lineRule="auto"/>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114300" distR="114300">
            <wp:extent cx="5486400" cy="3200400"/>
            <wp:effectExtent l="0" t="0" r="0" b="0"/>
            <wp:docPr id="103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Щодо результатів досліджень на рівень летальності завдяки зловживанню курінням, то серед чоловіків які щодня викурюють по 20 і більше сигарет, летальність підвищена у 7 разів в порівнянні з тими, хто не палить взагалі </w:t>
      </w:r>
      <w:r>
        <w:rPr>
          <w:rFonts w:ascii="Times New Roman" w:hAnsi="Times New Roman" w:cs="Times New Roman"/>
          <w:sz w:val="28"/>
          <w:szCs w:val="28"/>
          <w:lang w:val="uk-UA"/>
        </w:rPr>
        <w:t>[8]</w:t>
      </w:r>
      <w:r>
        <w:rPr>
          <w:rFonts w:ascii="Times New Roman" w:hAnsi="Times New Roman" w:cs="Times New Roman"/>
          <w:spacing w:val="10"/>
          <w:position w:val="2"/>
          <w:sz w:val="28"/>
          <w:lang w:val="uk-UA"/>
        </w:rPr>
        <w:t xml:space="preserve">. </w:t>
      </w:r>
      <w:r>
        <w:rPr>
          <w:rFonts w:ascii="Times New Roman" w:hAnsi="Times New Roman" w:cs="Times New Roman"/>
          <w:sz w:val="28"/>
          <w:lang w:val="uk-UA"/>
        </w:rPr>
        <w:t xml:space="preserve">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Таким чином, поєднання систолічної АГ, гіперхолестеринемії, куріння виявляють у 7% чоловіків або ж 750 тис. чоловіків та 1% жінок або ж 110 тис. жінок. Підвищений рівень холестерину та куріння виявляють у 19% чоловіків та 8% жінок. А частота АГ складає 29%, гіперхолестеринемія у 44% осіб і куріння у чоловіків – 44%, у жінок – 16%.</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Підсумовуючи всі вище перераховані статистичні дані зауважу, що модифікована шкала </w:t>
      </w:r>
      <w:r>
        <w:rPr>
          <w:rFonts w:ascii="Times New Roman" w:hAnsi="Times New Roman" w:cs="Times New Roman"/>
          <w:sz w:val="28"/>
          <w:lang w:val="en-US"/>
        </w:rPr>
        <w:t>SCORE</w:t>
      </w:r>
      <w:r>
        <w:rPr>
          <w:rFonts w:ascii="Times New Roman" w:hAnsi="Times New Roman" w:cs="Times New Roman"/>
          <w:sz w:val="28"/>
          <w:lang w:val="uk-UA"/>
        </w:rPr>
        <w:t xml:space="preserve"> – це та шкала, що дозволяє швидко і легко оцінити загальний ризик смертності ССЗ, спрогнозувати його подальшу динаміку на декілька років і визначити шляхи його зменшення. </w:t>
      </w:r>
    </w:p>
    <w:p w:rsidR="00501ACB" w:rsidRDefault="00553C15">
      <w:pPr>
        <w:spacing w:line="360" w:lineRule="auto"/>
        <w:rPr>
          <w:rFonts w:ascii="Times New Roman" w:hAnsi="Times New Roman" w:cs="Times New Roman"/>
          <w:b/>
          <w:sz w:val="28"/>
          <w:lang w:val="uk-UA"/>
        </w:rPr>
      </w:pPr>
      <w:r>
        <w:rPr>
          <w:rFonts w:ascii="Times New Roman" w:hAnsi="Times New Roman" w:cs="Times New Roman"/>
          <w:sz w:val="28"/>
          <w:lang w:val="uk-UA"/>
        </w:rPr>
        <w:t xml:space="preserve">      </w:t>
      </w:r>
      <w:r>
        <w:rPr>
          <w:rFonts w:ascii="Times New Roman" w:hAnsi="Times New Roman" w:cs="Times New Roman"/>
          <w:b/>
          <w:sz w:val="28"/>
          <w:lang w:val="uk-UA"/>
        </w:rPr>
        <w:t>1.6. Патогенетичні механізми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Зміни в кардіоміоцитах розвиваються відразу протягом перших годин при коронаротромбозі. Відновлення прохідності судини через 5-6 годин від початку болю не покращує функцію м’яза. Лише раннє відновлення може зменшити розміри некрозу. Здебільшого некроз розвивається у ділянці лівого шлуночка, бо саме в тій ділянці відбувається найбільша робота. У випадку розвитку заднього ІМ, то патологічний процес буде розвиватись у задній стінці правого шлуночку. Тяжке ураження магістральної судини призводить до трансмурального ІМ [2]</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 гострій ішемії перші зміни виявляють через 20-30 хвилин від початку оклюзії. В електронній мікроскопії буде спостерігатись зменшення к-ті і розмірів гранул глікогену, набухання мітохондрій та порушення саркоплазматичного ретикулуму (особлива форма ЕПС для міокарду).  Протягом перших 2 годин зміни є неповоротними. З кардіоміцитів виходять іони К</w:t>
      </w:r>
      <w:r>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і тоді накопичується іони </w:t>
      </w:r>
      <w:r>
        <w:rPr>
          <w:rFonts w:ascii="Times New Roman" w:hAnsi="Times New Roman" w:cs="Times New Roman"/>
          <w:sz w:val="28"/>
          <w:szCs w:val="28"/>
          <w:lang w:val="en-US"/>
        </w:rPr>
        <w:t>Ca</w:t>
      </w:r>
      <w:r>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Через 6-8 годин після початку больового синдрому розвивається некроз. В гістологічному дослідженні виявляють набряк інтерстиції, збільшення жирових депозитів, інфільтрацію нейтрофілів і парез капілярів із стазом еритроцитів [2, 17]</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Пацієнти, що зазнали летальність від ІМ, мають 3 варіанти некрозу. В центральній ділянці ІМ розвивається коагуляційний некроз. Проявляється пасивною релаксацією міоцитів, відбувається пошкодження міофібрил, стаз крові і фагоцитоз некротичних мас.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Внаслідок відновлення кровообігу після тимчасово закритої артерії розвивається коагуляційний міоцитоліз. Буває 2-х видів: ІМ без зубця </w:t>
      </w:r>
      <w:r>
        <w:rPr>
          <w:rFonts w:ascii="Times New Roman" w:hAnsi="Times New Roman" w:cs="Times New Roman"/>
          <w:sz w:val="28"/>
          <w:szCs w:val="28"/>
          <w:lang w:val="en-US"/>
        </w:rPr>
        <w:t>Q</w:t>
      </w:r>
      <w:r>
        <w:rPr>
          <w:rFonts w:ascii="Times New Roman" w:hAnsi="Times New Roman" w:cs="Times New Roman"/>
          <w:sz w:val="28"/>
          <w:szCs w:val="28"/>
          <w:lang w:val="uk-UA"/>
        </w:rPr>
        <w:t xml:space="preserve"> та обширний некроз по периферії.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Останній вид некрозу – колікваційний некроз або міоцитоліз. Цей вид некрозу обумовлений тяжкою ішемією. Властиво набряк кардіоміоцитів, лізис міофібрил із лізисом ядер, лізосом, фагоцитоз некротичних мас [2, 19]</w:t>
      </w:r>
      <w:r>
        <w:rPr>
          <w:rFonts w:ascii="Times New Roman" w:hAnsi="Times New Roman" w:cs="Times New Roman"/>
          <w:spacing w:val="10"/>
          <w:position w:val="2"/>
          <w:sz w:val="28"/>
          <w:lang w:val="uk-UA"/>
        </w:rPr>
        <w:t xml:space="preserve">. </w:t>
      </w:r>
      <w:r>
        <w:rPr>
          <w:rFonts w:ascii="Times New Roman" w:hAnsi="Times New Roman" w:cs="Times New Roman"/>
          <w:sz w:val="28"/>
          <w:szCs w:val="28"/>
          <w:lang w:val="uk-UA"/>
        </w:rPr>
        <w:t xml:space="preserve">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 18-24 години від початку болю виділяють зону некрозу жовтувато-сірого кольору з нерівномірним кровопостачанням. У перикарді з’являються нитки фібрину. Пізніше зона стає сірою з нейтральною інфільтрацією. Консистенція міокарда твердіє, поверхня сухіша. З поліморфних нейтрофілів утворюється лінія між живою і змертвілою тканиною. Поліморфні лейкоцити мігрують до центру. З 3-4 доби починається видалення некротичних мас. Надалі макрофаги, лімфоцити і фібробласти інфільтрують зону некрозу [2]</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 8-10 добу міокард в зоні некрозу витончується, проростає молода сполучна тканина, поступово збільшується кількість колагену. Формується фіброзний білий рубець. Надалі – вростання судин із накопиченням фібробластів. Протягом 4-6 тижнів некротичні маси видаляються із зони ІМ.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Через 2-2,5 місяці від початку хвороби закінчується формування післяінфарктного рубця, ендокард набуває сірого кольору. Таким чином, ІМ виникає внаслідок поєднання судинного і метаболічного факторів патогенезу.</w:t>
      </w:r>
    </w:p>
    <w:p w:rsidR="00501ACB" w:rsidRDefault="00553C15">
      <w:pPr>
        <w:spacing w:line="360" w:lineRule="auto"/>
        <w:rPr>
          <w:rFonts w:ascii="Times New Roman" w:hAnsi="Times New Roman" w:cs="Times New Roman"/>
          <w:b/>
          <w:sz w:val="28"/>
          <w:lang w:val="uk-UA"/>
        </w:rPr>
      </w:pPr>
      <w:r>
        <w:rPr>
          <w:rFonts w:ascii="Times New Roman" w:hAnsi="Times New Roman" w:cs="Times New Roman"/>
          <w:sz w:val="28"/>
          <w:lang w:val="uk-UA"/>
        </w:rPr>
        <w:t xml:space="preserve">      </w:t>
      </w:r>
      <w:r>
        <w:rPr>
          <w:rFonts w:ascii="Times New Roman" w:hAnsi="Times New Roman" w:cs="Times New Roman"/>
          <w:b/>
          <w:sz w:val="28"/>
          <w:lang w:val="uk-UA"/>
        </w:rPr>
        <w:t>1.7. Клінічна симптоматика</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1. Біль</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 xml:space="preserve">Найголовніший симптом, який проявляється раптово або може передувати більш або менш тривалому періоду грудної жаби. Біль відчувається декілька хвилин, декілька годин або навіть декілька діб. Може припинитись через декілька годин і знов з’явитись. Під час нападу деякі хворі лежать не рухливо зовсім, хоча інші ж можуть так просидіти за столом всю ніч. Поведінка в першу чергу залежить від інтенсивності больового синдрому і нервового самовладання </w:t>
      </w:r>
      <w:r>
        <w:rPr>
          <w:rFonts w:ascii="Times New Roman" w:hAnsi="Times New Roman" w:cs="Times New Roman"/>
          <w:sz w:val="28"/>
          <w:szCs w:val="28"/>
          <w:lang w:val="uk-UA"/>
        </w:rPr>
        <w:t>[6, 22]</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Інфарктний біль не завжди сильний. В деяких випадках може бути і середньої інтенсивності, але цій біль буде більш тривалішим ,ніж при грудній жабі; може тривати від 30 хвилин і до години.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2. Артеріальний тиск</w:t>
      </w:r>
    </w:p>
    <w:p w:rsidR="00501ACB" w:rsidRDefault="00553C15">
      <w:pPr>
        <w:spacing w:line="360" w:lineRule="auto"/>
        <w:rPr>
          <w:rFonts w:ascii="Times New Roman" w:hAnsi="Times New Roman" w:cs="Times New Roman"/>
          <w:sz w:val="28"/>
          <w:szCs w:val="28"/>
          <w:lang w:val="uk-UA"/>
        </w:rPr>
      </w:pPr>
      <w:r>
        <w:rPr>
          <w:lang w:val="uk-UA"/>
        </w:rPr>
        <w:t xml:space="preserve"> </w:t>
      </w:r>
      <w:r>
        <w:rPr>
          <w:rFonts w:ascii="Times New Roman" w:hAnsi="Times New Roman" w:cs="Times New Roman"/>
          <w:sz w:val="28"/>
          <w:szCs w:val="28"/>
          <w:lang w:val="uk-UA"/>
        </w:rPr>
        <w:t>Найбільш часто в діагностиці інфаркту зустрічається знижений АТ, що являє собою  майже постійний симптом. У пацієнта, який страждав раніше гіпертонією, зниження АТ не досягає таких низьких значень, як у хворих, у яких до ІМ визначався нормальний АТ [15]</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Знижений тиск починає поступово підвищуватись через 2-3 тижня після появи інфарктного болю і тоді вже не досягає передінфарктного рівня. Кров’яний тиск знижується в перші години ІМ, іноді через декілька діб. Падіння АТ може настати відразу після появи больового синдрому або ж проходить повільно, протягом декількох діб. Найнижчий рівень АТ досягне через 10-20 діб. Падіння тиску залежить від зменшення  ударного об’єму серця.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3. Температура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Зростає на 2-ий день хвороби, але іноді виникає і через декілька годин після больового нападу. В деяких випадках у перші доби ІМ температура знижується ,в інших же під пахова температура сягає нормальних показників, а ректальна – вище норми. У деяких випадках спостерігається лише субфебрильний стан, який припиняється через декілька діб. Хоча в більшості випадків температура </w:t>
      </w:r>
      <w:r>
        <w:rPr>
          <w:rFonts w:ascii="Times New Roman" w:hAnsi="Times New Roman" w:cs="Times New Roman"/>
          <w:sz w:val="28"/>
          <w:lang w:val="uk-UA"/>
        </w:rPr>
        <w:lastRenderedPageBreak/>
        <w:t xml:space="preserve">підвищується до 38℃, іноді і до 39℃ і така тоді температурна реакція буде продовжуватись пару діб, припиняється повністю вкінці тижня </w:t>
      </w:r>
      <w:r>
        <w:rPr>
          <w:rFonts w:ascii="Times New Roman" w:hAnsi="Times New Roman" w:cs="Times New Roman"/>
          <w:sz w:val="28"/>
          <w:szCs w:val="28"/>
          <w:lang w:val="uk-UA"/>
        </w:rPr>
        <w:t>[15]</w:t>
      </w:r>
      <w:r>
        <w:rPr>
          <w:rFonts w:ascii="Times New Roman" w:hAnsi="Times New Roman" w:cs="Times New Roman"/>
          <w:spacing w:val="10"/>
          <w:position w:val="2"/>
          <w:sz w:val="28"/>
          <w:lang w:val="uk-UA"/>
        </w:rPr>
        <w:t xml:space="preserve">. </w:t>
      </w:r>
      <w:r>
        <w:rPr>
          <w:rFonts w:ascii="Times New Roman" w:hAnsi="Times New Roman" w:cs="Times New Roman"/>
          <w:sz w:val="28"/>
          <w:lang w:val="uk-UA"/>
        </w:rPr>
        <w:t xml:space="preserve">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Підвищення температури при ІМ є наслідком некротичної зміни міокарда.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4. Частота серцевих скорочень</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У перші часи ритм може бути повільним (50-60 ударів  за хвилину). Уповільнення тиску нижче 50 ударів  за хвилину. указує на блокаду серця. В перші години ІМ тиск є прискореним до 100 ударів  за хвилину. Прискорення тиску вище 110-120 ударів  за хвилину вказує на поширений некроз міокарда, шок або недостатність кровообігу.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5. Зростання частоти дихання</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Обумовлює послаблення серцевого м’яза або легеневі ускладнення. Поява ортопноє – погана ознака.</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6. Розлади мозкового кровообігу</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З’являються в гострому періоді у зв’язку зі зменшенням систолічного об’єму, що тягне за собою гіпоксію і набряк тканин головного мозку, а також у зв’язку з тромбозом і емболією мозку. У пацієнтах із цукровим діабетом, ацидоз може призвести до коми </w:t>
      </w:r>
      <w:r>
        <w:rPr>
          <w:rFonts w:ascii="Times New Roman" w:hAnsi="Times New Roman" w:cs="Times New Roman"/>
          <w:sz w:val="28"/>
          <w:szCs w:val="28"/>
          <w:lang w:val="uk-UA"/>
        </w:rPr>
        <w:t>[5]</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b/>
          <w:sz w:val="28"/>
          <w:lang w:val="uk-UA"/>
        </w:rPr>
      </w:pPr>
      <w:r>
        <w:rPr>
          <w:rFonts w:ascii="Times New Roman" w:hAnsi="Times New Roman" w:cs="Times New Roman"/>
          <w:sz w:val="28"/>
          <w:lang w:val="uk-UA"/>
        </w:rPr>
        <w:t xml:space="preserve">       </w:t>
      </w:r>
      <w:r>
        <w:rPr>
          <w:rFonts w:ascii="Times New Roman" w:hAnsi="Times New Roman" w:cs="Times New Roman"/>
          <w:b/>
          <w:sz w:val="28"/>
          <w:lang w:val="uk-UA"/>
        </w:rPr>
        <w:t xml:space="preserve">1.8. Клінічна картина за формою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За формою виділяють типові, атипові та форми з нетиповими больовими синдромами (гастрична форма, неврологічна і нервова форми). В свою чергу, атипові підрозділяються на: форму гострої лівошлуночкової недостатності, правошлуночкова недостатність і дизритмічна форма. Також виокремлюють без больовий та безсимптомний інфаркти.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1.8.1. Типові форми</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Головні симптоми гострої форми  – раптовий гострий біль, знижений АТ, лихоманка, лейкоцитоз. Хронічна больова форма нагадує грудну жабу і частіше за </w:t>
      </w:r>
      <w:r>
        <w:rPr>
          <w:rFonts w:ascii="Times New Roman" w:hAnsi="Times New Roman" w:cs="Times New Roman"/>
          <w:sz w:val="28"/>
          <w:lang w:val="uk-UA"/>
        </w:rPr>
        <w:lastRenderedPageBreak/>
        <w:t xml:space="preserve">все ту форму, яку неможливо відрізнити від стенокардії. Біль, що з’являється в ділянці серця після фізичного перенапруження та в стані спокою тримається 10-20 хвилин, надалі припиняється. Відрізняється тим, що з’являється щоденно після кожної фізичної активності, продовжується тоді декілька місяців </w:t>
      </w:r>
      <w:r>
        <w:rPr>
          <w:rFonts w:ascii="Times New Roman" w:hAnsi="Times New Roman" w:cs="Times New Roman"/>
          <w:sz w:val="28"/>
          <w:szCs w:val="28"/>
          <w:lang w:val="uk-UA"/>
        </w:rPr>
        <w:t>[11]</w:t>
      </w:r>
      <w:r>
        <w:rPr>
          <w:rFonts w:ascii="Times New Roman" w:hAnsi="Times New Roman" w:cs="Times New Roman"/>
          <w:spacing w:val="10"/>
          <w:position w:val="2"/>
          <w:sz w:val="28"/>
          <w:lang w:val="uk-UA"/>
        </w:rPr>
        <w:t xml:space="preserve">. </w:t>
      </w:r>
      <w:r>
        <w:rPr>
          <w:rFonts w:ascii="Times New Roman" w:hAnsi="Times New Roman" w:cs="Times New Roman"/>
          <w:sz w:val="28"/>
          <w:lang w:val="uk-UA"/>
        </w:rPr>
        <w:t xml:space="preserve">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При тяжких випадках грудної жаби при розтині можна виявити закупорку венозної артерії та незначні  її звуження.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1.8.2. Атипові форми</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Складають 15-20% всіх випадків ІМ. Виділяють декілька їх підвидів.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1. форма гострої лівошлуночкової недостатності</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Набряк легень у ранньому періоді виникає у 1-15% випадках. Це може стати першим симптомом ІМ. У такому випадку раптово виникає задишка з кашлем, біло-рожева піниста мокрота. Набряк може припинитись раптово або ж після застосування терапевтичних дій, а може і рецидивувати.  Зазвичай набряк легень виникає в ранньому періоді ІМ, з’являється з підвищеним кров’яним тиском, розширенням ділянки серця або ж у хворих, які раніше вже перенесли ІМ. У таких випадках летальність складає 50%. Іноді форма лівошлуночкової недостатності може проявлятись в якості доброякісної форми серцевої астми [9,12]</w:t>
      </w:r>
      <w:r>
        <w:rPr>
          <w:rFonts w:ascii="Times New Roman" w:hAnsi="Times New Roman" w:cs="Times New Roman"/>
          <w:spacing w:val="10"/>
          <w:position w:val="2"/>
          <w:sz w:val="28"/>
          <w:lang w:val="uk-UA"/>
        </w:rPr>
        <w:t xml:space="preserve">. </w:t>
      </w:r>
      <w:r>
        <w:rPr>
          <w:rFonts w:ascii="Times New Roman" w:hAnsi="Times New Roman" w:cs="Times New Roman"/>
          <w:sz w:val="28"/>
          <w:szCs w:val="28"/>
          <w:lang w:val="uk-UA"/>
        </w:rPr>
        <w:t xml:space="preserve">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форма правошлуночкової недостатності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Виникає у 7% випадків. З’являється у пацієнтах із гіпертонією або ж при обширних та повторних ІМ. У більшості випадків правошлуночкова недостатність виникає за декілька тижнів або місяців. Відсоток летальності сягає до 70.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дизритмічна форма</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Супроводжується характерною аритмією, шлуночковою тахікардією, атріовентрикулярною блокадою або  ж іншими порушеннями ритму. Порушення ритму і провідності виникає одночасно із больовим синдромом.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1.8.3. Форми з нетиповими болями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 гастрична форма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Відрізняється порушеннями, які відносяться до захворювань ШКТ. Починається з блювоти, больовим синдромом під ложкою, іноді з проявами проносу. Біль іррадіює в лопатку.</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неврологічна форма</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Супроводжується болями неврологічного або м’язово – ревматичного характеру. Тривалість болю може бути різноманітна, іноді від 10 до 20 хвилин; повторюються протягом дня. Можуть з’являтись і в стані спокою, і в стані фізичного перенапруження.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нервова форма</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Характеризується раптовим виникненням геміплегії, або афазії, або затьмареність, що маскують больові симптоми. Ці зміни викликані ішемією головного мозку, внаслідок зниження хвилинного об’єму серця або ж тромбозу мозкової артерії, що з’являється разом із тромбозом венозної артерії і як результат – емболія мозкової артерії в разі ІМ.</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1.8.4. Безбольовий інфаркт</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Дана форма виявляється у пацієнтів, які багато років скаржаться на підвищену втомлювальність, іноді почуття стиснення. У деяких хворих замість болю виникає набряк легень, шок, аритмія. Ці ж симптоми не завжди достатньо виражені, тому хворий не може їх і помітити, і відчути біль. Тоді в такому випадку потрібно застосувати ЕКГ, щоб з’ясувати чи то свіжий, чи то перенесений ІМ.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1.8.5. Безсимптомний ІМ</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симптомів буде виражений больовий синдром, а набряк, шок і аритмію виявити буде не можливо. Завдяки патологоанатомічного розтину буде спромога це з’ясувати. </w:t>
      </w:r>
    </w:p>
    <w:p w:rsidR="00501ACB" w:rsidRDefault="00553C15">
      <w:pPr>
        <w:spacing w:line="360" w:lineRule="auto"/>
        <w:rPr>
          <w:rFonts w:ascii="Times New Roman" w:hAnsi="Times New Roman" w:cs="Times New Roman"/>
          <w:b/>
          <w:sz w:val="28"/>
          <w:lang w:val="uk-UA"/>
        </w:rPr>
      </w:pPr>
      <w:r>
        <w:rPr>
          <w:rFonts w:ascii="Times New Roman" w:hAnsi="Times New Roman" w:cs="Times New Roman"/>
          <w:sz w:val="28"/>
          <w:lang w:val="uk-UA"/>
        </w:rPr>
        <w:t xml:space="preserve">       </w:t>
      </w:r>
      <w:r>
        <w:rPr>
          <w:rFonts w:ascii="Times New Roman" w:hAnsi="Times New Roman" w:cs="Times New Roman"/>
          <w:b/>
          <w:sz w:val="28"/>
          <w:lang w:val="uk-UA"/>
        </w:rPr>
        <w:t>1.9. Клінічна картина за перебігом</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lastRenderedPageBreak/>
        <w:t>За перебігом виділяють декілька періодів: найгостріший (до 6 діб від появи симптоматики), гострий ( від 6 годин до 7 діб), рубцювання – від 8 до 28 діб і постінфарктний кардіосклероз – після 28 діб.</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Найгостріший період – це час від появи ішемії до початку виникнення перших симптомів некрозу; триває від появи симптомів до 6 діб. Цей період має ще таку назву, як початковий період. Спочатку спостерігаються нападоподібні болі в області серця з іррадіацією в ліву руку, плече або під лопатку, в подальшому можуть мати більш тяжкий характер. Підвищується АТ, у результаті чого у деяких пацієнтів виникає аритмія. Якщо болі в грудній клітині не знімаються нітрогліцерином протягом 30-40 хвилин, то термінова невідкладна допомога. У 10-15% пацієнтів біль в грудній клітині може бути і відсутня. В ЕКГ буде помітно відмічатись порушення ритму </w:t>
      </w:r>
      <w:r>
        <w:rPr>
          <w:rFonts w:ascii="Times New Roman" w:hAnsi="Times New Roman" w:cs="Times New Roman"/>
          <w:sz w:val="28"/>
          <w:szCs w:val="28"/>
          <w:lang w:val="uk-UA"/>
        </w:rPr>
        <w:t>[3,4]</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Гострий період – період сильного болю,  який триває від 6 годин до 7 діб. Проявляється аритміями, артеріальними гіпотоніями, серцевою недостатністю, блокадами. В окремих хворих проявляється розрив міжшлуночкової перегородки, що може бути обумовлено зупинкою серця на цій стадії.</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Підгострий період – період від формування вогнищ некрозу до заміщення його сполучною тканиною. Ця стадія буде тривати до 2-3 місяців. Загальний стан пацієнта покращується. Серцевий ритм приходить до нормальних показників, тиск починає підвищуватись, задишка зменшується аж до повного зникнення, больовий синдром припиняється.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Стадія рубцювання завершується остаточним формуванням рубця. Фізична активність починає зростати, показники крові приходять до норми, частота серцевих скорочень приходить до нормальних показників, але ще може спостерігатись порушення ритму.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Стадія рубцювання і постінфарктний кардіосклероз можуть тривати все життя. Але після перенесеного інфаркту відбувається зміна будови серця. Стінка міокарда </w:t>
      </w:r>
      <w:r>
        <w:rPr>
          <w:rFonts w:ascii="Times New Roman" w:hAnsi="Times New Roman" w:cs="Times New Roman"/>
          <w:sz w:val="28"/>
          <w:lang w:val="uk-UA"/>
        </w:rPr>
        <w:lastRenderedPageBreak/>
        <w:t xml:space="preserve">потовщується, тканина гіпертрофується, що призводить до серцевої недостатності та до розвитку аневризми стінки серця </w:t>
      </w:r>
      <w:r>
        <w:rPr>
          <w:rFonts w:ascii="Times New Roman" w:hAnsi="Times New Roman" w:cs="Times New Roman"/>
          <w:sz w:val="28"/>
          <w:szCs w:val="28"/>
          <w:lang w:val="uk-UA"/>
        </w:rPr>
        <w:t>[23, 24]</w:t>
      </w:r>
      <w:r>
        <w:rPr>
          <w:rFonts w:ascii="Times New Roman" w:hAnsi="Times New Roman" w:cs="Times New Roman"/>
          <w:spacing w:val="10"/>
          <w:position w:val="2"/>
          <w:sz w:val="28"/>
          <w:lang w:val="uk-UA"/>
        </w:rPr>
        <w:t xml:space="preserve">. </w:t>
      </w:r>
      <w:r>
        <w:rPr>
          <w:rFonts w:ascii="Times New Roman" w:hAnsi="Times New Roman" w:cs="Times New Roman"/>
          <w:sz w:val="28"/>
          <w:lang w:val="uk-UA"/>
        </w:rPr>
        <w:t xml:space="preserve"> </w:t>
      </w:r>
    </w:p>
    <w:p w:rsidR="00501ACB" w:rsidRDefault="00553C15">
      <w:pPr>
        <w:spacing w:line="360" w:lineRule="auto"/>
        <w:rPr>
          <w:rFonts w:ascii="Times New Roman" w:hAnsi="Times New Roman" w:cs="Times New Roman"/>
          <w:b/>
          <w:sz w:val="28"/>
          <w:lang w:val="uk-UA"/>
        </w:rPr>
      </w:pPr>
      <w:r>
        <w:rPr>
          <w:rFonts w:ascii="Times New Roman" w:hAnsi="Times New Roman" w:cs="Times New Roman"/>
          <w:sz w:val="28"/>
          <w:lang w:val="uk-UA"/>
        </w:rPr>
        <w:t xml:space="preserve">     </w:t>
      </w:r>
      <w:r>
        <w:rPr>
          <w:rFonts w:ascii="Times New Roman" w:hAnsi="Times New Roman" w:cs="Times New Roman"/>
          <w:b/>
          <w:sz w:val="28"/>
          <w:lang w:val="uk-UA"/>
        </w:rPr>
        <w:t xml:space="preserve">1.10. Лабораторні критерії </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Підтвердити всі вище сказані елементи ІМ можливо завдяки діагностиці. Серед діагностичних показників нам важливо зробити упор на клінічні, біохімічні, інструментальні дані та аускультативні зміни. Вперше лабораторний метод діагностики інфаркту (вимірювання активності аспартатамінотрансферази в крові) було застосовано понад 50 років тому. Відтоді роль лабораторних методів у кардіології постійно зростала. Відбувся знаменний перехід від вимірювання активності аспартатамінотрансферази та лактатдегідрогенази до трьох біомаркерів, які широко застосовують: 1) міоглобіну, креатинкінази МВ і тропонінів I і Т.</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 xml:space="preserve"> 1.10.1. Біохімічні зміни</w:t>
      </w:r>
    </w:p>
    <w:p w:rsidR="00501ACB" w:rsidRDefault="00553C15">
      <w:pPr>
        <w:spacing w:line="360" w:lineRule="auto"/>
        <w:rPr>
          <w:rFonts w:ascii="Times New Roman" w:hAnsi="Times New Roman" w:cs="Times New Roman"/>
          <w:sz w:val="28"/>
          <w:lang w:val="uk-UA"/>
        </w:rPr>
      </w:pPr>
      <w:r>
        <w:rPr>
          <w:rFonts w:ascii="Times New Roman" w:hAnsi="Times New Roman" w:cs="Times New Roman"/>
          <w:sz w:val="28"/>
          <w:lang w:val="uk-UA"/>
        </w:rPr>
        <w:t>1. Порушення обміну катехоламінів</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Унаслідок того, що активність симпатико – адреналової системи посилює свій рівень, то відбувається підвищення адреналіну та норадреналіну в плазмі крові, а також підвищується екскреція їх із сечею.  У більшості хворих спостерігається надмірне виділення двох видів катехоламінів протягом 24-72 годин ІМ. За ці визначені години кількість катехоламінів у сечі може зрости в 2-3 рази, у деяких пацієнтів аж в 5-10 разів. У хворих, в яких відсутні гемодинамічні ускладнення, виділення катехоламінів повернеться до нормальних показників через 4-5 діб.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 хворих із найбільш тяжкою симптоматикою ІМ, а саме блідість шкірних покривів, тахікардія, набряк легень або значна гіпотонія виявляється найбільш висока кількість катехоламінів у сечі [1, 10]</w:t>
      </w:r>
      <w:r>
        <w:rPr>
          <w:rFonts w:ascii="Times New Roman" w:hAnsi="Times New Roman" w:cs="Times New Roman"/>
          <w:spacing w:val="10"/>
          <w:position w:val="2"/>
          <w:sz w:val="28"/>
          <w:lang w:val="uk-UA"/>
        </w:rPr>
        <w:t xml:space="preserve">. </w:t>
      </w:r>
      <w:r>
        <w:rPr>
          <w:rFonts w:ascii="Times New Roman" w:hAnsi="Times New Roman" w:cs="Times New Roman"/>
          <w:sz w:val="28"/>
          <w:szCs w:val="28"/>
          <w:lang w:val="uk-UA"/>
        </w:rPr>
        <w:t xml:space="preserve">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 1 добу підвищення рівню катехоламінів супроводжується надмірним ростом вільних жирних кислот у крові. Вільні жирні кислоти підвищують утилізацію кисню міокарда, знижують скорочувальну здатність серцевого м’яза і пагубно діють на клітинну мембрану. У більшості випадків ІМ унаслідок падіння кров’яного тиску, </w:t>
      </w:r>
      <w:r>
        <w:rPr>
          <w:rFonts w:ascii="Times New Roman" w:hAnsi="Times New Roman" w:cs="Times New Roman"/>
          <w:sz w:val="28"/>
          <w:szCs w:val="28"/>
          <w:lang w:val="uk-UA"/>
        </w:rPr>
        <w:lastRenderedPageBreak/>
        <w:t xml:space="preserve">посилюється діяльність симпатико-адреналової системи і підвищується виділення катехоламінів із сечею.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Активність реніну підвищується в гострому періоді ІМ, досягає вищого рівня на 3 добу. Рівень росту активності реніну не залежить від просторості і клінічного перебігу хвороби.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Порушення вуглеводного обміну</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Порушення вуглеводного обміну виражається в гострому періоді у формі глюкозурії, гіперглікемії та зниженою толерантністю до глюкози. За часом співпадає з підвищенням рівня катехоламінів і екскрецією з сечею, бо саме збудження симпатико-адреналової системи призводить до прискорення глікогенолізу і як наслідок наступає підвищення показників глюкози [11]</w:t>
      </w:r>
      <w:r>
        <w:rPr>
          <w:rFonts w:ascii="Times New Roman" w:hAnsi="Times New Roman" w:cs="Times New Roman"/>
          <w:spacing w:val="10"/>
          <w:position w:val="2"/>
          <w:sz w:val="28"/>
          <w:lang w:val="uk-UA"/>
        </w:rPr>
        <w:t xml:space="preserve">. </w:t>
      </w:r>
      <w:r>
        <w:rPr>
          <w:rFonts w:ascii="Times New Roman" w:hAnsi="Times New Roman" w:cs="Times New Roman"/>
          <w:sz w:val="28"/>
          <w:szCs w:val="28"/>
          <w:lang w:val="uk-UA"/>
        </w:rPr>
        <w:t xml:space="preserve">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Глюкозурія і гіперглікемія можуть виникати у хворих і без припущень на цукровий діабет. В інших пацієнтах з чітким цукровим сечовиділенням рівень глюкозурії і гіперглікемія значно підвищуються. Також у пацієнтах з цукровим діабетом може супроводжуватися ацидоз і діабетична кома.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 Гіпоксемія</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З’являється у перші дні захворювання. Поява гіпоксемії пов’язана з порушенням газового обміну. У крові буде знижуватись парціальний тиск кисню і зменшення насиченості киснем. Парціальний тиск кисню можна позитивно скорегувати з ударним об’ємом серця і негативно з тиском в легеневій артерії.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Половини пацієнтів, хворих на ІМ, у перші дні зазначається метаболічний ацидоз, який частково або повністю компенсується шляхом гіпервентиляції [1,10].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 Порушення балансу електролітів</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У гострому періоді захворювання спостерігаються зміни концентрації натрію, калію і хлору в сироватці крові. Концентрація вище наведених електролітів буде </w:t>
      </w:r>
      <w:r>
        <w:rPr>
          <w:rFonts w:ascii="Times New Roman" w:hAnsi="Times New Roman" w:cs="Times New Roman"/>
          <w:sz w:val="28"/>
          <w:szCs w:val="28"/>
          <w:lang w:val="uk-UA"/>
        </w:rPr>
        <w:lastRenderedPageBreak/>
        <w:t xml:space="preserve">підвищуватися при ІМ без шокового ускладнення і, відповідно, знижуватись при ІМ з шоком.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 порушення концентрації натрію і хлору впливає альдостерон та інші гормони кори наднирників,  які мають позитивну дію на транспорт електролітів і на клітинний обмін у нирках.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 перші 2 тижня добова кількість електролітів у сечі буде перевищувати нормальні показники, але надалі буде стабілізуватися; виділення калію виявлятися не буде.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 Порушення білкового стану</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Підвищення рівня небілкового азоту в крові припадає на перші години ІМ, але найчастіше за все це кінець 1-2 дня; надалі рівень буде приходити до нормальних показників. У деяких випадках при нормалізації значень небілкового азоту, через деякий час може знов підвищитись або взагалі досягнути високих значень. Причиною азотемії при ІМ є порушення білкового обміну та гемодинамічні порушення, які впливають на порушення ниркового кровотоку і клубочкову фільтрацію [11]</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Зростання небілкового азоту і сечовини супроводжується підвищенням рівня поліпептидів.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 першу чергу, порушення білкового обміну обумовлене зниженням альбумінів у перші дні та зростанням альфа- і гамма-глобулінів. А зростання альфа- і гамма-глобулінів, у свою чергу, буде призводити до підвищення вмісту ліпопротеїдів. Після зниження рівня альбумінів, зростає вміст альфа</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бета-глобулінів, альфа</w:t>
      </w:r>
      <w:r>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і альфа</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-глікопротеїдів, збільшується концентрація вільної фракції бета-ліпопротеїдів. Ці зміни з’являються між 1 і 10 добою, пік на 6-7 добу. Через 3 тижня від початку інфаркту, порушення білків починають потроху зникати.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 інфаркті змінюються і результати коагуляційної проби. У перші 2 доби виявляється скорочення коагуляційного ряду, який досягає мінімальних значень на 5 або 7 добу [11]</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Особливо не менш важливим для діагностування ІМ є визначення С-реактивного білка. Якщо усунути розвиток інфекції, то цей показник дає позитивний результат за інфарктний некроз, який з’являється через 12-72 годин після нападу. На другий тиждень зазвичай результат стає негативним, хоча у деяких пацієнтів може затримуватись і надалі. Якщо в період одужання ця проба знов стає позитивною, то можна розглядати як повторне виникнення ІМ.</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7. Білірубін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При ІМ іноді підвищується рівень білірубіну в сироватці крові. В сечі виявляють уробілін, підвищений вміст уробіліногену і 1% білку. Може з’явитись гематурія, як наслідок інфаркту нирки, який визваний емболією.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8. Порушення згортання крові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Виділяють 3 періоди порушення згортання. Перший період – це період підвищеного згортання крові, який триває 24-36 годин. Виражений сильніше, ніж раніше після появи больового синдрому. Другий період зі зниженим згортанням крові, починається на 2-й день, пік на 4-й день. Триває до тижня. Третій період починається на 2 тижні, триває 4-5 тижнів, іноді може бути і декілька місяців.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Підвищення фібриногену спостерігалось протягом перших діб після виникнення інфаркту. Максимальний рівень сягав на 5 день хвороби [10]</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 Жировий обмін</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Виявляють зниження деяких показників. На 4-7 добу зменшується рівень холестерину, який повертається на попередні значення через 4 тижня; рівень тригліцеридів поступово підвищується, на 3-4 тижня має надмірні значення. Вміст неетерофіцированих жирних кислот зростає в перші дні.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1.10.2. Ферментологічні проби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ферментологічних проб найбільш частіше використовують такі ферменти, як: АЛТ, АСТ, КФК, ЛДГ, холінестераза та ін. Діагностична значимість активності цих </w:t>
      </w:r>
      <w:r>
        <w:rPr>
          <w:rFonts w:ascii="Times New Roman" w:hAnsi="Times New Roman" w:cs="Times New Roman"/>
          <w:sz w:val="28"/>
          <w:szCs w:val="28"/>
          <w:lang w:val="uk-UA"/>
        </w:rPr>
        <w:lastRenderedPageBreak/>
        <w:t>ферментів пояснюється їх органоспецифічністю: АСТ найбільш характерна для міокардіальної тканини, а АЛТ – для клітин печінки. Зростання АСТ свідчить про ураження міокарда.</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Активність АСТ в сироватці підвищується через 6-12 годин після появи ІМ, досягає максимальних значень, що перевищує в 2-15 разів. Повертається до нормальних значень через 4-7 діб. АСТ – це чутливий показник некрозу серцевого м’яза, так як у пацієнтів із обширним ІМ цей показник підвищується. Саме підвищення АСТ належить до тих найбільш частих ферментологічних діагностичних тестів, яке використовують для діагностики.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Порівняно з АСТ, АЛТ підвищується в меншому відсотку ІМ. На 3 добу його рівень досягає піку, а через 7-14 діб призводить до стабілізації нормальних показників.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КФК каталізує зворотне фосфорилювання креатину за участю АТФ. Підвищення активності безпосередньо пов’язано з порушенням серцевого м’яза або поперечносмугастих м’язів.  При ІМ його активність підвищується відразу в 1 добу. Максимальних значень досягає на 2 добу і далі поступово стабілізується ближче до 4-5 доби. Зазвичай різке підвищення КФК при ІМ спостерігається протягом перших 3 діб, але іноді бувають і довше [15]</w:t>
      </w:r>
      <w:r>
        <w:rPr>
          <w:rFonts w:ascii="Times New Roman" w:hAnsi="Times New Roman" w:cs="Times New Roman"/>
          <w:spacing w:val="10"/>
          <w:position w:val="2"/>
          <w:sz w:val="28"/>
          <w:lang w:val="uk-UA"/>
        </w:rPr>
        <w:t xml:space="preserve">. </w:t>
      </w:r>
      <w:r>
        <w:rPr>
          <w:rFonts w:ascii="Times New Roman" w:hAnsi="Times New Roman" w:cs="Times New Roman"/>
          <w:sz w:val="28"/>
          <w:szCs w:val="28"/>
          <w:lang w:val="uk-UA"/>
        </w:rPr>
        <w:t xml:space="preserve">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Активність ЛДГ зростає в перші 12-24 години інфаркту і досягає максимуму на 2-4 добу. До нормальних значень приходить на 8-14 день. При ІМ активність фракцій ЛДГ, що швидко пересувається, підвищується навіть в тих випадках, коли загальна активність ЛДГ ще не підвищена. Протягом всієї хвороби, підвищення активності ізоензимів ЛДГ</w:t>
      </w:r>
      <w:r>
        <w:rPr>
          <w:rFonts w:ascii="Times New Roman" w:hAnsi="Times New Roman" w:cs="Times New Roman"/>
          <w:sz w:val="28"/>
          <w:szCs w:val="28"/>
          <w:vertAlign w:val="subscript"/>
          <w:lang w:val="uk-UA"/>
        </w:rPr>
        <w:t xml:space="preserve">1  </w:t>
      </w:r>
      <w:r>
        <w:rPr>
          <w:rFonts w:ascii="Times New Roman" w:hAnsi="Times New Roman" w:cs="Times New Roman"/>
          <w:sz w:val="28"/>
          <w:szCs w:val="28"/>
          <w:lang w:val="uk-UA"/>
        </w:rPr>
        <w:t>і ЛДГ</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тримається в сироватці до 20 діб і більше, аніж загальна активність ЛДГ.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 ході хвороби, активність холінестерази зменшується, досягає мінімальних значень на 5 день. Далі потроху приходить до нормальних показників. Якщо і надалі буде спостерігатися мінімальні значення цього показника, то перебіг буде лише погіршуватись.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Хочу зазначити, що найбільш важливим серед біохімічних показників є виявлення тропонінів. Тропоніни – це регуляторні білки, які потрібні для скорочення м’язів. Їх відокремлюють 3 види, а саме - С,І,Т. Високочутливими маркерами є тропонін І і Т. Вони підвищуються відразу через 4 – 5 години, досягають максимальних значень через 19 годин до 30-80 одиниць.  Визначення тропонінів С і Т підвищує інформативність клінічних, біохімічних і ЕКГ показників.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Слід пам’ятати, що тропоніни виявляють не раніше ніж через 6 годин від початку ІМ. Якщо хворий надходить у клініку протягом перших 2-3 годин з моменту виникнення ангінозного нападу, з метою встановлення ІМ доцільно вимірювати міоглобін та ізоформи MB фракції КК.</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1.10.3. Клінічні зміни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Серед клінічних показників треба буде звертати особливу увагу на лейкоцитоз, лейкоцитарну формулу і ШОЕ. Зазвичай лейкоцитоз з’являється через 10 годин після больового синдрому і утримується деякий час. У деяких пацієнтів лейкоцитоз може зникнути через декілька діб, а в деяких може ще триматись більше 10 діб. Якщо ж лейкоцитоз буде зберігатись більше тижня, то це буде свідчити про затяжний перебіг хвороби або ж наявність ускладнення (розвиток інфекцій, синдром Дреслера або емболічні ускладнення) [11]</w:t>
      </w:r>
      <w:r>
        <w:rPr>
          <w:rFonts w:ascii="Times New Roman" w:hAnsi="Times New Roman" w:cs="Times New Roman"/>
          <w:spacing w:val="10"/>
          <w:position w:val="2"/>
          <w:sz w:val="28"/>
          <w:lang w:val="uk-UA"/>
        </w:rPr>
        <w:t xml:space="preserve">. </w:t>
      </w:r>
      <w:r>
        <w:rPr>
          <w:rFonts w:ascii="Times New Roman" w:hAnsi="Times New Roman" w:cs="Times New Roman"/>
          <w:sz w:val="28"/>
          <w:szCs w:val="28"/>
          <w:lang w:val="uk-UA"/>
        </w:rPr>
        <w:t xml:space="preserve">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ШОЕ не так швидко буде проявлятись. Через 4-11 діб будуть зазначить високі значення. Підвищення цього показника пов’язано із змінами білкового спектру. Значення ШОЕ ніяк не корелюється ні з величиною ІМ, ні з перебігом захворювання.</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1.10.4. Додаткові методи дослідження</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додаткових методів для визначення інфаркту міокарда виділяють: ЕХО-КГ, ЕКГ, коронарна ангіографія.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ЕХО-КГ полягає у виявлення локальних порушень рухливості скорочувальних ділянок м’язів зі зниженням сегментарної скоротливості.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Ключовий засіб діагностики і без якого ніяке серцеве захворювання не буде остаточно виявлене – це ЕКГ. Допомагає виявити локалізацію і поширеність інфаркту. Ранніми змінами є підвищення сегменту </w:t>
      </w:r>
      <w:r>
        <w:rPr>
          <w:rFonts w:ascii="Times New Roman" w:hAnsi="Times New Roman" w:cs="Times New Roman"/>
          <w:sz w:val="28"/>
          <w:szCs w:val="28"/>
          <w:lang w:val="en-US"/>
        </w:rPr>
        <w:t>ST</w:t>
      </w:r>
      <w:r>
        <w:rPr>
          <w:rFonts w:ascii="Times New Roman" w:hAnsi="Times New Roman" w:cs="Times New Roman"/>
          <w:sz w:val="28"/>
          <w:szCs w:val="28"/>
          <w:lang w:val="uk-UA"/>
        </w:rPr>
        <w:t xml:space="preserve"> із наявністю гігантських зубців Т, зменшення вольтажу зубця </w:t>
      </w:r>
      <w:r>
        <w:rPr>
          <w:rFonts w:ascii="Times New Roman" w:hAnsi="Times New Roman" w:cs="Times New Roman"/>
          <w:sz w:val="28"/>
          <w:szCs w:val="28"/>
          <w:lang w:val="en-US"/>
        </w:rPr>
        <w:t>R</w:t>
      </w:r>
      <w:r>
        <w:rPr>
          <w:rFonts w:ascii="Times New Roman" w:hAnsi="Times New Roman" w:cs="Times New Roman"/>
          <w:sz w:val="28"/>
          <w:szCs w:val="28"/>
          <w:lang w:val="uk-UA"/>
        </w:rPr>
        <w:t xml:space="preserve"> і поява патологічного зубця </w:t>
      </w:r>
      <w:r>
        <w:rPr>
          <w:rFonts w:ascii="Times New Roman" w:hAnsi="Times New Roman" w:cs="Times New Roman"/>
          <w:sz w:val="28"/>
          <w:szCs w:val="28"/>
          <w:lang w:val="en-US"/>
        </w:rPr>
        <w:t>Q</w:t>
      </w:r>
      <w:r>
        <w:rPr>
          <w:rFonts w:ascii="Times New Roman" w:hAnsi="Times New Roman" w:cs="Times New Roman"/>
          <w:sz w:val="28"/>
          <w:szCs w:val="28"/>
          <w:lang w:val="uk-UA"/>
        </w:rPr>
        <w:t xml:space="preserve">. Наприкінці 1 доби буде спостерігатись така картина: зменшення сегменту ST, поява негативних зубців Т. У більшості пацієнтів зміни ЕКГ після перенесеного ІМ залишаються далі на роки.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Коронарна ангіографія - найбільш важливе досягнення в діагностуванні кардіології. Позволяє візуалізувати стан коронарних артерій діаметром до 0,5 мм. Селективне введення рентгеноконтрасних речовин у коронарні артерії дає можливість діагностувати наявність чи відсутність стенозів для подальшого його усунення, пристінкового тромбозу або оклюзії в коронарному руслі, локалізацію та розповсюдженість звужених артерій, наявність колатералів [25]</w:t>
      </w:r>
      <w:r>
        <w:rPr>
          <w:rFonts w:ascii="Times New Roman" w:hAnsi="Times New Roman" w:cs="Times New Roman"/>
          <w:spacing w:val="10"/>
          <w:position w:val="2"/>
          <w:sz w:val="28"/>
          <w:lang w:val="uk-UA"/>
        </w:rPr>
        <w:t>.</w:t>
      </w:r>
    </w:p>
    <w:p w:rsidR="00501ACB" w:rsidRDefault="00553C1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1.11. Принципи лікування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 Нітрогліцерин сублінгвально (0,4 мг) або аерозоль нітрогліцерину кожні 5 хвилин.</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Призначення β-блокаторів.</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Усунення чинників,що підвищують нагрузку на міокард і сприяють посиленню ішемії.</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При можливості – тромболітична терапія, яку слід проводити на до госпітальному періоді. </w:t>
      </w:r>
    </w:p>
    <w:p w:rsidR="00501ACB" w:rsidRDefault="00501ACB">
      <w:pPr>
        <w:spacing w:line="360" w:lineRule="auto"/>
        <w:rPr>
          <w:rFonts w:ascii="Times New Roman" w:hAnsi="Times New Roman" w:cs="Times New Roman"/>
          <w:sz w:val="28"/>
          <w:szCs w:val="28"/>
          <w:lang w:val="uk-UA"/>
        </w:rPr>
      </w:pPr>
    </w:p>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1.12. Висновки до першого розділу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Інфаркт міокард визначається, як гостре захворювання, яке обумовлене розвитком ішемічного некрозу міокарда, що зумовлене порушенням серцевої діяльності.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теперішній час, діагностувати інфаркт міокарду можна завдяки лабораторній діагностиці та попередньо виявленій симптоматиці.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Завдяки лабораторній діагностиці ми можемо спрогнозувати і виявити на якому саме етапі було виявлено порушення діяльності для подальшої корекції. Особливу увагу потрібно приділяти таким методам досліджень, як: ферментологічні проби, визначення тропоніну, порушення вуглеводного, ліпідного і білкового спектру крові, порушення зсідання та не менш важливі дослідженні – ЕКГ,ЕХО-КГ, КТ, коронарна ангіографія.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А принципи лікування зможуть лише скорегувати стан хворого. </w:t>
      </w:r>
    </w:p>
    <w:p w:rsidR="00501ACB" w:rsidRDefault="00501ACB">
      <w:pPr>
        <w:spacing w:line="360" w:lineRule="auto"/>
        <w:rPr>
          <w:rFonts w:ascii="Times New Roman" w:hAnsi="Times New Roman" w:cs="Times New Roman"/>
          <w:sz w:val="28"/>
          <w:szCs w:val="28"/>
          <w:lang w:val="uk-UA"/>
        </w:rPr>
      </w:pPr>
    </w:p>
    <w:p w:rsidR="00501ACB" w:rsidRDefault="00501ACB">
      <w:pPr>
        <w:spacing w:line="360" w:lineRule="auto"/>
        <w:rPr>
          <w:rFonts w:ascii="Times New Roman" w:hAnsi="Times New Roman" w:cs="Times New Roman"/>
          <w:sz w:val="28"/>
          <w:szCs w:val="28"/>
          <w:lang w:val="uk-UA"/>
        </w:rPr>
      </w:pPr>
    </w:p>
    <w:p w:rsidR="00501ACB" w:rsidRDefault="00501ACB">
      <w:pPr>
        <w:spacing w:line="360" w:lineRule="auto"/>
        <w:rPr>
          <w:rFonts w:ascii="Times New Roman" w:hAnsi="Times New Roman" w:cs="Times New Roman"/>
          <w:sz w:val="28"/>
          <w:szCs w:val="28"/>
          <w:lang w:val="uk-UA"/>
        </w:rPr>
      </w:pPr>
    </w:p>
    <w:p w:rsidR="00501ACB" w:rsidRDefault="00501ACB">
      <w:pPr>
        <w:spacing w:line="360" w:lineRule="auto"/>
        <w:rPr>
          <w:rFonts w:ascii="Times New Roman" w:hAnsi="Times New Roman" w:cs="Times New Roman"/>
          <w:sz w:val="28"/>
          <w:szCs w:val="28"/>
          <w:lang w:val="uk-UA"/>
        </w:rPr>
      </w:pPr>
    </w:p>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ПРАКТИЧНА ЧАСТИНА</w:t>
      </w:r>
    </w:p>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РОЗДІЛ ІІ. МАТЕРІАЛИ ТА МЕТОДИ ДОСЛІДЖЕННЯ  </w:t>
      </w:r>
    </w:p>
    <w:p w:rsidR="00501ACB" w:rsidRDefault="00553C1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2.1. Матеріали досліджень</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питання, розглянутого у дипломній роботі, а саме динаміка лабораторних показників у пацієнтів із інфарктом міокарда на різних етапах, були використані дані пацієнтів «Харківської клінічної лікарні на залізнодорожному транспорті №1, акціонерного товариства Українська Залізниця, філії «ЦОЗ»».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Дослідження було проведено у 2 етапи. На першому етапі було проаналізовано 20 історій хвороб із гострим ІМ, що були під спостереженням у «Харківській клінічній лікарні на залізнодорожному транспорті №1». Вони були розподілені на групи,залежно від статі та віку. Дані занесені у нижче наведену таблицю (табл. 2.1.).</w:t>
      </w:r>
    </w:p>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Табл. 2.1. Розподіл пацієнтів,залежно від статі та віку (%)</w:t>
      </w:r>
    </w:p>
    <w:tbl>
      <w:tblPr>
        <w:tblStyle w:val="a8"/>
        <w:tblW w:w="0" w:type="auto"/>
        <w:tblLook w:val="04A0" w:firstRow="1" w:lastRow="0" w:firstColumn="1" w:lastColumn="0" w:noHBand="0" w:noVBand="1"/>
      </w:tblPr>
      <w:tblGrid>
        <w:gridCol w:w="1521"/>
        <w:gridCol w:w="1390"/>
        <w:gridCol w:w="1257"/>
        <w:gridCol w:w="1391"/>
        <w:gridCol w:w="1531"/>
        <w:gridCol w:w="1531"/>
        <w:gridCol w:w="1574"/>
      </w:tblGrid>
      <w:tr w:rsidR="00501ACB">
        <w:trPr>
          <w:trHeight w:val="498"/>
        </w:trPr>
        <w:tc>
          <w:tcPr>
            <w:tcW w:w="1526" w:type="dxa"/>
            <w:vMerge w:val="restart"/>
            <w:vAlign w:val="center"/>
          </w:tcPr>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Пацієнти </w:t>
            </w:r>
          </w:p>
        </w:tc>
        <w:tc>
          <w:tcPr>
            <w:tcW w:w="8832" w:type="dxa"/>
            <w:gridSpan w:val="6"/>
            <w:vAlign w:val="center"/>
          </w:tcPr>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Вік </w:t>
            </w:r>
          </w:p>
        </w:tc>
      </w:tr>
      <w:tr w:rsidR="00501ACB">
        <w:trPr>
          <w:trHeight w:val="148"/>
        </w:trPr>
        <w:tc>
          <w:tcPr>
            <w:tcW w:w="1526" w:type="dxa"/>
            <w:vMerge/>
          </w:tcPr>
          <w:p w:rsidR="00501ACB" w:rsidRDefault="00501ACB">
            <w:pPr>
              <w:spacing w:line="360" w:lineRule="auto"/>
              <w:jc w:val="center"/>
              <w:rPr>
                <w:rFonts w:ascii="Times New Roman" w:hAnsi="Times New Roman" w:cs="Times New Roman"/>
                <w:b/>
                <w:sz w:val="28"/>
                <w:szCs w:val="28"/>
                <w:lang w:val="uk-UA"/>
              </w:rPr>
            </w:pPr>
          </w:p>
        </w:tc>
        <w:tc>
          <w:tcPr>
            <w:tcW w:w="1417" w:type="dxa"/>
          </w:tcPr>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30-39</w:t>
            </w:r>
          </w:p>
        </w:tc>
        <w:tc>
          <w:tcPr>
            <w:tcW w:w="1276" w:type="dxa"/>
          </w:tcPr>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40-49</w:t>
            </w:r>
          </w:p>
        </w:tc>
        <w:tc>
          <w:tcPr>
            <w:tcW w:w="1418" w:type="dxa"/>
          </w:tcPr>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50-59</w:t>
            </w:r>
          </w:p>
        </w:tc>
        <w:tc>
          <w:tcPr>
            <w:tcW w:w="1559" w:type="dxa"/>
          </w:tcPr>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60-69</w:t>
            </w:r>
          </w:p>
        </w:tc>
        <w:tc>
          <w:tcPr>
            <w:tcW w:w="1559" w:type="dxa"/>
          </w:tcPr>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70-79</w:t>
            </w:r>
          </w:p>
        </w:tc>
        <w:tc>
          <w:tcPr>
            <w:tcW w:w="1603" w:type="dxa"/>
          </w:tcPr>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80-89</w:t>
            </w:r>
          </w:p>
        </w:tc>
      </w:tr>
      <w:tr w:rsidR="00501ACB">
        <w:trPr>
          <w:trHeight w:val="498"/>
        </w:trPr>
        <w:tc>
          <w:tcPr>
            <w:tcW w:w="1526"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Чоловіки </w:t>
            </w:r>
          </w:p>
        </w:tc>
        <w:tc>
          <w:tcPr>
            <w:tcW w:w="1417"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276"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418"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559"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559"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603"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501ACB">
        <w:trPr>
          <w:trHeight w:val="498"/>
        </w:trPr>
        <w:tc>
          <w:tcPr>
            <w:tcW w:w="1526"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Жінки </w:t>
            </w:r>
          </w:p>
        </w:tc>
        <w:tc>
          <w:tcPr>
            <w:tcW w:w="1417"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w:t>
            </w:r>
          </w:p>
        </w:tc>
        <w:tc>
          <w:tcPr>
            <w:tcW w:w="1276"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418"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w:t>
            </w:r>
          </w:p>
        </w:tc>
        <w:tc>
          <w:tcPr>
            <w:tcW w:w="1559"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w:t>
            </w:r>
          </w:p>
        </w:tc>
        <w:tc>
          <w:tcPr>
            <w:tcW w:w="1559"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603"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r>
      <w:tr w:rsidR="00501ACB">
        <w:trPr>
          <w:trHeight w:val="498"/>
        </w:trPr>
        <w:tc>
          <w:tcPr>
            <w:tcW w:w="1526"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Всього </w:t>
            </w:r>
          </w:p>
        </w:tc>
        <w:tc>
          <w:tcPr>
            <w:tcW w:w="1417"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276"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418"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559"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559"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c>
          <w:tcPr>
            <w:tcW w:w="1603" w:type="dxa"/>
          </w:tcPr>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30,0</w:t>
            </w:r>
          </w:p>
        </w:tc>
      </w:tr>
    </w:tbl>
    <w:p w:rsidR="00501ACB" w:rsidRDefault="00501ACB">
      <w:pPr>
        <w:spacing w:line="360" w:lineRule="auto"/>
        <w:rPr>
          <w:rFonts w:ascii="Times New Roman" w:hAnsi="Times New Roman" w:cs="Times New Roman"/>
          <w:sz w:val="28"/>
          <w:szCs w:val="28"/>
          <w:lang w:val="uk-UA"/>
        </w:rPr>
      </w:pP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вище наведених даних, відсоток чоловіків зростає до 79 років, у той час як жінки більше хворіють з 70 років.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 другому етапі було проаналізовано всі результати лабораторних показників. Також враховувалися показники, які були зазначені на початку спостереження і перед випискою з лікарні. </w:t>
      </w:r>
    </w:p>
    <w:p w:rsidR="00501ACB" w:rsidRDefault="00553C1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2.2. Методологія</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Біохімічне визначення крові на високочутливий тропонін є найбільш важливим показником у біохімії, що дозволяє підтвердити або виключити наявність ІМ. У 2018 р виконавча група від імені об'єднаної робочої групи з Універсального визначення інфаркту міокарда Європейського товариства кардіологів прийняла четверте універсальне визначення інфаркту міокарда. Згідно з універсалом тропоніни є основними маркерами як для підтвердження/виключення ушкодження міокарда, так і для діагностики конкретного варіанту інфаркту міокарда.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Тропоніни – це регуляторний білок, який приймає участь в діяльності серцевого м’яза та м’язовому скороченні. Визначення високочутливого тропоніну І і Т – є унікальним біомаркером визначення інфаркту міокарду. Для визначення тропоніну використовуємо 2 методи. За допомогою першого методу визначаємо тропонін Т на імунофлюоресцентному аналізаторі «</w:t>
      </w:r>
      <w:r>
        <w:rPr>
          <w:rFonts w:ascii="Times New Roman" w:hAnsi="Times New Roman" w:cs="Times New Roman"/>
          <w:sz w:val="28"/>
          <w:szCs w:val="28"/>
          <w:lang w:val="en-US"/>
        </w:rPr>
        <w:t>Mini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Vidas</w:t>
      </w:r>
      <w:r>
        <w:rPr>
          <w:rFonts w:ascii="Times New Roman" w:hAnsi="Times New Roman" w:cs="Times New Roman"/>
          <w:sz w:val="28"/>
          <w:szCs w:val="28"/>
          <w:lang w:val="uk-UA"/>
        </w:rPr>
        <w:t xml:space="preserve">». Другий метод – швидкий імунохроматографічний тест,який визначає наявність тропоніну І.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імунохроматографічного тесту потрібно швидкий тест, піпетка та інструкція з використанням цього тесту. Серед матеріалу використовуємо сироватку, яка не містить антикоагулянту. Визначають таким методом:</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 Підготуємо всі необхідні матеріали: тест-система, сироватка крові, годинник.</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Відкриваємо запаяний пакет, дістаємо тест-систему і піпетку перед використанням.</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Перевіряємо на цільність тест-системи.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Тримаємо піпетку вертикально і вносимо 2 краплі сироватки у лунку тест-системи. Починаємо відлік часу.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Результат зазначаємо через 20 хвилин. Позитивний тест вважається при появі двох чітких ліній. Негативний тест вважається при появі однієї лінії в контрольній зоні.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 допомогою імунофлюоресцентного аналізатору ми отримуємо кількісний результат. Серед матеріалу використовуємо 200 мг сироватки. Для даного виду обчислення потрібні стріпи, накінцівники,  дозатор та інструкція з використання аналізатору. Визначають таким методом:</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 Вмикаємо аналізатор, потрібно 10 хвилин, щоб аналізатор досяг потрібної температури.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Вибираємо позицію, яку нам потрібно виконати.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 Вставляємо стрип і накінцівник. Вносимо в стрип сироватку і запускаємо апарат обчислювати.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4. Результат отримуємо через 15 хвилин.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object w:dxaOrig="12000" w:dyaOrig="12000">
          <v:shape id="1036" o:spid="_x0000_i1026" type="#_x0000_t75" alt="https://lab-leonardo.com/image/cache/catalog/tovar/ifa/MINI%20VIDAS/404926963_w800_h640_mini_vidas_blue_2-800x800.png" style="width:228pt;height:179pt;visibility:visible;mso-wrap-distance-left:0;mso-wrap-distance-right:0" o:ole="">
            <v:fill rotate="t"/>
            <v:imagedata r:id="rId14" o:title="" croptop="10988f" cropbottom="20602f" cropleft="12362f" cropright="8468f" embosscolor="white"/>
          </v:shape>
          <o:OLEObject Type="Embed" ProgID="Excel.Sheet.8" ShapeID="1036" DrawAspect="Content" ObjectID="_1788272031" r:id="rId15"/>
        </w:object>
      </w:r>
    </w:p>
    <w:p w:rsidR="00501ACB" w:rsidRDefault="00501ACB">
      <w:pPr>
        <w:spacing w:line="360" w:lineRule="auto"/>
        <w:rPr>
          <w:rFonts w:ascii="Times New Roman" w:hAnsi="Times New Roman" w:cs="Times New Roman"/>
          <w:sz w:val="28"/>
          <w:szCs w:val="28"/>
          <w:lang w:val="uk-UA"/>
        </w:rPr>
      </w:pPr>
    </w:p>
    <w:p w:rsidR="00501ACB" w:rsidRDefault="00501ACB">
      <w:pPr>
        <w:spacing w:line="360" w:lineRule="auto"/>
        <w:rPr>
          <w:rFonts w:ascii="Times New Roman" w:hAnsi="Times New Roman" w:cs="Times New Roman"/>
          <w:sz w:val="28"/>
          <w:szCs w:val="28"/>
          <w:lang w:val="uk-UA"/>
        </w:rPr>
      </w:pPr>
    </w:p>
    <w:p w:rsidR="00501ACB" w:rsidRDefault="00501ACB">
      <w:pPr>
        <w:spacing w:line="360" w:lineRule="auto"/>
        <w:rPr>
          <w:rFonts w:ascii="Times New Roman" w:hAnsi="Times New Roman" w:cs="Times New Roman"/>
          <w:sz w:val="28"/>
          <w:szCs w:val="28"/>
          <w:lang w:val="uk-UA"/>
        </w:rPr>
      </w:pPr>
    </w:p>
    <w:p w:rsidR="00501ACB" w:rsidRDefault="00501ACB">
      <w:pPr>
        <w:spacing w:line="360" w:lineRule="auto"/>
        <w:rPr>
          <w:rFonts w:ascii="Times New Roman" w:hAnsi="Times New Roman" w:cs="Times New Roman"/>
          <w:sz w:val="28"/>
          <w:szCs w:val="28"/>
          <w:lang w:val="uk-UA"/>
        </w:rPr>
      </w:pPr>
    </w:p>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ІІІ. РЕЗУЛЬТАТИ ДОСЛІДЖЕННЯ ТА ЇХ ОБГОВОРЕННЯ</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Метою дослідження було проаналізувати результати біохімічних показників із гострим інфарктом міокарда до та після лікування. </w:t>
      </w:r>
    </w:p>
    <w:p w:rsidR="00501ACB" w:rsidRDefault="00553C1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3.1.</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Матеріали та методи досліджень</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Був проведений аналіз отриманих даних за 2022-2023 роки, серед історій хвороб – 20 хворих пацієнтів (12 – чоловіків, 8 – жінок). Дані занесені у нижче наведений малюнок (мал. 3.1.).</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У більшості пацієнти мали гострий з елевацією сегмента </w:t>
      </w:r>
      <w:r>
        <w:rPr>
          <w:rFonts w:ascii="Times New Roman" w:hAnsi="Times New Roman" w:cs="Times New Roman"/>
          <w:sz w:val="28"/>
          <w:szCs w:val="28"/>
          <w:lang w:val="en-US"/>
        </w:rPr>
        <w:t>ST</w:t>
      </w:r>
      <w:r>
        <w:rPr>
          <w:rFonts w:ascii="Times New Roman" w:hAnsi="Times New Roman" w:cs="Times New Roman"/>
          <w:sz w:val="28"/>
          <w:szCs w:val="28"/>
          <w:lang w:val="uk-UA"/>
        </w:rPr>
        <w:t xml:space="preserve"> задній ІМ, інші мали – гострий передньо – перетинковий верхівковий з елевацією сегмента ST ІМ, передній розповсюджений з елевацією сегмента ST ІМ, тромбоемболія легеневої артерії, гострий повторний циркуляторний з елевацією сегмента ST ІМ, передній з елевацією сегмента ST, передній перетинково – боковий ІМ, передній перетинковий, нестабільна стенокардія із пароксизмальною формою фібриляції передсердь, гострий повторний передній ІМ і церебральний атеросклероз (мал. 3.2.).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Метою госпіталізації хворих до кардіологічного відділення була медикаментозна терапія та дотримання дієти.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Базою для досліджень було «Харківська клінічна лікарня на залізнодорожному транспорті №1». Всі дані отримані при вивченні історії хвороб пацієнтів, що лікувались у даному закладі.</w:t>
      </w:r>
    </w:p>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2699132"/>
            <wp:effectExtent l="0" t="0" r="0" b="0"/>
            <wp:docPr id="103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01ACB" w:rsidRDefault="00553C15">
      <w:pPr>
        <w:jc w:val="center"/>
        <w:rPr>
          <w:rFonts w:ascii="Times New Roman" w:hAnsi="Times New Roman" w:cs="Times New Roman"/>
          <w:sz w:val="28"/>
          <w:szCs w:val="28"/>
          <w:lang w:val="uk-UA"/>
        </w:rPr>
      </w:pPr>
      <w:r>
        <w:rPr>
          <w:rFonts w:ascii="Times New Roman" w:hAnsi="Times New Roman" w:cs="Times New Roman"/>
          <w:sz w:val="28"/>
          <w:szCs w:val="28"/>
          <w:lang w:val="uk-UA"/>
        </w:rPr>
        <w:t>Мал. 3.1. Розподіл хворих за статтю і віком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 діаграмою видно, що здебільшого хворіють чоловіки у яких пік захворюваності сягає до 70 років. У той час, як жінки хворіють здебільшого у похилому віці і статистичні дані зазначають, що відсоток пацієнтів серед жінок сягає невеликих значень. </w:t>
      </w:r>
    </w:p>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Було проаналізовано розповсюдженість серед статі за різноманітними видами ІМ. </w:t>
      </w:r>
      <w:r>
        <w:rPr>
          <w:rFonts w:ascii="Times New Roman" w:hAnsi="Times New Roman" w:cs="Times New Roman"/>
          <w:noProof/>
          <w:sz w:val="28"/>
          <w:szCs w:val="28"/>
          <w:lang w:eastAsia="ru-RU"/>
        </w:rPr>
        <w:drawing>
          <wp:inline distT="0" distB="0" distL="114300" distR="114300">
            <wp:extent cx="5089793" cy="3591499"/>
            <wp:effectExtent l="0" t="0" r="0" b="0"/>
            <wp:docPr id="104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01ACB" w:rsidRDefault="00553C15">
      <w:pPr>
        <w:tabs>
          <w:tab w:val="left" w:pos="7235"/>
        </w:tabs>
        <w:jc w:val="center"/>
        <w:rPr>
          <w:rFonts w:ascii="Times New Roman" w:hAnsi="Times New Roman" w:cs="Times New Roman"/>
          <w:sz w:val="28"/>
          <w:szCs w:val="28"/>
          <w:lang w:val="uk-UA"/>
        </w:rPr>
      </w:pPr>
      <w:r>
        <w:rPr>
          <w:rFonts w:ascii="Times New Roman" w:hAnsi="Times New Roman" w:cs="Times New Roman"/>
          <w:sz w:val="28"/>
          <w:szCs w:val="28"/>
          <w:lang w:val="uk-UA"/>
        </w:rPr>
        <w:t>Мал. 3.2. Різноманітність видів ІМ у жінок</w:t>
      </w:r>
    </w:p>
    <w:p w:rsidR="00501ACB" w:rsidRDefault="00553C15">
      <w:pPr>
        <w:tabs>
          <w:tab w:val="left" w:pos="723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статистичних даних із графічного зображення (мал. 3.2.) виявлено, що найбільша кількість жінок хворіє гострим переднім розповсюдженим з елевацією </w:t>
      </w:r>
      <w:r>
        <w:rPr>
          <w:rFonts w:ascii="Times New Roman" w:hAnsi="Times New Roman" w:cs="Times New Roman"/>
          <w:sz w:val="28"/>
          <w:szCs w:val="28"/>
          <w:lang w:val="en-US"/>
        </w:rPr>
        <w:t>ST</w:t>
      </w:r>
      <w:r>
        <w:rPr>
          <w:rFonts w:ascii="Times New Roman" w:hAnsi="Times New Roman" w:cs="Times New Roman"/>
          <w:sz w:val="28"/>
          <w:szCs w:val="28"/>
          <w:lang w:val="uk-UA"/>
        </w:rPr>
        <w:t xml:space="preserve"> ІМ і гострим переднім з елевацією ST ІМ. Всі інші види ІМ виявляються у 1%.</w:t>
      </w:r>
    </w:p>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114300" distR="114300">
            <wp:extent cx="5916058" cy="3855904"/>
            <wp:effectExtent l="0" t="0" r="0" b="0"/>
            <wp:docPr id="104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01ACB" w:rsidRDefault="00553C15">
      <w:pPr>
        <w:jc w:val="center"/>
        <w:rPr>
          <w:rFonts w:ascii="Times New Roman" w:hAnsi="Times New Roman" w:cs="Times New Roman"/>
          <w:sz w:val="28"/>
          <w:szCs w:val="28"/>
          <w:lang w:val="uk-UA"/>
        </w:rPr>
      </w:pPr>
      <w:r>
        <w:rPr>
          <w:rFonts w:ascii="Times New Roman" w:hAnsi="Times New Roman" w:cs="Times New Roman"/>
          <w:sz w:val="28"/>
          <w:szCs w:val="28"/>
          <w:lang w:val="uk-UA"/>
        </w:rPr>
        <w:t>Мал. 3.3. Різноманітність видів ІМ у чоловіків</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графічного зображення (мал. 3.3.) виявлено, що 5% чоловіків мають гострий з елевацією </w:t>
      </w:r>
      <w:r>
        <w:rPr>
          <w:rFonts w:ascii="Times New Roman" w:hAnsi="Times New Roman" w:cs="Times New Roman"/>
          <w:sz w:val="28"/>
          <w:szCs w:val="28"/>
          <w:lang w:val="en-US"/>
        </w:rPr>
        <w:t>ST</w:t>
      </w:r>
      <w:r>
        <w:rPr>
          <w:rFonts w:ascii="Times New Roman" w:hAnsi="Times New Roman" w:cs="Times New Roman"/>
          <w:sz w:val="28"/>
          <w:szCs w:val="28"/>
          <w:lang w:val="uk-UA"/>
        </w:rPr>
        <w:t xml:space="preserve"> задній ІМ, а всі інші види зустрічаються в 1%.</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зробити висновок, що серед жінок частіше зустрічається гострий передній розповсюджений з елевацією ST ІМ і гострий передній з елевацією ST ІМ; у той час, як серед чоловіків частіше зустрічається - гострий з елевацією ST задній ІМ. </w:t>
      </w:r>
    </w:p>
    <w:p w:rsidR="00501ACB" w:rsidRDefault="00553C15">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3.2. Порівняння біохімічних показників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3.2.1. Аналізування значень АЛТ у жінок та чоловіків на початку та наприкінці госпіталізації</w:t>
      </w:r>
    </w:p>
    <w:p w:rsidR="00501ACB" w:rsidRDefault="00553C15">
      <w:pPr>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114300" distR="114300">
            <wp:extent cx="5486400" cy="3200400"/>
            <wp:effectExtent l="0" t="0" r="0" b="0"/>
            <wp:docPr id="104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01ACB" w:rsidRDefault="00553C15">
      <w:pPr>
        <w:tabs>
          <w:tab w:val="left" w:pos="1943"/>
        </w:tabs>
        <w:jc w:val="center"/>
        <w:rPr>
          <w:rFonts w:ascii="Times New Roman" w:hAnsi="Times New Roman" w:cs="Times New Roman"/>
          <w:sz w:val="28"/>
          <w:szCs w:val="28"/>
          <w:lang w:val="uk-UA"/>
        </w:rPr>
      </w:pPr>
      <w:r>
        <w:rPr>
          <w:rFonts w:ascii="Times New Roman" w:hAnsi="Times New Roman" w:cs="Times New Roman"/>
          <w:sz w:val="28"/>
          <w:szCs w:val="28"/>
          <w:lang w:val="uk-UA"/>
        </w:rPr>
        <w:t>Мал. 3.4. Значення АЛТ у чоловіків на початку захворювання</w:t>
      </w:r>
    </w:p>
    <w:p w:rsidR="00501ACB" w:rsidRDefault="00553C15">
      <w:pPr>
        <w:tabs>
          <w:tab w:val="left" w:pos="1943"/>
        </w:tabs>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3200400"/>
            <wp:effectExtent l="0" t="0" r="0" b="0"/>
            <wp:docPr id="104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01ACB" w:rsidRDefault="00553C15">
      <w:pPr>
        <w:tabs>
          <w:tab w:val="left" w:pos="4129"/>
        </w:tabs>
        <w:jc w:val="center"/>
        <w:rPr>
          <w:rFonts w:ascii="Times New Roman" w:hAnsi="Times New Roman" w:cs="Times New Roman"/>
          <w:sz w:val="28"/>
          <w:szCs w:val="28"/>
          <w:lang w:val="uk-UA"/>
        </w:rPr>
      </w:pPr>
      <w:r>
        <w:rPr>
          <w:rFonts w:ascii="Times New Roman" w:hAnsi="Times New Roman" w:cs="Times New Roman"/>
          <w:sz w:val="28"/>
          <w:szCs w:val="28"/>
          <w:lang w:val="uk-UA"/>
        </w:rPr>
        <w:t>Мал. 3.5. Значення АЛТ у чоловіків наприкінці захворювання</w:t>
      </w:r>
    </w:p>
    <w:p w:rsidR="00501ACB" w:rsidRDefault="00553C15">
      <w:pPr>
        <w:tabs>
          <w:tab w:val="left" w:pos="4129"/>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Дивлячись на обидві діаграми, ми спостерігаємо, що на початку захворювання чоловіча стать мала колосальні значення починаючи від 12,6 до 610,5. Згідно викладу теоретичного матеріалу, АЛТ підвищується в меншому відсотку. На 3 добу його рівень досягає піку, а через 7-14 діб призводить до стабілізації нормальних показників. Таким чином, наприкінці захворювання показники АЛТ демонструють </w:t>
      </w:r>
      <w:r>
        <w:rPr>
          <w:rFonts w:ascii="Times New Roman" w:hAnsi="Times New Roman" w:cs="Times New Roman"/>
          <w:sz w:val="28"/>
          <w:szCs w:val="28"/>
          <w:lang w:val="uk-UA"/>
        </w:rPr>
        <w:lastRenderedPageBreak/>
        <w:t xml:space="preserve">значні зниження, що в подальшому призведе до появи стабільних нормальних показників. </w:t>
      </w:r>
    </w:p>
    <w:p w:rsidR="00501ACB" w:rsidRDefault="00553C15">
      <w:pPr>
        <w:tabs>
          <w:tab w:val="left" w:pos="4129"/>
        </w:tabs>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3200400"/>
            <wp:effectExtent l="0" t="0" r="0" b="0"/>
            <wp:docPr id="104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01ACB" w:rsidRDefault="00553C15">
      <w:pPr>
        <w:tabs>
          <w:tab w:val="left" w:pos="4511"/>
        </w:tabs>
        <w:jc w:val="center"/>
        <w:rPr>
          <w:rFonts w:ascii="Times New Roman" w:hAnsi="Times New Roman" w:cs="Times New Roman"/>
          <w:sz w:val="28"/>
          <w:szCs w:val="28"/>
          <w:lang w:val="uk-UA"/>
        </w:rPr>
      </w:pPr>
      <w:r>
        <w:rPr>
          <w:rFonts w:ascii="Times New Roman" w:hAnsi="Times New Roman" w:cs="Times New Roman"/>
          <w:sz w:val="28"/>
          <w:szCs w:val="28"/>
          <w:lang w:val="uk-UA"/>
        </w:rPr>
        <w:t>Мал. 3.6. Значення АЛТ у жінок на початку захворювання</w:t>
      </w:r>
    </w:p>
    <w:p w:rsidR="00501ACB" w:rsidRDefault="00553C15">
      <w:pPr>
        <w:tabs>
          <w:tab w:val="left" w:pos="4511"/>
        </w:tabs>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3657600"/>
            <wp:effectExtent l="0" t="0" r="0" b="0"/>
            <wp:docPr id="105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01ACB" w:rsidRDefault="00553C15">
      <w:pPr>
        <w:tabs>
          <w:tab w:val="left" w:pos="8015"/>
        </w:tabs>
        <w:jc w:val="center"/>
        <w:rPr>
          <w:rFonts w:ascii="Times New Roman" w:hAnsi="Times New Roman" w:cs="Times New Roman"/>
          <w:sz w:val="28"/>
          <w:szCs w:val="28"/>
          <w:lang w:val="uk-UA"/>
        </w:rPr>
      </w:pPr>
      <w:r>
        <w:rPr>
          <w:rFonts w:ascii="Times New Roman" w:hAnsi="Times New Roman" w:cs="Times New Roman"/>
          <w:sz w:val="28"/>
          <w:szCs w:val="28"/>
          <w:lang w:val="uk-UA"/>
        </w:rPr>
        <w:t>Мал. 3.7. Значення АЛТ у жінок наприкінці захворювання</w:t>
      </w:r>
    </w:p>
    <w:p w:rsidR="00501ACB" w:rsidRDefault="00553C15">
      <w:pPr>
        <w:tabs>
          <w:tab w:val="left" w:pos="801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Дивлячись на обидві діафрагми</w:t>
      </w:r>
      <w:r>
        <w:rPr>
          <w:rFonts w:ascii="Times New Roman" w:hAnsi="Times New Roman" w:cs="Times New Roman"/>
          <w:sz w:val="28"/>
          <w:szCs w:val="28"/>
        </w:rPr>
        <w:t xml:space="preserve">, ми </w:t>
      </w:r>
      <w:r>
        <w:rPr>
          <w:rFonts w:ascii="Times New Roman" w:hAnsi="Times New Roman" w:cs="Times New Roman"/>
          <w:sz w:val="28"/>
          <w:szCs w:val="28"/>
          <w:lang w:val="uk-UA"/>
        </w:rPr>
        <w:t xml:space="preserve">спостерігаємо, що відбувається суттєві зміни показників. Наприклад, у пацієнта №4 значення АЛТ наприкінці хвороби </w:t>
      </w:r>
      <w:r>
        <w:rPr>
          <w:rFonts w:ascii="Times New Roman" w:hAnsi="Times New Roman" w:cs="Times New Roman"/>
          <w:sz w:val="28"/>
          <w:szCs w:val="28"/>
          <w:lang w:val="uk-UA"/>
        </w:rPr>
        <w:lastRenderedPageBreak/>
        <w:t xml:space="preserve">збільшилось у 1,5 рази, в той час як цей показник повинен зменшуватись. І в той же час є інший приклад хворого, у якого показник АЛТ зменшився в 22 рази. </w:t>
      </w:r>
    </w:p>
    <w:p w:rsidR="00501ACB" w:rsidRDefault="00553C15">
      <w:pPr>
        <w:tabs>
          <w:tab w:val="left" w:pos="801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Підводячи до підсумків вище наведені графічні зображення та пояснення до них, ми визначили, що здебільшого такий біохімічний показник, як АЛТ підвищується у чоловічої статі, але іноді в жіночої статі теж спостерігаються великі значення, що обумовлені хворобам серцевого м’яза. </w:t>
      </w:r>
    </w:p>
    <w:p w:rsidR="00501ACB" w:rsidRDefault="00553C15">
      <w:pPr>
        <w:tabs>
          <w:tab w:val="left" w:pos="801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3.2.2. Аналізування значень АСТ у жінок та чоловіків на початку та наприкінці госпіталізації</w:t>
      </w:r>
    </w:p>
    <w:p w:rsidR="00501ACB" w:rsidRDefault="00553C15">
      <w:pPr>
        <w:tabs>
          <w:tab w:val="left" w:pos="8015"/>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3200400"/>
            <wp:effectExtent l="0" t="0" r="0" b="0"/>
            <wp:docPr id="105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01ACB" w:rsidRDefault="00553C15">
      <w:pPr>
        <w:tabs>
          <w:tab w:val="left" w:pos="801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 3.8. Значення АСТ у чоловіків на початку захворювання</w:t>
      </w:r>
    </w:p>
    <w:p w:rsidR="00501ACB" w:rsidRDefault="00553C15">
      <w:pPr>
        <w:tabs>
          <w:tab w:val="left" w:pos="8015"/>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114300" distR="114300">
            <wp:extent cx="5299113" cy="3040656"/>
            <wp:effectExtent l="0" t="0" r="0" b="0"/>
            <wp:docPr id="105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01ACB" w:rsidRDefault="00553C15">
      <w:pPr>
        <w:tabs>
          <w:tab w:val="left" w:pos="801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 3.9. Значення АСТ у чоловіків наприкінці захворювання</w:t>
      </w:r>
    </w:p>
    <w:p w:rsidR="00501ACB" w:rsidRDefault="00553C15">
      <w:pPr>
        <w:tabs>
          <w:tab w:val="left" w:pos="801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вище наведених показників бачимо, що значення АСТ сягає великих значень протягом перших діб,  надалі потроху починає стабілізуватись. Хоча у пацієнта №7 навпаки показник починає підвищується, що свідчить про збереження некроза в міокарді. Для порівняння ще зверніть увагу на пацієнта №8,у якого на початку ІМ зазначалось 134,8  Од/л, а наприкінці – 113,3 Од/л. Дані показники показують, що некроз міокарда спостерігається і надалі. </w:t>
      </w:r>
    </w:p>
    <w:p w:rsidR="00501ACB" w:rsidRDefault="00553C15">
      <w:pPr>
        <w:tabs>
          <w:tab w:val="left" w:pos="8015"/>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387249" cy="2688116"/>
            <wp:effectExtent l="0" t="0" r="0" b="0"/>
            <wp:docPr id="105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01ACB" w:rsidRDefault="00553C15">
      <w:pPr>
        <w:tabs>
          <w:tab w:val="left" w:pos="801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 3.10. Значення АСТ у жінок на початку захворювання</w:t>
      </w:r>
    </w:p>
    <w:p w:rsidR="00501ACB" w:rsidRDefault="00553C15">
      <w:pPr>
        <w:tabs>
          <w:tab w:val="left" w:pos="8015"/>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114300" distR="114300">
            <wp:extent cx="5486400" cy="3200400"/>
            <wp:effectExtent l="0" t="0" r="0" b="0"/>
            <wp:docPr id="105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01ACB" w:rsidRDefault="00553C15">
      <w:pPr>
        <w:tabs>
          <w:tab w:val="left" w:pos="8015"/>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 3.11. Значення АСТ у жінок наприкінці захворювання</w:t>
      </w:r>
    </w:p>
    <w:p w:rsidR="00501ACB" w:rsidRDefault="00553C15">
      <w:pPr>
        <w:tabs>
          <w:tab w:val="left" w:pos="801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Підсумовуючи результати АСТ визначили, що значення АСТ у жіночої статі набагато швидше стабілізується, аніж у чоловічої статі.</w:t>
      </w:r>
    </w:p>
    <w:p w:rsidR="00501ACB" w:rsidRDefault="00553C15">
      <w:pPr>
        <w:tabs>
          <w:tab w:val="left" w:pos="801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3.2.3. Аналізування значень глюкози у жінок та чоловіків на початку та наприкінці госпіталізації</w:t>
      </w:r>
    </w:p>
    <w:p w:rsidR="00501ACB" w:rsidRDefault="00553C15">
      <w:pPr>
        <w:tabs>
          <w:tab w:val="left" w:pos="8015"/>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3200400"/>
            <wp:effectExtent l="0" t="0" r="0" b="0"/>
            <wp:docPr id="106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01ACB" w:rsidRDefault="00553C15">
      <w:pPr>
        <w:tabs>
          <w:tab w:val="left" w:pos="3990"/>
        </w:tabs>
        <w:jc w:val="center"/>
        <w:rPr>
          <w:rFonts w:ascii="Times New Roman" w:hAnsi="Times New Roman" w:cs="Times New Roman"/>
          <w:sz w:val="28"/>
          <w:szCs w:val="28"/>
          <w:lang w:val="uk-UA"/>
        </w:rPr>
      </w:pPr>
      <w:r>
        <w:rPr>
          <w:rFonts w:ascii="Times New Roman" w:hAnsi="Times New Roman" w:cs="Times New Roman"/>
          <w:sz w:val="28"/>
          <w:szCs w:val="28"/>
          <w:lang w:val="uk-UA"/>
        </w:rPr>
        <w:t>Мал. 3.12. Значення глюкози у чоловіків на початку захворювання</w:t>
      </w:r>
    </w:p>
    <w:p w:rsidR="00501ACB" w:rsidRDefault="00553C15">
      <w:pPr>
        <w:tabs>
          <w:tab w:val="left" w:pos="3990"/>
        </w:tabs>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114300" distR="114300">
            <wp:extent cx="5486400" cy="3200400"/>
            <wp:effectExtent l="0" t="0" r="0" b="0"/>
            <wp:docPr id="106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01ACB" w:rsidRDefault="00553C15">
      <w:pPr>
        <w:tabs>
          <w:tab w:val="left" w:pos="4598"/>
        </w:tabs>
        <w:jc w:val="center"/>
        <w:rPr>
          <w:rFonts w:ascii="Times New Roman" w:hAnsi="Times New Roman" w:cs="Times New Roman"/>
          <w:sz w:val="28"/>
          <w:szCs w:val="28"/>
          <w:lang w:val="uk-UA"/>
        </w:rPr>
      </w:pPr>
      <w:r>
        <w:rPr>
          <w:rFonts w:ascii="Times New Roman" w:hAnsi="Times New Roman" w:cs="Times New Roman"/>
          <w:sz w:val="28"/>
          <w:szCs w:val="28"/>
          <w:lang w:val="uk-UA"/>
        </w:rPr>
        <w:t>Мал. 3.13. Значення глюкози у чоловіків наприкінці захворювання</w:t>
      </w:r>
    </w:p>
    <w:p w:rsidR="00501ACB" w:rsidRDefault="00553C15">
      <w:pPr>
        <w:tabs>
          <w:tab w:val="left" w:pos="459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Дивлячись на діагностичні дані глюкози у чоловічої статі, ми виявили, що наприкінці госпіталізації показники знижуються. Таким чином, стан пацієнтів покращується.</w:t>
      </w:r>
    </w:p>
    <w:p w:rsidR="00501ACB" w:rsidRDefault="00553C15">
      <w:pPr>
        <w:tabs>
          <w:tab w:val="left" w:pos="4598"/>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3200400"/>
            <wp:effectExtent l="0" t="0" r="0" b="0"/>
            <wp:docPr id="106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01ACB" w:rsidRDefault="00553C15">
      <w:pPr>
        <w:tabs>
          <w:tab w:val="left" w:pos="3886"/>
        </w:tabs>
        <w:jc w:val="center"/>
        <w:rPr>
          <w:rFonts w:ascii="Times New Roman" w:hAnsi="Times New Roman" w:cs="Times New Roman"/>
          <w:sz w:val="28"/>
          <w:szCs w:val="28"/>
          <w:lang w:val="uk-UA"/>
        </w:rPr>
      </w:pPr>
      <w:r>
        <w:rPr>
          <w:rFonts w:ascii="Times New Roman" w:hAnsi="Times New Roman" w:cs="Times New Roman"/>
          <w:sz w:val="28"/>
          <w:szCs w:val="28"/>
          <w:lang w:val="uk-UA"/>
        </w:rPr>
        <w:t>Мал. 3.14. Значення глюкози у жінок на початку захворювання</w:t>
      </w:r>
    </w:p>
    <w:p w:rsidR="00501ACB" w:rsidRDefault="00553C15">
      <w:pPr>
        <w:tabs>
          <w:tab w:val="left" w:pos="3886"/>
        </w:tabs>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114300" distR="114300">
            <wp:extent cx="5486400" cy="3200400"/>
            <wp:effectExtent l="0" t="0" r="0" b="0"/>
            <wp:docPr id="106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01ACB" w:rsidRDefault="00553C15">
      <w:pPr>
        <w:tabs>
          <w:tab w:val="left" w:pos="4268"/>
        </w:tabs>
        <w:jc w:val="center"/>
        <w:rPr>
          <w:rFonts w:ascii="Times New Roman" w:hAnsi="Times New Roman" w:cs="Times New Roman"/>
          <w:sz w:val="28"/>
          <w:szCs w:val="28"/>
          <w:lang w:val="uk-UA"/>
        </w:rPr>
      </w:pPr>
      <w:r>
        <w:rPr>
          <w:rFonts w:ascii="Times New Roman" w:hAnsi="Times New Roman" w:cs="Times New Roman"/>
          <w:sz w:val="28"/>
          <w:szCs w:val="28"/>
          <w:lang w:val="uk-UA"/>
        </w:rPr>
        <w:t>Мал. 3.15. Значення глюкози у жінок наприкінці захворювання</w:t>
      </w:r>
    </w:p>
    <w:p w:rsidR="00501ACB" w:rsidRDefault="00553C15">
      <w:pPr>
        <w:tabs>
          <w:tab w:val="left" w:pos="426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вище наведених статистичних даних у жінок зазначається, що рівень глюкози постійно вагається. Наприклад, у пацієнта №1 спочатку рівень глюкози був 12,9, через 3 доби підвищилось до 21,7 і потім через 3 доби зменшилось до 20,8. В іншого пацієнта під №6 на початку визначили рівень глюкози – 12,2. Надалі через кожні 5-7 діб рівень глюкози зменшувався аж до 6,8. В інших пацієнтах спостерігались стабільні значення. На початку було виявлено 7,8 і наприкінці зменшувалось аж до 4,4. </w:t>
      </w:r>
    </w:p>
    <w:p w:rsidR="00501ACB" w:rsidRDefault="00553C15">
      <w:pPr>
        <w:tabs>
          <w:tab w:val="left" w:pos="426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 приводу значень глюкози під час ІМ є така теорія, що на початку захворювання пацієнтам вводили такий лікарський препарат, як «Кардарон». Коли цей препарат вводять пацієнтам, рівень глюкози значно підвищується, може підвищитись до 25 ммоль/л. Це може так реагувати у зв’язку з тим, що кардарон зроблено на глюкозі, але є і позитивна реакція організму. Цей препарат покращує серцеву діяльність, що добре впливає на серцевий м’яз. </w:t>
      </w:r>
    </w:p>
    <w:p w:rsidR="00501ACB" w:rsidRDefault="00553C15">
      <w:pPr>
        <w:tabs>
          <w:tab w:val="left" w:pos="426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3.2.4. Аналізування значень СК-МВ  у жінок та чоловіків під час госпіталізації</w:t>
      </w:r>
    </w:p>
    <w:p w:rsidR="00501ACB" w:rsidRDefault="00553C15">
      <w:pPr>
        <w:tabs>
          <w:tab w:val="left" w:pos="4268"/>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114300" distR="114300">
            <wp:extent cx="5552501" cy="4318613"/>
            <wp:effectExtent l="0" t="0" r="0" b="0"/>
            <wp:docPr id="106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01ACB" w:rsidRDefault="00553C15">
      <w:pPr>
        <w:tabs>
          <w:tab w:val="left" w:pos="426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 3.16. Значення СК-МВ у жінок і чоловіків</w:t>
      </w:r>
    </w:p>
    <w:p w:rsidR="00501ACB" w:rsidRDefault="00553C15">
      <w:pPr>
        <w:tabs>
          <w:tab w:val="left" w:pos="426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СК-МВ – це найбільш специфічний фермент, який активно приймає участь в синтезі енергії. СК-МВ називають міокардіальною фракцією загального КФК. Підвищений рівень цієї фракції свідчить про активний розвиток ІМ. Нормальними показниками вважається діапазон від 0 до 25 Од/л. На діаграмі виявлено, що у всіх пацієнтів визначений ІМ, особливо спостерігається у пацієнта №1,2,6,8,11,13 і 14. </w:t>
      </w:r>
    </w:p>
    <w:p w:rsidR="00501ACB" w:rsidRDefault="00553C15">
      <w:pPr>
        <w:tabs>
          <w:tab w:val="left" w:pos="426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3.2.5. Аналізування значень загального холестерину  у жінок та чоловіків під час госпіталізації</w:t>
      </w:r>
    </w:p>
    <w:p w:rsidR="00501ACB" w:rsidRDefault="00553C15">
      <w:pPr>
        <w:tabs>
          <w:tab w:val="left" w:pos="4268"/>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114300" distR="114300">
            <wp:extent cx="5486400" cy="3200400"/>
            <wp:effectExtent l="0" t="0" r="0" b="0"/>
            <wp:docPr id="107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01ACB" w:rsidRDefault="00553C15">
      <w:pPr>
        <w:tabs>
          <w:tab w:val="left" w:pos="4268"/>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 3.17. Значення загального холестерину у чоловіків</w:t>
      </w:r>
    </w:p>
    <w:p w:rsidR="00501ACB" w:rsidRDefault="00553C15">
      <w:pPr>
        <w:tabs>
          <w:tab w:val="left" w:pos="4268"/>
        </w:tab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3200400"/>
            <wp:effectExtent l="0" t="0" r="0" b="0"/>
            <wp:docPr id="1072"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01ACB" w:rsidRDefault="00553C15">
      <w:pPr>
        <w:jc w:val="center"/>
        <w:rPr>
          <w:rFonts w:ascii="Times New Roman" w:hAnsi="Times New Roman" w:cs="Times New Roman"/>
          <w:sz w:val="28"/>
          <w:szCs w:val="28"/>
          <w:lang w:val="uk-UA"/>
        </w:rPr>
      </w:pPr>
      <w:r>
        <w:rPr>
          <w:rFonts w:ascii="Times New Roman" w:hAnsi="Times New Roman" w:cs="Times New Roman"/>
          <w:sz w:val="28"/>
          <w:szCs w:val="28"/>
          <w:lang w:val="uk-UA"/>
        </w:rPr>
        <w:t>Мал. 3.18. Значення загального холестерину у жінок</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усі пацієнти, що мають ІМ спостерігаються з гіперхолестеринемією і високим рівнем коефіцієнта атерогенності,  що сягає від 3,29 до 8,0. Нагадаю, що підвищений рівень холестерину підвищує ризику атеросклерозу, серцевого нападу, ішемічного інсульту і як в нашому випадку – це інфаркт міокарда. Тому, потрібно скорегувати продукти харчування і мати фізичне навантаження.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3.2.6. Аналізування значень тропоніну у жінок та чоловіків під час госпіталізації</w:t>
      </w:r>
    </w:p>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3200400"/>
            <wp:effectExtent l="0" t="0" r="0" b="0"/>
            <wp:docPr id="1074"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 3.19. Значення високочутливого тропоніну І і Т  у чоловіків</w:t>
      </w:r>
    </w:p>
    <w:p w:rsidR="00501ACB" w:rsidRDefault="00501ACB">
      <w:pPr>
        <w:spacing w:line="360" w:lineRule="auto"/>
        <w:jc w:val="center"/>
        <w:rPr>
          <w:rFonts w:ascii="Times New Roman" w:hAnsi="Times New Roman" w:cs="Times New Roman"/>
          <w:sz w:val="28"/>
          <w:szCs w:val="28"/>
          <w:lang w:val="uk-UA"/>
        </w:rPr>
      </w:pPr>
    </w:p>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114300" distR="114300">
            <wp:extent cx="5486400" cy="3200400"/>
            <wp:effectExtent l="0" t="0" r="0" b="0"/>
            <wp:docPr id="107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01ACB" w:rsidRDefault="00553C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 3.20. Значення високочутливого тропоніну І і Т  у жінок</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цих даних хочу зазначити, що визначення високочутливого тропоніну особливо важливо для діагностування ІМ. Так як нормальними значеннями </w:t>
      </w:r>
      <w:r>
        <w:rPr>
          <w:rFonts w:ascii="Times New Roman" w:hAnsi="Times New Roman" w:cs="Times New Roman"/>
          <w:sz w:val="28"/>
          <w:szCs w:val="28"/>
          <w:lang w:val="uk-UA"/>
        </w:rPr>
        <w:lastRenderedPageBreak/>
        <w:t xml:space="preserve">тропоніну вважаються 0,2 – 0,5 нг/л, а то і взагалі не виявляють. В даному випадку спостерігаємо значення від 5,6 нг/л і вище, що свідчить про пошкодження міокарда. Визначити кількість тропоніну доречно через 3 – 4 години після пошкодження міокарду і спостерігати надалі кожні 3 години, бо кількість тропоніну може зберігатись у підвищеному рівні до 14 діб. </w:t>
      </w:r>
    </w:p>
    <w:p w:rsidR="00501ACB" w:rsidRDefault="00553C1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3.3. ЕКГ і ЕХО-КГ</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Це дві взаємно важливі  діагностичні критерії у поставленні такого діагнозу, як ІМ. ЕХО-КГ полягає у виявлення локальних порушень рухливості скорочувальних ділянок м’язів зі зниженням сегментарної скоротливості. ЕКГ допомагає виявити локалізацію і поширеність інфаркту.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 наведених нижче прикладах представлено ЕКГ, де буде зазначено зміни в серцевому ритмі під час ІМ.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object w:dxaOrig="3495" w:dyaOrig="4641">
          <v:shape id="1077" o:spid="_x0000_i1027" type="#_x0000_t75" style="width:174pt;height:231pt;rotation:90;visibility:visible;mso-wrap-distance-left:0;mso-wrap-distance-right:0" o:ole="">
            <v:imagedata r:id="rId36" o:title="" embosscolor="white"/>
          </v:shape>
          <o:OLEObject Type="Embed" ProgID="Excel.Sheet.8" ShapeID="1077" DrawAspect="Content" ObjectID="_1788272032" r:id="rId37"/>
        </w:object>
      </w:r>
      <w:r>
        <w:rPr>
          <w:rFonts w:ascii="Times New Roman" w:hAnsi="Times New Roman" w:cs="Times New Roman"/>
          <w:noProof/>
          <w:sz w:val="28"/>
          <w:szCs w:val="28"/>
          <w:lang w:eastAsia="ru-RU"/>
        </w:rPr>
        <w:drawing>
          <wp:inline distT="0" distB="0" distL="0" distR="0">
            <wp:extent cx="2510982" cy="3335017"/>
            <wp:effectExtent l="7301" t="0" r="0" b="0"/>
            <wp:docPr id="1078" name="Рисунок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Рисунок 31"/>
                    <pic:cNvPicPr/>
                  </pic:nvPicPr>
                  <pic:blipFill>
                    <a:blip r:embed="rId38" cstate="print"/>
                    <a:srcRect/>
                    <a:stretch/>
                  </pic:blipFill>
                  <pic:spPr>
                    <a:xfrm rot="16200000">
                      <a:off x="0" y="0"/>
                      <a:ext cx="2510982" cy="3335017"/>
                    </a:xfrm>
                    <a:prstGeom prst="rect">
                      <a:avLst/>
                    </a:prstGeom>
                  </pic:spPr>
                </pic:pic>
              </a:graphicData>
            </a:graphic>
          </wp:inline>
        </w:drawing>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114555" cy="1178805"/>
            <wp:effectExtent l="0" t="0" r="635" b="2540"/>
            <wp:docPr id="1079" name="Рисунок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Рисунок 32"/>
                    <pic:cNvPicPr/>
                  </pic:nvPicPr>
                  <pic:blipFill>
                    <a:blip r:embed="rId39" cstate="print"/>
                    <a:srcRect l="6803" t="23941" b="40598"/>
                    <a:stretch/>
                  </pic:blipFill>
                  <pic:spPr>
                    <a:xfrm>
                      <a:off x="0" y="0"/>
                      <a:ext cx="4114555" cy="1178805"/>
                    </a:xfrm>
                    <a:prstGeom prst="rect">
                      <a:avLst/>
                    </a:prstGeom>
                    <a:ln>
                      <a:noFill/>
                    </a:ln>
                  </pic:spPr>
                </pic:pic>
              </a:graphicData>
            </a:graphic>
          </wp:inline>
        </w:drawing>
      </w:r>
    </w:p>
    <w:p w:rsidR="00501ACB" w:rsidRDefault="00501ACB">
      <w:pPr>
        <w:spacing w:line="360" w:lineRule="auto"/>
        <w:rPr>
          <w:rFonts w:ascii="Times New Roman" w:hAnsi="Times New Roman" w:cs="Times New Roman"/>
          <w:sz w:val="28"/>
          <w:szCs w:val="28"/>
          <w:lang w:val="uk-UA"/>
        </w:rPr>
      </w:pP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2346593" cy="2565388"/>
            <wp:effectExtent l="0" t="0" r="0" b="6985"/>
            <wp:docPr id="1080" name="Рисунок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Рисунок 33"/>
                    <pic:cNvPicPr/>
                  </pic:nvPicPr>
                  <pic:blipFill>
                    <a:blip r:embed="rId40" cstate="print"/>
                    <a:srcRect t="5484" r="5960" b="17110"/>
                    <a:stretch/>
                  </pic:blipFill>
                  <pic:spPr>
                    <a:xfrm>
                      <a:off x="0" y="0"/>
                      <a:ext cx="2346593" cy="2565388"/>
                    </a:xfrm>
                    <a:prstGeom prst="rect">
                      <a:avLst/>
                    </a:prstGeom>
                    <a:ln>
                      <a:noFill/>
                    </a:ln>
                  </pic:spPr>
                </pic:pic>
              </a:graphicData>
            </a:graphic>
          </wp:inline>
        </w:drawing>
      </w:r>
      <w:r>
        <w:rPr>
          <w:rFonts w:ascii="Times New Roman" w:hAnsi="Times New Roman" w:cs="Times New Roman"/>
          <w:noProof/>
          <w:sz w:val="28"/>
          <w:szCs w:val="28"/>
          <w:lang w:eastAsia="ru-RU"/>
        </w:rPr>
        <w:drawing>
          <wp:inline distT="0" distB="0" distL="0" distR="0">
            <wp:extent cx="3294044" cy="2232487"/>
            <wp:effectExtent l="0" t="2540" r="0" b="0"/>
            <wp:docPr id="1081" name="Рисунок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Рисунок 34"/>
                    <pic:cNvPicPr/>
                  </pic:nvPicPr>
                  <pic:blipFill>
                    <a:blip r:embed="rId41" cstate="print"/>
                    <a:srcRect l="5102" t="17166" r="7824" b="4459"/>
                    <a:stretch/>
                  </pic:blipFill>
                  <pic:spPr>
                    <a:xfrm rot="5400000">
                      <a:off x="0" y="0"/>
                      <a:ext cx="3294044" cy="2232487"/>
                    </a:xfrm>
                    <a:prstGeom prst="rect">
                      <a:avLst/>
                    </a:prstGeom>
                    <a:ln>
                      <a:noFill/>
                    </a:ln>
                  </pic:spPr>
                </pic:pic>
              </a:graphicData>
            </a:graphic>
          </wp:inline>
        </w:drawing>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363342" cy="2005070"/>
            <wp:effectExtent l="0" t="0" r="8890" b="0"/>
            <wp:docPr id="1082" name="Рисунок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Рисунок 35"/>
                    <pic:cNvPicPr/>
                  </pic:nvPicPr>
                  <pic:blipFill>
                    <a:blip r:embed="rId42" cstate="print"/>
                    <a:srcRect l="3408" t="9938" r="7992" b="19913"/>
                    <a:stretch/>
                  </pic:blipFill>
                  <pic:spPr>
                    <a:xfrm>
                      <a:off x="0" y="0"/>
                      <a:ext cx="3363342" cy="2005070"/>
                    </a:xfrm>
                    <a:prstGeom prst="rect">
                      <a:avLst/>
                    </a:prstGeom>
                    <a:ln>
                      <a:noFill/>
                    </a:ln>
                  </pic:spPr>
                </pic:pic>
              </a:graphicData>
            </a:graphic>
          </wp:inline>
        </w:drawing>
      </w:r>
      <w:r>
        <w:rPr>
          <w:rFonts w:ascii="Times New Roman" w:hAnsi="Times New Roman" w:cs="Times New Roman"/>
          <w:noProof/>
          <w:sz w:val="28"/>
          <w:szCs w:val="28"/>
          <w:lang w:eastAsia="ru-RU"/>
        </w:rPr>
        <w:drawing>
          <wp:inline distT="0" distB="0" distL="0" distR="0">
            <wp:extent cx="2079379" cy="3303315"/>
            <wp:effectExtent l="0" t="0" r="0" b="0"/>
            <wp:docPr id="1083" name="Рисунок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Рисунок 36"/>
                    <pic:cNvPicPr/>
                  </pic:nvPicPr>
                  <pic:blipFill>
                    <a:blip r:embed="rId43" cstate="print"/>
                    <a:srcRect l="10374" t="2434" r="9014" b="1147"/>
                    <a:stretch/>
                  </pic:blipFill>
                  <pic:spPr>
                    <a:xfrm>
                      <a:off x="0" y="0"/>
                      <a:ext cx="2079379" cy="3303315"/>
                    </a:xfrm>
                    <a:prstGeom prst="rect">
                      <a:avLst/>
                    </a:prstGeom>
                    <a:ln>
                      <a:noFill/>
                    </a:ln>
                  </pic:spPr>
                </pic:pic>
              </a:graphicData>
            </a:graphic>
          </wp:inline>
        </w:drawing>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 наведеному нижче прикладі представлено заключення ЕХО – КГ.</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2709619" cy="3811836"/>
            <wp:effectExtent l="0" t="0" r="0" b="0"/>
            <wp:docPr id="1084" name="Рисунок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Рисунок 37"/>
                    <pic:cNvPicPr/>
                  </pic:nvPicPr>
                  <pic:blipFill>
                    <a:blip r:embed="rId44" cstate="print"/>
                    <a:srcRect l="8673" t="10629" r="11054" b="4349"/>
                    <a:stretch/>
                  </pic:blipFill>
                  <pic:spPr>
                    <a:xfrm>
                      <a:off x="0" y="0"/>
                      <a:ext cx="2709619" cy="3811836"/>
                    </a:xfrm>
                    <a:prstGeom prst="rect">
                      <a:avLst/>
                    </a:prstGeom>
                    <a:ln>
                      <a:noFill/>
                    </a:ln>
                  </pic:spPr>
                </pic:pic>
              </a:graphicData>
            </a:graphic>
          </wp:inline>
        </w:drawing>
      </w:r>
    </w:p>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3.4. Висновки до третього розділу</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Біохімічні показники на початку та наприкінці захворювання у чоловіків і жінок з ІМ виходили за межі нормальних показників для здорових людей. Після назначених терапій вони стали більш оптимальними для серцево – судинної системи.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статистичних даних, за лікуванням на ІМ у більшості випадків звертаються пацієнти похилого віку від 60 років.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Щодо поширеності виду помічено, що більшість пацієнтів хворі на гострий передній з елевацією </w:t>
      </w:r>
      <w:r>
        <w:rPr>
          <w:rFonts w:ascii="Times New Roman" w:hAnsi="Times New Roman" w:cs="Times New Roman"/>
          <w:sz w:val="28"/>
          <w:szCs w:val="28"/>
          <w:lang w:val="en-US"/>
        </w:rPr>
        <w:t>ST</w:t>
      </w:r>
      <w:r>
        <w:rPr>
          <w:rFonts w:ascii="Times New Roman" w:hAnsi="Times New Roman" w:cs="Times New Roman"/>
          <w:sz w:val="28"/>
          <w:szCs w:val="28"/>
          <w:lang w:val="uk-UA"/>
        </w:rPr>
        <w:t xml:space="preserve"> ІМ і гострий з елевацією </w:t>
      </w:r>
      <w:r>
        <w:rPr>
          <w:rFonts w:ascii="Times New Roman" w:hAnsi="Times New Roman" w:cs="Times New Roman"/>
          <w:sz w:val="28"/>
          <w:szCs w:val="28"/>
          <w:lang w:val="en-US"/>
        </w:rPr>
        <w:t>ST</w:t>
      </w:r>
      <w:r>
        <w:rPr>
          <w:rFonts w:ascii="Times New Roman" w:hAnsi="Times New Roman" w:cs="Times New Roman"/>
          <w:sz w:val="28"/>
          <w:szCs w:val="28"/>
          <w:lang w:val="uk-UA"/>
        </w:rPr>
        <w:t xml:space="preserve"> задній ІМ.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результати досліджень дають можливість розширеної лабораторної діагностики при інфаркті міокарда. </w:t>
      </w:r>
    </w:p>
    <w:p w:rsidR="00501ACB" w:rsidRDefault="00501ACB">
      <w:pPr>
        <w:spacing w:line="360" w:lineRule="auto"/>
        <w:rPr>
          <w:rFonts w:ascii="Times New Roman" w:hAnsi="Times New Roman" w:cs="Times New Roman"/>
          <w:sz w:val="28"/>
          <w:szCs w:val="28"/>
          <w:lang w:val="uk-UA"/>
        </w:rPr>
      </w:pPr>
    </w:p>
    <w:p w:rsidR="00501ACB" w:rsidRDefault="00501ACB">
      <w:pPr>
        <w:spacing w:line="360" w:lineRule="auto"/>
        <w:rPr>
          <w:rFonts w:ascii="Times New Roman" w:hAnsi="Times New Roman" w:cs="Times New Roman"/>
          <w:sz w:val="28"/>
          <w:szCs w:val="28"/>
          <w:lang w:val="uk-UA"/>
        </w:rPr>
      </w:pPr>
    </w:p>
    <w:p w:rsidR="00501ACB" w:rsidRDefault="00501ACB">
      <w:pPr>
        <w:spacing w:line="360" w:lineRule="auto"/>
        <w:rPr>
          <w:rFonts w:ascii="Times New Roman" w:hAnsi="Times New Roman" w:cs="Times New Roman"/>
          <w:sz w:val="28"/>
          <w:szCs w:val="28"/>
          <w:lang w:val="uk-UA"/>
        </w:rPr>
      </w:pPr>
    </w:p>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Інфаркт міокарда визначають як гострий стан, при якому відбувається вогнищевий некроз серцевого м’яза, що виникає в результаті ішемічної хвороби серця. Викликає незворотні зміни в міокарді, що частіше за все спричинює зупинку серця.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Серед етіологічних чинників виокремлюють атеросклеротичне ураження коронарних артерій, коронаротромбоз, коронаросклероз і коронароспазм з оклюзією. Серед етіопатогенетичних факторів виділяють запальні зміни венозних артерій, гостру ревматичну хворобу, облітуруюче тромботичне запалення венозної артерії, алергічні розлади, природжені аномалії коронарних артерій, зловживання алкогольних напоїв та ін.</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Для діагностики ІМ важливо визначити клінічні прояви, призначити аналізи в якому особливу увагу треба буде звернути на біохімічні показники, інструментальні обстеження такі, як ЕКГ,ЕХО – КГ І КТ.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підбору методики лікування слід враховувати тяжкість ІМ, чинники, що викликали захворювання. Пацієнту показана дієта, тромболітична і медикаментозна терапія. Лікування  проводиться при регулярному контролі ефективності впливу на стан пацієнта. При неефективності однієї методики слід негайно підбирати іншу, так як швидке прогресування ІМ має погане прогностичне значення.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Для дослідження теми дипломної роботи було проаналізовано 20 історій хвороб пацієнтів з діагнозом інфаркта міокарда,що проходили у 2022 - 2023 році лікування в «Харківська клінічна лікарня на залізнодорожному транспорті №1». Дані були проаналізовані,отримані результати занесені в таблиці та діаграми, наведені у другому та третьому розділах даної роботи.</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опирається на результатах таких лабораторних показників, як АСТ,АЛТ,СК-МВ, загальний холестерин, глюкоза і високочутливий тропонін І та Т та допоміжні інструментальні дослідження такі, як ЕКГ,ЕХО – КГ,КТ. Біохімічні показники допомагають зробити висновки щодо стану системи крові.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Лабораторне дослідження є одним із найважливіших напрямів в тактиці ведення хворих на інфаркт міокарда. </w:t>
      </w:r>
    </w:p>
    <w:p w:rsidR="00501ACB" w:rsidRDefault="00553C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Підтверджений взаємозв’язок поширеності інфаркту міокарда різних видів окремо серед чоловічої та жіночої статі, в окремих вікових групах. </w:t>
      </w:r>
    </w:p>
    <w:p w:rsidR="00501ACB" w:rsidRDefault="00501ACB">
      <w:pPr>
        <w:spacing w:line="360" w:lineRule="auto"/>
        <w:rPr>
          <w:rFonts w:ascii="Times New Roman" w:hAnsi="Times New Roman" w:cs="Times New Roman"/>
          <w:sz w:val="28"/>
          <w:szCs w:val="28"/>
          <w:lang w:val="uk-UA"/>
        </w:rPr>
      </w:pPr>
    </w:p>
    <w:p w:rsidR="00501ACB" w:rsidRDefault="00553C1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p>
    <w:p w:rsidR="00501ACB" w:rsidRDefault="00553C15">
      <w:pPr>
        <w:rPr>
          <w:rFonts w:ascii="Times New Roman" w:hAnsi="Times New Roman" w:cs="Times New Roman"/>
          <w:sz w:val="28"/>
          <w:szCs w:val="28"/>
        </w:rPr>
      </w:pPr>
      <w:r>
        <w:rPr>
          <w:rFonts w:ascii="Times New Roman" w:hAnsi="Times New Roman" w:cs="Times New Roman"/>
          <w:sz w:val="28"/>
          <w:szCs w:val="28"/>
        </w:rPr>
        <w:t>1. Бойко Т. І. (2010). Клінічні лабораторні дослідження: підручник. – К.: Медицина. 352 с.</w:t>
      </w:r>
      <w:r>
        <w:rPr>
          <w:rFonts w:ascii="Times New Roman" w:hAnsi="Times New Roman" w:cs="Times New Roman"/>
          <w:sz w:val="28"/>
          <w:szCs w:val="28"/>
        </w:rPr>
        <w:br/>
        <w:t>2. Віней Кумар (2019). Основи патології за Роббінсом / А. К. Аббас, Дж. К. Астер. – К.: Медицина. 420 с.</w:t>
      </w:r>
      <w:r>
        <w:rPr>
          <w:rFonts w:ascii="Times New Roman" w:hAnsi="Times New Roman" w:cs="Times New Roman"/>
          <w:sz w:val="28"/>
          <w:szCs w:val="28"/>
        </w:rPr>
        <w:br/>
        <w:t>3. Денесюк В. І. (2017). Сучасні проблеми фібриляції передсердь. Новости медицины и фармации. 2017. № 7 (618). С. 8–13; № 8 (619) С. 10–13; № 9. С. 18–23.</w:t>
      </w:r>
      <w:r>
        <w:rPr>
          <w:rFonts w:ascii="Times New Roman" w:hAnsi="Times New Roman" w:cs="Times New Roman"/>
          <w:sz w:val="28"/>
          <w:szCs w:val="28"/>
        </w:rPr>
        <w:br/>
        <w:t>4. Денесюк В. І. . Мороз В. М., Денесюк О. В., (2017), Аритмії та блокади серця: 30-річний науково-практичний досвід вивчення порушень ритму серця з урахуванням рекомендацій доказової медицини. К.: Центр ДЗК. 560 с.</w:t>
      </w:r>
      <w:r>
        <w:rPr>
          <w:rFonts w:ascii="Times New Roman" w:hAnsi="Times New Roman" w:cs="Times New Roman"/>
          <w:sz w:val="28"/>
          <w:szCs w:val="28"/>
        </w:rPr>
        <w:br/>
        <w:t>5. Кияк Г.Ю. (2016). Клініко-функціональні особливості гострого коронарного синдрому у пацієнтів с коморбідним цукровим діабетом 2-го типу. Львівський клінічний вісник. 2(14)–3(15). 55-62.</w:t>
      </w:r>
      <w:r>
        <w:rPr>
          <w:rFonts w:ascii="Times New Roman" w:hAnsi="Times New Roman" w:cs="Times New Roman"/>
          <w:sz w:val="28"/>
          <w:szCs w:val="28"/>
        </w:rPr>
        <w:br/>
        <w:t>6. Климов А. Н. (2018). Клінічна оцінка лабораторних досліджень в кардіології та ревматології : навч. посіб. Запоріжжя. с.121.</w:t>
      </w:r>
      <w:r>
        <w:rPr>
          <w:rFonts w:ascii="Times New Roman" w:hAnsi="Times New Roman" w:cs="Times New Roman"/>
          <w:sz w:val="28"/>
          <w:szCs w:val="28"/>
        </w:rPr>
        <w:br/>
        <w:t>7. Коваленко В. М. (2017). Несукай О. Г. Лікування клапанних вад серця. Київ. 61 с.</w:t>
      </w:r>
      <w:r>
        <w:rPr>
          <w:rFonts w:ascii="Times New Roman" w:hAnsi="Times New Roman" w:cs="Times New Roman"/>
          <w:sz w:val="28"/>
          <w:szCs w:val="28"/>
        </w:rPr>
        <w:br/>
        <w:t>8. Коваленко В. М. (2018). Серцево-судинні захворювання: Класифікація, стандарти діагностики та лікування / За ред. В. М. Коваленко, М. І. Лутая, Ю. М. Сіренка, О. С. Сичова. К.: Моріон. 224 с.</w:t>
      </w:r>
      <w:r>
        <w:rPr>
          <w:rFonts w:ascii="Times New Roman" w:hAnsi="Times New Roman" w:cs="Times New Roman"/>
          <w:sz w:val="28"/>
          <w:szCs w:val="28"/>
        </w:rPr>
        <w:br/>
        <w:t>9. Коваленко В. М. (2015). Тащук В.К., Полянська О.С. Гострий коронарний синдром. Діагностика, клініка, лікування. - Чернівці, 2005.- 150 с.</w:t>
      </w:r>
      <w:r>
        <w:rPr>
          <w:rFonts w:ascii="Times New Roman" w:hAnsi="Times New Roman" w:cs="Times New Roman"/>
          <w:sz w:val="28"/>
          <w:szCs w:val="28"/>
        </w:rPr>
        <w:br/>
        <w:t>10. Лаповець Л. Є. (2019). Клінічна лабораторна діагностика: підручник / Л. Є. Лаповець, Г. Б. Лебедь, О. О. Ястремська та ін. – К.: ВСВ Медицина. – 472 с.</w:t>
      </w:r>
      <w:r>
        <w:rPr>
          <w:rFonts w:ascii="Times New Roman" w:hAnsi="Times New Roman" w:cs="Times New Roman"/>
          <w:sz w:val="28"/>
          <w:szCs w:val="28"/>
        </w:rPr>
        <w:br/>
        <w:t>11. Луцик Б. Д. (2011). Клінічна лабораторна діагностика: навчальний посібник / Б. Д. Луцик [та ін.]; за ред. проф. Б. Д. Луцика. – К.: Медицина. 288 с.</w:t>
      </w:r>
    </w:p>
    <w:p w:rsidR="00501ACB" w:rsidRDefault="00553C15">
      <w:pPr>
        <w:rPr>
          <w:rFonts w:ascii="Times New Roman" w:hAnsi="Times New Roman" w:cs="Times New Roman"/>
          <w:sz w:val="28"/>
          <w:szCs w:val="28"/>
          <w:lang w:val="en-US"/>
        </w:rPr>
      </w:pPr>
      <w:r>
        <w:rPr>
          <w:rFonts w:ascii="Times New Roman" w:hAnsi="Times New Roman" w:cs="Times New Roman"/>
          <w:sz w:val="28"/>
          <w:szCs w:val="28"/>
          <w:lang w:val="uk-UA"/>
        </w:rPr>
        <w:t>12. Огнєв В.А., Подпрядова А.А. (</w:t>
      </w:r>
      <w:r>
        <w:rPr>
          <w:rFonts w:ascii="Times New Roman" w:hAnsi="Times New Roman" w:cs="Times New Roman"/>
          <w:sz w:val="28"/>
          <w:szCs w:val="28"/>
        </w:rPr>
        <w:t>2019</w:t>
      </w:r>
      <w:r>
        <w:rPr>
          <w:rFonts w:ascii="Times New Roman" w:hAnsi="Times New Roman" w:cs="Times New Roman"/>
          <w:sz w:val="28"/>
          <w:szCs w:val="28"/>
          <w:lang w:val="uk-UA"/>
        </w:rPr>
        <w:t>). Захворюваність на гострий інфаркт міокарда серед дорослого населення Харківській області / Огнєв В.А., Подпрядова А.А. //</w:t>
      </w:r>
      <w:r>
        <w:rPr>
          <w:rFonts w:ascii="Times New Roman" w:hAnsi="Times New Roman" w:cs="Times New Roman"/>
          <w:lang w:val="uk-UA"/>
        </w:rPr>
        <w:t xml:space="preserve"> </w:t>
      </w:r>
      <w:r>
        <w:rPr>
          <w:rFonts w:ascii="Times New Roman" w:hAnsi="Times New Roman" w:cs="Times New Roman"/>
          <w:sz w:val="28"/>
          <w:szCs w:val="28"/>
          <w:lang w:val="uk-UA"/>
        </w:rPr>
        <w:t>Вісник соціальної гігієни та організації охорони здоров’я України.-  № 4 (82). – С. 5-9.</w:t>
      </w:r>
      <w:r>
        <w:rPr>
          <w:rFonts w:ascii="Times New Roman" w:hAnsi="Times New Roman" w:cs="Times New Roman"/>
          <w:sz w:val="28"/>
          <w:szCs w:val="28"/>
          <w:lang w:val="uk-UA"/>
        </w:rPr>
        <w:br/>
      </w:r>
      <w:r>
        <w:rPr>
          <w:rFonts w:ascii="Times New Roman" w:hAnsi="Times New Roman" w:cs="Times New Roman"/>
          <w:sz w:val="28"/>
          <w:szCs w:val="28"/>
          <w:lang w:val="uk-UA"/>
        </w:rPr>
        <w:lastRenderedPageBreak/>
        <w:t xml:space="preserve">13. Рекомендації Асоціації кардіологів України (2013) щодо ведення пацієнтів з гострим коронарним синдромом з елевацією сегмента </w:t>
      </w:r>
      <w:r>
        <w:rPr>
          <w:rFonts w:ascii="Times New Roman" w:hAnsi="Times New Roman" w:cs="Times New Roman"/>
          <w:sz w:val="28"/>
          <w:szCs w:val="28"/>
        </w:rPr>
        <w:t>ST</w:t>
      </w:r>
      <w:r>
        <w:rPr>
          <w:rFonts w:ascii="Times New Roman" w:hAnsi="Times New Roman" w:cs="Times New Roman"/>
          <w:sz w:val="28"/>
          <w:szCs w:val="28"/>
          <w:lang w:val="uk-UA"/>
        </w:rPr>
        <w:t>. Укр. кард. журнал, Додаток. с.64.</w:t>
      </w:r>
      <w:r>
        <w:rPr>
          <w:rFonts w:ascii="Times New Roman" w:hAnsi="Times New Roman" w:cs="Times New Roman"/>
          <w:sz w:val="28"/>
          <w:szCs w:val="28"/>
          <w:lang w:val="uk-UA"/>
        </w:rPr>
        <w:br/>
        <w:t xml:space="preserve">14. Рекомендації з діагностики та лікування екстрасистолічної аритмії та парасистолії Асоціації аритмологів України та робочої групи з порушень ритму серця Асоціації аритмологів України (2015). </w:t>
      </w:r>
      <w:r>
        <w:rPr>
          <w:rFonts w:ascii="Times New Roman" w:hAnsi="Times New Roman" w:cs="Times New Roman"/>
          <w:sz w:val="28"/>
          <w:szCs w:val="28"/>
        </w:rPr>
        <w:t>Аритмологія. № 2 (14). С. 6–20.</w:t>
      </w:r>
      <w:r>
        <w:rPr>
          <w:rFonts w:ascii="Times New Roman" w:hAnsi="Times New Roman" w:cs="Times New Roman"/>
          <w:sz w:val="28"/>
          <w:szCs w:val="28"/>
        </w:rPr>
        <w:br/>
        <w:t>1</w:t>
      </w:r>
      <w:r>
        <w:rPr>
          <w:rFonts w:ascii="Times New Roman" w:hAnsi="Times New Roman" w:cs="Times New Roman"/>
          <w:sz w:val="28"/>
          <w:szCs w:val="28"/>
          <w:lang w:val="uk-UA"/>
        </w:rPr>
        <w:t>5</w:t>
      </w:r>
      <w:r>
        <w:rPr>
          <w:rFonts w:ascii="Times New Roman" w:hAnsi="Times New Roman" w:cs="Times New Roman"/>
          <w:sz w:val="28"/>
          <w:szCs w:val="28"/>
        </w:rPr>
        <w:t>. Теренда Н. О. (2014). Прогностична оцінка захворюваності та поширеності хвороб системи кровообігу / Н. О. Теренда // Вісник соц. гігієни та орг. охорони здоров’я України. – No 4 (62). – С. 31–35.</w:t>
      </w: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lang w:val="en-US"/>
        </w:rPr>
        <w:t>1</w:t>
      </w:r>
      <w:r>
        <w:rPr>
          <w:rFonts w:ascii="Times New Roman" w:hAnsi="Times New Roman" w:cs="Times New Roman"/>
          <w:sz w:val="28"/>
          <w:szCs w:val="28"/>
          <w:lang w:val="uk-UA"/>
        </w:rPr>
        <w:t>6</w:t>
      </w:r>
      <w:r>
        <w:rPr>
          <w:rFonts w:ascii="Times New Roman" w:hAnsi="Times New Roman" w:cs="Times New Roman"/>
          <w:sz w:val="28"/>
          <w:szCs w:val="28"/>
          <w:lang w:val="en-US"/>
        </w:rPr>
        <w:t>. Antman E.M., Cohen M., Gurfinkel E. et al. (2000) Impact of enoxaparin low molecular weight heparin in patients with Q-wave myocardial infarction. Am. J. Cardiol, 86: 553—556, A9.</w:t>
      </w:r>
      <w:r>
        <w:rPr>
          <w:rFonts w:ascii="Times New Roman" w:hAnsi="Times New Roman" w:cs="Times New Roman"/>
          <w:sz w:val="28"/>
          <w:szCs w:val="28"/>
          <w:lang w:val="en-US"/>
        </w:rPr>
        <w:br/>
      </w:r>
      <w:r>
        <w:rPr>
          <w:rFonts w:ascii="Times New Roman" w:hAnsi="Times New Roman" w:cs="Times New Roman"/>
          <w:sz w:val="28"/>
          <w:szCs w:val="28"/>
          <w:lang w:val="en-US"/>
        </w:rPr>
        <w:br/>
        <w:t>1</w:t>
      </w:r>
      <w:r>
        <w:rPr>
          <w:rFonts w:ascii="Times New Roman" w:hAnsi="Times New Roman" w:cs="Times New Roman"/>
          <w:sz w:val="28"/>
          <w:szCs w:val="28"/>
          <w:lang w:val="uk-UA"/>
        </w:rPr>
        <w:t>7</w:t>
      </w:r>
      <w:r>
        <w:rPr>
          <w:rFonts w:ascii="Times New Roman" w:hAnsi="Times New Roman" w:cs="Times New Roman"/>
          <w:sz w:val="28"/>
          <w:szCs w:val="28"/>
          <w:lang w:val="en-US"/>
        </w:rPr>
        <w:t>. Antman E.M., Hand M., Armstrong P.W. et al. (2007) Focused update of the ACC/AHA 2004 Guidelines for the Management of Patients With ST-Elevation Myocardial Infarction: a report of the American College of Cardiology/American Heart Association Task Force on Practice Guidelines (Writing Group to Review New Evidence and Update the ACC/AHA 2004 Guidelines for the Management of Patients With ST-Elevation Myocardial Infarction). Circulation. 117: 296 -329.</w:t>
      </w:r>
      <w:r>
        <w:rPr>
          <w:rFonts w:ascii="Times New Roman" w:hAnsi="Times New Roman" w:cs="Times New Roman"/>
          <w:sz w:val="28"/>
          <w:szCs w:val="28"/>
          <w:lang w:val="en-US"/>
        </w:rPr>
        <w:br/>
      </w:r>
      <w:r>
        <w:rPr>
          <w:rFonts w:ascii="Times New Roman" w:hAnsi="Times New Roman" w:cs="Times New Roman"/>
          <w:sz w:val="28"/>
          <w:szCs w:val="28"/>
          <w:lang w:val="en-US"/>
        </w:rPr>
        <w:br/>
        <w:t>1</w:t>
      </w:r>
      <w:r>
        <w:rPr>
          <w:rFonts w:ascii="Times New Roman" w:hAnsi="Times New Roman" w:cs="Times New Roman"/>
          <w:sz w:val="28"/>
          <w:szCs w:val="28"/>
          <w:lang w:val="uk-UA"/>
        </w:rPr>
        <w:t>8</w:t>
      </w:r>
      <w:r>
        <w:rPr>
          <w:rFonts w:ascii="Times New Roman" w:hAnsi="Times New Roman" w:cs="Times New Roman"/>
          <w:sz w:val="28"/>
          <w:szCs w:val="28"/>
          <w:lang w:val="en-US"/>
        </w:rPr>
        <w:t>. Asaria P., Elliott P., Douglass M., Obermeyer Z., Soljak M., Majeed A. et al., (2017), Acute myocardial infarction hospital admissions and deaths in England: a national follow-back and follow-forward record linkage study. Lancet Public Health. 2(4). e191-201.</w:t>
      </w:r>
      <w:r>
        <w:rPr>
          <w:rFonts w:ascii="Times New Roman" w:hAnsi="Times New Roman" w:cs="Times New Roman"/>
          <w:sz w:val="28"/>
          <w:szCs w:val="28"/>
          <w:lang w:val="en-US"/>
        </w:rPr>
        <w:br/>
      </w:r>
      <w:r>
        <w:rPr>
          <w:rFonts w:ascii="Times New Roman" w:hAnsi="Times New Roman" w:cs="Times New Roman"/>
          <w:sz w:val="28"/>
          <w:szCs w:val="28"/>
          <w:lang w:val="en-US"/>
        </w:rPr>
        <w:br/>
        <w:t>1</w:t>
      </w:r>
      <w:r>
        <w:rPr>
          <w:rFonts w:ascii="Times New Roman" w:hAnsi="Times New Roman" w:cs="Times New Roman"/>
          <w:sz w:val="28"/>
          <w:szCs w:val="28"/>
          <w:lang w:val="uk-UA"/>
        </w:rPr>
        <w:t>9</w:t>
      </w:r>
      <w:r>
        <w:rPr>
          <w:rFonts w:ascii="Times New Roman" w:hAnsi="Times New Roman" w:cs="Times New Roman"/>
          <w:sz w:val="28"/>
          <w:szCs w:val="28"/>
          <w:lang w:val="en-US"/>
        </w:rPr>
        <w:t>. Bjorn Dahlof, Peter S. Sever, Neil R. et al., (2005), Prevention of cardiovascular events with an antihypertensive regimen of amlodipine adding perindopril as required versus atenolol adding bendroflumethiazide as required, in the Anglo-Scandinavian Cardiac Outcomes Trial-Blood Pressure Lowering Arm (ASCOT-BPLA): a multicentre randomized controlled trial. Lancet, 366: 895-906.</w:t>
      </w:r>
      <w:r>
        <w:rPr>
          <w:rFonts w:ascii="Times New Roman" w:hAnsi="Times New Roman" w:cs="Times New Roman"/>
          <w:sz w:val="28"/>
          <w:szCs w:val="28"/>
          <w:lang w:val="en-US"/>
        </w:rPr>
        <w:br/>
      </w:r>
      <w:r>
        <w:rPr>
          <w:rFonts w:ascii="Times New Roman" w:hAnsi="Times New Roman" w:cs="Times New Roman"/>
          <w:sz w:val="28"/>
          <w:szCs w:val="28"/>
          <w:lang w:val="en-US"/>
        </w:rPr>
        <w:br/>
      </w:r>
      <w:r>
        <w:rPr>
          <w:rFonts w:ascii="Times New Roman" w:hAnsi="Times New Roman" w:cs="Times New Roman"/>
          <w:sz w:val="28"/>
          <w:szCs w:val="28"/>
          <w:lang w:val="uk-UA"/>
        </w:rPr>
        <w:t>20</w:t>
      </w:r>
      <w:r>
        <w:rPr>
          <w:rFonts w:ascii="Times New Roman" w:hAnsi="Times New Roman" w:cs="Times New Roman"/>
          <w:sz w:val="28"/>
          <w:szCs w:val="28"/>
          <w:lang w:val="en-US"/>
        </w:rPr>
        <w:t>. Boden W. , van Gilst W.H., Scheldewaert R. et al, (2000), Diltiazem in acute myocardial infarction treated with thrombolytic agents: a randomized placebo-controlled trial. Lancet, 355: 1751-1756.</w:t>
      </w:r>
      <w:r>
        <w:rPr>
          <w:rFonts w:ascii="Times New Roman" w:hAnsi="Times New Roman" w:cs="Times New Roman"/>
          <w:sz w:val="28"/>
          <w:szCs w:val="28"/>
          <w:lang w:val="en-US"/>
        </w:rPr>
        <w:br/>
      </w:r>
      <w:r>
        <w:rPr>
          <w:rFonts w:ascii="Times New Roman" w:hAnsi="Times New Roman" w:cs="Times New Roman"/>
          <w:sz w:val="28"/>
          <w:szCs w:val="28"/>
          <w:lang w:val="en-US"/>
        </w:rPr>
        <w:br/>
        <w:t>2</w:t>
      </w:r>
      <w:r>
        <w:rPr>
          <w:rFonts w:ascii="Times New Roman" w:hAnsi="Times New Roman" w:cs="Times New Roman"/>
          <w:sz w:val="28"/>
          <w:szCs w:val="28"/>
          <w:lang w:val="uk-UA"/>
        </w:rPr>
        <w:t>1</w:t>
      </w:r>
      <w:r>
        <w:rPr>
          <w:rFonts w:ascii="Times New Roman" w:hAnsi="Times New Roman" w:cs="Times New Roman"/>
          <w:sz w:val="28"/>
          <w:szCs w:val="28"/>
          <w:lang w:val="en-US"/>
        </w:rPr>
        <w:t xml:space="preserve">. Cosentino F. ,Grant P.J., Aboyans V., Bailey C.J., Ceriello A., Delgado V. et al .(2019), ESC Guidelines on diabetes, pre-diabetes, and cardiovascular diseases developed in collaboration with the EASD. Eur. Heart J. 41(2). 255-323. </w:t>
      </w:r>
    </w:p>
    <w:p w:rsidR="00501ACB" w:rsidRDefault="00553C15">
      <w:pPr>
        <w:rPr>
          <w:rFonts w:ascii="Times New Roman" w:hAnsi="Times New Roman" w:cs="Times New Roman"/>
          <w:sz w:val="28"/>
          <w:szCs w:val="28"/>
          <w:lang w:val="en-US"/>
        </w:rPr>
      </w:pPr>
      <w:r>
        <w:rPr>
          <w:rFonts w:ascii="Times New Roman" w:hAnsi="Times New Roman" w:cs="Times New Roman"/>
          <w:sz w:val="28"/>
          <w:szCs w:val="28"/>
          <w:lang w:val="en-US"/>
        </w:rPr>
        <w:lastRenderedPageBreak/>
        <w:t>2</w:t>
      </w:r>
      <w:r>
        <w:rPr>
          <w:rFonts w:ascii="Times New Roman" w:hAnsi="Times New Roman" w:cs="Times New Roman"/>
          <w:sz w:val="28"/>
          <w:szCs w:val="28"/>
          <w:lang w:val="uk-UA"/>
        </w:rPr>
        <w:t>2</w:t>
      </w:r>
      <w:r>
        <w:rPr>
          <w:rFonts w:ascii="Times New Roman" w:hAnsi="Times New Roman" w:cs="Times New Roman"/>
          <w:sz w:val="28"/>
          <w:szCs w:val="28"/>
          <w:lang w:val="en-US"/>
        </w:rPr>
        <w:t>. Franklin K., Goldberg R.J., Spencer F., Klein W., Budaj A., Brieger D. et al. Implications of diabetes in patients with acute coronary syndromes. The Global Registry of Acute Coronary Events. Arch. Intern. Med. (2004). 164(13). 1457-63.</w:t>
      </w:r>
      <w:r>
        <w:rPr>
          <w:rFonts w:ascii="Times New Roman" w:hAnsi="Times New Roman" w:cs="Times New Roman"/>
          <w:sz w:val="28"/>
          <w:szCs w:val="28"/>
          <w:lang w:val="en-US"/>
        </w:rPr>
        <w:br/>
      </w:r>
      <w:r>
        <w:rPr>
          <w:rFonts w:ascii="Times New Roman" w:hAnsi="Times New Roman" w:cs="Times New Roman"/>
          <w:sz w:val="28"/>
          <w:szCs w:val="28"/>
          <w:lang w:val="en-US"/>
        </w:rPr>
        <w:br/>
        <w:t>2</w:t>
      </w:r>
      <w:r>
        <w:rPr>
          <w:rFonts w:ascii="Times New Roman" w:hAnsi="Times New Roman" w:cs="Times New Roman"/>
          <w:sz w:val="28"/>
          <w:szCs w:val="28"/>
          <w:lang w:val="uk-UA"/>
        </w:rPr>
        <w:t>3</w:t>
      </w:r>
      <w:r>
        <w:rPr>
          <w:rFonts w:ascii="Times New Roman" w:hAnsi="Times New Roman" w:cs="Times New Roman"/>
          <w:sz w:val="28"/>
          <w:szCs w:val="28"/>
          <w:lang w:val="en-US"/>
        </w:rPr>
        <w:t>. Mezilis N.E., Partenakis F.I., Kanakaraki M.K. et al. (2000) Dobutamine- vs exercise-induced ST segment elevation early after Q wave myocardial infarction. Prediction of functional recovery after revascularization. Eur. Heart J., 21: 814-822.</w:t>
      </w:r>
      <w:r>
        <w:rPr>
          <w:rFonts w:ascii="Times New Roman" w:hAnsi="Times New Roman" w:cs="Times New Roman"/>
          <w:sz w:val="28"/>
          <w:szCs w:val="28"/>
          <w:lang w:val="en-US"/>
        </w:rPr>
        <w:br/>
      </w:r>
      <w:r>
        <w:rPr>
          <w:rFonts w:ascii="Times New Roman" w:hAnsi="Times New Roman" w:cs="Times New Roman"/>
          <w:sz w:val="28"/>
          <w:szCs w:val="28"/>
          <w:lang w:val="en-US"/>
        </w:rPr>
        <w:br/>
        <w:t>2</w:t>
      </w:r>
      <w:r>
        <w:rPr>
          <w:rFonts w:ascii="Times New Roman" w:hAnsi="Times New Roman" w:cs="Times New Roman"/>
          <w:sz w:val="28"/>
          <w:szCs w:val="28"/>
          <w:lang w:val="uk-UA"/>
        </w:rPr>
        <w:t>4</w:t>
      </w:r>
      <w:r>
        <w:rPr>
          <w:rFonts w:ascii="Times New Roman" w:hAnsi="Times New Roman" w:cs="Times New Roman"/>
          <w:sz w:val="28"/>
          <w:szCs w:val="28"/>
          <w:lang w:val="en-US"/>
        </w:rPr>
        <w:t xml:space="preserve">. Patel </w:t>
      </w:r>
      <w:r>
        <w:rPr>
          <w:rFonts w:ascii="Times New Roman" w:hAnsi="Times New Roman" w:cs="Times New Roman"/>
          <w:sz w:val="28"/>
          <w:szCs w:val="28"/>
        </w:rPr>
        <w:t>М</w:t>
      </w:r>
      <w:r>
        <w:rPr>
          <w:rFonts w:ascii="Times New Roman" w:hAnsi="Times New Roman" w:cs="Times New Roman"/>
          <w:sz w:val="28"/>
          <w:szCs w:val="28"/>
          <w:lang w:val="en-US"/>
        </w:rPr>
        <w:t xml:space="preserve">., </w:t>
      </w:r>
      <w:r>
        <w:rPr>
          <w:rFonts w:ascii="Times New Roman" w:hAnsi="Times New Roman" w:cs="Times New Roman"/>
          <w:sz w:val="28"/>
          <w:szCs w:val="28"/>
        </w:rPr>
        <w:t>Са</w:t>
      </w:r>
      <w:r>
        <w:rPr>
          <w:rFonts w:ascii="Times New Roman" w:hAnsi="Times New Roman" w:cs="Times New Roman"/>
          <w:sz w:val="28"/>
          <w:szCs w:val="28"/>
          <w:lang w:val="en-US"/>
        </w:rPr>
        <w:t xml:space="preserve">lhoon J. et al.(2017), </w:t>
      </w:r>
      <w:r>
        <w:rPr>
          <w:rFonts w:ascii="Times New Roman" w:hAnsi="Times New Roman" w:cs="Times New Roman"/>
          <w:sz w:val="28"/>
          <w:szCs w:val="28"/>
        </w:rPr>
        <w:t>Належна</w:t>
      </w:r>
      <w:r>
        <w:rPr>
          <w:rFonts w:ascii="Times New Roman" w:hAnsi="Times New Roman" w:cs="Times New Roman"/>
          <w:sz w:val="28"/>
          <w:szCs w:val="28"/>
          <w:lang w:val="en-US"/>
        </w:rPr>
        <w:t xml:space="preserve"> </w:t>
      </w:r>
      <w:r>
        <w:rPr>
          <w:rFonts w:ascii="Times New Roman" w:hAnsi="Times New Roman" w:cs="Times New Roman"/>
          <w:sz w:val="28"/>
          <w:szCs w:val="28"/>
        </w:rPr>
        <w:t>практика</w:t>
      </w:r>
      <w:r>
        <w:rPr>
          <w:rFonts w:ascii="Times New Roman" w:hAnsi="Times New Roman" w:cs="Times New Roman"/>
          <w:sz w:val="28"/>
          <w:szCs w:val="28"/>
          <w:lang w:val="en-US"/>
        </w:rPr>
        <w:t xml:space="preserve"> </w:t>
      </w:r>
      <w:r>
        <w:rPr>
          <w:rFonts w:ascii="Times New Roman" w:hAnsi="Times New Roman" w:cs="Times New Roman"/>
          <w:sz w:val="28"/>
          <w:szCs w:val="28"/>
        </w:rPr>
        <w:t>реваскуляризації</w:t>
      </w:r>
      <w:r>
        <w:rPr>
          <w:rFonts w:ascii="Times New Roman" w:hAnsi="Times New Roman" w:cs="Times New Roman"/>
          <w:sz w:val="28"/>
          <w:szCs w:val="28"/>
          <w:lang w:val="en-US"/>
        </w:rPr>
        <w:t xml:space="preserve"> </w:t>
      </w:r>
      <w:r>
        <w:rPr>
          <w:rFonts w:ascii="Times New Roman" w:hAnsi="Times New Roman" w:cs="Times New Roman"/>
          <w:sz w:val="28"/>
          <w:szCs w:val="28"/>
        </w:rPr>
        <w:t>міокарда</w:t>
      </w:r>
      <w:r>
        <w:rPr>
          <w:rFonts w:ascii="Times New Roman" w:hAnsi="Times New Roman" w:cs="Times New Roman"/>
          <w:sz w:val="28"/>
          <w:szCs w:val="28"/>
          <w:lang w:val="en-US"/>
        </w:rPr>
        <w:t xml:space="preserve"> </w:t>
      </w:r>
      <w:r>
        <w:rPr>
          <w:rFonts w:ascii="Times New Roman" w:hAnsi="Times New Roman" w:cs="Times New Roman"/>
          <w:sz w:val="28"/>
          <w:szCs w:val="28"/>
        </w:rPr>
        <w:t>в</w:t>
      </w:r>
      <w:r>
        <w:rPr>
          <w:rFonts w:ascii="Times New Roman" w:hAnsi="Times New Roman" w:cs="Times New Roman"/>
          <w:sz w:val="28"/>
          <w:szCs w:val="28"/>
          <w:lang w:val="en-US"/>
        </w:rPr>
        <w:t xml:space="preserve"> </w:t>
      </w:r>
      <w:r>
        <w:rPr>
          <w:rFonts w:ascii="Times New Roman" w:hAnsi="Times New Roman" w:cs="Times New Roman"/>
          <w:sz w:val="28"/>
          <w:szCs w:val="28"/>
        </w:rPr>
        <w:t>пацієнтів</w:t>
      </w:r>
      <w:r>
        <w:rPr>
          <w:rFonts w:ascii="Times New Roman" w:hAnsi="Times New Roman" w:cs="Times New Roman"/>
          <w:sz w:val="28"/>
          <w:szCs w:val="28"/>
          <w:lang w:val="en-US"/>
        </w:rPr>
        <w:t xml:space="preserve"> </w:t>
      </w:r>
      <w:r>
        <w:rPr>
          <w:rFonts w:ascii="Times New Roman" w:hAnsi="Times New Roman" w:cs="Times New Roman"/>
          <w:sz w:val="28"/>
          <w:szCs w:val="28"/>
        </w:rPr>
        <w:t>з</w:t>
      </w:r>
      <w:r>
        <w:rPr>
          <w:rFonts w:ascii="Times New Roman" w:hAnsi="Times New Roman" w:cs="Times New Roman"/>
          <w:sz w:val="28"/>
          <w:szCs w:val="28"/>
          <w:lang w:val="en-US"/>
        </w:rPr>
        <w:t xml:space="preserve"> </w:t>
      </w:r>
      <w:r>
        <w:rPr>
          <w:rFonts w:ascii="Times New Roman" w:hAnsi="Times New Roman" w:cs="Times New Roman"/>
          <w:sz w:val="28"/>
          <w:szCs w:val="28"/>
        </w:rPr>
        <w:t>гострим</w:t>
      </w:r>
      <w:r>
        <w:rPr>
          <w:rFonts w:ascii="Times New Roman" w:hAnsi="Times New Roman" w:cs="Times New Roman"/>
          <w:sz w:val="28"/>
          <w:szCs w:val="28"/>
          <w:lang w:val="en-US"/>
        </w:rPr>
        <w:t xml:space="preserve"> </w:t>
      </w:r>
      <w:r>
        <w:rPr>
          <w:rFonts w:ascii="Times New Roman" w:hAnsi="Times New Roman" w:cs="Times New Roman"/>
          <w:sz w:val="28"/>
          <w:szCs w:val="28"/>
        </w:rPr>
        <w:t>коронарним</w:t>
      </w:r>
      <w:r>
        <w:rPr>
          <w:rFonts w:ascii="Times New Roman" w:hAnsi="Times New Roman" w:cs="Times New Roman"/>
          <w:sz w:val="28"/>
          <w:szCs w:val="28"/>
          <w:lang w:val="en-US"/>
        </w:rPr>
        <w:t xml:space="preserve"> </w:t>
      </w:r>
      <w:r>
        <w:rPr>
          <w:rFonts w:ascii="Times New Roman" w:hAnsi="Times New Roman" w:cs="Times New Roman"/>
          <w:sz w:val="28"/>
          <w:szCs w:val="28"/>
        </w:rPr>
        <w:t>синдромом</w:t>
      </w:r>
      <w:r>
        <w:rPr>
          <w:rFonts w:ascii="Times New Roman" w:hAnsi="Times New Roman" w:cs="Times New Roman"/>
          <w:sz w:val="28"/>
          <w:szCs w:val="28"/>
          <w:lang w:val="en-US"/>
        </w:rPr>
        <w:t xml:space="preserve">. </w:t>
      </w:r>
      <w:r>
        <w:rPr>
          <w:rFonts w:ascii="Times New Roman" w:hAnsi="Times New Roman" w:cs="Times New Roman"/>
          <w:sz w:val="28"/>
          <w:szCs w:val="28"/>
        </w:rPr>
        <w:t>Кардіохірургія</w:t>
      </w:r>
      <w:r>
        <w:rPr>
          <w:rFonts w:ascii="Times New Roman" w:hAnsi="Times New Roman" w:cs="Times New Roman"/>
          <w:sz w:val="28"/>
          <w:szCs w:val="28"/>
          <w:lang w:val="en-US"/>
        </w:rPr>
        <w:t xml:space="preserve"> </w:t>
      </w:r>
      <w:r>
        <w:rPr>
          <w:rFonts w:ascii="Times New Roman" w:hAnsi="Times New Roman" w:cs="Times New Roman"/>
          <w:sz w:val="28"/>
          <w:szCs w:val="28"/>
        </w:rPr>
        <w:t>та</w:t>
      </w:r>
      <w:r>
        <w:rPr>
          <w:rFonts w:ascii="Times New Roman" w:hAnsi="Times New Roman" w:cs="Times New Roman"/>
          <w:sz w:val="28"/>
          <w:szCs w:val="28"/>
          <w:lang w:val="en-US"/>
        </w:rPr>
        <w:t xml:space="preserve"> </w:t>
      </w:r>
      <w:r>
        <w:rPr>
          <w:rFonts w:ascii="Times New Roman" w:hAnsi="Times New Roman" w:cs="Times New Roman"/>
          <w:sz w:val="28"/>
          <w:szCs w:val="28"/>
        </w:rPr>
        <w:t>інтервенційна</w:t>
      </w:r>
      <w:r>
        <w:rPr>
          <w:rFonts w:ascii="Times New Roman" w:hAnsi="Times New Roman" w:cs="Times New Roman"/>
          <w:sz w:val="28"/>
          <w:szCs w:val="28"/>
          <w:lang w:val="en-US"/>
        </w:rPr>
        <w:t xml:space="preserve"> </w:t>
      </w:r>
      <w:r>
        <w:rPr>
          <w:rFonts w:ascii="Times New Roman" w:hAnsi="Times New Roman" w:cs="Times New Roman"/>
          <w:sz w:val="28"/>
          <w:szCs w:val="28"/>
        </w:rPr>
        <w:t>кардіологія</w:t>
      </w:r>
      <w:r>
        <w:rPr>
          <w:rFonts w:ascii="Times New Roman" w:hAnsi="Times New Roman" w:cs="Times New Roman"/>
          <w:sz w:val="28"/>
          <w:szCs w:val="28"/>
          <w:lang w:val="en-US"/>
        </w:rPr>
        <w:t>. № 3.</w:t>
      </w:r>
      <w:r>
        <w:rPr>
          <w:rFonts w:ascii="Times New Roman" w:hAnsi="Times New Roman" w:cs="Times New Roman"/>
          <w:sz w:val="28"/>
          <w:szCs w:val="28"/>
          <w:lang w:val="en-US"/>
        </w:rPr>
        <w:br/>
      </w:r>
      <w:r>
        <w:rPr>
          <w:rFonts w:ascii="Times New Roman" w:hAnsi="Times New Roman" w:cs="Times New Roman"/>
          <w:sz w:val="28"/>
          <w:szCs w:val="28"/>
          <w:lang w:val="en-US"/>
        </w:rPr>
        <w:br/>
        <w:t>2</w:t>
      </w:r>
      <w:r>
        <w:rPr>
          <w:rFonts w:ascii="Times New Roman" w:hAnsi="Times New Roman" w:cs="Times New Roman"/>
          <w:sz w:val="28"/>
          <w:szCs w:val="28"/>
          <w:lang w:val="uk-UA"/>
        </w:rPr>
        <w:t>5</w:t>
      </w:r>
      <w:r>
        <w:rPr>
          <w:rFonts w:ascii="Times New Roman" w:hAnsi="Times New Roman" w:cs="Times New Roman"/>
          <w:sz w:val="28"/>
          <w:szCs w:val="28"/>
          <w:lang w:val="en-US"/>
        </w:rPr>
        <w:t>. Read S.H., Fischbacher C.M., Colhoun H.M., Gasevic D., Kerssens J.J., McAllister D.A. et al. Trends in incidence and case fatality of acute myocardial infarction, angina and coronary revascularization in people with and without type 2 diabetes in Scotland between 2006 and 2015. Diabetologia. (2019). 62(3). 418-25.</w:t>
      </w:r>
      <w:r>
        <w:rPr>
          <w:rFonts w:ascii="Times New Roman" w:hAnsi="Times New Roman" w:cs="Times New Roman"/>
          <w:sz w:val="28"/>
          <w:szCs w:val="28"/>
          <w:lang w:val="en-US"/>
        </w:rPr>
        <w:br/>
      </w:r>
      <w:r>
        <w:rPr>
          <w:rFonts w:ascii="Times New Roman" w:hAnsi="Times New Roman" w:cs="Times New Roman"/>
          <w:sz w:val="28"/>
          <w:szCs w:val="28"/>
          <w:lang w:val="en-US"/>
        </w:rPr>
        <w:br/>
        <w:t>2</w:t>
      </w:r>
      <w:r>
        <w:rPr>
          <w:rFonts w:ascii="Times New Roman" w:hAnsi="Times New Roman" w:cs="Times New Roman"/>
          <w:sz w:val="28"/>
          <w:szCs w:val="28"/>
          <w:lang w:val="uk-UA"/>
        </w:rPr>
        <w:t>6</w:t>
      </w:r>
      <w:r>
        <w:rPr>
          <w:rFonts w:ascii="Times New Roman" w:hAnsi="Times New Roman" w:cs="Times New Roman"/>
          <w:sz w:val="28"/>
          <w:szCs w:val="28"/>
          <w:lang w:val="en-US"/>
        </w:rPr>
        <w:t>. Pfeffer M.A., McMurray J.J.V., Velazques E.J. et al. (2003), Valsartan, captopril, or both in myocardial infarction complicated by heart failure, left ventricular dysfunction, or both. N. Engl. J. Med., 349: 1893-1906.</w:t>
      </w:r>
      <w:r>
        <w:rPr>
          <w:rFonts w:ascii="Times New Roman" w:hAnsi="Times New Roman" w:cs="Times New Roman"/>
          <w:sz w:val="28"/>
          <w:szCs w:val="28"/>
          <w:lang w:val="en-US"/>
        </w:rPr>
        <w:br/>
      </w:r>
      <w:r>
        <w:rPr>
          <w:rFonts w:ascii="Times New Roman" w:hAnsi="Times New Roman" w:cs="Times New Roman"/>
          <w:sz w:val="28"/>
          <w:szCs w:val="28"/>
          <w:lang w:val="en-US"/>
        </w:rPr>
        <w:br/>
        <w:t>2</w:t>
      </w:r>
      <w:r>
        <w:rPr>
          <w:rFonts w:ascii="Times New Roman" w:hAnsi="Times New Roman" w:cs="Times New Roman"/>
          <w:sz w:val="28"/>
          <w:szCs w:val="28"/>
          <w:lang w:val="uk-UA"/>
        </w:rPr>
        <w:t>7</w:t>
      </w:r>
      <w:r>
        <w:rPr>
          <w:rFonts w:ascii="Times New Roman" w:hAnsi="Times New Roman" w:cs="Times New Roman"/>
          <w:sz w:val="28"/>
          <w:szCs w:val="28"/>
          <w:lang w:val="en-US"/>
        </w:rPr>
        <w:t>. Rubins H.B. , Robins S.J., Collins D. et al. (1999), Gemfibrozil for the secondary prevention of coronary heart disease in men with low levels of high-density lipoprotein cholesterol.</w:t>
      </w:r>
      <w:r>
        <w:rPr>
          <w:rFonts w:ascii="Times New Roman" w:hAnsi="Times New Roman" w:cs="Times New Roman"/>
          <w:sz w:val="28"/>
          <w:szCs w:val="28"/>
          <w:lang w:val="en-US"/>
        </w:rPr>
        <w:br/>
      </w:r>
      <w:r>
        <w:rPr>
          <w:rFonts w:ascii="Times New Roman" w:hAnsi="Times New Roman" w:cs="Times New Roman"/>
          <w:sz w:val="28"/>
          <w:szCs w:val="28"/>
          <w:lang w:val="en-US"/>
        </w:rPr>
        <w:br/>
        <w:t>2</w:t>
      </w:r>
      <w:r>
        <w:rPr>
          <w:rFonts w:ascii="Times New Roman" w:hAnsi="Times New Roman" w:cs="Times New Roman"/>
          <w:sz w:val="28"/>
          <w:szCs w:val="28"/>
          <w:lang w:val="uk-UA"/>
        </w:rPr>
        <w:t>8</w:t>
      </w:r>
      <w:r>
        <w:rPr>
          <w:rFonts w:ascii="Times New Roman" w:hAnsi="Times New Roman" w:cs="Times New Roman"/>
          <w:sz w:val="28"/>
          <w:szCs w:val="28"/>
          <w:lang w:val="en-US"/>
        </w:rPr>
        <w:t>. Sequist T.D. , Marshall R., Lampert S., Buechler E.J., Lee T.H. (2006), Missed Opportunities in the Primary Care Management of Early Acute Ischemic Heart Disease. Arch. Intern. Med. 166(20). 2237-43.</w:t>
      </w:r>
      <w:r>
        <w:rPr>
          <w:rFonts w:ascii="Times New Roman" w:hAnsi="Times New Roman" w:cs="Times New Roman"/>
          <w:sz w:val="28"/>
          <w:szCs w:val="28"/>
          <w:lang w:val="en-US"/>
        </w:rPr>
        <w:br/>
      </w:r>
      <w:r>
        <w:rPr>
          <w:rFonts w:ascii="Times New Roman" w:hAnsi="Times New Roman" w:cs="Times New Roman"/>
          <w:sz w:val="28"/>
          <w:szCs w:val="28"/>
          <w:lang w:val="en-US"/>
        </w:rPr>
        <w:br/>
        <w:t>2</w:t>
      </w:r>
      <w:r>
        <w:rPr>
          <w:rFonts w:ascii="Times New Roman" w:hAnsi="Times New Roman" w:cs="Times New Roman"/>
          <w:sz w:val="28"/>
          <w:szCs w:val="28"/>
          <w:lang w:val="uk-UA"/>
        </w:rPr>
        <w:t>9</w:t>
      </w:r>
      <w:r>
        <w:rPr>
          <w:rFonts w:ascii="Times New Roman" w:hAnsi="Times New Roman" w:cs="Times New Roman"/>
          <w:sz w:val="28"/>
          <w:szCs w:val="28"/>
          <w:lang w:val="en-US"/>
        </w:rPr>
        <w:t>. Singh S., Loke Y.K, Spangler J.G., Furberg C.D., (2011). Risk of serious adverse cardiovascular events associated with varenicline: a systematic review and meta-analysis . Vol. 183. P. 1359–1366.</w:t>
      </w:r>
      <w:r>
        <w:rPr>
          <w:rFonts w:ascii="Times New Roman" w:hAnsi="Times New Roman" w:cs="Times New Roman"/>
          <w:sz w:val="28"/>
          <w:szCs w:val="28"/>
          <w:lang w:val="en-US"/>
        </w:rPr>
        <w:br/>
      </w:r>
      <w:r>
        <w:rPr>
          <w:rFonts w:ascii="Times New Roman" w:hAnsi="Times New Roman" w:cs="Times New Roman"/>
          <w:sz w:val="28"/>
          <w:szCs w:val="28"/>
          <w:lang w:val="en-US"/>
        </w:rPr>
        <w:br/>
      </w:r>
      <w:r>
        <w:rPr>
          <w:rFonts w:ascii="Times New Roman" w:hAnsi="Times New Roman" w:cs="Times New Roman"/>
          <w:sz w:val="28"/>
          <w:szCs w:val="28"/>
          <w:lang w:val="uk-UA"/>
        </w:rPr>
        <w:t>30</w:t>
      </w:r>
      <w:r>
        <w:rPr>
          <w:rFonts w:ascii="Times New Roman" w:hAnsi="Times New Roman" w:cs="Times New Roman"/>
          <w:sz w:val="28"/>
          <w:szCs w:val="28"/>
          <w:lang w:val="en-US"/>
        </w:rPr>
        <w:t>. Stenestrand U., Wallentin L. (2002) Early revascularization and 1-year survival in 14-day survivors of acute myocardial infarction: a prospective cohort study. Lancet, 359: 1805-1811.</w:t>
      </w:r>
      <w:r>
        <w:rPr>
          <w:rFonts w:ascii="Times New Roman" w:hAnsi="Times New Roman" w:cs="Times New Roman"/>
          <w:sz w:val="28"/>
          <w:szCs w:val="28"/>
          <w:lang w:val="en-US"/>
        </w:rPr>
        <w:br/>
      </w:r>
      <w:r>
        <w:rPr>
          <w:rFonts w:ascii="Times New Roman" w:hAnsi="Times New Roman" w:cs="Times New Roman"/>
          <w:sz w:val="28"/>
          <w:szCs w:val="28"/>
          <w:lang w:val="en-US"/>
        </w:rPr>
        <w:br/>
        <w:t>3</w:t>
      </w:r>
      <w:r>
        <w:rPr>
          <w:rFonts w:ascii="Times New Roman" w:hAnsi="Times New Roman" w:cs="Times New Roman"/>
          <w:sz w:val="28"/>
          <w:szCs w:val="28"/>
          <w:lang w:val="uk-UA"/>
        </w:rPr>
        <w:t>1</w:t>
      </w:r>
      <w:r>
        <w:rPr>
          <w:rFonts w:ascii="Times New Roman" w:hAnsi="Times New Roman" w:cs="Times New Roman"/>
          <w:sz w:val="28"/>
          <w:szCs w:val="28"/>
          <w:lang w:val="en-US"/>
        </w:rPr>
        <w:t xml:space="preserve">. Streppel M.T., Arends L.R., van’t Veer P. et al. (2005) Dietary fiber and blood pressure: a meta-analysis of randomized placebo-controlled trials. Arch Intern Med., 165: </w:t>
      </w:r>
      <w:r>
        <w:rPr>
          <w:rFonts w:ascii="Times New Roman" w:hAnsi="Times New Roman" w:cs="Times New Roman"/>
          <w:sz w:val="28"/>
          <w:szCs w:val="28"/>
          <w:lang w:val="en-US"/>
        </w:rPr>
        <w:lastRenderedPageBreak/>
        <w:t>150-156.</w:t>
      </w:r>
      <w:r>
        <w:rPr>
          <w:rFonts w:ascii="Times New Roman" w:hAnsi="Times New Roman" w:cs="Times New Roman"/>
          <w:sz w:val="28"/>
          <w:szCs w:val="28"/>
          <w:lang w:val="en-US"/>
        </w:rPr>
        <w:br/>
      </w:r>
      <w:r>
        <w:rPr>
          <w:rFonts w:ascii="Times New Roman" w:hAnsi="Times New Roman" w:cs="Times New Roman"/>
          <w:sz w:val="28"/>
          <w:szCs w:val="28"/>
          <w:lang w:val="en-US"/>
        </w:rPr>
        <w:br/>
        <w:t>3</w:t>
      </w:r>
      <w:r>
        <w:rPr>
          <w:rFonts w:ascii="Times New Roman" w:hAnsi="Times New Roman" w:cs="Times New Roman"/>
          <w:sz w:val="28"/>
          <w:szCs w:val="28"/>
          <w:lang w:val="uk-UA"/>
        </w:rPr>
        <w:t>2</w:t>
      </w:r>
      <w:r>
        <w:rPr>
          <w:rFonts w:ascii="Times New Roman" w:hAnsi="Times New Roman" w:cs="Times New Roman"/>
          <w:sz w:val="28"/>
          <w:szCs w:val="28"/>
          <w:lang w:val="en-US"/>
        </w:rPr>
        <w:t>. Trzos E, Uznańsk B, Rechciński T, Krzemińska-Pakuła M, Bugała M, Kurpesa M. Myocardial infarction in young people. Cardiol J. (2009), 16(4):307-31.</w:t>
      </w:r>
      <w:r>
        <w:rPr>
          <w:rFonts w:ascii="Times New Roman" w:hAnsi="Times New Roman" w:cs="Times New Roman"/>
          <w:sz w:val="28"/>
          <w:szCs w:val="28"/>
          <w:lang w:val="en-US"/>
        </w:rPr>
        <w:br/>
      </w:r>
      <w:r>
        <w:rPr>
          <w:rFonts w:ascii="Times New Roman" w:hAnsi="Times New Roman" w:cs="Times New Roman"/>
          <w:sz w:val="28"/>
          <w:szCs w:val="28"/>
          <w:lang w:val="en-US"/>
        </w:rPr>
        <w:br/>
        <w:t>3</w:t>
      </w:r>
      <w:r>
        <w:rPr>
          <w:rFonts w:ascii="Times New Roman" w:hAnsi="Times New Roman" w:cs="Times New Roman"/>
          <w:sz w:val="28"/>
          <w:szCs w:val="28"/>
          <w:lang w:val="uk-UA"/>
        </w:rPr>
        <w:t>3</w:t>
      </w:r>
      <w:r>
        <w:rPr>
          <w:rFonts w:ascii="Times New Roman" w:hAnsi="Times New Roman" w:cs="Times New Roman"/>
          <w:sz w:val="28"/>
          <w:szCs w:val="28"/>
          <w:lang w:val="en-US"/>
        </w:rPr>
        <w:t>. Widimsky P., Budesinsky T., Vorac D. et al. (2003) Long distance transport for primary angioplasty vs immediate thrombolysis in acute myocardial infarction. Final results of the randomized national multicenter trial-PRAGUE-2. Eur. Heart J., 24: 94-104.</w:t>
      </w:r>
    </w:p>
    <w:p w:rsidR="00501ACB" w:rsidRDefault="00501ACB">
      <w:pPr>
        <w:spacing w:line="360" w:lineRule="auto"/>
        <w:jc w:val="center"/>
        <w:rPr>
          <w:rFonts w:ascii="Times New Roman" w:hAnsi="Times New Roman" w:cs="Times New Roman"/>
          <w:b/>
          <w:sz w:val="28"/>
          <w:szCs w:val="28"/>
          <w:lang w:val="en-US"/>
        </w:rPr>
      </w:pPr>
    </w:p>
    <w:sectPr w:rsidR="00501ACB">
      <w:headerReference w:type="default" r:id="rId45"/>
      <w:pgSz w:w="11906" w:h="16838" w:code="9"/>
      <w:pgMar w:top="1134"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7C11" w:rsidRDefault="00BE7C11">
      <w:pPr>
        <w:spacing w:after="0" w:line="240" w:lineRule="auto"/>
      </w:pPr>
      <w:r>
        <w:separator/>
      </w:r>
    </w:p>
  </w:endnote>
  <w:endnote w:type="continuationSeparator" w:id="0">
    <w:p w:rsidR="00BE7C11" w:rsidRDefault="00BE7C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7C11" w:rsidRDefault="00BE7C11">
      <w:pPr>
        <w:spacing w:after="0" w:line="240" w:lineRule="auto"/>
      </w:pPr>
      <w:r>
        <w:separator/>
      </w:r>
    </w:p>
  </w:footnote>
  <w:footnote w:type="continuationSeparator" w:id="0">
    <w:p w:rsidR="00BE7C11" w:rsidRDefault="00BE7C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ACB" w:rsidRDefault="00553C15">
    <w:pPr>
      <w:pStyle w:val="a9"/>
      <w:jc w:val="right"/>
    </w:pPr>
    <w:r>
      <w:fldChar w:fldCharType="begin"/>
    </w:r>
    <w:r>
      <w:instrText>PAGE   \* MERGEFORMAT</w:instrText>
    </w:r>
    <w:r>
      <w:fldChar w:fldCharType="separate"/>
    </w:r>
    <w:r w:rsidR="002841DE">
      <w:rPr>
        <w:noProof/>
      </w:rPr>
      <w:t>20</w:t>
    </w:r>
    <w:r>
      <w:fldChar w:fldCharType="end"/>
    </w:r>
  </w:p>
  <w:p w:rsidR="00501ACB" w:rsidRDefault="00501ACB">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BCAB4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0000002"/>
    <w:multiLevelType w:val="hybridMultilevel"/>
    <w:tmpl w:val="12C8FD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0000003"/>
    <w:multiLevelType w:val="hybridMultilevel"/>
    <w:tmpl w:val="074C54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0000004"/>
    <w:multiLevelType w:val="hybridMultilevel"/>
    <w:tmpl w:val="37A4E064"/>
    <w:lvl w:ilvl="0" w:tplc="3D2405F8">
      <w:start w:val="22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0000005"/>
    <w:multiLevelType w:val="hybridMultilevel"/>
    <w:tmpl w:val="C06212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0000006"/>
    <w:multiLevelType w:val="hybridMultilevel"/>
    <w:tmpl w:val="1982172E"/>
    <w:lvl w:ilvl="0" w:tplc="D60E5AA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0000007"/>
    <w:multiLevelType w:val="hybridMultilevel"/>
    <w:tmpl w:val="619618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0000008"/>
    <w:multiLevelType w:val="hybridMultilevel"/>
    <w:tmpl w:val="457E61D2"/>
    <w:lvl w:ilvl="0" w:tplc="358EE36C">
      <w:start w:val="67"/>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0000009"/>
    <w:multiLevelType w:val="hybridMultilevel"/>
    <w:tmpl w:val="9AF2A0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000000A"/>
    <w:multiLevelType w:val="hybridMultilevel"/>
    <w:tmpl w:val="FED85670"/>
    <w:lvl w:ilvl="0" w:tplc="3086E6A6">
      <w:start w:val="67"/>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000000B"/>
    <w:multiLevelType w:val="hybridMultilevel"/>
    <w:tmpl w:val="2384E4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0000000C"/>
    <w:multiLevelType w:val="hybridMultilevel"/>
    <w:tmpl w:val="E13A012E"/>
    <w:lvl w:ilvl="0" w:tplc="EA3C8932">
      <w:start w:val="2249"/>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0000000D"/>
    <w:multiLevelType w:val="hybridMultilevel"/>
    <w:tmpl w:val="089C90B4"/>
    <w:lvl w:ilvl="0" w:tplc="2FC4BB4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0000000E"/>
    <w:multiLevelType w:val="hybridMultilevel"/>
    <w:tmpl w:val="38E62E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0000000F"/>
    <w:multiLevelType w:val="hybridMultilevel"/>
    <w:tmpl w:val="3998DA42"/>
    <w:lvl w:ilvl="0" w:tplc="8BD0429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00000010"/>
    <w:multiLevelType w:val="hybridMultilevel"/>
    <w:tmpl w:val="69209112"/>
    <w:lvl w:ilvl="0" w:tplc="CFF2135E">
      <w:start w:val="441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00000011"/>
    <w:multiLevelType w:val="hybridMultilevel"/>
    <w:tmpl w:val="AE625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00000012"/>
    <w:multiLevelType w:val="hybridMultilevel"/>
    <w:tmpl w:val="033C7E20"/>
    <w:lvl w:ilvl="0" w:tplc="6A1C1496">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00000013"/>
    <w:multiLevelType w:val="hybridMultilevel"/>
    <w:tmpl w:val="4E6031DC"/>
    <w:lvl w:ilvl="0" w:tplc="931AE058">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00000014"/>
    <w:multiLevelType w:val="hybridMultilevel"/>
    <w:tmpl w:val="096E2602"/>
    <w:lvl w:ilvl="0" w:tplc="90F0DB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00000015"/>
    <w:multiLevelType w:val="hybridMultilevel"/>
    <w:tmpl w:val="64BE5BF2"/>
    <w:lvl w:ilvl="0" w:tplc="5C882316">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00000016"/>
    <w:multiLevelType w:val="hybridMultilevel"/>
    <w:tmpl w:val="A3FEC6CE"/>
    <w:lvl w:ilvl="0" w:tplc="B35C537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00000017"/>
    <w:multiLevelType w:val="hybridMultilevel"/>
    <w:tmpl w:val="34FAC6CA"/>
    <w:lvl w:ilvl="0" w:tplc="C8B8F860">
      <w:start w:val="67"/>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00000018"/>
    <w:multiLevelType w:val="hybridMultilevel"/>
    <w:tmpl w:val="BD0AA480"/>
    <w:lvl w:ilvl="0" w:tplc="C02A945A">
      <w:start w:val="67"/>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00000019"/>
    <w:multiLevelType w:val="hybridMultilevel"/>
    <w:tmpl w:val="C9D6CCD4"/>
    <w:lvl w:ilvl="0" w:tplc="956CE0D4">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0000001A"/>
    <w:multiLevelType w:val="hybridMultilevel"/>
    <w:tmpl w:val="7BAE65D4"/>
    <w:lvl w:ilvl="0" w:tplc="9650FAC2">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0000001B"/>
    <w:multiLevelType w:val="hybridMultilevel"/>
    <w:tmpl w:val="33C0B180"/>
    <w:lvl w:ilvl="0" w:tplc="59382BB6">
      <w:start w:val="67"/>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0000001C"/>
    <w:multiLevelType w:val="hybridMultilevel"/>
    <w:tmpl w:val="6F2C82E2"/>
    <w:lvl w:ilvl="0" w:tplc="A776E1D0">
      <w:start w:val="190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0000001D"/>
    <w:multiLevelType w:val="hybridMultilevel"/>
    <w:tmpl w:val="B5E0CFB8"/>
    <w:lvl w:ilvl="0" w:tplc="328A234E">
      <w:start w:val="9"/>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0000001E"/>
    <w:multiLevelType w:val="hybridMultilevel"/>
    <w:tmpl w:val="C8F29448"/>
    <w:lvl w:ilvl="0" w:tplc="CF56946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0000001F"/>
    <w:multiLevelType w:val="hybridMultilevel"/>
    <w:tmpl w:val="B324E1E6"/>
    <w:lvl w:ilvl="0" w:tplc="9DD0A2CA">
      <w:start w:val="22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00000020"/>
    <w:multiLevelType w:val="hybridMultilevel"/>
    <w:tmpl w:val="8214CEEE"/>
    <w:lvl w:ilvl="0" w:tplc="E5C665B6">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00000021"/>
    <w:multiLevelType w:val="hybridMultilevel"/>
    <w:tmpl w:val="0E9A8E80"/>
    <w:lvl w:ilvl="0" w:tplc="470044B4">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00000022"/>
    <w:multiLevelType w:val="hybridMultilevel"/>
    <w:tmpl w:val="14CA0AD2"/>
    <w:lvl w:ilvl="0" w:tplc="5C1ABA28">
      <w:start w:val="9"/>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00000023"/>
    <w:multiLevelType w:val="hybridMultilevel"/>
    <w:tmpl w:val="4058C758"/>
    <w:lvl w:ilvl="0" w:tplc="9AA63936">
      <w:start w:val="2"/>
      <w:numFmt w:val="bullet"/>
      <w:lvlText w:val="-"/>
      <w:lvlJc w:val="left"/>
      <w:pPr>
        <w:ind w:left="420" w:hanging="360"/>
      </w:pPr>
      <w:rPr>
        <w:rFonts w:ascii="Times New Roman" w:eastAsia="Calibri"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35" w15:restartNumberingAfterBreak="0">
    <w:nsid w:val="00000024"/>
    <w:multiLevelType w:val="multilevel"/>
    <w:tmpl w:val="9A9A8168"/>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00000025"/>
    <w:multiLevelType w:val="hybridMultilevel"/>
    <w:tmpl w:val="8B302130"/>
    <w:lvl w:ilvl="0" w:tplc="3746E862">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00000026"/>
    <w:multiLevelType w:val="hybridMultilevel"/>
    <w:tmpl w:val="2018B360"/>
    <w:lvl w:ilvl="0" w:tplc="DD025966">
      <w:start w:val="199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00000027"/>
    <w:multiLevelType w:val="multilevel"/>
    <w:tmpl w:val="FCD6265C"/>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00000028"/>
    <w:multiLevelType w:val="hybridMultilevel"/>
    <w:tmpl w:val="57FA81EA"/>
    <w:lvl w:ilvl="0" w:tplc="80A6F0FA">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00000029"/>
    <w:multiLevelType w:val="multilevel"/>
    <w:tmpl w:val="70365996"/>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0000002A"/>
    <w:multiLevelType w:val="hybridMultilevel"/>
    <w:tmpl w:val="77C41518"/>
    <w:lvl w:ilvl="0" w:tplc="8B6C266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0000002B"/>
    <w:multiLevelType w:val="hybridMultilevel"/>
    <w:tmpl w:val="9E2A5E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0000002C"/>
    <w:multiLevelType w:val="hybridMultilevel"/>
    <w:tmpl w:val="19DEB2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25DC1DC6"/>
    <w:multiLevelType w:val="hybridMultilevel"/>
    <w:tmpl w:val="F9B427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5"/>
  </w:num>
  <w:num w:numId="2">
    <w:abstractNumId w:val="40"/>
  </w:num>
  <w:num w:numId="3">
    <w:abstractNumId w:val="31"/>
  </w:num>
  <w:num w:numId="4">
    <w:abstractNumId w:val="18"/>
  </w:num>
  <w:num w:numId="5">
    <w:abstractNumId w:val="21"/>
  </w:num>
  <w:num w:numId="6">
    <w:abstractNumId w:val="34"/>
  </w:num>
  <w:num w:numId="7">
    <w:abstractNumId w:val="39"/>
  </w:num>
  <w:num w:numId="8">
    <w:abstractNumId w:val="24"/>
  </w:num>
  <w:num w:numId="9">
    <w:abstractNumId w:val="33"/>
  </w:num>
  <w:num w:numId="10">
    <w:abstractNumId w:val="28"/>
  </w:num>
  <w:num w:numId="11">
    <w:abstractNumId w:val="3"/>
  </w:num>
  <w:num w:numId="12">
    <w:abstractNumId w:val="30"/>
  </w:num>
  <w:num w:numId="13">
    <w:abstractNumId w:val="9"/>
  </w:num>
  <w:num w:numId="14">
    <w:abstractNumId w:val="22"/>
  </w:num>
  <w:num w:numId="15">
    <w:abstractNumId w:val="23"/>
  </w:num>
  <w:num w:numId="16">
    <w:abstractNumId w:val="26"/>
  </w:num>
  <w:num w:numId="17">
    <w:abstractNumId w:val="7"/>
  </w:num>
  <w:num w:numId="18">
    <w:abstractNumId w:val="37"/>
  </w:num>
  <w:num w:numId="19">
    <w:abstractNumId w:val="11"/>
  </w:num>
  <w:num w:numId="20">
    <w:abstractNumId w:val="27"/>
  </w:num>
  <w:num w:numId="21">
    <w:abstractNumId w:val="15"/>
  </w:num>
  <w:num w:numId="22">
    <w:abstractNumId w:val="13"/>
  </w:num>
  <w:num w:numId="23">
    <w:abstractNumId w:val="2"/>
  </w:num>
  <w:num w:numId="24">
    <w:abstractNumId w:val="43"/>
  </w:num>
  <w:num w:numId="25">
    <w:abstractNumId w:val="8"/>
  </w:num>
  <w:num w:numId="26">
    <w:abstractNumId w:val="25"/>
  </w:num>
  <w:num w:numId="27">
    <w:abstractNumId w:val="20"/>
  </w:num>
  <w:num w:numId="28">
    <w:abstractNumId w:val="38"/>
  </w:num>
  <w:num w:numId="29">
    <w:abstractNumId w:val="29"/>
  </w:num>
  <w:num w:numId="30">
    <w:abstractNumId w:val="5"/>
  </w:num>
  <w:num w:numId="31">
    <w:abstractNumId w:val="36"/>
  </w:num>
  <w:num w:numId="32">
    <w:abstractNumId w:val="14"/>
  </w:num>
  <w:num w:numId="33">
    <w:abstractNumId w:val="19"/>
  </w:num>
  <w:num w:numId="34">
    <w:abstractNumId w:val="17"/>
  </w:num>
  <w:num w:numId="35">
    <w:abstractNumId w:val="32"/>
  </w:num>
  <w:num w:numId="36">
    <w:abstractNumId w:val="12"/>
  </w:num>
  <w:num w:numId="37">
    <w:abstractNumId w:val="41"/>
  </w:num>
  <w:num w:numId="38">
    <w:abstractNumId w:val="1"/>
  </w:num>
  <w:num w:numId="39">
    <w:abstractNumId w:val="16"/>
  </w:num>
  <w:num w:numId="40">
    <w:abstractNumId w:val="42"/>
  </w:num>
  <w:num w:numId="41">
    <w:abstractNumId w:val="6"/>
  </w:num>
  <w:num w:numId="42">
    <w:abstractNumId w:val="10"/>
  </w:num>
  <w:num w:numId="43">
    <w:abstractNumId w:val="4"/>
  </w:num>
  <w:num w:numId="44">
    <w:abstractNumId w:val="44"/>
  </w:num>
  <w:num w:numId="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1ACB"/>
    <w:rsid w:val="002841DE"/>
    <w:rsid w:val="00501ACB"/>
    <w:rsid w:val="00553C15"/>
    <w:rsid w:val="00923135"/>
    <w:rsid w:val="00BE7C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581022-EE66-4D05-8FDD-9D96ACEDA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tyle>
  <w:style w:type="paragraph" w:styleId="a4">
    <w:name w:val="List Paragraph"/>
    <w:basedOn w:val="a"/>
    <w:uiPriority w:val="34"/>
    <w:qFormat/>
    <w:pPr>
      <w:ind w:left="720"/>
      <w:contextualSpacing/>
    </w:pPr>
  </w:style>
  <w:style w:type="paragraph" w:styleId="a5">
    <w:name w:val="Balloon Text"/>
    <w:basedOn w:val="a"/>
    <w:link w:val="a6"/>
    <w:uiPriority w:val="99"/>
    <w:pPr>
      <w:spacing w:after="0" w:line="240" w:lineRule="auto"/>
    </w:pPr>
    <w:rPr>
      <w:rFonts w:ascii="Tahoma" w:hAnsi="Tahoma" w:cs="Tahoma"/>
      <w:sz w:val="16"/>
      <w:szCs w:val="16"/>
    </w:rPr>
  </w:style>
  <w:style w:type="character" w:customStyle="1" w:styleId="a6">
    <w:name w:val="Текст выноски Знак"/>
    <w:basedOn w:val="a0"/>
    <w:link w:val="a5"/>
    <w:uiPriority w:val="99"/>
    <w:rPr>
      <w:rFonts w:ascii="Tahoma" w:hAnsi="Tahoma" w:cs="Tahoma"/>
      <w:sz w:val="16"/>
      <w:szCs w:val="16"/>
    </w:rPr>
  </w:style>
  <w:style w:type="paragraph" w:styleId="a7">
    <w:name w:val="caption"/>
    <w:basedOn w:val="a"/>
    <w:next w:val="a"/>
    <w:uiPriority w:val="35"/>
    <w:qFormat/>
    <w:pPr>
      <w:spacing w:line="240" w:lineRule="auto"/>
    </w:pPr>
    <w:rPr>
      <w:b/>
      <w:bCs/>
      <w:color w:val="4F81BD"/>
      <w:sz w:val="18"/>
      <w:szCs w:val="18"/>
    </w:rPr>
  </w:style>
  <w:style w:type="table" w:styleId="a8">
    <w:name w:val="Table Grid"/>
    <w:basedOn w:val="a1"/>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pPr>
      <w:tabs>
        <w:tab w:val="center" w:pos="4677"/>
        <w:tab w:val="right" w:pos="9355"/>
      </w:tabs>
      <w:spacing w:after="0" w:line="240" w:lineRule="auto"/>
    </w:pPr>
  </w:style>
  <w:style w:type="character" w:customStyle="1" w:styleId="aa">
    <w:name w:val="Верхний колонтитул Знак"/>
    <w:basedOn w:val="a0"/>
    <w:link w:val="a9"/>
    <w:uiPriority w:val="99"/>
  </w:style>
  <w:style w:type="paragraph" w:styleId="ab">
    <w:name w:val="footer"/>
    <w:basedOn w:val="a"/>
    <w:link w:val="ac"/>
    <w:uiPriority w:val="99"/>
    <w:pPr>
      <w:tabs>
        <w:tab w:val="center" w:pos="4677"/>
        <w:tab w:val="right" w:pos="9355"/>
      </w:tabs>
      <w:spacing w:after="0" w:line="240" w:lineRule="auto"/>
    </w:pPr>
  </w:style>
  <w:style w:type="character" w:customStyle="1" w:styleId="ac">
    <w:name w:val="Нижний колонтитул Знак"/>
    <w:basedOn w:val="a0"/>
    <w:link w:val="ab"/>
    <w:uiPriority w:val="99"/>
  </w:style>
  <w:style w:type="character" w:styleId="ad">
    <w:name w:val="Placeholder Text"/>
    <w:basedOn w:val="a0"/>
    <w:uiPriority w:val="99"/>
    <w:rPr>
      <w:color w:val="808080"/>
    </w:rPr>
  </w:style>
  <w:style w:type="character" w:styleId="ae">
    <w:name w:val="Hyperlink"/>
    <w:basedOn w:val="a0"/>
    <w:uiPriority w:val="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4.xml"/><Relationship Id="rId18" Type="http://schemas.openxmlformats.org/officeDocument/2006/relationships/chart" Target="charts/chart7.xml"/><Relationship Id="rId26" Type="http://schemas.openxmlformats.org/officeDocument/2006/relationships/chart" Target="charts/chart15.xml"/><Relationship Id="rId39"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chart" Target="charts/chart23.xml"/><Relationship Id="rId42" Type="http://schemas.openxmlformats.org/officeDocument/2006/relationships/image" Target="media/image8.jpe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chart" Target="charts/chart22.xml"/><Relationship Id="rId38" Type="http://schemas.openxmlformats.org/officeDocument/2006/relationships/image" Target="media/image4.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8.xml"/><Relationship Id="rId41"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_____Microsoft_Excel_97-2003.xls"/><Relationship Id="rId24" Type="http://schemas.openxmlformats.org/officeDocument/2006/relationships/chart" Target="charts/chart13.xml"/><Relationship Id="rId32" Type="http://schemas.openxmlformats.org/officeDocument/2006/relationships/chart" Target="charts/chart21.xml"/><Relationship Id="rId37" Type="http://schemas.openxmlformats.org/officeDocument/2006/relationships/oleObject" Target="embeddings/_____Microsoft_Excel_97-20032.xls"/><Relationship Id="rId40" Type="http://schemas.openxmlformats.org/officeDocument/2006/relationships/image" Target="media/image6.jpe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_____Microsoft_Excel_97-20031.xls"/><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image" Target="media/image3.jpeg"/><Relationship Id="rId10" Type="http://schemas.openxmlformats.org/officeDocument/2006/relationships/image" Target="media/image1.png"/><Relationship Id="rId19" Type="http://schemas.openxmlformats.org/officeDocument/2006/relationships/chart" Target="charts/chart8.xml"/><Relationship Id="rId31" Type="http://schemas.openxmlformats.org/officeDocument/2006/relationships/chart" Target="charts/chart20.xml"/><Relationship Id="rId44"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2.png"/><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chart" Target="charts/chart19.xml"/><Relationship Id="rId35" Type="http://schemas.openxmlformats.org/officeDocument/2006/relationships/chart" Target="charts/chart24.xml"/><Relationship Id="rId43" Type="http://schemas.openxmlformats.org/officeDocument/2006/relationships/image" Target="media/image9.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Excel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Excel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Excel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Microsoft_Excel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_____Microsoft_Excel20.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_____Microsoft_Excel21.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_____Microsoft_Excel22.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_____Microsoft_Excel2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4712561971420237E-2"/>
          <c:y val="6.0065616797900262E-2"/>
          <c:w val="0.77840077282006415"/>
          <c:h val="0.85700614101443362"/>
        </c:manualLayout>
      </c:layout>
      <c:lineChart>
        <c:grouping val="stacked"/>
        <c:varyColors val="0"/>
        <c:ser>
          <c:idx val="1"/>
          <c:order val="0"/>
          <c:tx>
            <c:strRef>
              <c:f>Лист1!$B$1</c:f>
              <c:strCache>
                <c:ptCount val="1"/>
                <c:pt idx="0">
                  <c:v>чоловіки</c:v>
                </c:pt>
              </c:strCache>
            </c:strRef>
          </c:tx>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2014</c:v>
                </c:pt>
                <c:pt idx="1">
                  <c:v>2015</c:v>
                </c:pt>
                <c:pt idx="2">
                  <c:v>2016</c:v>
                </c:pt>
                <c:pt idx="3">
                  <c:v>2017</c:v>
                </c:pt>
                <c:pt idx="4">
                  <c:v>2018 years</c:v>
                </c:pt>
              </c:strCache>
            </c:strRef>
          </c:cat>
          <c:val>
            <c:numRef>
              <c:f>Лист1!$B$2:$B$6</c:f>
              <c:numCache>
                <c:formatCode>General</c:formatCode>
                <c:ptCount val="5"/>
                <c:pt idx="0">
                  <c:v>169.35</c:v>
                </c:pt>
                <c:pt idx="1">
                  <c:v>186.29</c:v>
                </c:pt>
                <c:pt idx="2">
                  <c:v>167.75</c:v>
                </c:pt>
                <c:pt idx="3">
                  <c:v>148.61000000000001</c:v>
                </c:pt>
                <c:pt idx="4">
                  <c:v>150.58000000000001</c:v>
                </c:pt>
              </c:numCache>
            </c:numRef>
          </c:val>
          <c:smooth val="0"/>
          <c:extLst>
            <c:ext xmlns:c16="http://schemas.microsoft.com/office/drawing/2014/chart" uri="{C3380CC4-5D6E-409C-BE32-E72D297353CC}">
              <c16:uniqueId val="{00000000-831C-48B3-A8B4-924D7002E1A9}"/>
            </c:ext>
          </c:extLst>
        </c:ser>
        <c:dLbls>
          <c:dLblPos val="b"/>
          <c:showLegendKey val="0"/>
          <c:showVal val="1"/>
          <c:showCatName val="0"/>
          <c:showSerName val="0"/>
          <c:showPercent val="0"/>
          <c:showBubbleSize val="0"/>
        </c:dLbls>
        <c:marker val="1"/>
        <c:smooth val="0"/>
        <c:axId val="322385024"/>
        <c:axId val="322386560"/>
      </c:lineChart>
      <c:lineChart>
        <c:grouping val="stacked"/>
        <c:varyColors val="0"/>
        <c:ser>
          <c:idx val="2"/>
          <c:order val="1"/>
          <c:tx>
            <c:strRef>
              <c:f>Лист1!$C$1</c:f>
              <c:strCache>
                <c:ptCount val="1"/>
                <c:pt idx="0">
                  <c:v>жінки</c:v>
                </c:pt>
              </c:strCache>
            </c:strRef>
          </c:tx>
          <c:dLbls>
            <c:spPr>
              <a:noFill/>
              <a:ln>
                <a:noFill/>
              </a:ln>
              <a:effectLst/>
            </c:sp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2014</c:v>
                </c:pt>
                <c:pt idx="1">
                  <c:v>2015</c:v>
                </c:pt>
                <c:pt idx="2">
                  <c:v>2016</c:v>
                </c:pt>
                <c:pt idx="3">
                  <c:v>2017</c:v>
                </c:pt>
                <c:pt idx="4">
                  <c:v>2018 years</c:v>
                </c:pt>
              </c:strCache>
            </c:strRef>
          </c:cat>
          <c:val>
            <c:numRef>
              <c:f>Лист1!$C$2:$C$6</c:f>
              <c:numCache>
                <c:formatCode>General</c:formatCode>
                <c:ptCount val="5"/>
                <c:pt idx="0">
                  <c:v>64.02</c:v>
                </c:pt>
                <c:pt idx="1">
                  <c:v>105.28</c:v>
                </c:pt>
                <c:pt idx="2">
                  <c:v>103.4</c:v>
                </c:pt>
                <c:pt idx="3">
                  <c:v>92.2</c:v>
                </c:pt>
                <c:pt idx="4">
                  <c:v>95.44</c:v>
                </c:pt>
              </c:numCache>
            </c:numRef>
          </c:val>
          <c:smooth val="0"/>
          <c:extLst>
            <c:ext xmlns:c16="http://schemas.microsoft.com/office/drawing/2014/chart" uri="{C3380CC4-5D6E-409C-BE32-E72D297353CC}">
              <c16:uniqueId val="{00000001-831C-48B3-A8B4-924D7002E1A9}"/>
            </c:ext>
          </c:extLst>
        </c:ser>
        <c:dLbls>
          <c:showLegendKey val="0"/>
          <c:showVal val="0"/>
          <c:showCatName val="0"/>
          <c:showSerName val="0"/>
          <c:showPercent val="0"/>
          <c:showBubbleSize val="0"/>
        </c:dLbls>
        <c:marker val="1"/>
        <c:smooth val="0"/>
        <c:axId val="322414464"/>
        <c:axId val="322412928"/>
      </c:lineChart>
      <c:catAx>
        <c:axId val="322385024"/>
        <c:scaling>
          <c:orientation val="minMax"/>
        </c:scaling>
        <c:delete val="0"/>
        <c:axPos val="b"/>
        <c:numFmt formatCode="General" sourceLinked="1"/>
        <c:majorTickMark val="out"/>
        <c:minorTickMark val="none"/>
        <c:tickLblPos val="nextTo"/>
        <c:crossAx val="322386560"/>
        <c:crosses val="autoZero"/>
        <c:auto val="1"/>
        <c:lblAlgn val="ctr"/>
        <c:lblOffset val="100"/>
        <c:noMultiLvlLbl val="0"/>
      </c:catAx>
      <c:valAx>
        <c:axId val="322386560"/>
        <c:scaling>
          <c:orientation val="minMax"/>
        </c:scaling>
        <c:delete val="1"/>
        <c:axPos val="l"/>
        <c:majorGridlines/>
        <c:numFmt formatCode="General" sourceLinked="1"/>
        <c:majorTickMark val="out"/>
        <c:minorTickMark val="none"/>
        <c:tickLblPos val="nextTo"/>
        <c:crossAx val="322385024"/>
        <c:crosses val="autoZero"/>
        <c:crossBetween val="between"/>
      </c:valAx>
      <c:valAx>
        <c:axId val="322412928"/>
        <c:scaling>
          <c:orientation val="minMax"/>
        </c:scaling>
        <c:delete val="0"/>
        <c:axPos val="r"/>
        <c:numFmt formatCode="General" sourceLinked="1"/>
        <c:majorTickMark val="out"/>
        <c:minorTickMark val="none"/>
        <c:tickLblPos val="nextTo"/>
        <c:crossAx val="322414464"/>
        <c:crosses val="max"/>
        <c:crossBetween val="between"/>
      </c:valAx>
      <c:catAx>
        <c:axId val="322414464"/>
        <c:scaling>
          <c:orientation val="minMax"/>
        </c:scaling>
        <c:delete val="1"/>
        <c:axPos val="b"/>
        <c:numFmt formatCode="General" sourceLinked="1"/>
        <c:majorTickMark val="out"/>
        <c:minorTickMark val="none"/>
        <c:tickLblPos val="nextTo"/>
        <c:crossAx val="322412928"/>
        <c:crosses val="autoZero"/>
        <c:auto val="1"/>
        <c:lblAlgn val="ctr"/>
        <c:lblOffset val="100"/>
        <c:noMultiLvlLbl val="0"/>
      </c:catAx>
    </c:plotArea>
    <c:legend>
      <c:legendPos val="t"/>
      <c:overlay val="0"/>
    </c:legend>
    <c:plotVisOnly val="1"/>
    <c:dispBlanksAs val="zero"/>
    <c:showDLblsOverMax val="0"/>
  </c:chart>
  <c:txPr>
    <a:bodyPr/>
    <a:lstStyle/>
    <a:p>
      <a:pPr>
        <a:defRPr b="1"/>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14.9</c:v>
                </c:pt>
              </c:numCache>
            </c:numRef>
          </c:val>
          <c:extLst>
            <c:ext xmlns:c16="http://schemas.microsoft.com/office/drawing/2014/chart" uri="{C3380CC4-5D6E-409C-BE32-E72D297353CC}">
              <c16:uniqueId val="{00000000-5DF2-4B1D-BF3B-3451A595B50C}"/>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15.7</c:v>
                </c:pt>
              </c:numCache>
            </c:numRef>
          </c:val>
          <c:extLst>
            <c:ext xmlns:c16="http://schemas.microsoft.com/office/drawing/2014/chart" uri="{C3380CC4-5D6E-409C-BE32-E72D297353CC}">
              <c16:uniqueId val="{00000001-5DF2-4B1D-BF3B-3451A595B50C}"/>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24.4</c:v>
                </c:pt>
              </c:numCache>
            </c:numRef>
          </c:val>
          <c:extLst>
            <c:ext xmlns:c16="http://schemas.microsoft.com/office/drawing/2014/chart" uri="{C3380CC4-5D6E-409C-BE32-E72D297353CC}">
              <c16:uniqueId val="{00000002-5DF2-4B1D-BF3B-3451A595B50C}"/>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25.2</c:v>
                </c:pt>
              </c:numCache>
            </c:numRef>
          </c:val>
          <c:extLst>
            <c:ext xmlns:c16="http://schemas.microsoft.com/office/drawing/2014/chart" uri="{C3380CC4-5D6E-409C-BE32-E72D297353CC}">
              <c16:uniqueId val="{00000003-5DF2-4B1D-BF3B-3451A595B50C}"/>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28.4</c:v>
                </c:pt>
              </c:numCache>
            </c:numRef>
          </c:val>
          <c:extLst>
            <c:ext xmlns:c16="http://schemas.microsoft.com/office/drawing/2014/chart" uri="{C3380CC4-5D6E-409C-BE32-E72D297353CC}">
              <c16:uniqueId val="{00000004-5DF2-4B1D-BF3B-3451A595B50C}"/>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35.299999999999997</c:v>
                </c:pt>
              </c:numCache>
            </c:numRef>
          </c:val>
          <c:extLst>
            <c:ext xmlns:c16="http://schemas.microsoft.com/office/drawing/2014/chart" uri="{C3380CC4-5D6E-409C-BE32-E72D297353CC}">
              <c16:uniqueId val="{00000005-5DF2-4B1D-BF3B-3451A595B50C}"/>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48.8</c:v>
                </c:pt>
              </c:numCache>
            </c:numRef>
          </c:val>
          <c:extLst>
            <c:ext xmlns:c16="http://schemas.microsoft.com/office/drawing/2014/chart" uri="{C3380CC4-5D6E-409C-BE32-E72D297353CC}">
              <c16:uniqueId val="{00000006-5DF2-4B1D-BF3B-3451A595B50C}"/>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243.5</c:v>
                </c:pt>
              </c:numCache>
            </c:numRef>
          </c:val>
          <c:extLst>
            <c:ext xmlns:c16="http://schemas.microsoft.com/office/drawing/2014/chart" uri="{C3380CC4-5D6E-409C-BE32-E72D297353CC}">
              <c16:uniqueId val="{00000007-5DF2-4B1D-BF3B-3451A595B50C}"/>
            </c:ext>
          </c:extLst>
        </c:ser>
        <c:dLbls>
          <c:dLblPos val="inBase"/>
          <c:showLegendKey val="0"/>
          <c:showVal val="1"/>
          <c:showCatName val="0"/>
          <c:showSerName val="0"/>
          <c:showPercent val="0"/>
          <c:showBubbleSize val="0"/>
        </c:dLbls>
        <c:gapWidth val="150"/>
        <c:axId val="325954944"/>
        <c:axId val="330179712"/>
      </c:barChart>
      <c:catAx>
        <c:axId val="325954944"/>
        <c:scaling>
          <c:orientation val="minMax"/>
        </c:scaling>
        <c:delete val="0"/>
        <c:axPos val="b"/>
        <c:numFmt formatCode="General" sourceLinked="1"/>
        <c:majorTickMark val="out"/>
        <c:minorTickMark val="none"/>
        <c:tickLblPos val="nextTo"/>
        <c:crossAx val="330179712"/>
        <c:crosses val="autoZero"/>
        <c:auto val="1"/>
        <c:lblAlgn val="ctr"/>
        <c:lblOffset val="100"/>
        <c:noMultiLvlLbl val="0"/>
      </c:catAx>
      <c:valAx>
        <c:axId val="330179712"/>
        <c:scaling>
          <c:orientation val="minMax"/>
          <c:max val="100"/>
        </c:scaling>
        <c:delete val="0"/>
        <c:axPos val="l"/>
        <c:majorGridlines/>
        <c:numFmt formatCode="General" sourceLinked="1"/>
        <c:majorTickMark val="out"/>
        <c:minorTickMark val="none"/>
        <c:tickLblPos val="nextTo"/>
        <c:crossAx val="325954944"/>
        <c:crosses val="autoZero"/>
        <c:crossBetween val="between"/>
        <c:majorUnit val="10"/>
        <c:minorUnit val="10"/>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12.4</c:v>
                </c:pt>
              </c:numCache>
            </c:numRef>
          </c:val>
          <c:extLst>
            <c:ext xmlns:c16="http://schemas.microsoft.com/office/drawing/2014/chart" uri="{C3380CC4-5D6E-409C-BE32-E72D297353CC}">
              <c16:uniqueId val="{00000000-A35F-40B4-8830-96D89CBB00F3}"/>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15.7</c:v>
                </c:pt>
              </c:numCache>
            </c:numRef>
          </c:val>
          <c:extLst>
            <c:ext xmlns:c16="http://schemas.microsoft.com/office/drawing/2014/chart" uri="{C3380CC4-5D6E-409C-BE32-E72D297353CC}">
              <c16:uniqueId val="{00000001-A35F-40B4-8830-96D89CBB00F3}"/>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13.8</c:v>
                </c:pt>
              </c:numCache>
            </c:numRef>
          </c:val>
          <c:extLst>
            <c:ext xmlns:c16="http://schemas.microsoft.com/office/drawing/2014/chart" uri="{C3380CC4-5D6E-409C-BE32-E72D297353CC}">
              <c16:uniqueId val="{00000002-A35F-40B4-8830-96D89CBB00F3}"/>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37.6</c:v>
                </c:pt>
              </c:numCache>
            </c:numRef>
          </c:val>
          <c:extLst>
            <c:ext xmlns:c16="http://schemas.microsoft.com/office/drawing/2014/chart" uri="{C3380CC4-5D6E-409C-BE32-E72D297353CC}">
              <c16:uniqueId val="{00000003-A35F-40B4-8830-96D89CBB00F3}"/>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14.1</c:v>
                </c:pt>
              </c:numCache>
            </c:numRef>
          </c:val>
          <c:extLst>
            <c:ext xmlns:c16="http://schemas.microsoft.com/office/drawing/2014/chart" uri="{C3380CC4-5D6E-409C-BE32-E72D297353CC}">
              <c16:uniqueId val="{00000004-A35F-40B4-8830-96D89CBB00F3}"/>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23.5</c:v>
                </c:pt>
              </c:numCache>
            </c:numRef>
          </c:val>
          <c:extLst>
            <c:ext xmlns:c16="http://schemas.microsoft.com/office/drawing/2014/chart" uri="{C3380CC4-5D6E-409C-BE32-E72D297353CC}">
              <c16:uniqueId val="{00000005-A35F-40B4-8830-96D89CBB00F3}"/>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11.9</c:v>
                </c:pt>
              </c:numCache>
            </c:numRef>
          </c:val>
          <c:extLst>
            <c:ext xmlns:c16="http://schemas.microsoft.com/office/drawing/2014/chart" uri="{C3380CC4-5D6E-409C-BE32-E72D297353CC}">
              <c16:uniqueId val="{00000006-A35F-40B4-8830-96D89CBB00F3}"/>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11</c:v>
                </c:pt>
              </c:numCache>
            </c:numRef>
          </c:val>
          <c:extLst>
            <c:ext xmlns:c16="http://schemas.microsoft.com/office/drawing/2014/chart" uri="{C3380CC4-5D6E-409C-BE32-E72D297353CC}">
              <c16:uniqueId val="{00000007-A35F-40B4-8830-96D89CBB00F3}"/>
            </c:ext>
          </c:extLst>
        </c:ser>
        <c:dLbls>
          <c:dLblPos val="inBase"/>
          <c:showLegendKey val="0"/>
          <c:showVal val="1"/>
          <c:showCatName val="0"/>
          <c:showSerName val="0"/>
          <c:showPercent val="0"/>
          <c:showBubbleSize val="0"/>
        </c:dLbls>
        <c:gapWidth val="150"/>
        <c:axId val="331158656"/>
        <c:axId val="331160192"/>
      </c:barChart>
      <c:catAx>
        <c:axId val="331158656"/>
        <c:scaling>
          <c:orientation val="minMax"/>
        </c:scaling>
        <c:delete val="0"/>
        <c:axPos val="b"/>
        <c:numFmt formatCode="General" sourceLinked="1"/>
        <c:majorTickMark val="out"/>
        <c:minorTickMark val="none"/>
        <c:tickLblPos val="nextTo"/>
        <c:crossAx val="331160192"/>
        <c:crosses val="autoZero"/>
        <c:auto val="1"/>
        <c:lblAlgn val="ctr"/>
        <c:lblOffset val="100"/>
        <c:noMultiLvlLbl val="0"/>
      </c:catAx>
      <c:valAx>
        <c:axId val="331160192"/>
        <c:scaling>
          <c:orientation val="minMax"/>
          <c:max val="100"/>
        </c:scaling>
        <c:delete val="0"/>
        <c:axPos val="l"/>
        <c:majorGridlines/>
        <c:numFmt formatCode="General" sourceLinked="1"/>
        <c:majorTickMark val="out"/>
        <c:minorTickMark val="none"/>
        <c:tickLblPos val="nextTo"/>
        <c:crossAx val="331158656"/>
        <c:crosses val="autoZero"/>
        <c:crossBetween val="between"/>
        <c:majorUnit val="10"/>
        <c:minorUnit val="10"/>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108.3</c:v>
                </c:pt>
              </c:numCache>
            </c:numRef>
          </c:val>
          <c:extLst>
            <c:ext xmlns:c16="http://schemas.microsoft.com/office/drawing/2014/chart" uri="{C3380CC4-5D6E-409C-BE32-E72D297353CC}">
              <c16:uniqueId val="{00000000-F08D-42B4-A467-150AEE9D4ADA}"/>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10.8</c:v>
                </c:pt>
              </c:numCache>
            </c:numRef>
          </c:val>
          <c:extLst>
            <c:ext xmlns:c16="http://schemas.microsoft.com/office/drawing/2014/chart" uri="{C3380CC4-5D6E-409C-BE32-E72D297353CC}">
              <c16:uniqueId val="{00000001-F08D-42B4-A467-150AEE9D4ADA}"/>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326.7</c:v>
                </c:pt>
              </c:numCache>
            </c:numRef>
          </c:val>
          <c:extLst>
            <c:ext xmlns:c16="http://schemas.microsoft.com/office/drawing/2014/chart" uri="{C3380CC4-5D6E-409C-BE32-E72D297353CC}">
              <c16:uniqueId val="{00000002-F08D-42B4-A467-150AEE9D4ADA}"/>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39.9</c:v>
                </c:pt>
              </c:numCache>
            </c:numRef>
          </c:val>
          <c:extLst>
            <c:ext xmlns:c16="http://schemas.microsoft.com/office/drawing/2014/chart" uri="{C3380CC4-5D6E-409C-BE32-E72D297353CC}">
              <c16:uniqueId val="{00000003-F08D-42B4-A467-150AEE9D4ADA}"/>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35.6</c:v>
                </c:pt>
              </c:numCache>
            </c:numRef>
          </c:val>
          <c:extLst>
            <c:ext xmlns:c16="http://schemas.microsoft.com/office/drawing/2014/chart" uri="{C3380CC4-5D6E-409C-BE32-E72D297353CC}">
              <c16:uniqueId val="{00000004-F08D-42B4-A467-150AEE9D4ADA}"/>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228.1</c:v>
                </c:pt>
              </c:numCache>
            </c:numRef>
          </c:val>
          <c:extLst>
            <c:ext xmlns:c16="http://schemas.microsoft.com/office/drawing/2014/chart" uri="{C3380CC4-5D6E-409C-BE32-E72D297353CC}">
              <c16:uniqueId val="{00000005-F08D-42B4-A467-150AEE9D4ADA}"/>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76.900000000000006</c:v>
                </c:pt>
              </c:numCache>
            </c:numRef>
          </c:val>
          <c:extLst>
            <c:ext xmlns:c16="http://schemas.microsoft.com/office/drawing/2014/chart" uri="{C3380CC4-5D6E-409C-BE32-E72D297353CC}">
              <c16:uniqueId val="{00000006-F08D-42B4-A467-150AEE9D4ADA}"/>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134.80000000000001</c:v>
                </c:pt>
              </c:numCache>
            </c:numRef>
          </c:val>
          <c:extLst>
            <c:ext xmlns:c16="http://schemas.microsoft.com/office/drawing/2014/chart" uri="{C3380CC4-5D6E-409C-BE32-E72D297353CC}">
              <c16:uniqueId val="{00000007-F08D-42B4-A467-150AEE9D4ADA}"/>
            </c:ext>
          </c:extLst>
        </c:ser>
        <c:ser>
          <c:idx val="8"/>
          <c:order val="8"/>
          <c:tx>
            <c:strRef>
              <c:f>Лист1!$J$1</c:f>
              <c:strCache>
                <c:ptCount val="1"/>
                <c:pt idx="0">
                  <c:v>№9</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Лист1!$J$2</c:f>
              <c:numCache>
                <c:formatCode>General</c:formatCode>
                <c:ptCount val="1"/>
                <c:pt idx="0">
                  <c:v>22.4</c:v>
                </c:pt>
              </c:numCache>
            </c:numRef>
          </c:val>
          <c:extLst>
            <c:ext xmlns:c16="http://schemas.microsoft.com/office/drawing/2014/chart" uri="{C3380CC4-5D6E-409C-BE32-E72D297353CC}">
              <c16:uniqueId val="{00000008-F08D-42B4-A467-150AEE9D4ADA}"/>
            </c:ext>
          </c:extLst>
        </c:ser>
        <c:ser>
          <c:idx val="9"/>
          <c:order val="9"/>
          <c:tx>
            <c:strRef>
              <c:f>Лист1!$K$1</c:f>
              <c:strCache>
                <c:ptCount val="1"/>
                <c:pt idx="0">
                  <c:v>№10</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Лист1!$K$2</c:f>
              <c:numCache>
                <c:formatCode>General</c:formatCode>
                <c:ptCount val="1"/>
                <c:pt idx="0">
                  <c:v>148.19999999999999</c:v>
                </c:pt>
              </c:numCache>
            </c:numRef>
          </c:val>
          <c:extLst>
            <c:ext xmlns:c16="http://schemas.microsoft.com/office/drawing/2014/chart" uri="{C3380CC4-5D6E-409C-BE32-E72D297353CC}">
              <c16:uniqueId val="{00000009-F08D-42B4-A467-150AEE9D4ADA}"/>
            </c:ext>
          </c:extLst>
        </c:ser>
        <c:ser>
          <c:idx val="10"/>
          <c:order val="10"/>
          <c:tx>
            <c:strRef>
              <c:f>Лист1!$L$1</c:f>
              <c:strCache>
                <c:ptCount val="1"/>
                <c:pt idx="0">
                  <c:v>№11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Лист1!$L$2</c:f>
              <c:numCache>
                <c:formatCode>General</c:formatCode>
                <c:ptCount val="1"/>
                <c:pt idx="0">
                  <c:v>27.7</c:v>
                </c:pt>
              </c:numCache>
            </c:numRef>
          </c:val>
          <c:extLst>
            <c:ext xmlns:c16="http://schemas.microsoft.com/office/drawing/2014/chart" uri="{C3380CC4-5D6E-409C-BE32-E72D297353CC}">
              <c16:uniqueId val="{0000000A-F08D-42B4-A467-150AEE9D4ADA}"/>
            </c:ext>
          </c:extLst>
        </c:ser>
        <c:ser>
          <c:idx val="11"/>
          <c:order val="11"/>
          <c:tx>
            <c:strRef>
              <c:f>Лист1!$M$1</c:f>
              <c:strCache>
                <c:ptCount val="1"/>
                <c:pt idx="0">
                  <c:v>№12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Лист1!$M$2</c:f>
              <c:numCache>
                <c:formatCode>General</c:formatCode>
                <c:ptCount val="1"/>
                <c:pt idx="0">
                  <c:v>10.4</c:v>
                </c:pt>
              </c:numCache>
            </c:numRef>
          </c:val>
          <c:extLst>
            <c:ext xmlns:c16="http://schemas.microsoft.com/office/drawing/2014/chart" uri="{C3380CC4-5D6E-409C-BE32-E72D297353CC}">
              <c16:uniqueId val="{0000000B-F08D-42B4-A467-150AEE9D4ADA}"/>
            </c:ext>
          </c:extLst>
        </c:ser>
        <c:dLbls>
          <c:dLblPos val="inBase"/>
          <c:showLegendKey val="0"/>
          <c:showVal val="1"/>
          <c:showCatName val="0"/>
          <c:showSerName val="0"/>
          <c:showPercent val="0"/>
          <c:showBubbleSize val="0"/>
        </c:dLbls>
        <c:gapWidth val="150"/>
        <c:axId val="333837056"/>
        <c:axId val="333838592"/>
      </c:barChart>
      <c:catAx>
        <c:axId val="333837056"/>
        <c:scaling>
          <c:orientation val="minMax"/>
        </c:scaling>
        <c:delete val="0"/>
        <c:axPos val="b"/>
        <c:numFmt formatCode="General" sourceLinked="1"/>
        <c:majorTickMark val="out"/>
        <c:minorTickMark val="none"/>
        <c:tickLblPos val="nextTo"/>
        <c:crossAx val="333838592"/>
        <c:crosses val="autoZero"/>
        <c:auto val="1"/>
        <c:lblAlgn val="ctr"/>
        <c:lblOffset val="100"/>
        <c:noMultiLvlLbl val="0"/>
      </c:catAx>
      <c:valAx>
        <c:axId val="333838592"/>
        <c:scaling>
          <c:orientation val="minMax"/>
          <c:max val="100"/>
        </c:scaling>
        <c:delete val="0"/>
        <c:axPos val="l"/>
        <c:majorGridlines/>
        <c:numFmt formatCode="General" sourceLinked="1"/>
        <c:majorTickMark val="out"/>
        <c:minorTickMark val="none"/>
        <c:tickLblPos val="nextTo"/>
        <c:crossAx val="333837056"/>
        <c:crosses val="autoZero"/>
        <c:crossBetween val="between"/>
        <c:majorUnit val="10"/>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59.7</c:v>
                </c:pt>
              </c:numCache>
            </c:numRef>
          </c:val>
          <c:extLst>
            <c:ext xmlns:c16="http://schemas.microsoft.com/office/drawing/2014/chart" uri="{C3380CC4-5D6E-409C-BE32-E72D297353CC}">
              <c16:uniqueId val="{00000000-3270-4254-AE79-3ACFEFC844B4}"/>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14.6</c:v>
                </c:pt>
              </c:numCache>
            </c:numRef>
          </c:val>
          <c:extLst>
            <c:ext xmlns:c16="http://schemas.microsoft.com/office/drawing/2014/chart" uri="{C3380CC4-5D6E-409C-BE32-E72D297353CC}">
              <c16:uniqueId val="{00000001-3270-4254-AE79-3ACFEFC844B4}"/>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10.6</c:v>
                </c:pt>
              </c:numCache>
            </c:numRef>
          </c:val>
          <c:extLst>
            <c:ext xmlns:c16="http://schemas.microsoft.com/office/drawing/2014/chart" uri="{C3380CC4-5D6E-409C-BE32-E72D297353CC}">
              <c16:uniqueId val="{00000002-3270-4254-AE79-3ACFEFC844B4}"/>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39.200000000000003</c:v>
                </c:pt>
              </c:numCache>
            </c:numRef>
          </c:val>
          <c:extLst>
            <c:ext xmlns:c16="http://schemas.microsoft.com/office/drawing/2014/chart" uri="{C3380CC4-5D6E-409C-BE32-E72D297353CC}">
              <c16:uniqueId val="{00000003-3270-4254-AE79-3ACFEFC844B4}"/>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33.9</c:v>
                </c:pt>
              </c:numCache>
            </c:numRef>
          </c:val>
          <c:extLst>
            <c:ext xmlns:c16="http://schemas.microsoft.com/office/drawing/2014/chart" uri="{C3380CC4-5D6E-409C-BE32-E72D297353CC}">
              <c16:uniqueId val="{00000004-3270-4254-AE79-3ACFEFC844B4}"/>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12.3</c:v>
                </c:pt>
              </c:numCache>
            </c:numRef>
          </c:val>
          <c:extLst>
            <c:ext xmlns:c16="http://schemas.microsoft.com/office/drawing/2014/chart" uri="{C3380CC4-5D6E-409C-BE32-E72D297353CC}">
              <c16:uniqueId val="{00000005-3270-4254-AE79-3ACFEFC844B4}"/>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204.6</c:v>
                </c:pt>
              </c:numCache>
            </c:numRef>
          </c:val>
          <c:extLst>
            <c:ext xmlns:c16="http://schemas.microsoft.com/office/drawing/2014/chart" uri="{C3380CC4-5D6E-409C-BE32-E72D297353CC}">
              <c16:uniqueId val="{00000006-3270-4254-AE79-3ACFEFC844B4}"/>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113.3</c:v>
                </c:pt>
              </c:numCache>
            </c:numRef>
          </c:val>
          <c:extLst>
            <c:ext xmlns:c16="http://schemas.microsoft.com/office/drawing/2014/chart" uri="{C3380CC4-5D6E-409C-BE32-E72D297353CC}">
              <c16:uniqueId val="{00000007-3270-4254-AE79-3ACFEFC844B4}"/>
            </c:ext>
          </c:extLst>
        </c:ser>
        <c:ser>
          <c:idx val="8"/>
          <c:order val="8"/>
          <c:tx>
            <c:strRef>
              <c:f>Лист1!$J$1</c:f>
              <c:strCache>
                <c:ptCount val="1"/>
                <c:pt idx="0">
                  <c:v>№9</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Лист1!$J$2</c:f>
              <c:numCache>
                <c:formatCode>General</c:formatCode>
                <c:ptCount val="1"/>
                <c:pt idx="0">
                  <c:v>19</c:v>
                </c:pt>
              </c:numCache>
            </c:numRef>
          </c:val>
          <c:extLst>
            <c:ext xmlns:c16="http://schemas.microsoft.com/office/drawing/2014/chart" uri="{C3380CC4-5D6E-409C-BE32-E72D297353CC}">
              <c16:uniqueId val="{00000008-3270-4254-AE79-3ACFEFC844B4}"/>
            </c:ext>
          </c:extLst>
        </c:ser>
        <c:ser>
          <c:idx val="9"/>
          <c:order val="9"/>
          <c:tx>
            <c:strRef>
              <c:f>Лист1!$K$1</c:f>
              <c:strCache>
                <c:ptCount val="1"/>
                <c:pt idx="0">
                  <c:v>№10</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Лист1!$K$2</c:f>
              <c:numCache>
                <c:formatCode>General</c:formatCode>
                <c:ptCount val="1"/>
                <c:pt idx="0">
                  <c:v>9.4</c:v>
                </c:pt>
              </c:numCache>
            </c:numRef>
          </c:val>
          <c:extLst>
            <c:ext xmlns:c16="http://schemas.microsoft.com/office/drawing/2014/chart" uri="{C3380CC4-5D6E-409C-BE32-E72D297353CC}">
              <c16:uniqueId val="{00000009-3270-4254-AE79-3ACFEFC844B4}"/>
            </c:ext>
          </c:extLst>
        </c:ser>
        <c:ser>
          <c:idx val="10"/>
          <c:order val="10"/>
          <c:tx>
            <c:strRef>
              <c:f>Лист1!$L$1</c:f>
              <c:strCache>
                <c:ptCount val="1"/>
                <c:pt idx="0">
                  <c:v>№11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Лист1!$L$2</c:f>
              <c:numCache>
                <c:formatCode>General</c:formatCode>
                <c:ptCount val="1"/>
                <c:pt idx="0">
                  <c:v>12.4</c:v>
                </c:pt>
              </c:numCache>
            </c:numRef>
          </c:val>
          <c:extLst>
            <c:ext xmlns:c16="http://schemas.microsoft.com/office/drawing/2014/chart" uri="{C3380CC4-5D6E-409C-BE32-E72D297353CC}">
              <c16:uniqueId val="{0000000A-3270-4254-AE79-3ACFEFC844B4}"/>
            </c:ext>
          </c:extLst>
        </c:ser>
        <c:ser>
          <c:idx val="11"/>
          <c:order val="11"/>
          <c:tx>
            <c:strRef>
              <c:f>Лист1!$M$1</c:f>
              <c:strCache>
                <c:ptCount val="1"/>
                <c:pt idx="0">
                  <c:v>№12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Лист1!$M$2</c:f>
              <c:numCache>
                <c:formatCode>General</c:formatCode>
                <c:ptCount val="1"/>
                <c:pt idx="0">
                  <c:v>49.1</c:v>
                </c:pt>
              </c:numCache>
            </c:numRef>
          </c:val>
          <c:extLst>
            <c:ext xmlns:c16="http://schemas.microsoft.com/office/drawing/2014/chart" uri="{C3380CC4-5D6E-409C-BE32-E72D297353CC}">
              <c16:uniqueId val="{0000000B-3270-4254-AE79-3ACFEFC844B4}"/>
            </c:ext>
          </c:extLst>
        </c:ser>
        <c:dLbls>
          <c:dLblPos val="inBase"/>
          <c:showLegendKey val="0"/>
          <c:showVal val="1"/>
          <c:showCatName val="0"/>
          <c:showSerName val="0"/>
          <c:showPercent val="0"/>
          <c:showBubbleSize val="0"/>
        </c:dLbls>
        <c:gapWidth val="150"/>
        <c:axId val="334025088"/>
        <c:axId val="334026624"/>
      </c:barChart>
      <c:catAx>
        <c:axId val="334025088"/>
        <c:scaling>
          <c:orientation val="minMax"/>
        </c:scaling>
        <c:delete val="0"/>
        <c:axPos val="b"/>
        <c:numFmt formatCode="General" sourceLinked="1"/>
        <c:majorTickMark val="out"/>
        <c:minorTickMark val="none"/>
        <c:tickLblPos val="nextTo"/>
        <c:crossAx val="334026624"/>
        <c:crosses val="autoZero"/>
        <c:auto val="1"/>
        <c:lblAlgn val="ctr"/>
        <c:lblOffset val="100"/>
        <c:noMultiLvlLbl val="0"/>
      </c:catAx>
      <c:valAx>
        <c:axId val="334026624"/>
        <c:scaling>
          <c:orientation val="minMax"/>
          <c:max val="100"/>
        </c:scaling>
        <c:delete val="0"/>
        <c:axPos val="l"/>
        <c:majorGridlines/>
        <c:numFmt formatCode="General" sourceLinked="1"/>
        <c:majorTickMark val="out"/>
        <c:minorTickMark val="none"/>
        <c:tickLblPos val="nextTo"/>
        <c:crossAx val="334025088"/>
        <c:crosses val="autoZero"/>
        <c:crossBetween val="between"/>
        <c:majorUnit val="10"/>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19.899999999999999</c:v>
                </c:pt>
              </c:numCache>
            </c:numRef>
          </c:val>
          <c:extLst>
            <c:ext xmlns:c16="http://schemas.microsoft.com/office/drawing/2014/chart" uri="{C3380CC4-5D6E-409C-BE32-E72D297353CC}">
              <c16:uniqueId val="{00000000-6A77-4B08-84D5-69FA939C3F23}"/>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24.8</c:v>
                </c:pt>
              </c:numCache>
            </c:numRef>
          </c:val>
          <c:extLst>
            <c:ext xmlns:c16="http://schemas.microsoft.com/office/drawing/2014/chart" uri="{C3380CC4-5D6E-409C-BE32-E72D297353CC}">
              <c16:uniqueId val="{00000001-6A77-4B08-84D5-69FA939C3F23}"/>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43.3</c:v>
                </c:pt>
              </c:numCache>
            </c:numRef>
          </c:val>
          <c:extLst>
            <c:ext xmlns:c16="http://schemas.microsoft.com/office/drawing/2014/chart" uri="{C3380CC4-5D6E-409C-BE32-E72D297353CC}">
              <c16:uniqueId val="{00000002-6A77-4B08-84D5-69FA939C3F23}"/>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13.2</c:v>
                </c:pt>
              </c:numCache>
            </c:numRef>
          </c:val>
          <c:extLst>
            <c:ext xmlns:c16="http://schemas.microsoft.com/office/drawing/2014/chart" uri="{C3380CC4-5D6E-409C-BE32-E72D297353CC}">
              <c16:uniqueId val="{00000003-6A77-4B08-84D5-69FA939C3F23}"/>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17.2</c:v>
                </c:pt>
              </c:numCache>
            </c:numRef>
          </c:val>
          <c:extLst>
            <c:ext xmlns:c16="http://schemas.microsoft.com/office/drawing/2014/chart" uri="{C3380CC4-5D6E-409C-BE32-E72D297353CC}">
              <c16:uniqueId val="{00000004-6A77-4B08-84D5-69FA939C3F23}"/>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33</c:v>
                </c:pt>
              </c:numCache>
            </c:numRef>
          </c:val>
          <c:extLst>
            <c:ext xmlns:c16="http://schemas.microsoft.com/office/drawing/2014/chart" uri="{C3380CC4-5D6E-409C-BE32-E72D297353CC}">
              <c16:uniqueId val="{00000005-6A77-4B08-84D5-69FA939C3F23}"/>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82.8</c:v>
                </c:pt>
              </c:numCache>
            </c:numRef>
          </c:val>
          <c:extLst>
            <c:ext xmlns:c16="http://schemas.microsoft.com/office/drawing/2014/chart" uri="{C3380CC4-5D6E-409C-BE32-E72D297353CC}">
              <c16:uniqueId val="{00000006-6A77-4B08-84D5-69FA939C3F23}"/>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233.1</c:v>
                </c:pt>
              </c:numCache>
            </c:numRef>
          </c:val>
          <c:extLst>
            <c:ext xmlns:c16="http://schemas.microsoft.com/office/drawing/2014/chart" uri="{C3380CC4-5D6E-409C-BE32-E72D297353CC}">
              <c16:uniqueId val="{00000007-6A77-4B08-84D5-69FA939C3F23}"/>
            </c:ext>
          </c:extLst>
        </c:ser>
        <c:dLbls>
          <c:dLblPos val="inBase"/>
          <c:showLegendKey val="0"/>
          <c:showVal val="1"/>
          <c:showCatName val="0"/>
          <c:showSerName val="0"/>
          <c:showPercent val="0"/>
          <c:showBubbleSize val="0"/>
        </c:dLbls>
        <c:gapWidth val="150"/>
        <c:axId val="349705728"/>
        <c:axId val="349707264"/>
      </c:barChart>
      <c:catAx>
        <c:axId val="349705728"/>
        <c:scaling>
          <c:orientation val="minMax"/>
        </c:scaling>
        <c:delete val="0"/>
        <c:axPos val="b"/>
        <c:numFmt formatCode="General" sourceLinked="1"/>
        <c:majorTickMark val="out"/>
        <c:minorTickMark val="none"/>
        <c:tickLblPos val="nextTo"/>
        <c:crossAx val="349707264"/>
        <c:crosses val="autoZero"/>
        <c:auto val="1"/>
        <c:lblAlgn val="ctr"/>
        <c:lblOffset val="100"/>
        <c:noMultiLvlLbl val="0"/>
      </c:catAx>
      <c:valAx>
        <c:axId val="349707264"/>
        <c:scaling>
          <c:orientation val="minMax"/>
          <c:max val="100"/>
        </c:scaling>
        <c:delete val="0"/>
        <c:axPos val="l"/>
        <c:majorGridlines/>
        <c:numFmt formatCode="General" sourceLinked="1"/>
        <c:majorTickMark val="out"/>
        <c:minorTickMark val="none"/>
        <c:tickLblPos val="nextTo"/>
        <c:crossAx val="349705728"/>
        <c:crosses val="autoZero"/>
        <c:crossBetween val="between"/>
        <c:majorUnit val="10"/>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16.8</c:v>
                </c:pt>
              </c:numCache>
            </c:numRef>
          </c:val>
          <c:extLst>
            <c:ext xmlns:c16="http://schemas.microsoft.com/office/drawing/2014/chart" uri="{C3380CC4-5D6E-409C-BE32-E72D297353CC}">
              <c16:uniqueId val="{00000000-43E2-4854-B944-4328534A61F3}"/>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12.1</c:v>
                </c:pt>
              </c:numCache>
            </c:numRef>
          </c:val>
          <c:extLst>
            <c:ext xmlns:c16="http://schemas.microsoft.com/office/drawing/2014/chart" uri="{C3380CC4-5D6E-409C-BE32-E72D297353CC}">
              <c16:uniqueId val="{00000001-43E2-4854-B944-4328534A61F3}"/>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36.1</c:v>
                </c:pt>
              </c:numCache>
            </c:numRef>
          </c:val>
          <c:extLst>
            <c:ext xmlns:c16="http://schemas.microsoft.com/office/drawing/2014/chart" uri="{C3380CC4-5D6E-409C-BE32-E72D297353CC}">
              <c16:uniqueId val="{00000002-43E2-4854-B944-4328534A61F3}"/>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10.1</c:v>
                </c:pt>
              </c:numCache>
            </c:numRef>
          </c:val>
          <c:extLst>
            <c:ext xmlns:c16="http://schemas.microsoft.com/office/drawing/2014/chart" uri="{C3380CC4-5D6E-409C-BE32-E72D297353CC}">
              <c16:uniqueId val="{00000003-43E2-4854-B944-4328534A61F3}"/>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11.3</c:v>
                </c:pt>
              </c:numCache>
            </c:numRef>
          </c:val>
          <c:extLst>
            <c:ext xmlns:c16="http://schemas.microsoft.com/office/drawing/2014/chart" uri="{C3380CC4-5D6E-409C-BE32-E72D297353CC}">
              <c16:uniqueId val="{00000004-43E2-4854-B944-4328534A61F3}"/>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14.7</c:v>
                </c:pt>
              </c:numCache>
            </c:numRef>
          </c:val>
          <c:extLst>
            <c:ext xmlns:c16="http://schemas.microsoft.com/office/drawing/2014/chart" uri="{C3380CC4-5D6E-409C-BE32-E72D297353CC}">
              <c16:uniqueId val="{00000005-43E2-4854-B944-4328534A61F3}"/>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14.3</c:v>
                </c:pt>
              </c:numCache>
            </c:numRef>
          </c:val>
          <c:extLst>
            <c:ext xmlns:c16="http://schemas.microsoft.com/office/drawing/2014/chart" uri="{C3380CC4-5D6E-409C-BE32-E72D297353CC}">
              <c16:uniqueId val="{00000006-43E2-4854-B944-4328534A61F3}"/>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13.1</c:v>
                </c:pt>
              </c:numCache>
            </c:numRef>
          </c:val>
          <c:extLst>
            <c:ext xmlns:c16="http://schemas.microsoft.com/office/drawing/2014/chart" uri="{C3380CC4-5D6E-409C-BE32-E72D297353CC}">
              <c16:uniqueId val="{00000007-43E2-4854-B944-4328534A61F3}"/>
            </c:ext>
          </c:extLst>
        </c:ser>
        <c:dLbls>
          <c:dLblPos val="inBase"/>
          <c:showLegendKey val="0"/>
          <c:showVal val="1"/>
          <c:showCatName val="0"/>
          <c:showSerName val="0"/>
          <c:showPercent val="0"/>
          <c:showBubbleSize val="0"/>
        </c:dLbls>
        <c:gapWidth val="150"/>
        <c:axId val="349796992"/>
        <c:axId val="349815168"/>
      </c:barChart>
      <c:catAx>
        <c:axId val="349796992"/>
        <c:scaling>
          <c:orientation val="minMax"/>
        </c:scaling>
        <c:delete val="0"/>
        <c:axPos val="b"/>
        <c:numFmt formatCode="General" sourceLinked="1"/>
        <c:majorTickMark val="out"/>
        <c:minorTickMark val="none"/>
        <c:tickLblPos val="nextTo"/>
        <c:crossAx val="349815168"/>
        <c:crosses val="autoZero"/>
        <c:auto val="1"/>
        <c:lblAlgn val="ctr"/>
        <c:lblOffset val="100"/>
        <c:noMultiLvlLbl val="0"/>
      </c:catAx>
      <c:valAx>
        <c:axId val="349815168"/>
        <c:scaling>
          <c:orientation val="minMax"/>
          <c:max val="100"/>
        </c:scaling>
        <c:delete val="0"/>
        <c:axPos val="l"/>
        <c:majorGridlines/>
        <c:numFmt formatCode="General" sourceLinked="1"/>
        <c:majorTickMark val="out"/>
        <c:minorTickMark val="none"/>
        <c:tickLblPos val="nextTo"/>
        <c:crossAx val="349796992"/>
        <c:crosses val="autoZero"/>
        <c:crossBetween val="between"/>
        <c:majorUnit val="10"/>
        <c:minorUnit val="10"/>
      </c:valAx>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9.5</c:v>
                </c:pt>
              </c:numCache>
            </c:numRef>
          </c:val>
          <c:extLst>
            <c:ext xmlns:c16="http://schemas.microsoft.com/office/drawing/2014/chart" uri="{C3380CC4-5D6E-409C-BE32-E72D297353CC}">
              <c16:uniqueId val="{00000000-00A6-4708-B94F-BFB99D8C1530}"/>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18.3</c:v>
                </c:pt>
              </c:numCache>
            </c:numRef>
          </c:val>
          <c:extLst>
            <c:ext xmlns:c16="http://schemas.microsoft.com/office/drawing/2014/chart" uri="{C3380CC4-5D6E-409C-BE32-E72D297353CC}">
              <c16:uniqueId val="{00000001-00A6-4708-B94F-BFB99D8C1530}"/>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6</c:v>
                </c:pt>
              </c:numCache>
            </c:numRef>
          </c:val>
          <c:extLst>
            <c:ext xmlns:c16="http://schemas.microsoft.com/office/drawing/2014/chart" uri="{C3380CC4-5D6E-409C-BE32-E72D297353CC}">
              <c16:uniqueId val="{00000002-00A6-4708-B94F-BFB99D8C1530}"/>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12.2</c:v>
                </c:pt>
              </c:numCache>
            </c:numRef>
          </c:val>
          <c:extLst>
            <c:ext xmlns:c16="http://schemas.microsoft.com/office/drawing/2014/chart" uri="{C3380CC4-5D6E-409C-BE32-E72D297353CC}">
              <c16:uniqueId val="{00000003-00A6-4708-B94F-BFB99D8C1530}"/>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10.1</c:v>
                </c:pt>
              </c:numCache>
            </c:numRef>
          </c:val>
          <c:extLst>
            <c:ext xmlns:c16="http://schemas.microsoft.com/office/drawing/2014/chart" uri="{C3380CC4-5D6E-409C-BE32-E72D297353CC}">
              <c16:uniqueId val="{00000004-00A6-4708-B94F-BFB99D8C1530}"/>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10.3</c:v>
                </c:pt>
              </c:numCache>
            </c:numRef>
          </c:val>
          <c:extLst>
            <c:ext xmlns:c16="http://schemas.microsoft.com/office/drawing/2014/chart" uri="{C3380CC4-5D6E-409C-BE32-E72D297353CC}">
              <c16:uniqueId val="{00000005-00A6-4708-B94F-BFB99D8C1530}"/>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5.6</c:v>
                </c:pt>
              </c:numCache>
            </c:numRef>
          </c:val>
          <c:extLst>
            <c:ext xmlns:c16="http://schemas.microsoft.com/office/drawing/2014/chart" uri="{C3380CC4-5D6E-409C-BE32-E72D297353CC}">
              <c16:uniqueId val="{00000006-00A6-4708-B94F-BFB99D8C1530}"/>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5.8</c:v>
                </c:pt>
              </c:numCache>
            </c:numRef>
          </c:val>
          <c:extLst>
            <c:ext xmlns:c16="http://schemas.microsoft.com/office/drawing/2014/chart" uri="{C3380CC4-5D6E-409C-BE32-E72D297353CC}">
              <c16:uniqueId val="{00000007-00A6-4708-B94F-BFB99D8C1530}"/>
            </c:ext>
          </c:extLst>
        </c:ser>
        <c:ser>
          <c:idx val="8"/>
          <c:order val="8"/>
          <c:tx>
            <c:strRef>
              <c:f>Лист1!$J$1</c:f>
              <c:strCache>
                <c:ptCount val="1"/>
                <c:pt idx="0">
                  <c:v>№9</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Лист1!$J$2</c:f>
              <c:numCache>
                <c:formatCode>General</c:formatCode>
                <c:ptCount val="1"/>
                <c:pt idx="0">
                  <c:v>5</c:v>
                </c:pt>
              </c:numCache>
            </c:numRef>
          </c:val>
          <c:extLst>
            <c:ext xmlns:c16="http://schemas.microsoft.com/office/drawing/2014/chart" uri="{C3380CC4-5D6E-409C-BE32-E72D297353CC}">
              <c16:uniqueId val="{00000008-00A6-4708-B94F-BFB99D8C1530}"/>
            </c:ext>
          </c:extLst>
        </c:ser>
        <c:ser>
          <c:idx val="9"/>
          <c:order val="9"/>
          <c:tx>
            <c:strRef>
              <c:f>Лист1!$K$1</c:f>
              <c:strCache>
                <c:ptCount val="1"/>
                <c:pt idx="0">
                  <c:v>№10</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Лист1!$K$2</c:f>
              <c:numCache>
                <c:formatCode>General</c:formatCode>
                <c:ptCount val="1"/>
                <c:pt idx="0">
                  <c:v>8.5</c:v>
                </c:pt>
              </c:numCache>
            </c:numRef>
          </c:val>
          <c:extLst>
            <c:ext xmlns:c16="http://schemas.microsoft.com/office/drawing/2014/chart" uri="{C3380CC4-5D6E-409C-BE32-E72D297353CC}">
              <c16:uniqueId val="{00000009-00A6-4708-B94F-BFB99D8C1530}"/>
            </c:ext>
          </c:extLst>
        </c:ser>
        <c:ser>
          <c:idx val="10"/>
          <c:order val="10"/>
          <c:tx>
            <c:strRef>
              <c:f>Лист1!$L$1</c:f>
              <c:strCache>
                <c:ptCount val="1"/>
                <c:pt idx="0">
                  <c:v>№11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Лист1!$L$2</c:f>
              <c:numCache>
                <c:formatCode>General</c:formatCode>
                <c:ptCount val="1"/>
                <c:pt idx="0">
                  <c:v>11.7</c:v>
                </c:pt>
              </c:numCache>
            </c:numRef>
          </c:val>
          <c:extLst>
            <c:ext xmlns:c16="http://schemas.microsoft.com/office/drawing/2014/chart" uri="{C3380CC4-5D6E-409C-BE32-E72D297353CC}">
              <c16:uniqueId val="{0000000A-00A6-4708-B94F-BFB99D8C1530}"/>
            </c:ext>
          </c:extLst>
        </c:ser>
        <c:ser>
          <c:idx val="11"/>
          <c:order val="11"/>
          <c:tx>
            <c:strRef>
              <c:f>Лист1!$M$1</c:f>
              <c:strCache>
                <c:ptCount val="1"/>
                <c:pt idx="0">
                  <c:v>№12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Лист1!$M$2</c:f>
              <c:numCache>
                <c:formatCode>General</c:formatCode>
                <c:ptCount val="1"/>
                <c:pt idx="0">
                  <c:v>7</c:v>
                </c:pt>
              </c:numCache>
            </c:numRef>
          </c:val>
          <c:extLst>
            <c:ext xmlns:c16="http://schemas.microsoft.com/office/drawing/2014/chart" uri="{C3380CC4-5D6E-409C-BE32-E72D297353CC}">
              <c16:uniqueId val="{0000000B-00A6-4708-B94F-BFB99D8C1530}"/>
            </c:ext>
          </c:extLst>
        </c:ser>
        <c:dLbls>
          <c:dLblPos val="inBase"/>
          <c:showLegendKey val="0"/>
          <c:showVal val="1"/>
          <c:showCatName val="0"/>
          <c:showSerName val="0"/>
          <c:showPercent val="0"/>
          <c:showBubbleSize val="0"/>
        </c:dLbls>
        <c:gapWidth val="150"/>
        <c:axId val="352581888"/>
        <c:axId val="352604160"/>
      </c:barChart>
      <c:catAx>
        <c:axId val="352581888"/>
        <c:scaling>
          <c:orientation val="minMax"/>
        </c:scaling>
        <c:delete val="0"/>
        <c:axPos val="b"/>
        <c:numFmt formatCode="General" sourceLinked="1"/>
        <c:majorTickMark val="out"/>
        <c:minorTickMark val="none"/>
        <c:tickLblPos val="nextTo"/>
        <c:crossAx val="352604160"/>
        <c:crosses val="autoZero"/>
        <c:auto val="1"/>
        <c:lblAlgn val="ctr"/>
        <c:lblOffset val="100"/>
        <c:noMultiLvlLbl val="0"/>
      </c:catAx>
      <c:valAx>
        <c:axId val="352604160"/>
        <c:scaling>
          <c:orientation val="minMax"/>
          <c:max val="100"/>
        </c:scaling>
        <c:delete val="0"/>
        <c:axPos val="l"/>
        <c:majorGridlines/>
        <c:numFmt formatCode="General" sourceLinked="1"/>
        <c:majorTickMark val="out"/>
        <c:minorTickMark val="none"/>
        <c:tickLblPos val="nextTo"/>
        <c:crossAx val="352581888"/>
        <c:crosses val="autoZero"/>
        <c:crossBetween val="between"/>
        <c:majorUnit val="10"/>
        <c:minorUnit val="10"/>
      </c:valAx>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5.4</c:v>
                </c:pt>
              </c:numCache>
            </c:numRef>
          </c:val>
          <c:extLst>
            <c:ext xmlns:c16="http://schemas.microsoft.com/office/drawing/2014/chart" uri="{C3380CC4-5D6E-409C-BE32-E72D297353CC}">
              <c16:uniqueId val="{00000000-C8F4-49B4-943D-7B4A8FDA3777}"/>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6.7</c:v>
                </c:pt>
              </c:numCache>
            </c:numRef>
          </c:val>
          <c:extLst>
            <c:ext xmlns:c16="http://schemas.microsoft.com/office/drawing/2014/chart" uri="{C3380CC4-5D6E-409C-BE32-E72D297353CC}">
              <c16:uniqueId val="{00000001-C8F4-49B4-943D-7B4A8FDA3777}"/>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5.3</c:v>
                </c:pt>
              </c:numCache>
            </c:numRef>
          </c:val>
          <c:extLst>
            <c:ext xmlns:c16="http://schemas.microsoft.com/office/drawing/2014/chart" uri="{C3380CC4-5D6E-409C-BE32-E72D297353CC}">
              <c16:uniqueId val="{00000002-C8F4-49B4-943D-7B4A8FDA3777}"/>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6.2</c:v>
                </c:pt>
              </c:numCache>
            </c:numRef>
          </c:val>
          <c:extLst>
            <c:ext xmlns:c16="http://schemas.microsoft.com/office/drawing/2014/chart" uri="{C3380CC4-5D6E-409C-BE32-E72D297353CC}">
              <c16:uniqueId val="{00000003-C8F4-49B4-943D-7B4A8FDA3777}"/>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5</c:v>
                </c:pt>
              </c:numCache>
            </c:numRef>
          </c:val>
          <c:extLst>
            <c:ext xmlns:c16="http://schemas.microsoft.com/office/drawing/2014/chart" uri="{C3380CC4-5D6E-409C-BE32-E72D297353CC}">
              <c16:uniqueId val="{00000004-C8F4-49B4-943D-7B4A8FDA3777}"/>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5.5</c:v>
                </c:pt>
              </c:numCache>
            </c:numRef>
          </c:val>
          <c:extLst>
            <c:ext xmlns:c16="http://schemas.microsoft.com/office/drawing/2014/chart" uri="{C3380CC4-5D6E-409C-BE32-E72D297353CC}">
              <c16:uniqueId val="{00000005-C8F4-49B4-943D-7B4A8FDA3777}"/>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5.6</c:v>
                </c:pt>
              </c:numCache>
            </c:numRef>
          </c:val>
          <c:extLst>
            <c:ext xmlns:c16="http://schemas.microsoft.com/office/drawing/2014/chart" uri="{C3380CC4-5D6E-409C-BE32-E72D297353CC}">
              <c16:uniqueId val="{00000006-C8F4-49B4-943D-7B4A8FDA3777}"/>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5.8</c:v>
                </c:pt>
              </c:numCache>
            </c:numRef>
          </c:val>
          <c:extLst>
            <c:ext xmlns:c16="http://schemas.microsoft.com/office/drawing/2014/chart" uri="{C3380CC4-5D6E-409C-BE32-E72D297353CC}">
              <c16:uniqueId val="{00000007-C8F4-49B4-943D-7B4A8FDA3777}"/>
            </c:ext>
          </c:extLst>
        </c:ser>
        <c:ser>
          <c:idx val="8"/>
          <c:order val="8"/>
          <c:tx>
            <c:strRef>
              <c:f>Лист1!$J$1</c:f>
              <c:strCache>
                <c:ptCount val="1"/>
                <c:pt idx="0">
                  <c:v>№9</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Лист1!$J$2</c:f>
              <c:numCache>
                <c:formatCode>General</c:formatCode>
                <c:ptCount val="1"/>
                <c:pt idx="0">
                  <c:v>5</c:v>
                </c:pt>
              </c:numCache>
            </c:numRef>
          </c:val>
          <c:extLst>
            <c:ext xmlns:c16="http://schemas.microsoft.com/office/drawing/2014/chart" uri="{C3380CC4-5D6E-409C-BE32-E72D297353CC}">
              <c16:uniqueId val="{00000008-C8F4-49B4-943D-7B4A8FDA3777}"/>
            </c:ext>
          </c:extLst>
        </c:ser>
        <c:ser>
          <c:idx val="9"/>
          <c:order val="9"/>
          <c:tx>
            <c:strRef>
              <c:f>Лист1!$K$1</c:f>
              <c:strCache>
                <c:ptCount val="1"/>
                <c:pt idx="0">
                  <c:v>№10</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Лист1!$K$2</c:f>
              <c:numCache>
                <c:formatCode>General</c:formatCode>
                <c:ptCount val="1"/>
                <c:pt idx="0">
                  <c:v>4.5</c:v>
                </c:pt>
              </c:numCache>
            </c:numRef>
          </c:val>
          <c:extLst>
            <c:ext xmlns:c16="http://schemas.microsoft.com/office/drawing/2014/chart" uri="{C3380CC4-5D6E-409C-BE32-E72D297353CC}">
              <c16:uniqueId val="{00000009-C8F4-49B4-943D-7B4A8FDA3777}"/>
            </c:ext>
          </c:extLst>
        </c:ser>
        <c:ser>
          <c:idx val="10"/>
          <c:order val="10"/>
          <c:tx>
            <c:strRef>
              <c:f>Лист1!$L$1</c:f>
              <c:strCache>
                <c:ptCount val="1"/>
                <c:pt idx="0">
                  <c:v>№11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Лист1!$L$2</c:f>
              <c:numCache>
                <c:formatCode>General</c:formatCode>
                <c:ptCount val="1"/>
                <c:pt idx="0">
                  <c:v>6.4</c:v>
                </c:pt>
              </c:numCache>
            </c:numRef>
          </c:val>
          <c:extLst>
            <c:ext xmlns:c16="http://schemas.microsoft.com/office/drawing/2014/chart" uri="{C3380CC4-5D6E-409C-BE32-E72D297353CC}">
              <c16:uniqueId val="{0000000A-C8F4-49B4-943D-7B4A8FDA3777}"/>
            </c:ext>
          </c:extLst>
        </c:ser>
        <c:ser>
          <c:idx val="11"/>
          <c:order val="11"/>
          <c:tx>
            <c:strRef>
              <c:f>Лист1!$M$1</c:f>
              <c:strCache>
                <c:ptCount val="1"/>
                <c:pt idx="0">
                  <c:v>№12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Лист1!$M$2</c:f>
              <c:numCache>
                <c:formatCode>General</c:formatCode>
                <c:ptCount val="1"/>
                <c:pt idx="0">
                  <c:v>6.8</c:v>
                </c:pt>
              </c:numCache>
            </c:numRef>
          </c:val>
          <c:extLst>
            <c:ext xmlns:c16="http://schemas.microsoft.com/office/drawing/2014/chart" uri="{C3380CC4-5D6E-409C-BE32-E72D297353CC}">
              <c16:uniqueId val="{0000000B-C8F4-49B4-943D-7B4A8FDA3777}"/>
            </c:ext>
          </c:extLst>
        </c:ser>
        <c:dLbls>
          <c:dLblPos val="inBase"/>
          <c:showLegendKey val="0"/>
          <c:showVal val="1"/>
          <c:showCatName val="0"/>
          <c:showSerName val="0"/>
          <c:showPercent val="0"/>
          <c:showBubbleSize val="0"/>
        </c:dLbls>
        <c:gapWidth val="150"/>
        <c:axId val="355813248"/>
        <c:axId val="355814784"/>
      </c:barChart>
      <c:catAx>
        <c:axId val="355813248"/>
        <c:scaling>
          <c:orientation val="minMax"/>
        </c:scaling>
        <c:delete val="0"/>
        <c:axPos val="b"/>
        <c:numFmt formatCode="General" sourceLinked="1"/>
        <c:majorTickMark val="out"/>
        <c:minorTickMark val="none"/>
        <c:tickLblPos val="nextTo"/>
        <c:crossAx val="355814784"/>
        <c:crosses val="autoZero"/>
        <c:auto val="1"/>
        <c:lblAlgn val="ctr"/>
        <c:lblOffset val="100"/>
        <c:noMultiLvlLbl val="0"/>
      </c:catAx>
      <c:valAx>
        <c:axId val="355814784"/>
        <c:scaling>
          <c:orientation val="minMax"/>
          <c:max val="100"/>
        </c:scaling>
        <c:delete val="0"/>
        <c:axPos val="l"/>
        <c:majorGridlines/>
        <c:numFmt formatCode="General" sourceLinked="1"/>
        <c:majorTickMark val="out"/>
        <c:minorTickMark val="none"/>
        <c:tickLblPos val="nextTo"/>
        <c:crossAx val="355813248"/>
        <c:crosses val="autoZero"/>
        <c:crossBetween val="between"/>
        <c:majorUnit val="10"/>
        <c:minorUnit val="10"/>
      </c:valAx>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12.9</c:v>
                </c:pt>
              </c:numCache>
            </c:numRef>
          </c:val>
          <c:extLst>
            <c:ext xmlns:c16="http://schemas.microsoft.com/office/drawing/2014/chart" uri="{C3380CC4-5D6E-409C-BE32-E72D297353CC}">
              <c16:uniqueId val="{00000000-21E0-4DC8-A280-7FCC7A94F0B7}"/>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6.8</c:v>
                </c:pt>
              </c:numCache>
            </c:numRef>
          </c:val>
          <c:extLst>
            <c:ext xmlns:c16="http://schemas.microsoft.com/office/drawing/2014/chart" uri="{C3380CC4-5D6E-409C-BE32-E72D297353CC}">
              <c16:uniqueId val="{00000001-21E0-4DC8-A280-7FCC7A94F0B7}"/>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5.82</c:v>
                </c:pt>
              </c:numCache>
            </c:numRef>
          </c:val>
          <c:extLst>
            <c:ext xmlns:c16="http://schemas.microsoft.com/office/drawing/2014/chart" uri="{C3380CC4-5D6E-409C-BE32-E72D297353CC}">
              <c16:uniqueId val="{00000002-21E0-4DC8-A280-7FCC7A94F0B7}"/>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6.6</c:v>
                </c:pt>
              </c:numCache>
            </c:numRef>
          </c:val>
          <c:extLst>
            <c:ext xmlns:c16="http://schemas.microsoft.com/office/drawing/2014/chart" uri="{C3380CC4-5D6E-409C-BE32-E72D297353CC}">
              <c16:uniqueId val="{00000003-21E0-4DC8-A280-7FCC7A94F0B7}"/>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7.85</c:v>
                </c:pt>
              </c:numCache>
            </c:numRef>
          </c:val>
          <c:extLst>
            <c:ext xmlns:c16="http://schemas.microsoft.com/office/drawing/2014/chart" uri="{C3380CC4-5D6E-409C-BE32-E72D297353CC}">
              <c16:uniqueId val="{00000004-21E0-4DC8-A280-7FCC7A94F0B7}"/>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12.2</c:v>
                </c:pt>
              </c:numCache>
            </c:numRef>
          </c:val>
          <c:extLst>
            <c:ext xmlns:c16="http://schemas.microsoft.com/office/drawing/2014/chart" uri="{C3380CC4-5D6E-409C-BE32-E72D297353CC}">
              <c16:uniqueId val="{00000005-21E0-4DC8-A280-7FCC7A94F0B7}"/>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7.1</c:v>
                </c:pt>
              </c:numCache>
            </c:numRef>
          </c:val>
          <c:extLst>
            <c:ext xmlns:c16="http://schemas.microsoft.com/office/drawing/2014/chart" uri="{C3380CC4-5D6E-409C-BE32-E72D297353CC}">
              <c16:uniqueId val="{00000006-21E0-4DC8-A280-7FCC7A94F0B7}"/>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5.8</c:v>
                </c:pt>
              </c:numCache>
            </c:numRef>
          </c:val>
          <c:extLst>
            <c:ext xmlns:c16="http://schemas.microsoft.com/office/drawing/2014/chart" uri="{C3380CC4-5D6E-409C-BE32-E72D297353CC}">
              <c16:uniqueId val="{00000007-21E0-4DC8-A280-7FCC7A94F0B7}"/>
            </c:ext>
          </c:extLst>
        </c:ser>
        <c:dLbls>
          <c:dLblPos val="inBase"/>
          <c:showLegendKey val="0"/>
          <c:showVal val="1"/>
          <c:showCatName val="0"/>
          <c:showSerName val="0"/>
          <c:showPercent val="0"/>
          <c:showBubbleSize val="0"/>
        </c:dLbls>
        <c:gapWidth val="150"/>
        <c:axId val="355974144"/>
        <c:axId val="355980032"/>
      </c:barChart>
      <c:catAx>
        <c:axId val="355974144"/>
        <c:scaling>
          <c:orientation val="minMax"/>
        </c:scaling>
        <c:delete val="0"/>
        <c:axPos val="b"/>
        <c:numFmt formatCode="General" sourceLinked="1"/>
        <c:majorTickMark val="out"/>
        <c:minorTickMark val="none"/>
        <c:tickLblPos val="nextTo"/>
        <c:crossAx val="355980032"/>
        <c:crosses val="autoZero"/>
        <c:auto val="1"/>
        <c:lblAlgn val="ctr"/>
        <c:lblOffset val="100"/>
        <c:noMultiLvlLbl val="0"/>
      </c:catAx>
      <c:valAx>
        <c:axId val="355980032"/>
        <c:scaling>
          <c:orientation val="minMax"/>
          <c:max val="100"/>
        </c:scaling>
        <c:delete val="0"/>
        <c:axPos val="l"/>
        <c:majorGridlines/>
        <c:numFmt formatCode="General" sourceLinked="1"/>
        <c:majorTickMark val="out"/>
        <c:minorTickMark val="none"/>
        <c:tickLblPos val="nextTo"/>
        <c:crossAx val="355974144"/>
        <c:crosses val="autoZero"/>
        <c:crossBetween val="between"/>
        <c:majorUnit val="10"/>
        <c:minorUnit val="0.4"/>
      </c:valAx>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20.8</c:v>
                </c:pt>
              </c:numCache>
            </c:numRef>
          </c:val>
          <c:extLst>
            <c:ext xmlns:c16="http://schemas.microsoft.com/office/drawing/2014/chart" uri="{C3380CC4-5D6E-409C-BE32-E72D297353CC}">
              <c16:uniqueId val="{00000000-C57C-4032-B86E-E1689F649157}"/>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7.4</c:v>
                </c:pt>
              </c:numCache>
            </c:numRef>
          </c:val>
          <c:extLst>
            <c:ext xmlns:c16="http://schemas.microsoft.com/office/drawing/2014/chart" uri="{C3380CC4-5D6E-409C-BE32-E72D297353CC}">
              <c16:uniqueId val="{00000001-C57C-4032-B86E-E1689F649157}"/>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5.4</c:v>
                </c:pt>
              </c:numCache>
            </c:numRef>
          </c:val>
          <c:extLst>
            <c:ext xmlns:c16="http://schemas.microsoft.com/office/drawing/2014/chart" uri="{C3380CC4-5D6E-409C-BE32-E72D297353CC}">
              <c16:uniqueId val="{00000002-C57C-4032-B86E-E1689F649157}"/>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6.1</c:v>
                </c:pt>
              </c:numCache>
            </c:numRef>
          </c:val>
          <c:extLst>
            <c:ext xmlns:c16="http://schemas.microsoft.com/office/drawing/2014/chart" uri="{C3380CC4-5D6E-409C-BE32-E72D297353CC}">
              <c16:uniqueId val="{00000003-C57C-4032-B86E-E1689F649157}"/>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4.4000000000000004</c:v>
                </c:pt>
              </c:numCache>
            </c:numRef>
          </c:val>
          <c:extLst>
            <c:ext xmlns:c16="http://schemas.microsoft.com/office/drawing/2014/chart" uri="{C3380CC4-5D6E-409C-BE32-E72D297353CC}">
              <c16:uniqueId val="{00000004-C57C-4032-B86E-E1689F649157}"/>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6.8</c:v>
                </c:pt>
              </c:numCache>
            </c:numRef>
          </c:val>
          <c:extLst>
            <c:ext xmlns:c16="http://schemas.microsoft.com/office/drawing/2014/chart" uri="{C3380CC4-5D6E-409C-BE32-E72D297353CC}">
              <c16:uniqueId val="{00000005-C57C-4032-B86E-E1689F649157}"/>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6.1</c:v>
                </c:pt>
              </c:numCache>
            </c:numRef>
          </c:val>
          <c:extLst>
            <c:ext xmlns:c16="http://schemas.microsoft.com/office/drawing/2014/chart" uri="{C3380CC4-5D6E-409C-BE32-E72D297353CC}">
              <c16:uniqueId val="{00000006-C57C-4032-B86E-E1689F649157}"/>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5.8</c:v>
                </c:pt>
              </c:numCache>
            </c:numRef>
          </c:val>
          <c:extLst>
            <c:ext xmlns:c16="http://schemas.microsoft.com/office/drawing/2014/chart" uri="{C3380CC4-5D6E-409C-BE32-E72D297353CC}">
              <c16:uniqueId val="{00000007-C57C-4032-B86E-E1689F649157}"/>
            </c:ext>
          </c:extLst>
        </c:ser>
        <c:dLbls>
          <c:dLblPos val="inBase"/>
          <c:showLegendKey val="0"/>
          <c:showVal val="1"/>
          <c:showCatName val="0"/>
          <c:showSerName val="0"/>
          <c:showPercent val="0"/>
          <c:showBubbleSize val="0"/>
        </c:dLbls>
        <c:gapWidth val="150"/>
        <c:axId val="356790656"/>
        <c:axId val="356792192"/>
      </c:barChart>
      <c:catAx>
        <c:axId val="356790656"/>
        <c:scaling>
          <c:orientation val="minMax"/>
        </c:scaling>
        <c:delete val="0"/>
        <c:axPos val="b"/>
        <c:numFmt formatCode="General" sourceLinked="1"/>
        <c:majorTickMark val="out"/>
        <c:minorTickMark val="none"/>
        <c:tickLblPos val="nextTo"/>
        <c:crossAx val="356792192"/>
        <c:crosses val="autoZero"/>
        <c:auto val="1"/>
        <c:lblAlgn val="ctr"/>
        <c:lblOffset val="100"/>
        <c:noMultiLvlLbl val="0"/>
      </c:catAx>
      <c:valAx>
        <c:axId val="356792192"/>
        <c:scaling>
          <c:orientation val="minMax"/>
          <c:max val="100"/>
        </c:scaling>
        <c:delete val="0"/>
        <c:axPos val="l"/>
        <c:majorGridlines/>
        <c:numFmt formatCode="General" sourceLinked="1"/>
        <c:majorTickMark val="out"/>
        <c:minorTickMark val="none"/>
        <c:tickLblPos val="nextTo"/>
        <c:crossAx val="356790656"/>
        <c:crosses val="autoZero"/>
        <c:crossBetween val="between"/>
        <c:majorUnit val="10"/>
        <c:minorUnit val="10"/>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areaChart>
        <c:grouping val="stacked"/>
        <c:varyColors val="0"/>
        <c:ser>
          <c:idx val="0"/>
          <c:order val="0"/>
          <c:tx>
            <c:strRef>
              <c:f>Лист1!$B$1</c:f>
              <c:strCache>
                <c:ptCount val="1"/>
                <c:pt idx="0">
                  <c:v>Хвороби органів дихання</c:v>
                </c:pt>
              </c:strCache>
            </c:strRef>
          </c:tx>
          <c:cat>
            <c:numRef>
              <c:f>Лист1!$A$2:$A$6</c:f>
              <c:numCache>
                <c:formatCode>m/d/yyyy</c:formatCode>
                <c:ptCount val="5"/>
                <c:pt idx="0">
                  <c:v>43282</c:v>
                </c:pt>
                <c:pt idx="1">
                  <c:v>43466</c:v>
                </c:pt>
                <c:pt idx="2">
                  <c:v>43831</c:v>
                </c:pt>
                <c:pt idx="3">
                  <c:v>44197</c:v>
                </c:pt>
                <c:pt idx="4">
                  <c:v>44562</c:v>
                </c:pt>
              </c:numCache>
            </c:numRef>
          </c:cat>
          <c:val>
            <c:numRef>
              <c:f>Лист1!$B$2:$B$6</c:f>
              <c:numCache>
                <c:formatCode>General</c:formatCode>
                <c:ptCount val="5"/>
                <c:pt idx="0">
                  <c:v>890</c:v>
                </c:pt>
                <c:pt idx="1">
                  <c:v>1770</c:v>
                </c:pt>
                <c:pt idx="2">
                  <c:v>1203</c:v>
                </c:pt>
                <c:pt idx="3">
                  <c:v>1953</c:v>
                </c:pt>
                <c:pt idx="4">
                  <c:v>1992</c:v>
                </c:pt>
              </c:numCache>
            </c:numRef>
          </c:val>
          <c:extLst>
            <c:ext xmlns:c16="http://schemas.microsoft.com/office/drawing/2014/chart" uri="{C3380CC4-5D6E-409C-BE32-E72D297353CC}">
              <c16:uniqueId val="{00000000-5D54-4054-8E07-F0A466DE949A}"/>
            </c:ext>
          </c:extLst>
        </c:ser>
        <c:ser>
          <c:idx val="1"/>
          <c:order val="1"/>
          <c:tx>
            <c:strRef>
              <c:f>Лист1!$C$1</c:f>
              <c:strCache>
                <c:ptCount val="1"/>
                <c:pt idx="0">
                  <c:v>Хвороби органів травлення</c:v>
                </c:pt>
              </c:strCache>
            </c:strRef>
          </c:tx>
          <c:cat>
            <c:numRef>
              <c:f>Лист1!$A$2:$A$6</c:f>
              <c:numCache>
                <c:formatCode>m/d/yyyy</c:formatCode>
                <c:ptCount val="5"/>
                <c:pt idx="0">
                  <c:v>43282</c:v>
                </c:pt>
                <c:pt idx="1">
                  <c:v>43466</c:v>
                </c:pt>
                <c:pt idx="2">
                  <c:v>43831</c:v>
                </c:pt>
                <c:pt idx="3">
                  <c:v>44197</c:v>
                </c:pt>
                <c:pt idx="4">
                  <c:v>44562</c:v>
                </c:pt>
              </c:numCache>
            </c:numRef>
          </c:cat>
          <c:val>
            <c:numRef>
              <c:f>Лист1!$C$2:$C$6</c:f>
              <c:numCache>
                <c:formatCode>General</c:formatCode>
                <c:ptCount val="5"/>
                <c:pt idx="0">
                  <c:v>1987</c:v>
                </c:pt>
                <c:pt idx="1">
                  <c:v>2407</c:v>
                </c:pt>
                <c:pt idx="2">
                  <c:v>2247</c:v>
                </c:pt>
                <c:pt idx="3">
                  <c:v>2220</c:v>
                </c:pt>
                <c:pt idx="4">
                  <c:v>2249</c:v>
                </c:pt>
              </c:numCache>
            </c:numRef>
          </c:val>
          <c:extLst>
            <c:ext xmlns:c16="http://schemas.microsoft.com/office/drawing/2014/chart" uri="{C3380CC4-5D6E-409C-BE32-E72D297353CC}">
              <c16:uniqueId val="{00000001-5D54-4054-8E07-F0A466DE949A}"/>
            </c:ext>
          </c:extLst>
        </c:ser>
        <c:ser>
          <c:idx val="2"/>
          <c:order val="2"/>
          <c:tx>
            <c:strRef>
              <c:f>Лист1!$D$1</c:f>
              <c:strCache>
                <c:ptCount val="1"/>
                <c:pt idx="0">
                  <c:v>Зовнішні причини смерті</c:v>
                </c:pt>
              </c:strCache>
            </c:strRef>
          </c:tx>
          <c:cat>
            <c:numRef>
              <c:f>Лист1!$A$2:$A$6</c:f>
              <c:numCache>
                <c:formatCode>m/d/yyyy</c:formatCode>
                <c:ptCount val="5"/>
                <c:pt idx="0">
                  <c:v>43282</c:v>
                </c:pt>
                <c:pt idx="1">
                  <c:v>43466</c:v>
                </c:pt>
                <c:pt idx="2">
                  <c:v>43831</c:v>
                </c:pt>
                <c:pt idx="3">
                  <c:v>44197</c:v>
                </c:pt>
                <c:pt idx="4">
                  <c:v>44562</c:v>
                </c:pt>
              </c:numCache>
            </c:numRef>
          </c:cat>
          <c:val>
            <c:numRef>
              <c:f>Лист1!$D$2:$D$6</c:f>
              <c:numCache>
                <c:formatCode>General</c:formatCode>
                <c:ptCount val="5"/>
                <c:pt idx="0">
                  <c:v>2643</c:v>
                </c:pt>
                <c:pt idx="1">
                  <c:v>2812</c:v>
                </c:pt>
                <c:pt idx="2">
                  <c:v>2757</c:v>
                </c:pt>
                <c:pt idx="3">
                  <c:v>2526</c:v>
                </c:pt>
                <c:pt idx="4">
                  <c:v>2478</c:v>
                </c:pt>
              </c:numCache>
            </c:numRef>
          </c:val>
          <c:extLst>
            <c:ext xmlns:c16="http://schemas.microsoft.com/office/drawing/2014/chart" uri="{C3380CC4-5D6E-409C-BE32-E72D297353CC}">
              <c16:uniqueId val="{00000002-5D54-4054-8E07-F0A466DE949A}"/>
            </c:ext>
          </c:extLst>
        </c:ser>
        <c:ser>
          <c:idx val="3"/>
          <c:order val="3"/>
          <c:tx>
            <c:strRef>
              <c:f>Лист1!$E$1</c:f>
              <c:strCache>
                <c:ptCount val="1"/>
                <c:pt idx="0">
                  <c:v>Новоутворення</c:v>
                </c:pt>
              </c:strCache>
            </c:strRef>
          </c:tx>
          <c:cat>
            <c:numRef>
              <c:f>Лист1!$A$2:$A$6</c:f>
              <c:numCache>
                <c:formatCode>m/d/yyyy</c:formatCode>
                <c:ptCount val="5"/>
                <c:pt idx="0">
                  <c:v>43282</c:v>
                </c:pt>
                <c:pt idx="1">
                  <c:v>43466</c:v>
                </c:pt>
                <c:pt idx="2">
                  <c:v>43831</c:v>
                </c:pt>
                <c:pt idx="3">
                  <c:v>44197</c:v>
                </c:pt>
                <c:pt idx="4">
                  <c:v>44562</c:v>
                </c:pt>
              </c:numCache>
            </c:numRef>
          </c:cat>
          <c:val>
            <c:numRef>
              <c:f>Лист1!$E$2:$E$6</c:f>
              <c:numCache>
                <c:formatCode>General</c:formatCode>
                <c:ptCount val="5"/>
                <c:pt idx="0">
                  <c:v>6953</c:v>
                </c:pt>
                <c:pt idx="1">
                  <c:v>6832</c:v>
                </c:pt>
                <c:pt idx="2">
                  <c:v>7124</c:v>
                </c:pt>
                <c:pt idx="3">
                  <c:v>6112</c:v>
                </c:pt>
                <c:pt idx="4">
                  <c:v>5777</c:v>
                </c:pt>
              </c:numCache>
            </c:numRef>
          </c:val>
          <c:extLst>
            <c:ext xmlns:c16="http://schemas.microsoft.com/office/drawing/2014/chart" uri="{C3380CC4-5D6E-409C-BE32-E72D297353CC}">
              <c16:uniqueId val="{00000003-5D54-4054-8E07-F0A466DE949A}"/>
            </c:ext>
          </c:extLst>
        </c:ser>
        <c:ser>
          <c:idx val="4"/>
          <c:order val="4"/>
          <c:tx>
            <c:strRef>
              <c:f>Лист1!$F$1</c:f>
              <c:strCache>
                <c:ptCount val="1"/>
                <c:pt idx="0">
                  <c:v>Хвороби системи кровообігу</c:v>
                </c:pt>
              </c:strCache>
            </c:strRef>
          </c:tx>
          <c:cat>
            <c:numRef>
              <c:f>Лист1!$A$2:$A$6</c:f>
              <c:numCache>
                <c:formatCode>m/d/yyyy</c:formatCode>
                <c:ptCount val="5"/>
                <c:pt idx="0">
                  <c:v>43282</c:v>
                </c:pt>
                <c:pt idx="1">
                  <c:v>43466</c:v>
                </c:pt>
                <c:pt idx="2">
                  <c:v>43831</c:v>
                </c:pt>
                <c:pt idx="3">
                  <c:v>44197</c:v>
                </c:pt>
                <c:pt idx="4">
                  <c:v>44562</c:v>
                </c:pt>
              </c:numCache>
            </c:numRef>
          </c:cat>
          <c:val>
            <c:numRef>
              <c:f>Лист1!$F$2:$F$6</c:f>
              <c:numCache>
                <c:formatCode>General</c:formatCode>
                <c:ptCount val="5"/>
                <c:pt idx="0">
                  <c:v>29537</c:v>
                </c:pt>
                <c:pt idx="1">
                  <c:v>43829</c:v>
                </c:pt>
                <c:pt idx="2">
                  <c:v>36341</c:v>
                </c:pt>
                <c:pt idx="3">
                  <c:v>37618</c:v>
                </c:pt>
                <c:pt idx="4">
                  <c:v>36724</c:v>
                </c:pt>
              </c:numCache>
            </c:numRef>
          </c:val>
          <c:extLst>
            <c:ext xmlns:c16="http://schemas.microsoft.com/office/drawing/2014/chart" uri="{C3380CC4-5D6E-409C-BE32-E72D297353CC}">
              <c16:uniqueId val="{00000004-5D54-4054-8E07-F0A466DE949A}"/>
            </c:ext>
          </c:extLst>
        </c:ser>
        <c:ser>
          <c:idx val="5"/>
          <c:order val="5"/>
          <c:tx>
            <c:strRef>
              <c:f>Лист1!$G$1</c:f>
              <c:strCache>
                <c:ptCount val="1"/>
                <c:pt idx="0">
                  <c:v>COVID-19</c:v>
                </c:pt>
              </c:strCache>
            </c:strRef>
          </c:tx>
          <c:cat>
            <c:numRef>
              <c:f>Лист1!$A$2:$A$6</c:f>
              <c:numCache>
                <c:formatCode>m/d/yyyy</c:formatCode>
                <c:ptCount val="5"/>
                <c:pt idx="0">
                  <c:v>43282</c:v>
                </c:pt>
                <c:pt idx="1">
                  <c:v>43466</c:v>
                </c:pt>
                <c:pt idx="2">
                  <c:v>43831</c:v>
                </c:pt>
                <c:pt idx="3">
                  <c:v>44197</c:v>
                </c:pt>
                <c:pt idx="4">
                  <c:v>44562</c:v>
                </c:pt>
              </c:numCache>
            </c:numRef>
          </c:cat>
          <c:val>
            <c:numRef>
              <c:f>Лист1!$G$2:$G$6</c:f>
              <c:numCache>
                <c:formatCode>General</c:formatCode>
                <c:ptCount val="5"/>
                <c:pt idx="3">
                  <c:v>3922</c:v>
                </c:pt>
                <c:pt idx="4">
                  <c:v>4413</c:v>
                </c:pt>
              </c:numCache>
            </c:numRef>
          </c:val>
          <c:extLst>
            <c:ext xmlns:c16="http://schemas.microsoft.com/office/drawing/2014/chart" uri="{C3380CC4-5D6E-409C-BE32-E72D297353CC}">
              <c16:uniqueId val="{00000005-5D54-4054-8E07-F0A466DE949A}"/>
            </c:ext>
          </c:extLst>
        </c:ser>
        <c:ser>
          <c:idx val="6"/>
          <c:order val="6"/>
          <c:tx>
            <c:strRef>
              <c:f>Лист1!$H$1</c:f>
              <c:strCache>
                <c:ptCount val="1"/>
                <c:pt idx="0">
                  <c:v>Інше</c:v>
                </c:pt>
              </c:strCache>
            </c:strRef>
          </c:tx>
          <c:cat>
            <c:numRef>
              <c:f>Лист1!$A$2:$A$6</c:f>
              <c:numCache>
                <c:formatCode>m/d/yyyy</c:formatCode>
                <c:ptCount val="5"/>
                <c:pt idx="0">
                  <c:v>43282</c:v>
                </c:pt>
                <c:pt idx="1">
                  <c:v>43466</c:v>
                </c:pt>
                <c:pt idx="2">
                  <c:v>43831</c:v>
                </c:pt>
                <c:pt idx="3">
                  <c:v>44197</c:v>
                </c:pt>
                <c:pt idx="4">
                  <c:v>44562</c:v>
                </c:pt>
              </c:numCache>
            </c:numRef>
          </c:cat>
          <c:val>
            <c:numRef>
              <c:f>Лист1!$H$2:$H$6</c:f>
              <c:numCache>
                <c:formatCode>General</c:formatCode>
                <c:ptCount val="5"/>
                <c:pt idx="0">
                  <c:v>4340</c:v>
                </c:pt>
                <c:pt idx="1">
                  <c:v>4546</c:v>
                </c:pt>
                <c:pt idx="2">
                  <c:v>3938</c:v>
                </c:pt>
                <c:pt idx="3">
                  <c:v>3370</c:v>
                </c:pt>
                <c:pt idx="4">
                  <c:v>3615</c:v>
                </c:pt>
              </c:numCache>
            </c:numRef>
          </c:val>
          <c:extLst>
            <c:ext xmlns:c16="http://schemas.microsoft.com/office/drawing/2014/chart" uri="{C3380CC4-5D6E-409C-BE32-E72D297353CC}">
              <c16:uniqueId val="{00000006-5D54-4054-8E07-F0A466DE949A}"/>
            </c:ext>
          </c:extLst>
        </c:ser>
        <c:dLbls>
          <c:showLegendKey val="0"/>
          <c:showVal val="0"/>
          <c:showCatName val="0"/>
          <c:showSerName val="0"/>
          <c:showPercent val="0"/>
          <c:showBubbleSize val="0"/>
        </c:dLbls>
        <c:axId val="323062016"/>
        <c:axId val="323076096"/>
      </c:areaChart>
      <c:dateAx>
        <c:axId val="323062016"/>
        <c:scaling>
          <c:orientation val="minMax"/>
        </c:scaling>
        <c:delete val="0"/>
        <c:axPos val="b"/>
        <c:numFmt formatCode="m/d/yyyy" sourceLinked="1"/>
        <c:majorTickMark val="out"/>
        <c:minorTickMark val="none"/>
        <c:tickLblPos val="nextTo"/>
        <c:crossAx val="323076096"/>
        <c:crosses val="autoZero"/>
        <c:auto val="1"/>
        <c:lblOffset val="100"/>
        <c:baseTimeUnit val="months"/>
      </c:dateAx>
      <c:valAx>
        <c:axId val="323076096"/>
        <c:scaling>
          <c:orientation val="minMax"/>
          <c:max val="90000"/>
          <c:min val="10000"/>
        </c:scaling>
        <c:delete val="0"/>
        <c:axPos val="l"/>
        <c:majorGridlines/>
        <c:numFmt formatCode="General" sourceLinked="1"/>
        <c:majorTickMark val="out"/>
        <c:minorTickMark val="none"/>
        <c:tickLblPos val="nextTo"/>
        <c:crossAx val="323062016"/>
        <c:crosses val="autoZero"/>
        <c:crossBetween val="midCat"/>
      </c:valAx>
    </c:plotArea>
    <c:legend>
      <c:legendPos val="r"/>
      <c:overlay val="0"/>
    </c:legend>
    <c:plotVisOnly val="1"/>
    <c:dispBlanksAs val="zero"/>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191</c:v>
                </c:pt>
              </c:numCache>
            </c:numRef>
          </c:val>
          <c:extLst>
            <c:ext xmlns:c16="http://schemas.microsoft.com/office/drawing/2014/chart" uri="{C3380CC4-5D6E-409C-BE32-E72D297353CC}">
              <c16:uniqueId val="{00000000-AD63-41E7-9475-B5D521153491}"/>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100</c:v>
                </c:pt>
              </c:numCache>
            </c:numRef>
          </c:val>
          <c:extLst>
            <c:ext xmlns:c16="http://schemas.microsoft.com/office/drawing/2014/chart" uri="{C3380CC4-5D6E-409C-BE32-E72D297353CC}">
              <c16:uniqueId val="{00000001-AD63-41E7-9475-B5D521153491}"/>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35</c:v>
                </c:pt>
              </c:numCache>
            </c:numRef>
          </c:val>
          <c:extLst>
            <c:ext xmlns:c16="http://schemas.microsoft.com/office/drawing/2014/chart" uri="{C3380CC4-5D6E-409C-BE32-E72D297353CC}">
              <c16:uniqueId val="{00000002-AD63-41E7-9475-B5D521153491}"/>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35</c:v>
                </c:pt>
              </c:numCache>
            </c:numRef>
          </c:val>
          <c:extLst>
            <c:ext xmlns:c16="http://schemas.microsoft.com/office/drawing/2014/chart" uri="{C3380CC4-5D6E-409C-BE32-E72D297353CC}">
              <c16:uniqueId val="{00000003-AD63-41E7-9475-B5D521153491}"/>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39</c:v>
                </c:pt>
              </c:numCache>
            </c:numRef>
          </c:val>
          <c:extLst>
            <c:ext xmlns:c16="http://schemas.microsoft.com/office/drawing/2014/chart" uri="{C3380CC4-5D6E-409C-BE32-E72D297353CC}">
              <c16:uniqueId val="{00000004-AD63-41E7-9475-B5D521153491}"/>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79</c:v>
                </c:pt>
              </c:numCache>
            </c:numRef>
          </c:val>
          <c:extLst>
            <c:ext xmlns:c16="http://schemas.microsoft.com/office/drawing/2014/chart" uri="{C3380CC4-5D6E-409C-BE32-E72D297353CC}">
              <c16:uniqueId val="{00000005-AD63-41E7-9475-B5D521153491}"/>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47</c:v>
                </c:pt>
              </c:numCache>
            </c:numRef>
          </c:val>
          <c:extLst>
            <c:ext xmlns:c16="http://schemas.microsoft.com/office/drawing/2014/chart" uri="{C3380CC4-5D6E-409C-BE32-E72D297353CC}">
              <c16:uniqueId val="{00000006-AD63-41E7-9475-B5D521153491}"/>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84</c:v>
                </c:pt>
              </c:numCache>
            </c:numRef>
          </c:val>
          <c:extLst>
            <c:ext xmlns:c16="http://schemas.microsoft.com/office/drawing/2014/chart" uri="{C3380CC4-5D6E-409C-BE32-E72D297353CC}">
              <c16:uniqueId val="{00000007-AD63-41E7-9475-B5D521153491}"/>
            </c:ext>
          </c:extLst>
        </c:ser>
        <c:ser>
          <c:idx val="8"/>
          <c:order val="8"/>
          <c:tx>
            <c:strRef>
              <c:f>Лист1!$J$1</c:f>
              <c:strCache>
                <c:ptCount val="1"/>
                <c:pt idx="0">
                  <c:v>№9</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Лист1!$J$2</c:f>
              <c:numCache>
                <c:formatCode>General</c:formatCode>
                <c:ptCount val="1"/>
                <c:pt idx="0">
                  <c:v>48</c:v>
                </c:pt>
              </c:numCache>
            </c:numRef>
          </c:val>
          <c:extLst>
            <c:ext xmlns:c16="http://schemas.microsoft.com/office/drawing/2014/chart" uri="{C3380CC4-5D6E-409C-BE32-E72D297353CC}">
              <c16:uniqueId val="{00000008-AD63-41E7-9475-B5D521153491}"/>
            </c:ext>
          </c:extLst>
        </c:ser>
        <c:ser>
          <c:idx val="9"/>
          <c:order val="9"/>
          <c:tx>
            <c:strRef>
              <c:f>Лист1!$K$1</c:f>
              <c:strCache>
                <c:ptCount val="1"/>
                <c:pt idx="0">
                  <c:v>№10</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Лист1!$K$2</c:f>
              <c:numCache>
                <c:formatCode>General</c:formatCode>
                <c:ptCount val="1"/>
                <c:pt idx="0">
                  <c:v>27</c:v>
                </c:pt>
              </c:numCache>
            </c:numRef>
          </c:val>
          <c:extLst>
            <c:ext xmlns:c16="http://schemas.microsoft.com/office/drawing/2014/chart" uri="{C3380CC4-5D6E-409C-BE32-E72D297353CC}">
              <c16:uniqueId val="{00000009-AD63-41E7-9475-B5D521153491}"/>
            </c:ext>
          </c:extLst>
        </c:ser>
        <c:ser>
          <c:idx val="10"/>
          <c:order val="10"/>
          <c:tx>
            <c:strRef>
              <c:f>Лист1!$L$1</c:f>
              <c:strCache>
                <c:ptCount val="1"/>
                <c:pt idx="0">
                  <c:v>№11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Лист1!$L$2</c:f>
              <c:numCache>
                <c:formatCode>General</c:formatCode>
                <c:ptCount val="1"/>
                <c:pt idx="0">
                  <c:v>194</c:v>
                </c:pt>
              </c:numCache>
            </c:numRef>
          </c:val>
          <c:extLst>
            <c:ext xmlns:c16="http://schemas.microsoft.com/office/drawing/2014/chart" uri="{C3380CC4-5D6E-409C-BE32-E72D297353CC}">
              <c16:uniqueId val="{0000000A-AD63-41E7-9475-B5D521153491}"/>
            </c:ext>
          </c:extLst>
        </c:ser>
        <c:ser>
          <c:idx val="11"/>
          <c:order val="11"/>
          <c:tx>
            <c:strRef>
              <c:f>Лист1!$M$1</c:f>
              <c:strCache>
                <c:ptCount val="1"/>
                <c:pt idx="0">
                  <c:v>№12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Лист1!$M$2</c:f>
              <c:numCache>
                <c:formatCode>General</c:formatCode>
                <c:ptCount val="1"/>
                <c:pt idx="0">
                  <c:v>27</c:v>
                </c:pt>
              </c:numCache>
            </c:numRef>
          </c:val>
          <c:extLst>
            <c:ext xmlns:c16="http://schemas.microsoft.com/office/drawing/2014/chart" uri="{C3380CC4-5D6E-409C-BE32-E72D297353CC}">
              <c16:uniqueId val="{0000000B-AD63-41E7-9475-B5D521153491}"/>
            </c:ext>
          </c:extLst>
        </c:ser>
        <c:ser>
          <c:idx val="12"/>
          <c:order val="12"/>
          <c:tx>
            <c:strRef>
              <c:f>Лист1!$N$1</c:f>
              <c:strCache>
                <c:ptCount val="1"/>
                <c:pt idx="0">
                  <c:v>№13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Лист1!$N$2</c:f>
              <c:numCache>
                <c:formatCode>General</c:formatCode>
                <c:ptCount val="1"/>
                <c:pt idx="0">
                  <c:v>292</c:v>
                </c:pt>
              </c:numCache>
            </c:numRef>
          </c:val>
          <c:extLst>
            <c:ext xmlns:c16="http://schemas.microsoft.com/office/drawing/2014/chart" uri="{C3380CC4-5D6E-409C-BE32-E72D297353CC}">
              <c16:uniqueId val="{0000000C-AD63-41E7-9475-B5D521153491}"/>
            </c:ext>
          </c:extLst>
        </c:ser>
        <c:ser>
          <c:idx val="13"/>
          <c:order val="13"/>
          <c:tx>
            <c:strRef>
              <c:f>Лист1!$O$1</c:f>
              <c:strCache>
                <c:ptCount val="1"/>
                <c:pt idx="0">
                  <c:v>№14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Лист1!$O$2</c:f>
              <c:numCache>
                <c:formatCode>General</c:formatCode>
                <c:ptCount val="1"/>
                <c:pt idx="0">
                  <c:v>60</c:v>
                </c:pt>
              </c:numCache>
            </c:numRef>
          </c:val>
          <c:extLst>
            <c:ext xmlns:c16="http://schemas.microsoft.com/office/drawing/2014/chart" uri="{C3380CC4-5D6E-409C-BE32-E72D297353CC}">
              <c16:uniqueId val="{0000000D-AD63-41E7-9475-B5D521153491}"/>
            </c:ext>
          </c:extLst>
        </c:ser>
        <c:ser>
          <c:idx val="14"/>
          <c:order val="14"/>
          <c:tx>
            <c:strRef>
              <c:f>Лист1!$P$1</c:f>
              <c:strCache>
                <c:ptCount val="1"/>
                <c:pt idx="0">
                  <c:v>№15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Лист1!$P$2</c:f>
              <c:numCache>
                <c:formatCode>General</c:formatCode>
                <c:ptCount val="1"/>
                <c:pt idx="0">
                  <c:v>33</c:v>
                </c:pt>
              </c:numCache>
            </c:numRef>
          </c:val>
          <c:extLst>
            <c:ext xmlns:c16="http://schemas.microsoft.com/office/drawing/2014/chart" uri="{C3380CC4-5D6E-409C-BE32-E72D297353CC}">
              <c16:uniqueId val="{0000000E-AD63-41E7-9475-B5D521153491}"/>
            </c:ext>
          </c:extLst>
        </c:ser>
        <c:ser>
          <c:idx val="15"/>
          <c:order val="15"/>
          <c:tx>
            <c:strRef>
              <c:f>Лист1!$Q$1</c:f>
              <c:strCache>
                <c:ptCount val="1"/>
                <c:pt idx="0">
                  <c:v>№16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Лист1!$Q$2</c:f>
              <c:numCache>
                <c:formatCode>General</c:formatCode>
                <c:ptCount val="1"/>
                <c:pt idx="0">
                  <c:v>51</c:v>
                </c:pt>
              </c:numCache>
            </c:numRef>
          </c:val>
          <c:extLst>
            <c:ext xmlns:c16="http://schemas.microsoft.com/office/drawing/2014/chart" uri="{C3380CC4-5D6E-409C-BE32-E72D297353CC}">
              <c16:uniqueId val="{0000000F-AD63-41E7-9475-B5D521153491}"/>
            </c:ext>
          </c:extLst>
        </c:ser>
        <c:ser>
          <c:idx val="16"/>
          <c:order val="16"/>
          <c:tx>
            <c:strRef>
              <c:f>Лист1!$R$1</c:f>
              <c:strCache>
                <c:ptCount val="1"/>
                <c:pt idx="0">
                  <c:v>№17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Лист1!$R$2</c:f>
              <c:numCache>
                <c:formatCode>General</c:formatCode>
                <c:ptCount val="1"/>
                <c:pt idx="0">
                  <c:v>27</c:v>
                </c:pt>
              </c:numCache>
            </c:numRef>
          </c:val>
          <c:extLst>
            <c:ext xmlns:c16="http://schemas.microsoft.com/office/drawing/2014/chart" uri="{C3380CC4-5D6E-409C-BE32-E72D297353CC}">
              <c16:uniqueId val="{00000010-AD63-41E7-9475-B5D521153491}"/>
            </c:ext>
          </c:extLst>
        </c:ser>
        <c:dLbls>
          <c:dLblPos val="inBase"/>
          <c:showLegendKey val="0"/>
          <c:showVal val="1"/>
          <c:showCatName val="0"/>
          <c:showSerName val="0"/>
          <c:showPercent val="0"/>
          <c:showBubbleSize val="0"/>
        </c:dLbls>
        <c:gapWidth val="150"/>
        <c:axId val="324988928"/>
        <c:axId val="324990464"/>
      </c:barChart>
      <c:catAx>
        <c:axId val="324988928"/>
        <c:scaling>
          <c:orientation val="minMax"/>
        </c:scaling>
        <c:delete val="0"/>
        <c:axPos val="b"/>
        <c:numFmt formatCode="General" sourceLinked="1"/>
        <c:majorTickMark val="out"/>
        <c:minorTickMark val="none"/>
        <c:tickLblPos val="nextTo"/>
        <c:crossAx val="324990464"/>
        <c:crosses val="autoZero"/>
        <c:auto val="1"/>
        <c:lblAlgn val="ctr"/>
        <c:lblOffset val="100"/>
        <c:noMultiLvlLbl val="0"/>
      </c:catAx>
      <c:valAx>
        <c:axId val="324990464"/>
        <c:scaling>
          <c:orientation val="minMax"/>
          <c:max val="100"/>
        </c:scaling>
        <c:delete val="0"/>
        <c:axPos val="l"/>
        <c:majorGridlines/>
        <c:numFmt formatCode="General" sourceLinked="1"/>
        <c:majorTickMark val="out"/>
        <c:minorTickMark val="none"/>
        <c:tickLblPos val="nextTo"/>
        <c:crossAx val="324988928"/>
        <c:crosses val="autoZero"/>
        <c:crossBetween val="between"/>
        <c:majorUnit val="10"/>
      </c:valAx>
    </c:plotArea>
    <c:legend>
      <c:legendPos val="r"/>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6.58</c:v>
                </c:pt>
              </c:numCache>
            </c:numRef>
          </c:val>
          <c:extLst>
            <c:ext xmlns:c16="http://schemas.microsoft.com/office/drawing/2014/chart" uri="{C3380CC4-5D6E-409C-BE32-E72D297353CC}">
              <c16:uniqueId val="{00000000-BA5B-4893-A3B3-C8F2E4EF3DCF}"/>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7.96</c:v>
                </c:pt>
              </c:numCache>
            </c:numRef>
          </c:val>
          <c:extLst>
            <c:ext xmlns:c16="http://schemas.microsoft.com/office/drawing/2014/chart" uri="{C3380CC4-5D6E-409C-BE32-E72D297353CC}">
              <c16:uniqueId val="{00000001-BA5B-4893-A3B3-C8F2E4EF3DCF}"/>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6.75</c:v>
                </c:pt>
              </c:numCache>
            </c:numRef>
          </c:val>
          <c:extLst>
            <c:ext xmlns:c16="http://schemas.microsoft.com/office/drawing/2014/chart" uri="{C3380CC4-5D6E-409C-BE32-E72D297353CC}">
              <c16:uniqueId val="{00000002-BA5B-4893-A3B3-C8F2E4EF3DCF}"/>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8.2100000000000009</c:v>
                </c:pt>
              </c:numCache>
            </c:numRef>
          </c:val>
          <c:extLst>
            <c:ext xmlns:c16="http://schemas.microsoft.com/office/drawing/2014/chart" uri="{C3380CC4-5D6E-409C-BE32-E72D297353CC}">
              <c16:uniqueId val="{00000003-BA5B-4893-A3B3-C8F2E4EF3DCF}"/>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7.38</c:v>
                </c:pt>
              </c:numCache>
            </c:numRef>
          </c:val>
          <c:extLst>
            <c:ext xmlns:c16="http://schemas.microsoft.com/office/drawing/2014/chart" uri="{C3380CC4-5D6E-409C-BE32-E72D297353CC}">
              <c16:uniqueId val="{00000004-BA5B-4893-A3B3-C8F2E4EF3DCF}"/>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7.83</c:v>
                </c:pt>
              </c:numCache>
            </c:numRef>
          </c:val>
          <c:extLst>
            <c:ext xmlns:c16="http://schemas.microsoft.com/office/drawing/2014/chart" uri="{C3380CC4-5D6E-409C-BE32-E72D297353CC}">
              <c16:uniqueId val="{00000005-BA5B-4893-A3B3-C8F2E4EF3DCF}"/>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7.05</c:v>
                </c:pt>
              </c:numCache>
            </c:numRef>
          </c:val>
          <c:extLst>
            <c:ext xmlns:c16="http://schemas.microsoft.com/office/drawing/2014/chart" uri="{C3380CC4-5D6E-409C-BE32-E72D297353CC}">
              <c16:uniqueId val="{00000006-BA5B-4893-A3B3-C8F2E4EF3DCF}"/>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6.25</c:v>
                </c:pt>
              </c:numCache>
            </c:numRef>
          </c:val>
          <c:extLst>
            <c:ext xmlns:c16="http://schemas.microsoft.com/office/drawing/2014/chart" uri="{C3380CC4-5D6E-409C-BE32-E72D297353CC}">
              <c16:uniqueId val="{00000007-BA5B-4893-A3B3-C8F2E4EF3DCF}"/>
            </c:ext>
          </c:extLst>
        </c:ser>
        <c:ser>
          <c:idx val="8"/>
          <c:order val="8"/>
          <c:tx>
            <c:strRef>
              <c:f>Лист1!$J$1</c:f>
              <c:strCache>
                <c:ptCount val="1"/>
                <c:pt idx="0">
                  <c:v>№9</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Лист1!$J$2</c:f>
              <c:numCache>
                <c:formatCode>General</c:formatCode>
                <c:ptCount val="1"/>
                <c:pt idx="0">
                  <c:v>5.99</c:v>
                </c:pt>
              </c:numCache>
            </c:numRef>
          </c:val>
          <c:extLst>
            <c:ext xmlns:c16="http://schemas.microsoft.com/office/drawing/2014/chart" uri="{C3380CC4-5D6E-409C-BE32-E72D297353CC}">
              <c16:uniqueId val="{00000008-BA5B-4893-A3B3-C8F2E4EF3DCF}"/>
            </c:ext>
          </c:extLst>
        </c:ser>
        <c:ser>
          <c:idx val="9"/>
          <c:order val="9"/>
          <c:tx>
            <c:strRef>
              <c:f>Лист1!$K$1</c:f>
              <c:strCache>
                <c:ptCount val="1"/>
                <c:pt idx="0">
                  <c:v>№10</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Лист1!$K$2</c:f>
              <c:numCache>
                <c:formatCode>General</c:formatCode>
                <c:ptCount val="1"/>
                <c:pt idx="0">
                  <c:v>6.38</c:v>
                </c:pt>
              </c:numCache>
            </c:numRef>
          </c:val>
          <c:extLst>
            <c:ext xmlns:c16="http://schemas.microsoft.com/office/drawing/2014/chart" uri="{C3380CC4-5D6E-409C-BE32-E72D297353CC}">
              <c16:uniqueId val="{00000009-BA5B-4893-A3B3-C8F2E4EF3DCF}"/>
            </c:ext>
          </c:extLst>
        </c:ser>
        <c:ser>
          <c:idx val="10"/>
          <c:order val="10"/>
          <c:tx>
            <c:strRef>
              <c:f>Лист1!$L$1</c:f>
              <c:strCache>
                <c:ptCount val="1"/>
                <c:pt idx="0">
                  <c:v>№11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Лист1!$L$2</c:f>
              <c:numCache>
                <c:formatCode>General</c:formatCode>
                <c:ptCount val="1"/>
                <c:pt idx="0">
                  <c:v>6.32</c:v>
                </c:pt>
              </c:numCache>
            </c:numRef>
          </c:val>
          <c:extLst>
            <c:ext xmlns:c16="http://schemas.microsoft.com/office/drawing/2014/chart" uri="{C3380CC4-5D6E-409C-BE32-E72D297353CC}">
              <c16:uniqueId val="{0000000A-BA5B-4893-A3B3-C8F2E4EF3DCF}"/>
            </c:ext>
          </c:extLst>
        </c:ser>
        <c:ser>
          <c:idx val="11"/>
          <c:order val="11"/>
          <c:tx>
            <c:strRef>
              <c:f>Лист1!$M$1</c:f>
              <c:strCache>
                <c:ptCount val="1"/>
                <c:pt idx="0">
                  <c:v>№12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Лист1!$M$2</c:f>
              <c:numCache>
                <c:formatCode>General</c:formatCode>
                <c:ptCount val="1"/>
                <c:pt idx="0">
                  <c:v>6.48</c:v>
                </c:pt>
              </c:numCache>
            </c:numRef>
          </c:val>
          <c:extLst>
            <c:ext xmlns:c16="http://schemas.microsoft.com/office/drawing/2014/chart" uri="{C3380CC4-5D6E-409C-BE32-E72D297353CC}">
              <c16:uniqueId val="{0000000B-BA5B-4893-A3B3-C8F2E4EF3DCF}"/>
            </c:ext>
          </c:extLst>
        </c:ser>
        <c:dLbls>
          <c:dLblPos val="inBase"/>
          <c:showLegendKey val="0"/>
          <c:showVal val="1"/>
          <c:showCatName val="0"/>
          <c:showSerName val="0"/>
          <c:showPercent val="0"/>
          <c:showBubbleSize val="0"/>
        </c:dLbls>
        <c:gapWidth val="150"/>
        <c:axId val="325286912"/>
        <c:axId val="325292800"/>
      </c:barChart>
      <c:catAx>
        <c:axId val="325286912"/>
        <c:scaling>
          <c:orientation val="minMax"/>
        </c:scaling>
        <c:delete val="0"/>
        <c:axPos val="b"/>
        <c:numFmt formatCode="General" sourceLinked="1"/>
        <c:majorTickMark val="out"/>
        <c:minorTickMark val="none"/>
        <c:tickLblPos val="nextTo"/>
        <c:crossAx val="325292800"/>
        <c:crosses val="autoZero"/>
        <c:auto val="1"/>
        <c:lblAlgn val="ctr"/>
        <c:lblOffset val="100"/>
        <c:noMultiLvlLbl val="0"/>
      </c:catAx>
      <c:valAx>
        <c:axId val="325292800"/>
        <c:scaling>
          <c:orientation val="minMax"/>
          <c:max val="100"/>
        </c:scaling>
        <c:delete val="0"/>
        <c:axPos val="l"/>
        <c:majorGridlines/>
        <c:numFmt formatCode="General" sourceLinked="1"/>
        <c:majorTickMark val="out"/>
        <c:minorTickMark val="none"/>
        <c:tickLblPos val="nextTo"/>
        <c:crossAx val="325286912"/>
        <c:crosses val="autoZero"/>
        <c:crossBetween val="between"/>
        <c:majorUnit val="10"/>
        <c:minorUnit val="10"/>
      </c:valAx>
    </c:plotArea>
    <c:legend>
      <c:legendPos val="r"/>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8.52</c:v>
                </c:pt>
              </c:numCache>
            </c:numRef>
          </c:val>
          <c:extLst>
            <c:ext xmlns:c16="http://schemas.microsoft.com/office/drawing/2014/chart" uri="{C3380CC4-5D6E-409C-BE32-E72D297353CC}">
              <c16:uniqueId val="{00000000-B386-4B5C-A5A8-63D1108EA432}"/>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5.82</c:v>
                </c:pt>
              </c:numCache>
            </c:numRef>
          </c:val>
          <c:extLst>
            <c:ext xmlns:c16="http://schemas.microsoft.com/office/drawing/2014/chart" uri="{C3380CC4-5D6E-409C-BE32-E72D297353CC}">
              <c16:uniqueId val="{00000001-B386-4B5C-A5A8-63D1108EA432}"/>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7.11</c:v>
                </c:pt>
              </c:numCache>
            </c:numRef>
          </c:val>
          <c:extLst>
            <c:ext xmlns:c16="http://schemas.microsoft.com/office/drawing/2014/chart" uri="{C3380CC4-5D6E-409C-BE32-E72D297353CC}">
              <c16:uniqueId val="{00000002-B386-4B5C-A5A8-63D1108EA432}"/>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7.54</c:v>
                </c:pt>
              </c:numCache>
            </c:numRef>
          </c:val>
          <c:extLst>
            <c:ext xmlns:c16="http://schemas.microsoft.com/office/drawing/2014/chart" uri="{C3380CC4-5D6E-409C-BE32-E72D297353CC}">
              <c16:uniqueId val="{00000003-B386-4B5C-A5A8-63D1108EA432}"/>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7.83</c:v>
                </c:pt>
              </c:numCache>
            </c:numRef>
          </c:val>
          <c:extLst>
            <c:ext xmlns:c16="http://schemas.microsoft.com/office/drawing/2014/chart" uri="{C3380CC4-5D6E-409C-BE32-E72D297353CC}">
              <c16:uniqueId val="{00000004-B386-4B5C-A5A8-63D1108EA432}"/>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6.78</c:v>
                </c:pt>
              </c:numCache>
            </c:numRef>
          </c:val>
          <c:extLst>
            <c:ext xmlns:c16="http://schemas.microsoft.com/office/drawing/2014/chart" uri="{C3380CC4-5D6E-409C-BE32-E72D297353CC}">
              <c16:uniqueId val="{00000005-B386-4B5C-A5A8-63D1108EA432}"/>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6.48</c:v>
                </c:pt>
              </c:numCache>
            </c:numRef>
          </c:val>
          <c:extLst>
            <c:ext xmlns:c16="http://schemas.microsoft.com/office/drawing/2014/chart" uri="{C3380CC4-5D6E-409C-BE32-E72D297353CC}">
              <c16:uniqueId val="{00000006-B386-4B5C-A5A8-63D1108EA432}"/>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7.83</c:v>
                </c:pt>
              </c:numCache>
            </c:numRef>
          </c:val>
          <c:extLst>
            <c:ext xmlns:c16="http://schemas.microsoft.com/office/drawing/2014/chart" uri="{C3380CC4-5D6E-409C-BE32-E72D297353CC}">
              <c16:uniqueId val="{00000007-B386-4B5C-A5A8-63D1108EA432}"/>
            </c:ext>
          </c:extLst>
        </c:ser>
        <c:dLbls>
          <c:dLblPos val="inBase"/>
          <c:showLegendKey val="0"/>
          <c:showVal val="1"/>
          <c:showCatName val="0"/>
          <c:showSerName val="0"/>
          <c:showPercent val="0"/>
          <c:showBubbleSize val="0"/>
        </c:dLbls>
        <c:gapWidth val="150"/>
        <c:axId val="330510720"/>
        <c:axId val="330512256"/>
      </c:barChart>
      <c:catAx>
        <c:axId val="330510720"/>
        <c:scaling>
          <c:orientation val="minMax"/>
        </c:scaling>
        <c:delete val="0"/>
        <c:axPos val="b"/>
        <c:numFmt formatCode="General" sourceLinked="1"/>
        <c:majorTickMark val="out"/>
        <c:minorTickMark val="none"/>
        <c:tickLblPos val="nextTo"/>
        <c:crossAx val="330512256"/>
        <c:crosses val="autoZero"/>
        <c:auto val="1"/>
        <c:lblAlgn val="ctr"/>
        <c:lblOffset val="100"/>
        <c:noMultiLvlLbl val="0"/>
      </c:catAx>
      <c:valAx>
        <c:axId val="330512256"/>
        <c:scaling>
          <c:orientation val="minMax"/>
          <c:max val="100"/>
        </c:scaling>
        <c:delete val="0"/>
        <c:axPos val="l"/>
        <c:majorGridlines/>
        <c:numFmt formatCode="General" sourceLinked="1"/>
        <c:majorTickMark val="out"/>
        <c:minorTickMark val="none"/>
        <c:tickLblPos val="nextTo"/>
        <c:crossAx val="330510720"/>
        <c:crosses val="autoZero"/>
        <c:crossBetween val="between"/>
        <c:majorUnit val="10"/>
        <c:minorUnit val="10"/>
      </c:valAx>
    </c:plotArea>
    <c:legend>
      <c:legendPos val="r"/>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87.5</c:v>
                </c:pt>
              </c:numCache>
            </c:numRef>
          </c:val>
          <c:extLst>
            <c:ext xmlns:c16="http://schemas.microsoft.com/office/drawing/2014/chart" uri="{C3380CC4-5D6E-409C-BE32-E72D297353CC}">
              <c16:uniqueId val="{00000000-5D55-4499-BA4B-87C7155ACA63}"/>
            </c:ext>
          </c:extLst>
        </c:ser>
        <c:ser>
          <c:idx val="1"/>
          <c:order val="1"/>
          <c:tx>
            <c:strRef>
              <c:f>Лист1!$C$1</c:f>
              <c:strCache>
                <c:ptCount val="1"/>
                <c:pt idx="0">
                  <c:v>№2</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5.6</c:v>
                </c:pt>
              </c:numCache>
            </c:numRef>
          </c:val>
          <c:extLst>
            <c:ext xmlns:c16="http://schemas.microsoft.com/office/drawing/2014/chart" uri="{C3380CC4-5D6E-409C-BE32-E72D297353CC}">
              <c16:uniqueId val="{00000001-5D55-4499-BA4B-87C7155ACA63}"/>
            </c:ext>
          </c:extLst>
        </c:ser>
        <c:ser>
          <c:idx val="2"/>
          <c:order val="2"/>
          <c:tx>
            <c:strRef>
              <c:f>Лист1!$D$1</c:f>
              <c:strCache>
                <c:ptCount val="1"/>
                <c:pt idx="0">
                  <c:v>№3</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1072.9000000000001</c:v>
                </c:pt>
              </c:numCache>
            </c:numRef>
          </c:val>
          <c:extLst>
            <c:ext xmlns:c16="http://schemas.microsoft.com/office/drawing/2014/chart" uri="{C3380CC4-5D6E-409C-BE32-E72D297353CC}">
              <c16:uniqueId val="{00000002-5D55-4499-BA4B-87C7155ACA63}"/>
            </c:ext>
          </c:extLst>
        </c:ser>
        <c:ser>
          <c:idx val="3"/>
          <c:order val="3"/>
          <c:tx>
            <c:strRef>
              <c:f>Лист1!$E$1</c:f>
              <c:strCache>
                <c:ptCount val="1"/>
                <c:pt idx="0">
                  <c:v>№4</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#,##0.00</c:formatCode>
                <c:ptCount val="1"/>
                <c:pt idx="0">
                  <c:v>14575.9</c:v>
                </c:pt>
              </c:numCache>
            </c:numRef>
          </c:val>
          <c:extLst>
            <c:ext xmlns:c16="http://schemas.microsoft.com/office/drawing/2014/chart" uri="{C3380CC4-5D6E-409C-BE32-E72D297353CC}">
              <c16:uniqueId val="{00000003-5D55-4499-BA4B-87C7155ACA63}"/>
            </c:ext>
          </c:extLst>
        </c:ser>
        <c:ser>
          <c:idx val="4"/>
          <c:order val="4"/>
          <c:tx>
            <c:strRef>
              <c:f>Лист1!$F$1</c:f>
              <c:strCache>
                <c:ptCount val="1"/>
                <c:pt idx="0">
                  <c:v>№5</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#,##0.00</c:formatCode>
                <c:ptCount val="1"/>
                <c:pt idx="0">
                  <c:v>40000</c:v>
                </c:pt>
              </c:numCache>
            </c:numRef>
          </c:val>
          <c:extLst>
            <c:ext xmlns:c16="http://schemas.microsoft.com/office/drawing/2014/chart" uri="{C3380CC4-5D6E-409C-BE32-E72D297353CC}">
              <c16:uniqueId val="{00000004-5D55-4499-BA4B-87C7155ACA63}"/>
            </c:ext>
          </c:extLst>
        </c:ser>
        <c:ser>
          <c:idx val="5"/>
          <c:order val="5"/>
          <c:tx>
            <c:strRef>
              <c:f>Лист1!$G$1</c:f>
              <c:strCache>
                <c:ptCount val="1"/>
                <c:pt idx="0">
                  <c:v>№6</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#,##0.00</c:formatCode>
                <c:ptCount val="1"/>
                <c:pt idx="0">
                  <c:v>10473.9</c:v>
                </c:pt>
              </c:numCache>
            </c:numRef>
          </c:val>
          <c:extLst>
            <c:ext xmlns:c16="http://schemas.microsoft.com/office/drawing/2014/chart" uri="{C3380CC4-5D6E-409C-BE32-E72D297353CC}">
              <c16:uniqueId val="{00000005-5D55-4499-BA4B-87C7155ACA63}"/>
            </c:ext>
          </c:extLst>
        </c:ser>
        <c:ser>
          <c:idx val="6"/>
          <c:order val="6"/>
          <c:tx>
            <c:strRef>
              <c:f>Лист1!$H$1</c:f>
              <c:strCache>
                <c:ptCount val="1"/>
                <c:pt idx="0">
                  <c:v>№7</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#,##0.00</c:formatCode>
                <c:ptCount val="1"/>
                <c:pt idx="0">
                  <c:v>30170.799999999999</c:v>
                </c:pt>
              </c:numCache>
            </c:numRef>
          </c:val>
          <c:extLst>
            <c:ext xmlns:c16="http://schemas.microsoft.com/office/drawing/2014/chart" uri="{C3380CC4-5D6E-409C-BE32-E72D297353CC}">
              <c16:uniqueId val="{00000006-5D55-4499-BA4B-87C7155ACA63}"/>
            </c:ext>
          </c:extLst>
        </c:ser>
        <c:ser>
          <c:idx val="7"/>
          <c:order val="7"/>
          <c:tx>
            <c:strRef>
              <c:f>Лист1!$I$1</c:f>
              <c:strCache>
                <c:ptCount val="1"/>
                <c:pt idx="0">
                  <c:v>№8</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1845.9</c:v>
                </c:pt>
              </c:numCache>
            </c:numRef>
          </c:val>
          <c:extLst>
            <c:ext xmlns:c16="http://schemas.microsoft.com/office/drawing/2014/chart" uri="{C3380CC4-5D6E-409C-BE32-E72D297353CC}">
              <c16:uniqueId val="{00000007-5D55-4499-BA4B-87C7155ACA63}"/>
            </c:ext>
          </c:extLst>
        </c:ser>
        <c:ser>
          <c:idx val="8"/>
          <c:order val="8"/>
          <c:tx>
            <c:strRef>
              <c:f>Лист1!$J$1</c:f>
              <c:strCache>
                <c:ptCount val="1"/>
                <c:pt idx="0">
                  <c:v>№9</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Лист1!$J$2</c:f>
              <c:numCache>
                <c:formatCode>General</c:formatCode>
                <c:ptCount val="1"/>
                <c:pt idx="0">
                  <c:v>546.4</c:v>
                </c:pt>
              </c:numCache>
            </c:numRef>
          </c:val>
          <c:extLst>
            <c:ext xmlns:c16="http://schemas.microsoft.com/office/drawing/2014/chart" uri="{C3380CC4-5D6E-409C-BE32-E72D297353CC}">
              <c16:uniqueId val="{00000008-5D55-4499-BA4B-87C7155ACA63}"/>
            </c:ext>
          </c:extLst>
        </c:ser>
        <c:ser>
          <c:idx val="9"/>
          <c:order val="9"/>
          <c:tx>
            <c:strRef>
              <c:f>Лист1!$K$1</c:f>
              <c:strCache>
                <c:ptCount val="1"/>
                <c:pt idx="0">
                  <c:v>№10</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Лист1!$K$2</c:f>
              <c:numCache>
                <c:formatCode>#,##0.00</c:formatCode>
                <c:ptCount val="1"/>
                <c:pt idx="0">
                  <c:v>40000</c:v>
                </c:pt>
              </c:numCache>
            </c:numRef>
          </c:val>
          <c:extLst>
            <c:ext xmlns:c16="http://schemas.microsoft.com/office/drawing/2014/chart" uri="{C3380CC4-5D6E-409C-BE32-E72D297353CC}">
              <c16:uniqueId val="{00000009-5D55-4499-BA4B-87C7155ACA63}"/>
            </c:ext>
          </c:extLst>
        </c:ser>
        <c:ser>
          <c:idx val="10"/>
          <c:order val="10"/>
          <c:tx>
            <c:strRef>
              <c:f>Лист1!$L$1</c:f>
              <c:strCache>
                <c:ptCount val="1"/>
                <c:pt idx="0">
                  <c:v>№11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Лист1!$L$2</c:f>
              <c:numCache>
                <c:formatCode>General</c:formatCode>
                <c:ptCount val="1"/>
                <c:pt idx="0">
                  <c:v>545</c:v>
                </c:pt>
              </c:numCache>
            </c:numRef>
          </c:val>
          <c:extLst>
            <c:ext xmlns:c16="http://schemas.microsoft.com/office/drawing/2014/chart" uri="{C3380CC4-5D6E-409C-BE32-E72D297353CC}">
              <c16:uniqueId val="{0000000A-5D55-4499-BA4B-87C7155ACA63}"/>
            </c:ext>
          </c:extLst>
        </c:ser>
        <c:ser>
          <c:idx val="11"/>
          <c:order val="11"/>
          <c:tx>
            <c:strRef>
              <c:f>Лист1!$M$1</c:f>
              <c:strCache>
                <c:ptCount val="1"/>
                <c:pt idx="0">
                  <c:v>№12</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Лист1!$M$2</c:f>
              <c:numCache>
                <c:formatCode>General</c:formatCode>
                <c:ptCount val="1"/>
                <c:pt idx="0">
                  <c:v>663.4</c:v>
                </c:pt>
              </c:numCache>
            </c:numRef>
          </c:val>
          <c:extLst>
            <c:ext xmlns:c16="http://schemas.microsoft.com/office/drawing/2014/chart" uri="{C3380CC4-5D6E-409C-BE32-E72D297353CC}">
              <c16:uniqueId val="{0000000B-5D55-4499-BA4B-87C7155ACA63}"/>
            </c:ext>
          </c:extLst>
        </c:ser>
        <c:dLbls>
          <c:dLblPos val="outEnd"/>
          <c:showLegendKey val="0"/>
          <c:showVal val="1"/>
          <c:showCatName val="0"/>
          <c:showSerName val="0"/>
          <c:showPercent val="0"/>
          <c:showBubbleSize val="0"/>
        </c:dLbls>
        <c:gapWidth val="150"/>
        <c:axId val="349569024"/>
        <c:axId val="349570560"/>
      </c:barChart>
      <c:catAx>
        <c:axId val="349569024"/>
        <c:scaling>
          <c:orientation val="minMax"/>
        </c:scaling>
        <c:delete val="0"/>
        <c:axPos val="b"/>
        <c:numFmt formatCode="General" sourceLinked="1"/>
        <c:majorTickMark val="out"/>
        <c:minorTickMark val="none"/>
        <c:tickLblPos val="nextTo"/>
        <c:crossAx val="349570560"/>
        <c:crosses val="autoZero"/>
        <c:auto val="1"/>
        <c:lblAlgn val="ctr"/>
        <c:lblOffset val="100"/>
        <c:noMultiLvlLbl val="0"/>
      </c:catAx>
      <c:valAx>
        <c:axId val="349570560"/>
        <c:scaling>
          <c:orientation val="minMax"/>
        </c:scaling>
        <c:delete val="0"/>
        <c:axPos val="l"/>
        <c:majorGridlines/>
        <c:numFmt formatCode="General" sourceLinked="1"/>
        <c:majorTickMark val="out"/>
        <c:minorTickMark val="none"/>
        <c:tickLblPos val="nextTo"/>
        <c:crossAx val="349569024"/>
        <c:crosses val="autoZero"/>
        <c:crossBetween val="between"/>
      </c:valAx>
    </c:plotArea>
    <c:legend>
      <c:legendPos val="r"/>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491.7</c:v>
                </c:pt>
              </c:numCache>
            </c:numRef>
          </c:val>
          <c:extLst>
            <c:ext xmlns:c16="http://schemas.microsoft.com/office/drawing/2014/chart" uri="{C3380CC4-5D6E-409C-BE32-E72D297353CC}">
              <c16:uniqueId val="{00000000-1A72-4EA5-BF2C-8684DEFB147B}"/>
            </c:ext>
          </c:extLst>
        </c:ser>
        <c:ser>
          <c:idx val="1"/>
          <c:order val="1"/>
          <c:tx>
            <c:strRef>
              <c:f>Лист1!$C$1</c:f>
              <c:strCache>
                <c:ptCount val="1"/>
                <c:pt idx="0">
                  <c:v>№2</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#,##0.00</c:formatCode>
                <c:ptCount val="1"/>
                <c:pt idx="0">
                  <c:v>40000</c:v>
                </c:pt>
              </c:numCache>
            </c:numRef>
          </c:val>
          <c:extLst>
            <c:ext xmlns:c16="http://schemas.microsoft.com/office/drawing/2014/chart" uri="{C3380CC4-5D6E-409C-BE32-E72D297353CC}">
              <c16:uniqueId val="{00000001-1A72-4EA5-BF2C-8684DEFB147B}"/>
            </c:ext>
          </c:extLst>
        </c:ser>
        <c:ser>
          <c:idx val="2"/>
          <c:order val="2"/>
          <c:tx>
            <c:strRef>
              <c:f>Лист1!$D$1</c:f>
              <c:strCache>
                <c:ptCount val="1"/>
                <c:pt idx="0">
                  <c:v>№3</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#,##0.00</c:formatCode>
                <c:ptCount val="1"/>
                <c:pt idx="0">
                  <c:v>40000</c:v>
                </c:pt>
              </c:numCache>
            </c:numRef>
          </c:val>
          <c:extLst>
            <c:ext xmlns:c16="http://schemas.microsoft.com/office/drawing/2014/chart" uri="{C3380CC4-5D6E-409C-BE32-E72D297353CC}">
              <c16:uniqueId val="{00000002-1A72-4EA5-BF2C-8684DEFB147B}"/>
            </c:ext>
          </c:extLst>
        </c:ser>
        <c:ser>
          <c:idx val="3"/>
          <c:order val="3"/>
          <c:tx>
            <c:strRef>
              <c:f>Лист1!$E$1</c:f>
              <c:strCache>
                <c:ptCount val="1"/>
                <c:pt idx="0">
                  <c:v>№4</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#,##0.00</c:formatCode>
                <c:ptCount val="1"/>
                <c:pt idx="0">
                  <c:v>11018.3</c:v>
                </c:pt>
              </c:numCache>
            </c:numRef>
          </c:val>
          <c:extLst>
            <c:ext xmlns:c16="http://schemas.microsoft.com/office/drawing/2014/chart" uri="{C3380CC4-5D6E-409C-BE32-E72D297353CC}">
              <c16:uniqueId val="{00000003-1A72-4EA5-BF2C-8684DEFB147B}"/>
            </c:ext>
          </c:extLst>
        </c:ser>
        <c:ser>
          <c:idx val="4"/>
          <c:order val="4"/>
          <c:tx>
            <c:strRef>
              <c:f>Лист1!$F$1</c:f>
              <c:strCache>
                <c:ptCount val="1"/>
                <c:pt idx="0">
                  <c:v>№5</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6583.3</c:v>
                </c:pt>
              </c:numCache>
            </c:numRef>
          </c:val>
          <c:extLst>
            <c:ext xmlns:c16="http://schemas.microsoft.com/office/drawing/2014/chart" uri="{C3380CC4-5D6E-409C-BE32-E72D297353CC}">
              <c16:uniqueId val="{00000004-1A72-4EA5-BF2C-8684DEFB147B}"/>
            </c:ext>
          </c:extLst>
        </c:ser>
        <c:ser>
          <c:idx val="5"/>
          <c:order val="5"/>
          <c:tx>
            <c:strRef>
              <c:f>Лист1!$G$1</c:f>
              <c:strCache>
                <c:ptCount val="1"/>
                <c:pt idx="0">
                  <c:v>№6</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#,##0.00</c:formatCode>
                <c:ptCount val="1"/>
                <c:pt idx="0">
                  <c:v>40000</c:v>
                </c:pt>
              </c:numCache>
            </c:numRef>
          </c:val>
          <c:extLst>
            <c:ext xmlns:c16="http://schemas.microsoft.com/office/drawing/2014/chart" uri="{C3380CC4-5D6E-409C-BE32-E72D297353CC}">
              <c16:uniqueId val="{00000005-1A72-4EA5-BF2C-8684DEFB147B}"/>
            </c:ext>
          </c:extLst>
        </c:ser>
        <c:ser>
          <c:idx val="6"/>
          <c:order val="6"/>
          <c:tx>
            <c:strRef>
              <c:f>Лист1!$H$1</c:f>
              <c:strCache>
                <c:ptCount val="1"/>
                <c:pt idx="0">
                  <c:v>№7</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1512.1</c:v>
                </c:pt>
              </c:numCache>
            </c:numRef>
          </c:val>
          <c:extLst>
            <c:ext xmlns:c16="http://schemas.microsoft.com/office/drawing/2014/chart" uri="{C3380CC4-5D6E-409C-BE32-E72D297353CC}">
              <c16:uniqueId val="{00000006-1A72-4EA5-BF2C-8684DEFB147B}"/>
            </c:ext>
          </c:extLst>
        </c:ser>
        <c:ser>
          <c:idx val="7"/>
          <c:order val="7"/>
          <c:tx>
            <c:strRef>
              <c:f>Лист1!$I$1</c:f>
              <c:strCache>
                <c:ptCount val="1"/>
                <c:pt idx="0">
                  <c:v>№8</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504</c:v>
                </c:pt>
              </c:numCache>
            </c:numRef>
          </c:val>
          <c:extLst>
            <c:ext xmlns:c16="http://schemas.microsoft.com/office/drawing/2014/chart" uri="{C3380CC4-5D6E-409C-BE32-E72D297353CC}">
              <c16:uniqueId val="{00000007-1A72-4EA5-BF2C-8684DEFB147B}"/>
            </c:ext>
          </c:extLst>
        </c:ser>
        <c:dLbls>
          <c:dLblPos val="outEnd"/>
          <c:showLegendKey val="0"/>
          <c:showVal val="1"/>
          <c:showCatName val="0"/>
          <c:showSerName val="0"/>
          <c:showPercent val="0"/>
          <c:showBubbleSize val="0"/>
        </c:dLbls>
        <c:gapWidth val="150"/>
        <c:axId val="349860992"/>
        <c:axId val="349862528"/>
      </c:barChart>
      <c:catAx>
        <c:axId val="349860992"/>
        <c:scaling>
          <c:orientation val="minMax"/>
        </c:scaling>
        <c:delete val="0"/>
        <c:axPos val="b"/>
        <c:numFmt formatCode="General" sourceLinked="1"/>
        <c:majorTickMark val="out"/>
        <c:minorTickMark val="none"/>
        <c:tickLblPos val="nextTo"/>
        <c:crossAx val="349862528"/>
        <c:crosses val="autoZero"/>
        <c:auto val="1"/>
        <c:lblAlgn val="ctr"/>
        <c:lblOffset val="100"/>
        <c:noMultiLvlLbl val="0"/>
      </c:catAx>
      <c:valAx>
        <c:axId val="349862528"/>
        <c:scaling>
          <c:orientation val="minMax"/>
        </c:scaling>
        <c:delete val="0"/>
        <c:axPos val="l"/>
        <c:majorGridlines/>
        <c:numFmt formatCode="General" sourceLinked="1"/>
        <c:majorTickMark val="out"/>
        <c:minorTickMark val="none"/>
        <c:tickLblPos val="nextTo"/>
        <c:crossAx val="34986099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Смертність</a:t>
            </a:r>
            <a:r>
              <a:rPr lang="ru-RU" baseline="0"/>
              <a:t> від ССЗ, в залежності від рівня АТ</a:t>
            </a:r>
            <a:endParaRPr lang="ru-RU"/>
          </a:p>
        </c:rich>
      </c:tx>
      <c:overlay val="0"/>
    </c:title>
    <c:autoTitleDeleted val="0"/>
    <c:plotArea>
      <c:layout/>
      <c:barChart>
        <c:barDir val="col"/>
        <c:grouping val="clustered"/>
        <c:varyColors val="0"/>
        <c:ser>
          <c:idx val="0"/>
          <c:order val="0"/>
          <c:tx>
            <c:strRef>
              <c:f>Лист1!$B$1</c:f>
              <c:strCache>
                <c:ptCount val="1"/>
                <c:pt idx="0">
                  <c:v>Чоловіки</c:v>
                </c:pt>
              </c:strCache>
            </c:strRef>
          </c:tx>
          <c:invertIfNegative val="0"/>
          <c:cat>
            <c:strRef>
              <c:f>Лист1!$A$2:$A$5</c:f>
              <c:strCache>
                <c:ptCount val="4"/>
                <c:pt idx="0">
                  <c:v>Нормальний АТ</c:v>
                </c:pt>
                <c:pt idx="1">
                  <c:v>АГ І ступеня</c:v>
                </c:pt>
                <c:pt idx="2">
                  <c:v>АГ ІІ ступеня</c:v>
                </c:pt>
                <c:pt idx="3">
                  <c:v>АГ ІІІ ступеня</c:v>
                </c:pt>
              </c:strCache>
            </c:strRef>
          </c:cat>
          <c:val>
            <c:numRef>
              <c:f>Лист1!$B$2:$B$5</c:f>
              <c:numCache>
                <c:formatCode>General</c:formatCode>
                <c:ptCount val="4"/>
                <c:pt idx="0">
                  <c:v>7</c:v>
                </c:pt>
                <c:pt idx="1">
                  <c:v>17</c:v>
                </c:pt>
                <c:pt idx="2">
                  <c:v>28</c:v>
                </c:pt>
                <c:pt idx="3">
                  <c:v>40</c:v>
                </c:pt>
              </c:numCache>
            </c:numRef>
          </c:val>
          <c:extLst>
            <c:ext xmlns:c16="http://schemas.microsoft.com/office/drawing/2014/chart" uri="{C3380CC4-5D6E-409C-BE32-E72D297353CC}">
              <c16:uniqueId val="{00000000-F83A-420B-92DC-D4A0D142A1A9}"/>
            </c:ext>
          </c:extLst>
        </c:ser>
        <c:ser>
          <c:idx val="1"/>
          <c:order val="1"/>
          <c:tx>
            <c:strRef>
              <c:f>Лист1!$C$1</c:f>
              <c:strCache>
                <c:ptCount val="1"/>
                <c:pt idx="0">
                  <c:v>Жінки</c:v>
                </c:pt>
              </c:strCache>
            </c:strRef>
          </c:tx>
          <c:invertIfNegative val="0"/>
          <c:cat>
            <c:strRef>
              <c:f>Лист1!$A$2:$A$5</c:f>
              <c:strCache>
                <c:ptCount val="4"/>
                <c:pt idx="0">
                  <c:v>Нормальний АТ</c:v>
                </c:pt>
                <c:pt idx="1">
                  <c:v>АГ І ступеня</c:v>
                </c:pt>
                <c:pt idx="2">
                  <c:v>АГ ІІ ступеня</c:v>
                </c:pt>
                <c:pt idx="3">
                  <c:v>АГ ІІІ ступеня</c:v>
                </c:pt>
              </c:strCache>
            </c:strRef>
          </c:cat>
          <c:val>
            <c:numRef>
              <c:f>Лист1!$C$2:$C$5</c:f>
              <c:numCache>
                <c:formatCode>General</c:formatCode>
                <c:ptCount val="4"/>
                <c:pt idx="0">
                  <c:v>4</c:v>
                </c:pt>
                <c:pt idx="1">
                  <c:v>6</c:v>
                </c:pt>
                <c:pt idx="2">
                  <c:v>15</c:v>
                </c:pt>
                <c:pt idx="3">
                  <c:v>30</c:v>
                </c:pt>
              </c:numCache>
            </c:numRef>
          </c:val>
          <c:extLst>
            <c:ext xmlns:c16="http://schemas.microsoft.com/office/drawing/2014/chart" uri="{C3380CC4-5D6E-409C-BE32-E72D297353CC}">
              <c16:uniqueId val="{00000001-F83A-420B-92DC-D4A0D142A1A9}"/>
            </c:ext>
          </c:extLst>
        </c:ser>
        <c:dLbls>
          <c:showLegendKey val="0"/>
          <c:showVal val="0"/>
          <c:showCatName val="0"/>
          <c:showSerName val="0"/>
          <c:showPercent val="0"/>
          <c:showBubbleSize val="0"/>
        </c:dLbls>
        <c:gapWidth val="150"/>
        <c:axId val="323204224"/>
        <c:axId val="323205760"/>
      </c:barChart>
      <c:catAx>
        <c:axId val="323204224"/>
        <c:scaling>
          <c:orientation val="minMax"/>
        </c:scaling>
        <c:delete val="0"/>
        <c:axPos val="b"/>
        <c:numFmt formatCode="General" sourceLinked="0"/>
        <c:majorTickMark val="out"/>
        <c:minorTickMark val="none"/>
        <c:tickLblPos val="nextTo"/>
        <c:crossAx val="323205760"/>
        <c:crosses val="autoZero"/>
        <c:auto val="1"/>
        <c:lblAlgn val="ctr"/>
        <c:lblOffset val="100"/>
        <c:noMultiLvlLbl val="0"/>
      </c:catAx>
      <c:valAx>
        <c:axId val="323205760"/>
        <c:scaling>
          <c:orientation val="minMax"/>
        </c:scaling>
        <c:delete val="0"/>
        <c:axPos val="l"/>
        <c:majorGridlines/>
        <c:numFmt formatCode="General" sourceLinked="1"/>
        <c:majorTickMark val="out"/>
        <c:minorTickMark val="none"/>
        <c:tickLblPos val="nextTo"/>
        <c:crossAx val="323204224"/>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Розподіл</a:t>
            </a:r>
            <a:r>
              <a:rPr lang="ru-RU" baseline="0"/>
              <a:t> обстежених за рівнем холестерину</a:t>
            </a:r>
            <a:endParaRPr lang="ru-RU"/>
          </a:p>
        </c:rich>
      </c:tx>
      <c:layout>
        <c:manualLayout>
          <c:xMode val="edge"/>
          <c:yMode val="edge"/>
          <c:x val="0.18292814960629919"/>
          <c:y val="2.7777777777777776E-2"/>
        </c:manualLayout>
      </c:layout>
      <c:overlay val="0"/>
    </c:title>
    <c:autoTitleDeleted val="0"/>
    <c:plotArea>
      <c:layout/>
      <c:barChart>
        <c:barDir val="col"/>
        <c:grouping val="clustered"/>
        <c:varyColors val="0"/>
        <c:ser>
          <c:idx val="0"/>
          <c:order val="0"/>
          <c:tx>
            <c:strRef>
              <c:f>Лист1!$B$1</c:f>
              <c:strCache>
                <c:ptCount val="1"/>
                <c:pt idx="0">
                  <c:v>жінки</c:v>
                </c:pt>
              </c:strCache>
            </c:strRef>
          </c:tx>
          <c:invertIfNegative val="0"/>
          <c:cat>
            <c:strRef>
              <c:f>Лист1!$A$2:$A$4</c:f>
              <c:strCache>
                <c:ptCount val="3"/>
                <c:pt idx="0">
                  <c:v>&lt;5,2 ммоль/л</c:v>
                </c:pt>
                <c:pt idx="1">
                  <c:v>5,2≤ХС&lt;6,2 ммоль/л</c:v>
                </c:pt>
                <c:pt idx="2">
                  <c:v>≥6,2 ммоль/л</c:v>
                </c:pt>
              </c:strCache>
            </c:strRef>
          </c:cat>
          <c:val>
            <c:numRef>
              <c:f>Лист1!$B$2:$B$4</c:f>
              <c:numCache>
                <c:formatCode>General</c:formatCode>
                <c:ptCount val="3"/>
                <c:pt idx="0">
                  <c:v>63</c:v>
                </c:pt>
                <c:pt idx="1">
                  <c:v>20</c:v>
                </c:pt>
                <c:pt idx="2">
                  <c:v>17</c:v>
                </c:pt>
              </c:numCache>
            </c:numRef>
          </c:val>
          <c:extLst>
            <c:ext xmlns:c16="http://schemas.microsoft.com/office/drawing/2014/chart" uri="{C3380CC4-5D6E-409C-BE32-E72D297353CC}">
              <c16:uniqueId val="{00000000-6C2C-4FEF-B8F7-D456CA4FFF96}"/>
            </c:ext>
          </c:extLst>
        </c:ser>
        <c:ser>
          <c:idx val="1"/>
          <c:order val="1"/>
          <c:tx>
            <c:strRef>
              <c:f>Лист1!$C$1</c:f>
              <c:strCache>
                <c:ptCount val="1"/>
                <c:pt idx="0">
                  <c:v>чоловіки</c:v>
                </c:pt>
              </c:strCache>
            </c:strRef>
          </c:tx>
          <c:invertIfNegative val="0"/>
          <c:cat>
            <c:strRef>
              <c:f>Лист1!$A$2:$A$4</c:f>
              <c:strCache>
                <c:ptCount val="3"/>
                <c:pt idx="0">
                  <c:v>&lt;5,2 ммоль/л</c:v>
                </c:pt>
                <c:pt idx="1">
                  <c:v>5,2≤ХС&lt;6,2 ммоль/л</c:v>
                </c:pt>
                <c:pt idx="2">
                  <c:v>≥6,2 ммоль/л</c:v>
                </c:pt>
              </c:strCache>
            </c:strRef>
          </c:cat>
          <c:val>
            <c:numRef>
              <c:f>Лист1!$C$2:$C$4</c:f>
              <c:numCache>
                <c:formatCode>General</c:formatCode>
                <c:ptCount val="3"/>
                <c:pt idx="0">
                  <c:v>50</c:v>
                </c:pt>
                <c:pt idx="1">
                  <c:v>19</c:v>
                </c:pt>
                <c:pt idx="2">
                  <c:v>31</c:v>
                </c:pt>
              </c:numCache>
            </c:numRef>
          </c:val>
          <c:extLst>
            <c:ext xmlns:c16="http://schemas.microsoft.com/office/drawing/2014/chart" uri="{C3380CC4-5D6E-409C-BE32-E72D297353CC}">
              <c16:uniqueId val="{00000001-6C2C-4FEF-B8F7-D456CA4FFF96}"/>
            </c:ext>
          </c:extLst>
        </c:ser>
        <c:dLbls>
          <c:showLegendKey val="0"/>
          <c:showVal val="0"/>
          <c:showCatName val="0"/>
          <c:showSerName val="0"/>
          <c:showPercent val="0"/>
          <c:showBubbleSize val="0"/>
        </c:dLbls>
        <c:gapWidth val="150"/>
        <c:axId val="323228032"/>
        <c:axId val="323229568"/>
      </c:barChart>
      <c:catAx>
        <c:axId val="323228032"/>
        <c:scaling>
          <c:orientation val="minMax"/>
        </c:scaling>
        <c:delete val="0"/>
        <c:axPos val="b"/>
        <c:numFmt formatCode="General" sourceLinked="0"/>
        <c:majorTickMark val="out"/>
        <c:minorTickMark val="none"/>
        <c:tickLblPos val="nextTo"/>
        <c:crossAx val="323229568"/>
        <c:crosses val="autoZero"/>
        <c:auto val="1"/>
        <c:lblAlgn val="ctr"/>
        <c:lblOffset val="100"/>
        <c:noMultiLvlLbl val="0"/>
      </c:catAx>
      <c:valAx>
        <c:axId val="323229568"/>
        <c:scaling>
          <c:orientation val="minMax"/>
        </c:scaling>
        <c:delete val="0"/>
        <c:axPos val="l"/>
        <c:majorGridlines/>
        <c:numFmt formatCode="General" sourceLinked="1"/>
        <c:majorTickMark val="out"/>
        <c:minorTickMark val="none"/>
        <c:tickLblPos val="nextTo"/>
        <c:crossAx val="323228032"/>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600" b="0" i="0">
                <a:latin typeface="Times New Roman" pitchFamily="18" charset="0"/>
                <a:cs typeface="Times New Roman" pitchFamily="18" charset="0"/>
              </a:rPr>
              <a:t>Розподіл хворих за статтю і віком</a:t>
            </a:r>
          </a:p>
        </c:rich>
      </c:tx>
      <c:overlay val="0"/>
    </c:title>
    <c:autoTitleDeleted val="0"/>
    <c:plotArea>
      <c:layout>
        <c:manualLayout>
          <c:layoutTarget val="inner"/>
          <c:xMode val="edge"/>
          <c:yMode val="edge"/>
          <c:x val="0.10610527850685331"/>
          <c:y val="0.18068024065505478"/>
          <c:w val="0.83324074074074073"/>
          <c:h val="0.73219008800370544"/>
        </c:manualLayout>
      </c:layout>
      <c:barChart>
        <c:barDir val="col"/>
        <c:grouping val="clustered"/>
        <c:varyColors val="0"/>
        <c:ser>
          <c:idx val="0"/>
          <c:order val="0"/>
          <c:tx>
            <c:strRef>
              <c:f>Лист1!$B$1</c:f>
              <c:strCache>
                <c:ptCount val="1"/>
                <c:pt idx="0">
                  <c:v>чоловіки </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30-39</c:v>
                </c:pt>
                <c:pt idx="1">
                  <c:v>40-49</c:v>
                </c:pt>
                <c:pt idx="2">
                  <c:v>50-59</c:v>
                </c:pt>
                <c:pt idx="3">
                  <c:v>60-69</c:v>
                </c:pt>
                <c:pt idx="4">
                  <c:v>70-79</c:v>
                </c:pt>
                <c:pt idx="5">
                  <c:v>80-89</c:v>
                </c:pt>
              </c:strCache>
            </c:strRef>
          </c:cat>
          <c:val>
            <c:numRef>
              <c:f>Лист1!$B$2:$B$7</c:f>
              <c:numCache>
                <c:formatCode>0%</c:formatCode>
                <c:ptCount val="6"/>
                <c:pt idx="0">
                  <c:v>0.05</c:v>
                </c:pt>
                <c:pt idx="1">
                  <c:v>0.05</c:v>
                </c:pt>
                <c:pt idx="2">
                  <c:v>0.05</c:v>
                </c:pt>
                <c:pt idx="3">
                  <c:v>0.2</c:v>
                </c:pt>
                <c:pt idx="4">
                  <c:v>0.15</c:v>
                </c:pt>
                <c:pt idx="5">
                  <c:v>0.1</c:v>
                </c:pt>
              </c:numCache>
            </c:numRef>
          </c:val>
          <c:extLst>
            <c:ext xmlns:c16="http://schemas.microsoft.com/office/drawing/2014/chart" uri="{C3380CC4-5D6E-409C-BE32-E72D297353CC}">
              <c16:uniqueId val="{00000000-8FFF-41A6-AF22-8984E3444351}"/>
            </c:ext>
          </c:extLst>
        </c:ser>
        <c:ser>
          <c:idx val="1"/>
          <c:order val="1"/>
          <c:tx>
            <c:strRef>
              <c:f>Лист1!$C$1</c:f>
              <c:strCache>
                <c:ptCount val="1"/>
                <c:pt idx="0">
                  <c:v>жінки</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30-39</c:v>
                </c:pt>
                <c:pt idx="1">
                  <c:v>40-49</c:v>
                </c:pt>
                <c:pt idx="2">
                  <c:v>50-59</c:v>
                </c:pt>
                <c:pt idx="3">
                  <c:v>60-69</c:v>
                </c:pt>
                <c:pt idx="4">
                  <c:v>70-79</c:v>
                </c:pt>
                <c:pt idx="5">
                  <c:v>80-89</c:v>
                </c:pt>
              </c:strCache>
            </c:strRef>
          </c:cat>
          <c:val>
            <c:numRef>
              <c:f>Лист1!$C$2:$C$7</c:f>
              <c:numCache>
                <c:formatCode>0%</c:formatCode>
                <c:ptCount val="6"/>
                <c:pt idx="0">
                  <c:v>0</c:v>
                </c:pt>
                <c:pt idx="1">
                  <c:v>0.05</c:v>
                </c:pt>
                <c:pt idx="2">
                  <c:v>0</c:v>
                </c:pt>
                <c:pt idx="3">
                  <c:v>0</c:v>
                </c:pt>
                <c:pt idx="4">
                  <c:v>0.15</c:v>
                </c:pt>
                <c:pt idx="5">
                  <c:v>0.2</c:v>
                </c:pt>
              </c:numCache>
            </c:numRef>
          </c:val>
          <c:extLst>
            <c:ext xmlns:c16="http://schemas.microsoft.com/office/drawing/2014/chart" uri="{C3380CC4-5D6E-409C-BE32-E72D297353CC}">
              <c16:uniqueId val="{00000001-8FFF-41A6-AF22-8984E3444351}"/>
            </c:ext>
          </c:extLst>
        </c:ser>
        <c:dLbls>
          <c:dLblPos val="outEnd"/>
          <c:showLegendKey val="0"/>
          <c:showVal val="1"/>
          <c:showCatName val="0"/>
          <c:showSerName val="0"/>
          <c:showPercent val="0"/>
          <c:showBubbleSize val="0"/>
        </c:dLbls>
        <c:gapWidth val="150"/>
        <c:axId val="323170688"/>
        <c:axId val="323172224"/>
      </c:barChart>
      <c:catAx>
        <c:axId val="323170688"/>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323172224"/>
        <c:crosses val="autoZero"/>
        <c:auto val="1"/>
        <c:lblAlgn val="ctr"/>
        <c:lblOffset val="100"/>
        <c:noMultiLvlLbl val="0"/>
      </c:catAx>
      <c:valAx>
        <c:axId val="323172224"/>
        <c:scaling>
          <c:orientation val="minMax"/>
          <c:max val="1"/>
        </c:scaling>
        <c:delete val="0"/>
        <c:axPos val="l"/>
        <c:majorGridlines/>
        <c:numFmt formatCode="0.0%"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323170688"/>
        <c:crosses val="autoZero"/>
        <c:crossBetween val="between"/>
      </c:valAx>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ru-RU"/>
              <a:t>Жінки</a:t>
            </a:r>
          </a:p>
        </c:rich>
      </c:tx>
      <c:overlay val="0"/>
    </c:title>
    <c:autoTitleDeleted val="0"/>
    <c:plotArea>
      <c:layout/>
      <c:barChart>
        <c:barDir val="col"/>
        <c:grouping val="clustered"/>
        <c:varyColors val="0"/>
        <c:ser>
          <c:idx val="0"/>
          <c:order val="0"/>
          <c:tx>
            <c:strRef>
              <c:f>Лист1!$B$1</c:f>
              <c:strCache>
                <c:ptCount val="1"/>
                <c:pt idx="0">
                  <c:v>гострий з елевацією ST задній ІМ</c:v>
                </c:pt>
              </c:strCache>
            </c:strRef>
          </c:tx>
          <c:invertIfNegative val="0"/>
          <c:cat>
            <c:numRef>
              <c:f>Лист1!$A$2</c:f>
              <c:numCache>
                <c:formatCode>0%</c:formatCode>
                <c:ptCount val="1"/>
              </c:numCache>
            </c:numRef>
          </c:cat>
          <c:val>
            <c:numRef>
              <c:f>Лист1!$B$2</c:f>
              <c:numCache>
                <c:formatCode>0%</c:formatCode>
                <c:ptCount val="1"/>
                <c:pt idx="0">
                  <c:v>0.01</c:v>
                </c:pt>
              </c:numCache>
            </c:numRef>
          </c:val>
          <c:extLst>
            <c:ext xmlns:c16="http://schemas.microsoft.com/office/drawing/2014/chart" uri="{C3380CC4-5D6E-409C-BE32-E72D297353CC}">
              <c16:uniqueId val="{00000000-276A-472B-978D-2EA5BA7FCB02}"/>
            </c:ext>
          </c:extLst>
        </c:ser>
        <c:ser>
          <c:idx val="1"/>
          <c:order val="1"/>
          <c:tx>
            <c:strRef>
              <c:f>Лист1!$C$1</c:f>
              <c:strCache>
                <c:ptCount val="1"/>
                <c:pt idx="0">
                  <c:v>гострий передній розповсюджений з елевацією ST ІМ</c:v>
                </c:pt>
              </c:strCache>
            </c:strRef>
          </c:tx>
          <c:invertIfNegative val="0"/>
          <c:cat>
            <c:numRef>
              <c:f>Лист1!$A$2</c:f>
              <c:numCache>
                <c:formatCode>0%</c:formatCode>
                <c:ptCount val="1"/>
              </c:numCache>
            </c:numRef>
          </c:cat>
          <c:val>
            <c:numRef>
              <c:f>Лист1!$C$2</c:f>
              <c:numCache>
                <c:formatCode>0%</c:formatCode>
                <c:ptCount val="1"/>
                <c:pt idx="0">
                  <c:v>0.02</c:v>
                </c:pt>
              </c:numCache>
            </c:numRef>
          </c:val>
          <c:extLst>
            <c:ext xmlns:c16="http://schemas.microsoft.com/office/drawing/2014/chart" uri="{C3380CC4-5D6E-409C-BE32-E72D297353CC}">
              <c16:uniqueId val="{00000001-276A-472B-978D-2EA5BA7FCB02}"/>
            </c:ext>
          </c:extLst>
        </c:ser>
        <c:ser>
          <c:idx val="2"/>
          <c:order val="2"/>
          <c:tx>
            <c:strRef>
              <c:f>Лист1!$D$1</c:f>
              <c:strCache>
                <c:ptCount val="1"/>
                <c:pt idx="0">
                  <c:v>тромбоемболія легеневої артерії</c:v>
                </c:pt>
              </c:strCache>
            </c:strRef>
          </c:tx>
          <c:invertIfNegative val="0"/>
          <c:cat>
            <c:numRef>
              <c:f>Лист1!$A$2</c:f>
              <c:numCache>
                <c:formatCode>0%</c:formatCode>
                <c:ptCount val="1"/>
              </c:numCache>
            </c:numRef>
          </c:cat>
          <c:val>
            <c:numRef>
              <c:f>Лист1!$D$2</c:f>
              <c:numCache>
                <c:formatCode>0%</c:formatCode>
                <c:ptCount val="1"/>
                <c:pt idx="0">
                  <c:v>0.01</c:v>
                </c:pt>
              </c:numCache>
            </c:numRef>
          </c:val>
          <c:extLst>
            <c:ext xmlns:c16="http://schemas.microsoft.com/office/drawing/2014/chart" uri="{C3380CC4-5D6E-409C-BE32-E72D297353CC}">
              <c16:uniqueId val="{00000002-276A-472B-978D-2EA5BA7FCB02}"/>
            </c:ext>
          </c:extLst>
        </c:ser>
        <c:ser>
          <c:idx val="3"/>
          <c:order val="3"/>
          <c:tx>
            <c:strRef>
              <c:f>Лист1!$E$1</c:f>
              <c:strCache>
                <c:ptCount val="1"/>
                <c:pt idx="0">
                  <c:v>гострий передній з елевацією ST ІМ</c:v>
                </c:pt>
              </c:strCache>
            </c:strRef>
          </c:tx>
          <c:invertIfNegative val="0"/>
          <c:cat>
            <c:numRef>
              <c:f>Лист1!$A$2</c:f>
              <c:numCache>
                <c:formatCode>0%</c:formatCode>
                <c:ptCount val="1"/>
              </c:numCache>
            </c:numRef>
          </c:cat>
          <c:val>
            <c:numRef>
              <c:f>Лист1!$E$2</c:f>
              <c:numCache>
                <c:formatCode>0%</c:formatCode>
                <c:ptCount val="1"/>
                <c:pt idx="0">
                  <c:v>0.02</c:v>
                </c:pt>
              </c:numCache>
            </c:numRef>
          </c:val>
          <c:extLst>
            <c:ext xmlns:c16="http://schemas.microsoft.com/office/drawing/2014/chart" uri="{C3380CC4-5D6E-409C-BE32-E72D297353CC}">
              <c16:uniqueId val="{00000003-276A-472B-978D-2EA5BA7FCB02}"/>
            </c:ext>
          </c:extLst>
        </c:ser>
        <c:ser>
          <c:idx val="4"/>
          <c:order val="4"/>
          <c:tx>
            <c:strRef>
              <c:f>Лист1!$F$1</c:f>
              <c:strCache>
                <c:ptCount val="1"/>
                <c:pt idx="0">
                  <c:v>гострий передній перетинковий ІМ</c:v>
                </c:pt>
              </c:strCache>
            </c:strRef>
          </c:tx>
          <c:invertIfNegative val="0"/>
          <c:cat>
            <c:numRef>
              <c:f>Лист1!$A$2</c:f>
              <c:numCache>
                <c:formatCode>0%</c:formatCode>
                <c:ptCount val="1"/>
              </c:numCache>
            </c:numRef>
          </c:cat>
          <c:val>
            <c:numRef>
              <c:f>Лист1!$F$2</c:f>
              <c:numCache>
                <c:formatCode>0%</c:formatCode>
                <c:ptCount val="1"/>
                <c:pt idx="0">
                  <c:v>0.01</c:v>
                </c:pt>
              </c:numCache>
            </c:numRef>
          </c:val>
          <c:extLst>
            <c:ext xmlns:c16="http://schemas.microsoft.com/office/drawing/2014/chart" uri="{C3380CC4-5D6E-409C-BE32-E72D297353CC}">
              <c16:uniqueId val="{00000004-276A-472B-978D-2EA5BA7FCB02}"/>
            </c:ext>
          </c:extLst>
        </c:ser>
        <c:ser>
          <c:idx val="5"/>
          <c:order val="5"/>
          <c:tx>
            <c:strRef>
              <c:f>Лист1!$G$1</c:f>
              <c:strCache>
                <c:ptCount val="1"/>
                <c:pt idx="0">
                  <c:v>церебральний атеросклероз</c:v>
                </c:pt>
              </c:strCache>
            </c:strRef>
          </c:tx>
          <c:invertIfNegative val="0"/>
          <c:cat>
            <c:numRef>
              <c:f>Лист1!$A$2</c:f>
              <c:numCache>
                <c:formatCode>0%</c:formatCode>
                <c:ptCount val="1"/>
              </c:numCache>
            </c:numRef>
          </c:cat>
          <c:val>
            <c:numRef>
              <c:f>Лист1!$G$2</c:f>
              <c:numCache>
                <c:formatCode>0%</c:formatCode>
                <c:ptCount val="1"/>
                <c:pt idx="0">
                  <c:v>0.01</c:v>
                </c:pt>
              </c:numCache>
            </c:numRef>
          </c:val>
          <c:extLst>
            <c:ext xmlns:c16="http://schemas.microsoft.com/office/drawing/2014/chart" uri="{C3380CC4-5D6E-409C-BE32-E72D297353CC}">
              <c16:uniqueId val="{00000005-276A-472B-978D-2EA5BA7FCB02}"/>
            </c:ext>
          </c:extLst>
        </c:ser>
        <c:dLbls>
          <c:showLegendKey val="0"/>
          <c:showVal val="0"/>
          <c:showCatName val="0"/>
          <c:showSerName val="0"/>
          <c:showPercent val="0"/>
          <c:showBubbleSize val="0"/>
        </c:dLbls>
        <c:gapWidth val="150"/>
        <c:axId val="323338624"/>
        <c:axId val="323340160"/>
      </c:barChart>
      <c:catAx>
        <c:axId val="323338624"/>
        <c:scaling>
          <c:orientation val="minMax"/>
        </c:scaling>
        <c:delete val="0"/>
        <c:axPos val="b"/>
        <c:numFmt formatCode="0%" sourceLinked="1"/>
        <c:majorTickMark val="out"/>
        <c:minorTickMark val="none"/>
        <c:tickLblPos val="nextTo"/>
        <c:crossAx val="323340160"/>
        <c:crosses val="autoZero"/>
        <c:auto val="1"/>
        <c:lblAlgn val="ctr"/>
        <c:lblOffset val="100"/>
        <c:noMultiLvlLbl val="0"/>
      </c:catAx>
      <c:valAx>
        <c:axId val="323340160"/>
        <c:scaling>
          <c:orientation val="minMax"/>
          <c:max val="5.000000000000001E-2"/>
        </c:scaling>
        <c:delete val="0"/>
        <c:axPos val="l"/>
        <c:majorGridlines/>
        <c:numFmt formatCode="0%" sourceLinked="1"/>
        <c:majorTickMark val="out"/>
        <c:minorTickMark val="none"/>
        <c:tickLblPos val="nextTo"/>
        <c:crossAx val="323338624"/>
        <c:crosses val="autoZero"/>
        <c:crossBetween val="between"/>
      </c:valAx>
    </c:plotArea>
    <c:legend>
      <c:legendPos val="r"/>
      <c:layout>
        <c:manualLayout>
          <c:xMode val="edge"/>
          <c:yMode val="edge"/>
          <c:x val="0.66885973083585426"/>
          <c:y val="0.22380171854018649"/>
          <c:w val="0.33114040354857233"/>
          <c:h val="0.75852567869314846"/>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ru-RU"/>
              <a:t>Чоловіки</a:t>
            </a:r>
          </a:p>
        </c:rich>
      </c:tx>
      <c:overlay val="0"/>
    </c:title>
    <c:autoTitleDeleted val="0"/>
    <c:plotArea>
      <c:layout>
        <c:manualLayout>
          <c:layoutTarget val="inner"/>
          <c:xMode val="edge"/>
          <c:yMode val="edge"/>
          <c:x val="6.0252955714155308E-2"/>
          <c:y val="0.13858877191963284"/>
          <c:w val="0.58001507862182744"/>
          <c:h val="0.79937521396781919"/>
        </c:manualLayout>
      </c:layout>
      <c:barChart>
        <c:barDir val="col"/>
        <c:grouping val="clustered"/>
        <c:varyColors val="0"/>
        <c:ser>
          <c:idx val="0"/>
          <c:order val="0"/>
          <c:tx>
            <c:strRef>
              <c:f>Лист1!$B$1</c:f>
              <c:strCache>
                <c:ptCount val="1"/>
                <c:pt idx="0">
                  <c:v>гострий з елевацією ST задній ІМ</c:v>
                </c:pt>
              </c:strCache>
            </c:strRef>
          </c:tx>
          <c:invertIfNegative val="0"/>
          <c:cat>
            <c:numRef>
              <c:f>Лист1!$A$2</c:f>
              <c:numCache>
                <c:formatCode>0%</c:formatCode>
                <c:ptCount val="1"/>
              </c:numCache>
            </c:numRef>
          </c:cat>
          <c:val>
            <c:numRef>
              <c:f>Лист1!$B$2</c:f>
              <c:numCache>
                <c:formatCode>0%</c:formatCode>
                <c:ptCount val="1"/>
                <c:pt idx="0">
                  <c:v>0.05</c:v>
                </c:pt>
              </c:numCache>
            </c:numRef>
          </c:val>
          <c:extLst>
            <c:ext xmlns:c16="http://schemas.microsoft.com/office/drawing/2014/chart" uri="{C3380CC4-5D6E-409C-BE32-E72D297353CC}">
              <c16:uniqueId val="{00000000-2A0B-4702-B29D-40F085972D60}"/>
            </c:ext>
          </c:extLst>
        </c:ser>
        <c:ser>
          <c:idx val="1"/>
          <c:order val="1"/>
          <c:tx>
            <c:strRef>
              <c:f>Лист1!$C$1</c:f>
              <c:strCache>
                <c:ptCount val="1"/>
                <c:pt idx="0">
                  <c:v>гострий передньо-перетинковий верхівковий з елевацією ST</c:v>
                </c:pt>
              </c:strCache>
            </c:strRef>
          </c:tx>
          <c:invertIfNegative val="0"/>
          <c:cat>
            <c:numRef>
              <c:f>Лист1!$A$2</c:f>
              <c:numCache>
                <c:formatCode>0%</c:formatCode>
                <c:ptCount val="1"/>
              </c:numCache>
            </c:numRef>
          </c:cat>
          <c:val>
            <c:numRef>
              <c:f>Лист1!$C$2</c:f>
              <c:numCache>
                <c:formatCode>0%</c:formatCode>
                <c:ptCount val="1"/>
                <c:pt idx="0">
                  <c:v>0.01</c:v>
                </c:pt>
              </c:numCache>
            </c:numRef>
          </c:val>
          <c:extLst>
            <c:ext xmlns:c16="http://schemas.microsoft.com/office/drawing/2014/chart" uri="{C3380CC4-5D6E-409C-BE32-E72D297353CC}">
              <c16:uniqueId val="{00000001-2A0B-4702-B29D-40F085972D60}"/>
            </c:ext>
          </c:extLst>
        </c:ser>
        <c:ser>
          <c:idx val="2"/>
          <c:order val="2"/>
          <c:tx>
            <c:strRef>
              <c:f>Лист1!$D$1</c:f>
              <c:strCache>
                <c:ptCount val="1"/>
                <c:pt idx="0">
                  <c:v>гострий повторний циркуляторний з елевацією ST</c:v>
                </c:pt>
              </c:strCache>
            </c:strRef>
          </c:tx>
          <c:invertIfNegative val="0"/>
          <c:cat>
            <c:numRef>
              <c:f>Лист1!$A$2</c:f>
              <c:numCache>
                <c:formatCode>0%</c:formatCode>
                <c:ptCount val="1"/>
              </c:numCache>
            </c:numRef>
          </c:cat>
          <c:val>
            <c:numRef>
              <c:f>Лист1!$D$2</c:f>
              <c:numCache>
                <c:formatCode>0%</c:formatCode>
                <c:ptCount val="1"/>
                <c:pt idx="0">
                  <c:v>0.01</c:v>
                </c:pt>
              </c:numCache>
            </c:numRef>
          </c:val>
          <c:extLst>
            <c:ext xmlns:c16="http://schemas.microsoft.com/office/drawing/2014/chart" uri="{C3380CC4-5D6E-409C-BE32-E72D297353CC}">
              <c16:uniqueId val="{00000002-2A0B-4702-B29D-40F085972D60}"/>
            </c:ext>
          </c:extLst>
        </c:ser>
        <c:ser>
          <c:idx val="3"/>
          <c:order val="3"/>
          <c:tx>
            <c:strRef>
              <c:f>Лист1!$E$1</c:f>
              <c:strCache>
                <c:ptCount val="1"/>
                <c:pt idx="0">
                  <c:v>гострий передній з елевацією ST ІМ</c:v>
                </c:pt>
              </c:strCache>
            </c:strRef>
          </c:tx>
          <c:invertIfNegative val="0"/>
          <c:cat>
            <c:numRef>
              <c:f>Лист1!$A$2</c:f>
              <c:numCache>
                <c:formatCode>0%</c:formatCode>
                <c:ptCount val="1"/>
              </c:numCache>
            </c:numRef>
          </c:cat>
          <c:val>
            <c:numRef>
              <c:f>Лист1!$E$2</c:f>
              <c:numCache>
                <c:formatCode>0%</c:formatCode>
                <c:ptCount val="1"/>
                <c:pt idx="0">
                  <c:v>0.01</c:v>
                </c:pt>
              </c:numCache>
            </c:numRef>
          </c:val>
          <c:extLst>
            <c:ext xmlns:c16="http://schemas.microsoft.com/office/drawing/2014/chart" uri="{C3380CC4-5D6E-409C-BE32-E72D297353CC}">
              <c16:uniqueId val="{00000003-2A0B-4702-B29D-40F085972D60}"/>
            </c:ext>
          </c:extLst>
        </c:ser>
        <c:ser>
          <c:idx val="4"/>
          <c:order val="4"/>
          <c:tx>
            <c:strRef>
              <c:f>Лист1!$F$1</c:f>
              <c:strCache>
                <c:ptCount val="1"/>
                <c:pt idx="0">
                  <c:v>гострий передній перетинково-боковий ІМ</c:v>
                </c:pt>
              </c:strCache>
            </c:strRef>
          </c:tx>
          <c:invertIfNegative val="0"/>
          <c:cat>
            <c:numRef>
              <c:f>Лист1!$A$2</c:f>
              <c:numCache>
                <c:formatCode>0%</c:formatCode>
                <c:ptCount val="1"/>
              </c:numCache>
            </c:numRef>
          </c:cat>
          <c:val>
            <c:numRef>
              <c:f>Лист1!$F$2</c:f>
              <c:numCache>
                <c:formatCode>0%</c:formatCode>
                <c:ptCount val="1"/>
                <c:pt idx="0">
                  <c:v>0.01</c:v>
                </c:pt>
              </c:numCache>
            </c:numRef>
          </c:val>
          <c:extLst>
            <c:ext xmlns:c16="http://schemas.microsoft.com/office/drawing/2014/chart" uri="{C3380CC4-5D6E-409C-BE32-E72D297353CC}">
              <c16:uniqueId val="{00000004-2A0B-4702-B29D-40F085972D60}"/>
            </c:ext>
          </c:extLst>
        </c:ser>
        <c:ser>
          <c:idx val="5"/>
          <c:order val="5"/>
          <c:tx>
            <c:strRef>
              <c:f>Лист1!$G$1</c:f>
              <c:strCache>
                <c:ptCount val="1"/>
                <c:pt idx="0">
                  <c:v>гострий передній перетинковий ІМ</c:v>
                </c:pt>
              </c:strCache>
            </c:strRef>
          </c:tx>
          <c:invertIfNegative val="0"/>
          <c:cat>
            <c:numRef>
              <c:f>Лист1!$A$2</c:f>
              <c:numCache>
                <c:formatCode>0%</c:formatCode>
                <c:ptCount val="1"/>
              </c:numCache>
            </c:numRef>
          </c:cat>
          <c:val>
            <c:numRef>
              <c:f>Лист1!$G$2</c:f>
              <c:numCache>
                <c:formatCode>0%</c:formatCode>
                <c:ptCount val="1"/>
                <c:pt idx="0">
                  <c:v>0.01</c:v>
                </c:pt>
              </c:numCache>
            </c:numRef>
          </c:val>
          <c:extLst>
            <c:ext xmlns:c16="http://schemas.microsoft.com/office/drawing/2014/chart" uri="{C3380CC4-5D6E-409C-BE32-E72D297353CC}">
              <c16:uniqueId val="{00000005-2A0B-4702-B29D-40F085972D60}"/>
            </c:ext>
          </c:extLst>
        </c:ser>
        <c:ser>
          <c:idx val="6"/>
          <c:order val="6"/>
          <c:tx>
            <c:strRef>
              <c:f>Лист1!$H$1</c:f>
              <c:strCache>
                <c:ptCount val="1"/>
                <c:pt idx="0">
                  <c:v>нестабільна стенокардія з пароксизмальна форма фібриляції передсердь</c:v>
                </c:pt>
              </c:strCache>
            </c:strRef>
          </c:tx>
          <c:invertIfNegative val="0"/>
          <c:cat>
            <c:numRef>
              <c:f>Лист1!$A$2</c:f>
              <c:numCache>
                <c:formatCode>0%</c:formatCode>
                <c:ptCount val="1"/>
              </c:numCache>
            </c:numRef>
          </c:cat>
          <c:val>
            <c:numRef>
              <c:f>Лист1!$H$2</c:f>
              <c:numCache>
                <c:formatCode>0%</c:formatCode>
                <c:ptCount val="1"/>
                <c:pt idx="0">
                  <c:v>0.01</c:v>
                </c:pt>
              </c:numCache>
            </c:numRef>
          </c:val>
          <c:extLst>
            <c:ext xmlns:c16="http://schemas.microsoft.com/office/drawing/2014/chart" uri="{C3380CC4-5D6E-409C-BE32-E72D297353CC}">
              <c16:uniqueId val="{00000006-2A0B-4702-B29D-40F085972D60}"/>
            </c:ext>
          </c:extLst>
        </c:ser>
        <c:ser>
          <c:idx val="7"/>
          <c:order val="7"/>
          <c:tx>
            <c:strRef>
              <c:f>Лист1!$I$1</c:f>
              <c:strCache>
                <c:ptCount val="1"/>
                <c:pt idx="0">
                  <c:v>гострий повторний передній ІМ</c:v>
                </c:pt>
              </c:strCache>
            </c:strRef>
          </c:tx>
          <c:invertIfNegative val="0"/>
          <c:cat>
            <c:numRef>
              <c:f>Лист1!$A$2</c:f>
              <c:numCache>
                <c:formatCode>0%</c:formatCode>
                <c:ptCount val="1"/>
              </c:numCache>
            </c:numRef>
          </c:cat>
          <c:val>
            <c:numRef>
              <c:f>Лист1!$I$2</c:f>
              <c:numCache>
                <c:formatCode>0%</c:formatCode>
                <c:ptCount val="1"/>
                <c:pt idx="0">
                  <c:v>0.01</c:v>
                </c:pt>
              </c:numCache>
            </c:numRef>
          </c:val>
          <c:extLst>
            <c:ext xmlns:c16="http://schemas.microsoft.com/office/drawing/2014/chart" uri="{C3380CC4-5D6E-409C-BE32-E72D297353CC}">
              <c16:uniqueId val="{00000007-2A0B-4702-B29D-40F085972D60}"/>
            </c:ext>
          </c:extLst>
        </c:ser>
        <c:dLbls>
          <c:showLegendKey val="0"/>
          <c:showVal val="0"/>
          <c:showCatName val="0"/>
          <c:showSerName val="0"/>
          <c:showPercent val="0"/>
          <c:showBubbleSize val="0"/>
        </c:dLbls>
        <c:gapWidth val="150"/>
        <c:axId val="323373696"/>
        <c:axId val="323404160"/>
      </c:barChart>
      <c:catAx>
        <c:axId val="323373696"/>
        <c:scaling>
          <c:orientation val="minMax"/>
        </c:scaling>
        <c:delete val="0"/>
        <c:axPos val="b"/>
        <c:numFmt formatCode="0%" sourceLinked="1"/>
        <c:majorTickMark val="out"/>
        <c:minorTickMark val="none"/>
        <c:tickLblPos val="nextTo"/>
        <c:crossAx val="323404160"/>
        <c:crosses val="autoZero"/>
        <c:auto val="1"/>
        <c:lblAlgn val="ctr"/>
        <c:lblOffset val="100"/>
        <c:noMultiLvlLbl val="0"/>
      </c:catAx>
      <c:valAx>
        <c:axId val="323404160"/>
        <c:scaling>
          <c:orientation val="minMax"/>
          <c:max val="0.1"/>
        </c:scaling>
        <c:delete val="0"/>
        <c:axPos val="l"/>
        <c:majorGridlines/>
        <c:numFmt formatCode="0%" sourceLinked="1"/>
        <c:majorTickMark val="out"/>
        <c:minorTickMark val="none"/>
        <c:tickLblPos val="nextTo"/>
        <c:crossAx val="323373696"/>
        <c:crosses val="autoZero"/>
        <c:crossBetween val="between"/>
      </c:valAx>
    </c:plotArea>
    <c:legend>
      <c:legendPos val="r"/>
      <c:layout>
        <c:manualLayout>
          <c:xMode val="edge"/>
          <c:yMode val="edge"/>
          <c:x val="0.63425920371148026"/>
          <c:y val="0.11395315699478584"/>
          <c:w val="0.36342592592592593"/>
          <c:h val="0.86929690012910976"/>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12.6</c:v>
                </c:pt>
              </c:numCache>
            </c:numRef>
          </c:val>
          <c:extLst>
            <c:ext xmlns:c16="http://schemas.microsoft.com/office/drawing/2014/chart" uri="{C3380CC4-5D6E-409C-BE32-E72D297353CC}">
              <c16:uniqueId val="{00000000-D1AB-4D7E-B9BE-F1E21E9D61C3}"/>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17.399999999999999</c:v>
                </c:pt>
              </c:numCache>
            </c:numRef>
          </c:val>
          <c:extLst>
            <c:ext xmlns:c16="http://schemas.microsoft.com/office/drawing/2014/chart" uri="{C3380CC4-5D6E-409C-BE32-E72D297353CC}">
              <c16:uniqueId val="{00000001-D1AB-4D7E-B9BE-F1E21E9D61C3}"/>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32</c:v>
                </c:pt>
              </c:numCache>
            </c:numRef>
          </c:val>
          <c:extLst>
            <c:ext xmlns:c16="http://schemas.microsoft.com/office/drawing/2014/chart" uri="{C3380CC4-5D6E-409C-BE32-E72D297353CC}">
              <c16:uniqueId val="{00000002-D1AB-4D7E-B9BE-F1E21E9D61C3}"/>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40.799999999999997</c:v>
                </c:pt>
              </c:numCache>
            </c:numRef>
          </c:val>
          <c:extLst>
            <c:ext xmlns:c16="http://schemas.microsoft.com/office/drawing/2014/chart" uri="{C3380CC4-5D6E-409C-BE32-E72D297353CC}">
              <c16:uniqueId val="{00000003-D1AB-4D7E-B9BE-F1E21E9D61C3}"/>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78.3</c:v>
                </c:pt>
              </c:numCache>
            </c:numRef>
          </c:val>
          <c:extLst>
            <c:ext xmlns:c16="http://schemas.microsoft.com/office/drawing/2014/chart" uri="{C3380CC4-5D6E-409C-BE32-E72D297353CC}">
              <c16:uniqueId val="{00000004-D1AB-4D7E-B9BE-F1E21E9D61C3}"/>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80.099999999999994</c:v>
                </c:pt>
              </c:numCache>
            </c:numRef>
          </c:val>
          <c:extLst>
            <c:ext xmlns:c16="http://schemas.microsoft.com/office/drawing/2014/chart" uri="{C3380CC4-5D6E-409C-BE32-E72D297353CC}">
              <c16:uniqueId val="{00000005-D1AB-4D7E-B9BE-F1E21E9D61C3}"/>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105.9</c:v>
                </c:pt>
              </c:numCache>
            </c:numRef>
          </c:val>
          <c:extLst>
            <c:ext xmlns:c16="http://schemas.microsoft.com/office/drawing/2014/chart" uri="{C3380CC4-5D6E-409C-BE32-E72D297353CC}">
              <c16:uniqueId val="{00000006-D1AB-4D7E-B9BE-F1E21E9D61C3}"/>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116.6</c:v>
                </c:pt>
              </c:numCache>
            </c:numRef>
          </c:val>
          <c:extLst>
            <c:ext xmlns:c16="http://schemas.microsoft.com/office/drawing/2014/chart" uri="{C3380CC4-5D6E-409C-BE32-E72D297353CC}">
              <c16:uniqueId val="{00000007-D1AB-4D7E-B9BE-F1E21E9D61C3}"/>
            </c:ext>
          </c:extLst>
        </c:ser>
        <c:ser>
          <c:idx val="8"/>
          <c:order val="8"/>
          <c:tx>
            <c:strRef>
              <c:f>Лист1!$J$1</c:f>
              <c:strCache>
                <c:ptCount val="1"/>
                <c:pt idx="0">
                  <c:v>№9</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Лист1!$J$2</c:f>
              <c:numCache>
                <c:formatCode>General</c:formatCode>
                <c:ptCount val="1"/>
                <c:pt idx="0">
                  <c:v>120.1</c:v>
                </c:pt>
              </c:numCache>
            </c:numRef>
          </c:val>
          <c:extLst>
            <c:ext xmlns:c16="http://schemas.microsoft.com/office/drawing/2014/chart" uri="{C3380CC4-5D6E-409C-BE32-E72D297353CC}">
              <c16:uniqueId val="{00000008-D1AB-4D7E-B9BE-F1E21E9D61C3}"/>
            </c:ext>
          </c:extLst>
        </c:ser>
        <c:ser>
          <c:idx val="9"/>
          <c:order val="9"/>
          <c:tx>
            <c:strRef>
              <c:f>Лист1!$K$1</c:f>
              <c:strCache>
                <c:ptCount val="1"/>
                <c:pt idx="0">
                  <c:v>№10</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Лист1!$K$2</c:f>
              <c:numCache>
                <c:formatCode>General</c:formatCode>
                <c:ptCount val="1"/>
                <c:pt idx="0">
                  <c:v>165.5</c:v>
                </c:pt>
              </c:numCache>
            </c:numRef>
          </c:val>
          <c:extLst>
            <c:ext xmlns:c16="http://schemas.microsoft.com/office/drawing/2014/chart" uri="{C3380CC4-5D6E-409C-BE32-E72D297353CC}">
              <c16:uniqueId val="{00000009-D1AB-4D7E-B9BE-F1E21E9D61C3}"/>
            </c:ext>
          </c:extLst>
        </c:ser>
        <c:ser>
          <c:idx val="10"/>
          <c:order val="10"/>
          <c:tx>
            <c:strRef>
              <c:f>Лист1!$L$1</c:f>
              <c:strCache>
                <c:ptCount val="1"/>
                <c:pt idx="0">
                  <c:v>№11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Лист1!$L$2</c:f>
              <c:numCache>
                <c:formatCode>General</c:formatCode>
                <c:ptCount val="1"/>
                <c:pt idx="0">
                  <c:v>349.5</c:v>
                </c:pt>
              </c:numCache>
            </c:numRef>
          </c:val>
          <c:extLst>
            <c:ext xmlns:c16="http://schemas.microsoft.com/office/drawing/2014/chart" uri="{C3380CC4-5D6E-409C-BE32-E72D297353CC}">
              <c16:uniqueId val="{0000000A-D1AB-4D7E-B9BE-F1E21E9D61C3}"/>
            </c:ext>
          </c:extLst>
        </c:ser>
        <c:ser>
          <c:idx val="11"/>
          <c:order val="11"/>
          <c:tx>
            <c:strRef>
              <c:f>Лист1!$M$1</c:f>
              <c:strCache>
                <c:ptCount val="1"/>
                <c:pt idx="0">
                  <c:v>№12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Лист1!$M$2</c:f>
              <c:numCache>
                <c:formatCode>General</c:formatCode>
                <c:ptCount val="1"/>
                <c:pt idx="0">
                  <c:v>610.5</c:v>
                </c:pt>
              </c:numCache>
            </c:numRef>
          </c:val>
          <c:extLst>
            <c:ext xmlns:c16="http://schemas.microsoft.com/office/drawing/2014/chart" uri="{C3380CC4-5D6E-409C-BE32-E72D297353CC}">
              <c16:uniqueId val="{0000000B-D1AB-4D7E-B9BE-F1E21E9D61C3}"/>
            </c:ext>
          </c:extLst>
        </c:ser>
        <c:dLbls>
          <c:dLblPos val="inBase"/>
          <c:showLegendKey val="0"/>
          <c:showVal val="1"/>
          <c:showCatName val="0"/>
          <c:showSerName val="0"/>
          <c:showPercent val="0"/>
          <c:showBubbleSize val="0"/>
        </c:dLbls>
        <c:gapWidth val="150"/>
        <c:axId val="325155456"/>
        <c:axId val="325161344"/>
      </c:barChart>
      <c:catAx>
        <c:axId val="325155456"/>
        <c:scaling>
          <c:orientation val="minMax"/>
        </c:scaling>
        <c:delete val="0"/>
        <c:axPos val="b"/>
        <c:numFmt formatCode="General" sourceLinked="1"/>
        <c:majorTickMark val="out"/>
        <c:minorTickMark val="none"/>
        <c:tickLblPos val="nextTo"/>
        <c:crossAx val="325161344"/>
        <c:crosses val="autoZero"/>
        <c:auto val="1"/>
        <c:lblAlgn val="ctr"/>
        <c:lblOffset val="100"/>
        <c:noMultiLvlLbl val="0"/>
      </c:catAx>
      <c:valAx>
        <c:axId val="325161344"/>
        <c:scaling>
          <c:orientation val="minMax"/>
          <c:max val="100"/>
        </c:scaling>
        <c:delete val="0"/>
        <c:axPos val="l"/>
        <c:majorGridlines/>
        <c:numFmt formatCode="General" sourceLinked="1"/>
        <c:majorTickMark val="out"/>
        <c:minorTickMark val="none"/>
        <c:tickLblPos val="nextTo"/>
        <c:crossAx val="325155456"/>
        <c:crosses val="autoZero"/>
        <c:crossBetween val="between"/>
        <c:minorUnit val="10"/>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4.8</c:v>
                </c:pt>
              </c:numCache>
            </c:numRef>
          </c:val>
          <c:extLst>
            <c:ext xmlns:c16="http://schemas.microsoft.com/office/drawing/2014/chart" uri="{C3380CC4-5D6E-409C-BE32-E72D297353CC}">
              <c16:uniqueId val="{00000000-3250-4584-8611-0A6DC192713C}"/>
            </c:ext>
          </c:extLst>
        </c:ser>
        <c:ser>
          <c:idx val="1"/>
          <c:order val="1"/>
          <c:tx>
            <c:strRef>
              <c:f>Лист1!$C$1</c:f>
              <c:strCache>
                <c:ptCount val="1"/>
                <c:pt idx="0">
                  <c:v>№2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7.2</c:v>
                </c:pt>
              </c:numCache>
            </c:numRef>
          </c:val>
          <c:extLst>
            <c:ext xmlns:c16="http://schemas.microsoft.com/office/drawing/2014/chart" uri="{C3380CC4-5D6E-409C-BE32-E72D297353CC}">
              <c16:uniqueId val="{00000001-3250-4584-8611-0A6DC192713C}"/>
            </c:ext>
          </c:extLst>
        </c:ser>
        <c:ser>
          <c:idx val="2"/>
          <c:order val="2"/>
          <c:tx>
            <c:strRef>
              <c:f>Лист1!$D$1</c:f>
              <c:strCache>
                <c:ptCount val="1"/>
                <c:pt idx="0">
                  <c:v>№3</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10.3</c:v>
                </c:pt>
              </c:numCache>
            </c:numRef>
          </c:val>
          <c:extLst>
            <c:ext xmlns:c16="http://schemas.microsoft.com/office/drawing/2014/chart" uri="{C3380CC4-5D6E-409C-BE32-E72D297353CC}">
              <c16:uniqueId val="{00000002-3250-4584-8611-0A6DC192713C}"/>
            </c:ext>
          </c:extLst>
        </c:ser>
        <c:ser>
          <c:idx val="3"/>
          <c:order val="3"/>
          <c:tx>
            <c:strRef>
              <c:f>Лист1!$E$1</c:f>
              <c:strCache>
                <c:ptCount val="1"/>
                <c:pt idx="0">
                  <c:v>№4</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Лист1!$E$2</c:f>
              <c:numCache>
                <c:formatCode>General</c:formatCode>
                <c:ptCount val="1"/>
                <c:pt idx="0">
                  <c:v>34.1</c:v>
                </c:pt>
              </c:numCache>
            </c:numRef>
          </c:val>
          <c:extLst>
            <c:ext xmlns:c16="http://schemas.microsoft.com/office/drawing/2014/chart" uri="{C3380CC4-5D6E-409C-BE32-E72D297353CC}">
              <c16:uniqueId val="{00000003-3250-4584-8611-0A6DC192713C}"/>
            </c:ext>
          </c:extLst>
        </c:ser>
        <c:ser>
          <c:idx val="4"/>
          <c:order val="4"/>
          <c:tx>
            <c:strRef>
              <c:f>Лист1!$F$1</c:f>
              <c:strCache>
                <c:ptCount val="1"/>
                <c:pt idx="0">
                  <c:v>№5</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Лист1!$F$2</c:f>
              <c:numCache>
                <c:formatCode>General</c:formatCode>
                <c:ptCount val="1"/>
                <c:pt idx="0">
                  <c:v>51.8</c:v>
                </c:pt>
              </c:numCache>
            </c:numRef>
          </c:val>
          <c:extLst>
            <c:ext xmlns:c16="http://schemas.microsoft.com/office/drawing/2014/chart" uri="{C3380CC4-5D6E-409C-BE32-E72D297353CC}">
              <c16:uniqueId val="{00000004-3250-4584-8611-0A6DC192713C}"/>
            </c:ext>
          </c:extLst>
        </c:ser>
        <c:ser>
          <c:idx val="5"/>
          <c:order val="5"/>
          <c:tx>
            <c:strRef>
              <c:f>Лист1!$G$1</c:f>
              <c:strCache>
                <c:ptCount val="1"/>
                <c:pt idx="0">
                  <c:v>№6</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Лист1!$G$2</c:f>
              <c:numCache>
                <c:formatCode>General</c:formatCode>
                <c:ptCount val="1"/>
                <c:pt idx="0">
                  <c:v>57.1</c:v>
                </c:pt>
              </c:numCache>
            </c:numRef>
          </c:val>
          <c:extLst>
            <c:ext xmlns:c16="http://schemas.microsoft.com/office/drawing/2014/chart" uri="{C3380CC4-5D6E-409C-BE32-E72D297353CC}">
              <c16:uniqueId val="{00000005-3250-4584-8611-0A6DC192713C}"/>
            </c:ext>
          </c:extLst>
        </c:ser>
        <c:ser>
          <c:idx val="6"/>
          <c:order val="6"/>
          <c:tx>
            <c:strRef>
              <c:f>Лист1!$H$1</c:f>
              <c:strCache>
                <c:ptCount val="1"/>
                <c:pt idx="0">
                  <c:v>№7</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Лист1!$H$2</c:f>
              <c:numCache>
                <c:formatCode>General</c:formatCode>
                <c:ptCount val="1"/>
                <c:pt idx="0">
                  <c:v>35.299999999999997</c:v>
                </c:pt>
              </c:numCache>
            </c:numRef>
          </c:val>
          <c:extLst>
            <c:ext xmlns:c16="http://schemas.microsoft.com/office/drawing/2014/chart" uri="{C3380CC4-5D6E-409C-BE32-E72D297353CC}">
              <c16:uniqueId val="{00000006-3250-4584-8611-0A6DC192713C}"/>
            </c:ext>
          </c:extLst>
        </c:ser>
        <c:ser>
          <c:idx val="7"/>
          <c:order val="7"/>
          <c:tx>
            <c:strRef>
              <c:f>Лист1!$I$1</c:f>
              <c:strCache>
                <c:ptCount val="1"/>
                <c:pt idx="0">
                  <c:v>№8</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Лист1!$I$2</c:f>
              <c:numCache>
                <c:formatCode>General</c:formatCode>
                <c:ptCount val="1"/>
                <c:pt idx="0">
                  <c:v>58.3</c:v>
                </c:pt>
              </c:numCache>
            </c:numRef>
          </c:val>
          <c:extLst>
            <c:ext xmlns:c16="http://schemas.microsoft.com/office/drawing/2014/chart" uri="{C3380CC4-5D6E-409C-BE32-E72D297353CC}">
              <c16:uniqueId val="{00000007-3250-4584-8611-0A6DC192713C}"/>
            </c:ext>
          </c:extLst>
        </c:ser>
        <c:ser>
          <c:idx val="8"/>
          <c:order val="8"/>
          <c:tx>
            <c:strRef>
              <c:f>Лист1!$J$1</c:f>
              <c:strCache>
                <c:ptCount val="1"/>
                <c:pt idx="0">
                  <c:v>№9</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Лист1!$J$2</c:f>
              <c:numCache>
                <c:formatCode>General</c:formatCode>
                <c:ptCount val="1"/>
                <c:pt idx="0">
                  <c:v>40.299999999999997</c:v>
                </c:pt>
              </c:numCache>
            </c:numRef>
          </c:val>
          <c:extLst>
            <c:ext xmlns:c16="http://schemas.microsoft.com/office/drawing/2014/chart" uri="{C3380CC4-5D6E-409C-BE32-E72D297353CC}">
              <c16:uniqueId val="{00000008-3250-4584-8611-0A6DC192713C}"/>
            </c:ext>
          </c:extLst>
        </c:ser>
        <c:ser>
          <c:idx val="9"/>
          <c:order val="9"/>
          <c:tx>
            <c:strRef>
              <c:f>Лист1!$K$1</c:f>
              <c:strCache>
                <c:ptCount val="1"/>
                <c:pt idx="0">
                  <c:v>№10</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Лист1!$K$2</c:f>
              <c:numCache>
                <c:formatCode>General</c:formatCode>
                <c:ptCount val="1"/>
                <c:pt idx="0">
                  <c:v>62.7</c:v>
                </c:pt>
              </c:numCache>
            </c:numRef>
          </c:val>
          <c:extLst>
            <c:ext xmlns:c16="http://schemas.microsoft.com/office/drawing/2014/chart" uri="{C3380CC4-5D6E-409C-BE32-E72D297353CC}">
              <c16:uniqueId val="{00000009-3250-4584-8611-0A6DC192713C}"/>
            </c:ext>
          </c:extLst>
        </c:ser>
        <c:ser>
          <c:idx val="10"/>
          <c:order val="10"/>
          <c:tx>
            <c:strRef>
              <c:f>Лист1!$L$1</c:f>
              <c:strCache>
                <c:ptCount val="1"/>
                <c:pt idx="0">
                  <c:v>№11</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Лист1!$L$2</c:f>
              <c:numCache>
                <c:formatCode>General</c:formatCode>
                <c:ptCount val="1"/>
                <c:pt idx="0">
                  <c:v>69.900000000000006</c:v>
                </c:pt>
              </c:numCache>
            </c:numRef>
          </c:val>
          <c:extLst>
            <c:ext xmlns:c16="http://schemas.microsoft.com/office/drawing/2014/chart" uri="{C3380CC4-5D6E-409C-BE32-E72D297353CC}">
              <c16:uniqueId val="{0000000A-3250-4584-8611-0A6DC192713C}"/>
            </c:ext>
          </c:extLst>
        </c:ser>
        <c:ser>
          <c:idx val="11"/>
          <c:order val="11"/>
          <c:tx>
            <c:strRef>
              <c:f>Лист1!$M$1</c:f>
              <c:strCache>
                <c:ptCount val="1"/>
                <c:pt idx="0">
                  <c:v>№12</c:v>
                </c:pt>
              </c:strCache>
            </c:strRef>
          </c:tx>
          <c:invertIfNegative val="0"/>
          <c:dLbls>
            <c:spPr>
              <a:noFill/>
              <a:ln>
                <a:noFill/>
              </a:ln>
              <a:effectLst/>
            </c:spPr>
            <c:dLblPos val="inBase"/>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Лист1!$M$2</c:f>
              <c:numCache>
                <c:formatCode>General</c:formatCode>
                <c:ptCount val="1"/>
                <c:pt idx="0">
                  <c:v>60.8</c:v>
                </c:pt>
              </c:numCache>
            </c:numRef>
          </c:val>
          <c:extLst>
            <c:ext xmlns:c16="http://schemas.microsoft.com/office/drawing/2014/chart" uri="{C3380CC4-5D6E-409C-BE32-E72D297353CC}">
              <c16:uniqueId val="{0000000B-3250-4584-8611-0A6DC192713C}"/>
            </c:ext>
          </c:extLst>
        </c:ser>
        <c:dLbls>
          <c:dLblPos val="inBase"/>
          <c:showLegendKey val="0"/>
          <c:showVal val="1"/>
          <c:showCatName val="0"/>
          <c:showSerName val="0"/>
          <c:showPercent val="0"/>
          <c:showBubbleSize val="0"/>
        </c:dLbls>
        <c:gapWidth val="150"/>
        <c:axId val="325523712"/>
        <c:axId val="325533696"/>
      </c:barChart>
      <c:catAx>
        <c:axId val="325523712"/>
        <c:scaling>
          <c:orientation val="minMax"/>
        </c:scaling>
        <c:delete val="0"/>
        <c:axPos val="b"/>
        <c:numFmt formatCode="General" sourceLinked="1"/>
        <c:majorTickMark val="out"/>
        <c:minorTickMark val="none"/>
        <c:tickLblPos val="nextTo"/>
        <c:crossAx val="325533696"/>
        <c:crosses val="autoZero"/>
        <c:auto val="1"/>
        <c:lblAlgn val="ctr"/>
        <c:lblOffset val="100"/>
        <c:noMultiLvlLbl val="0"/>
      </c:catAx>
      <c:valAx>
        <c:axId val="325533696"/>
        <c:scaling>
          <c:orientation val="minMax"/>
          <c:max val="100"/>
        </c:scaling>
        <c:delete val="0"/>
        <c:axPos val="l"/>
        <c:majorGridlines/>
        <c:numFmt formatCode="General" sourceLinked="1"/>
        <c:majorTickMark val="out"/>
        <c:minorTickMark val="none"/>
        <c:tickLblPos val="nextTo"/>
        <c:crossAx val="325523712"/>
        <c:crosses val="autoZero"/>
        <c:crossBetween val="between"/>
        <c:majorUnit val="10"/>
        <c:minorUnit val="10"/>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D10B23-74C6-48AB-A7DF-9E5D30FD1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10303</Words>
  <Characters>58730</Characters>
  <Application>Microsoft Office Word</Application>
  <DocSecurity>0</DocSecurity>
  <Lines>489</Lines>
  <Paragraphs>137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dc:creator>
  <cp:lastModifiedBy>Hp</cp:lastModifiedBy>
  <cp:revision>2</cp:revision>
  <cp:lastPrinted>2023-09-22T18:44:00Z</cp:lastPrinted>
  <dcterms:created xsi:type="dcterms:W3CDTF">2024-09-19T14:27:00Z</dcterms:created>
  <dcterms:modified xsi:type="dcterms:W3CDTF">2024-09-19T14:27:00Z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fc11b155d38842398d8282ec0fea9d96</vt:lpwstr>
  </property>
</Properties>
</file>