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BCC" w:rsidRPr="00594BCC" w:rsidRDefault="00594BCC" w:rsidP="00915FE5">
      <w:pPr>
        <w:spacing w:after="0" w:line="360" w:lineRule="auto"/>
        <w:ind w:left="567"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</w:p>
    <w:p w:rsidR="00594BCC" w:rsidRDefault="00594BCC" w:rsidP="00915FE5">
      <w:pPr>
        <w:spacing w:after="0" w:line="360" w:lineRule="auto"/>
        <w:ind w:left="567" w:firstLine="709"/>
        <w:jc w:val="right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915FE5" w:rsidRPr="004D7BF0" w:rsidRDefault="00915FE5" w:rsidP="00915FE5">
      <w:pPr>
        <w:spacing w:after="0" w:line="360" w:lineRule="auto"/>
        <w:ind w:left="567" w:firstLine="709"/>
        <w:jc w:val="right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915FE5">
        <w:rPr>
          <w:rFonts w:ascii="Times New Roman" w:hAnsi="Times New Roman" w:cs="Times New Roman"/>
          <w:b/>
          <w:i/>
          <w:sz w:val="28"/>
          <w:szCs w:val="28"/>
          <w:lang w:val="uk-UA"/>
        </w:rPr>
        <w:t>Нагорний І. А.</w:t>
      </w:r>
      <w:r w:rsidR="004D7BF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, </w:t>
      </w:r>
      <w:proofErr w:type="spellStart"/>
      <w:r w:rsidR="004D7BF0">
        <w:rPr>
          <w:rFonts w:ascii="Times New Roman" w:hAnsi="Times New Roman" w:cs="Times New Roman"/>
          <w:b/>
          <w:i/>
          <w:sz w:val="28"/>
          <w:szCs w:val="28"/>
          <w:lang w:val="uk-UA"/>
        </w:rPr>
        <w:t>Ковальцова</w:t>
      </w:r>
      <w:proofErr w:type="spellEnd"/>
      <w:r w:rsidR="004D7BF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М. В., </w:t>
      </w:r>
      <w:proofErr w:type="spellStart"/>
      <w:r w:rsidR="004D7BF0">
        <w:rPr>
          <w:rFonts w:ascii="Times New Roman" w:hAnsi="Times New Roman" w:cs="Times New Roman"/>
          <w:b/>
          <w:i/>
          <w:sz w:val="28"/>
          <w:szCs w:val="28"/>
          <w:lang w:val="uk-UA"/>
        </w:rPr>
        <w:t>Халімов</w:t>
      </w:r>
      <w:proofErr w:type="spellEnd"/>
      <w:r w:rsidR="004D7BF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Є. Г.</w:t>
      </w:r>
    </w:p>
    <w:p w:rsidR="00915FE5" w:rsidRPr="00915FE5" w:rsidRDefault="00915FE5" w:rsidP="00915FE5">
      <w:pPr>
        <w:spacing w:after="0" w:line="360" w:lineRule="auto"/>
        <w:ind w:left="567" w:firstLine="709"/>
        <w:jc w:val="right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Харківський національний медичний університет</w:t>
      </w:r>
    </w:p>
    <w:p w:rsidR="00915FE5" w:rsidRPr="00915FE5" w:rsidRDefault="00915FE5" w:rsidP="00915FE5">
      <w:pPr>
        <w:spacing w:after="0" w:line="360" w:lineRule="auto"/>
        <w:ind w:left="567"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15FE5">
        <w:rPr>
          <w:rFonts w:ascii="Times New Roman" w:hAnsi="Times New Roman" w:cs="Times New Roman"/>
          <w:b/>
          <w:sz w:val="28"/>
          <w:szCs w:val="28"/>
          <w:lang w:val="uk-UA"/>
        </w:rPr>
        <w:t>ПАТОФІЗІОЛОГІЧНА РОЛЬ АПОПТОЗУ В РОЗВИТКУ ЗАХВОРЮВАНЬ ПАРОДОНТУ</w:t>
      </w:r>
    </w:p>
    <w:p w:rsidR="007C3EC1" w:rsidRPr="00C17159" w:rsidRDefault="007C3EC1" w:rsidP="007C3EC1">
      <w:pPr>
        <w:spacing w:after="0" w:line="36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Проблема дослідження молекулярних механізмів запрограмованої загибелі клітини </w:t>
      </w:r>
      <w:r w:rsidR="00EE4025" w:rsidRPr="00C17159">
        <w:rPr>
          <w:rFonts w:ascii="Times New Roman" w:hAnsi="Times New Roman" w:cs="Times New Roman"/>
          <w:sz w:val="28"/>
          <w:szCs w:val="28"/>
          <w:lang w:val="uk-UA"/>
        </w:rPr>
        <w:t>останнім часом є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однією з актуальних проблем медичних наук. Незважаючи на велику кількість експериментальних </w:t>
      </w:r>
      <w:r w:rsidR="00EE4025" w:rsidRPr="00C17159">
        <w:rPr>
          <w:rFonts w:ascii="Times New Roman" w:hAnsi="Times New Roman" w:cs="Times New Roman"/>
          <w:sz w:val="28"/>
          <w:szCs w:val="28"/>
          <w:lang w:val="uk-UA"/>
        </w:rPr>
        <w:t>робіт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E4025" w:rsidRPr="00C17159">
        <w:rPr>
          <w:rFonts w:ascii="Times New Roman" w:hAnsi="Times New Roman" w:cs="Times New Roman"/>
          <w:sz w:val="28"/>
          <w:szCs w:val="28"/>
          <w:lang w:val="uk-UA"/>
        </w:rPr>
        <w:t>дотепер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залишаються недослідженими механізми цього явища, не до кінця з'ясована регуляція </w:t>
      </w:r>
      <w:proofErr w:type="spellStart"/>
      <w:r w:rsidRPr="00C17159">
        <w:rPr>
          <w:rFonts w:ascii="Times New Roman" w:hAnsi="Times New Roman" w:cs="Times New Roman"/>
          <w:sz w:val="28"/>
          <w:szCs w:val="28"/>
          <w:lang w:val="uk-UA"/>
        </w:rPr>
        <w:t>апоптозу</w:t>
      </w:r>
      <w:proofErr w:type="spellEnd"/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окремих клітин в цілісному багатоклітинн</w:t>
      </w:r>
      <w:r w:rsidR="00EE4025" w:rsidRPr="00C17159">
        <w:rPr>
          <w:rFonts w:ascii="Times New Roman" w:hAnsi="Times New Roman" w:cs="Times New Roman"/>
          <w:sz w:val="28"/>
          <w:szCs w:val="28"/>
          <w:lang w:val="uk-UA"/>
        </w:rPr>
        <w:t>ому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організмі. Актуальність цієї проблеми визначається взаємозв'язком порушення регуляції процесу запрограмованої загибелі клітини з більшістю захворювань. </w:t>
      </w:r>
      <w:proofErr w:type="spellStart"/>
      <w:r w:rsidRPr="00C17159">
        <w:rPr>
          <w:rFonts w:ascii="Times New Roman" w:hAnsi="Times New Roman" w:cs="Times New Roman"/>
          <w:sz w:val="28"/>
          <w:szCs w:val="28"/>
          <w:lang w:val="uk-UA"/>
        </w:rPr>
        <w:t>Апоптотична</w:t>
      </w:r>
      <w:proofErr w:type="spellEnd"/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загибель клітин спостерігається при різних патологічних станах. Виявлення конкретних механізмів порушення регуляції </w:t>
      </w:r>
      <w:proofErr w:type="spellStart"/>
      <w:r w:rsidRPr="00C17159">
        <w:rPr>
          <w:rFonts w:ascii="Times New Roman" w:hAnsi="Times New Roman" w:cs="Times New Roman"/>
          <w:sz w:val="28"/>
          <w:szCs w:val="28"/>
          <w:lang w:val="uk-UA"/>
        </w:rPr>
        <w:t>апоптозу</w:t>
      </w:r>
      <w:proofErr w:type="spellEnd"/>
      <w:r w:rsidR="00EE4025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при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конкретни</w:t>
      </w:r>
      <w:r w:rsidR="00EE4025" w:rsidRPr="00C17159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захворювання</w:t>
      </w:r>
      <w:r w:rsidR="00EE4025" w:rsidRPr="00C17159">
        <w:rPr>
          <w:rFonts w:ascii="Times New Roman" w:hAnsi="Times New Roman" w:cs="Times New Roman"/>
          <w:sz w:val="28"/>
          <w:szCs w:val="28"/>
          <w:lang w:val="uk-UA"/>
        </w:rPr>
        <w:t>х дасть змогу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визначити етіологію </w:t>
      </w:r>
      <w:r w:rsidR="00EE4025" w:rsidRPr="00C17159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патогенез </w:t>
      </w:r>
      <w:r w:rsidR="00EE4025" w:rsidRPr="00C17159">
        <w:rPr>
          <w:rFonts w:ascii="Times New Roman" w:hAnsi="Times New Roman" w:cs="Times New Roman"/>
          <w:sz w:val="28"/>
          <w:szCs w:val="28"/>
          <w:lang w:val="uk-UA"/>
        </w:rPr>
        <w:t>цих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захворювань, отже, </w:t>
      </w:r>
      <w:r w:rsidR="00EE4025" w:rsidRPr="00C17159">
        <w:rPr>
          <w:rFonts w:ascii="Times New Roman" w:hAnsi="Times New Roman" w:cs="Times New Roman"/>
          <w:sz w:val="28"/>
          <w:szCs w:val="28"/>
          <w:lang w:val="uk-UA"/>
        </w:rPr>
        <w:t>створить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можливість коригувати порушення регуляції запрограмованої загибелі клітини.</w:t>
      </w:r>
    </w:p>
    <w:p w:rsidR="00D42C57" w:rsidRPr="00C17159" w:rsidRDefault="007C3EC1" w:rsidP="007C3EC1">
      <w:pPr>
        <w:spacing w:after="0" w:line="36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Питання взаємини механізмів </w:t>
      </w:r>
      <w:proofErr w:type="spellStart"/>
      <w:r w:rsidRPr="00C17159">
        <w:rPr>
          <w:rFonts w:ascii="Times New Roman" w:hAnsi="Times New Roman" w:cs="Times New Roman"/>
          <w:sz w:val="28"/>
          <w:szCs w:val="28"/>
          <w:lang w:val="uk-UA"/>
        </w:rPr>
        <w:t>апоптозу</w:t>
      </w:r>
      <w:proofErr w:type="spellEnd"/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4025" w:rsidRPr="00C17159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імунологічної реактивності при захворюваннях щелепно-лицевої ділянки</w:t>
      </w:r>
      <w:r w:rsidR="00EE4025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досі 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залишаються недостатньо вивченими. </w:t>
      </w:r>
    </w:p>
    <w:p w:rsidR="007C3EC1" w:rsidRPr="00C17159" w:rsidRDefault="007C3EC1" w:rsidP="007C3EC1">
      <w:pPr>
        <w:spacing w:after="0" w:line="36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C17159">
        <w:rPr>
          <w:rFonts w:ascii="Times New Roman" w:hAnsi="Times New Roman" w:cs="Times New Roman"/>
          <w:sz w:val="28"/>
          <w:szCs w:val="28"/>
          <w:lang w:val="uk-UA"/>
        </w:rPr>
        <w:t>Апоптоз</w:t>
      </w:r>
      <w:proofErr w:type="spellEnd"/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Pr="00C171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від </w:t>
      </w:r>
      <w:proofErr w:type="spellStart"/>
      <w:r w:rsidRPr="00C17159">
        <w:rPr>
          <w:rFonts w:ascii="Times New Roman" w:hAnsi="Times New Roman" w:cs="Times New Roman"/>
          <w:i/>
          <w:sz w:val="28"/>
          <w:szCs w:val="28"/>
          <w:lang w:val="uk-UA"/>
        </w:rPr>
        <w:t>грец</w:t>
      </w:r>
      <w:proofErr w:type="spellEnd"/>
      <w:r w:rsidRPr="00C171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. </w:t>
      </w:r>
      <w:proofErr w:type="spellStart"/>
      <w:r w:rsidR="003B5D4F" w:rsidRPr="00C17159">
        <w:rPr>
          <w:rFonts w:ascii="Times New Roman" w:hAnsi="Times New Roman" w:cs="Times New Roman"/>
          <w:i/>
          <w:sz w:val="28"/>
          <w:szCs w:val="28"/>
          <w:lang w:val="uk-UA"/>
        </w:rPr>
        <w:t>а</w:t>
      </w:r>
      <w:r w:rsidRPr="00C17159">
        <w:rPr>
          <w:rFonts w:ascii="Times New Roman" w:hAnsi="Times New Roman" w:cs="Times New Roman"/>
          <w:i/>
          <w:sz w:val="28"/>
          <w:szCs w:val="28"/>
          <w:lang w:val="uk-UA"/>
        </w:rPr>
        <w:t>po</w:t>
      </w:r>
      <w:proofErr w:type="spellEnd"/>
      <w:r w:rsidRPr="00C171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3B5D4F" w:rsidRPr="00C17159">
        <w:rPr>
          <w:rFonts w:ascii="Times New Roman" w:hAnsi="Times New Roman" w:cs="Times New Roman"/>
          <w:i/>
          <w:sz w:val="28"/>
          <w:szCs w:val="28"/>
          <w:lang w:val="uk-UA"/>
        </w:rPr>
        <w:t>—</w:t>
      </w:r>
      <w:r w:rsidRPr="00C171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відсутність, заперечення чого-небудь, </w:t>
      </w:r>
      <w:proofErr w:type="spellStart"/>
      <w:r w:rsidRPr="00C17159">
        <w:rPr>
          <w:rFonts w:ascii="Times New Roman" w:hAnsi="Times New Roman" w:cs="Times New Roman"/>
          <w:i/>
          <w:sz w:val="28"/>
          <w:szCs w:val="28"/>
          <w:lang w:val="uk-UA"/>
        </w:rPr>
        <w:t>ptosis</w:t>
      </w:r>
      <w:proofErr w:type="spellEnd"/>
      <w:r w:rsidRPr="00C171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3B5D4F" w:rsidRPr="00C17159">
        <w:rPr>
          <w:rFonts w:ascii="Times New Roman" w:hAnsi="Times New Roman" w:cs="Times New Roman"/>
          <w:i/>
          <w:sz w:val="28"/>
          <w:szCs w:val="28"/>
          <w:lang w:val="uk-UA"/>
        </w:rPr>
        <w:t>—</w:t>
      </w:r>
      <w:r w:rsidRPr="00C171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падіння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3B5D4F" w:rsidRPr="00C17159">
        <w:rPr>
          <w:rFonts w:ascii="Times New Roman" w:hAnsi="Times New Roman" w:cs="Times New Roman"/>
          <w:sz w:val="28"/>
          <w:szCs w:val="28"/>
          <w:lang w:val="uk-UA"/>
        </w:rPr>
        <w:t>являє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генетично програмований процес припинення життєдіяльності </w:t>
      </w:r>
      <w:r w:rsidR="003B5D4F" w:rsidRPr="00C17159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смерть клітини або групи клітин </w:t>
      </w:r>
      <w:r w:rsidR="003B5D4F" w:rsidRPr="00C1715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живому організмі [</w:t>
      </w:r>
      <w:r w:rsidR="00915FE5" w:rsidRPr="004D7BF0">
        <w:rPr>
          <w:rFonts w:ascii="Times New Roman" w:hAnsi="Times New Roman" w:cs="Times New Roman"/>
          <w:bCs/>
          <w:color w:val="2D2C2C"/>
          <w:sz w:val="28"/>
          <w:szCs w:val="28"/>
          <w:shd w:val="clear" w:color="auto" w:fill="FFFFFF"/>
          <w:lang w:val="uk-UA"/>
        </w:rPr>
        <w:t>3</w:t>
      </w:r>
      <w:r w:rsidR="00C17159" w:rsidRPr="004D7BF0">
        <w:rPr>
          <w:rFonts w:ascii="Times New Roman" w:hAnsi="Times New Roman" w:cs="Times New Roman"/>
          <w:b/>
          <w:bCs/>
          <w:color w:val="2D2C2C"/>
          <w:sz w:val="28"/>
          <w:szCs w:val="28"/>
          <w:shd w:val="clear" w:color="auto" w:fill="FFFFFF"/>
          <w:lang w:val="uk-UA"/>
        </w:rPr>
        <w:t>,</w:t>
      </w:r>
      <w:r w:rsidR="00AD41DC" w:rsidRPr="00C17159">
        <w:rPr>
          <w:rFonts w:ascii="Times New Roman" w:hAnsi="Times New Roman" w:cs="Times New Roman"/>
          <w:color w:val="2D2C2C"/>
          <w:sz w:val="28"/>
          <w:szCs w:val="28"/>
          <w:shd w:val="clear" w:color="auto" w:fill="FFFFFF"/>
          <w:lang w:val="uk-UA"/>
        </w:rPr>
        <w:t xml:space="preserve"> с. 128</w:t>
      </w:r>
      <w:r w:rsidR="00915FE5">
        <w:rPr>
          <w:rFonts w:ascii="Times New Roman" w:hAnsi="Times New Roman" w:cs="Times New Roman"/>
          <w:color w:val="2D2C2C"/>
          <w:sz w:val="28"/>
          <w:szCs w:val="28"/>
          <w:shd w:val="clear" w:color="auto" w:fill="FFFFFF"/>
          <w:lang w:val="uk-UA"/>
        </w:rPr>
        <w:t>–</w:t>
      </w:r>
      <w:r w:rsidR="00AD41DC" w:rsidRPr="00C17159">
        <w:rPr>
          <w:rFonts w:ascii="Times New Roman" w:hAnsi="Times New Roman" w:cs="Times New Roman"/>
          <w:color w:val="2D2C2C"/>
          <w:sz w:val="28"/>
          <w:szCs w:val="28"/>
          <w:shd w:val="clear" w:color="auto" w:fill="FFFFFF"/>
          <w:lang w:val="uk-UA"/>
        </w:rPr>
        <w:t>130.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]. Частота його </w:t>
      </w:r>
      <w:r w:rsidR="003B5D4F" w:rsidRPr="00C17159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ростає в міру старіння організму. У </w:t>
      </w:r>
      <w:proofErr w:type="spellStart"/>
      <w:r w:rsidRPr="00C17159">
        <w:rPr>
          <w:rFonts w:ascii="Times New Roman" w:hAnsi="Times New Roman" w:cs="Times New Roman"/>
          <w:sz w:val="28"/>
          <w:szCs w:val="28"/>
          <w:lang w:val="uk-UA"/>
        </w:rPr>
        <w:t>само</w:t>
      </w:r>
      <w:r w:rsidR="003B5D4F" w:rsidRPr="00C17159">
        <w:rPr>
          <w:rFonts w:ascii="Times New Roman" w:hAnsi="Times New Roman" w:cs="Times New Roman"/>
          <w:sz w:val="28"/>
          <w:szCs w:val="28"/>
          <w:lang w:val="uk-UA"/>
        </w:rPr>
        <w:t>оновлючихся</w:t>
      </w:r>
      <w:proofErr w:type="spellEnd"/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тканинах організму людини </w:t>
      </w:r>
      <w:r w:rsidR="003B5D4F" w:rsidRPr="00C17159">
        <w:rPr>
          <w:rFonts w:ascii="Times New Roman" w:hAnsi="Times New Roman" w:cs="Times New Roman"/>
          <w:sz w:val="28"/>
          <w:szCs w:val="28"/>
          <w:lang w:val="uk-UA"/>
        </w:rPr>
        <w:t>через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запрограмован</w:t>
      </w:r>
      <w:r w:rsidR="003B5D4F" w:rsidRPr="00C17159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на генетичному рівні процес фізіологічної смерті (</w:t>
      </w:r>
      <w:proofErr w:type="spellStart"/>
      <w:r w:rsidRPr="00C17159">
        <w:rPr>
          <w:rFonts w:ascii="Times New Roman" w:hAnsi="Times New Roman" w:cs="Times New Roman"/>
          <w:sz w:val="28"/>
          <w:szCs w:val="28"/>
          <w:lang w:val="uk-UA"/>
        </w:rPr>
        <w:t>апоптоз</w:t>
      </w:r>
      <w:proofErr w:type="spellEnd"/>
      <w:r w:rsidRPr="00C17159">
        <w:rPr>
          <w:rFonts w:ascii="Times New Roman" w:hAnsi="Times New Roman" w:cs="Times New Roman"/>
          <w:sz w:val="28"/>
          <w:szCs w:val="28"/>
          <w:lang w:val="uk-UA"/>
        </w:rPr>
        <w:t>) щодня гинуть 50</w:t>
      </w:r>
      <w:r w:rsidR="003B5D4F" w:rsidRPr="00C17159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>70 млрд клітин, звільняючи місце для нових</w:t>
      </w:r>
      <w:r w:rsidR="003B5D4F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складаючи в своїй масі щорічно масу тіла людини Це нормальний процес підтримки гомеостазу за рахунок елімінації клітин, які вичерпали свій фізіологічний ресурс </w:t>
      </w:r>
      <w:r w:rsidR="00B84ED4" w:rsidRPr="00C17159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915FE5" w:rsidRPr="004D7BF0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4</w:t>
      </w:r>
      <w:r w:rsidR="00C17159" w:rsidRPr="004D7BF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 xml:space="preserve">, </w:t>
      </w:r>
      <w:r w:rsidR="004E27CA">
        <w:rPr>
          <w:rFonts w:ascii="Times New Roman" w:hAnsi="Times New Roman" w:cs="Times New Roman"/>
          <w:color w:val="2D2C2C"/>
          <w:sz w:val="28"/>
          <w:szCs w:val="28"/>
          <w:shd w:val="clear" w:color="auto" w:fill="FFFFFF"/>
          <w:lang w:val="uk-UA"/>
        </w:rPr>
        <w:t>с. 14</w:t>
      </w:r>
      <w:r w:rsidR="00B84ED4" w:rsidRPr="00C17159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:rsidR="007C3EC1" w:rsidRPr="00C17159" w:rsidRDefault="007C3EC1" w:rsidP="007C3EC1">
      <w:pPr>
        <w:spacing w:after="0" w:line="36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C17159">
        <w:rPr>
          <w:rFonts w:ascii="Times New Roman" w:hAnsi="Times New Roman" w:cs="Times New Roman"/>
          <w:sz w:val="28"/>
          <w:szCs w:val="28"/>
          <w:lang w:val="uk-UA"/>
        </w:rPr>
        <w:lastRenderedPageBreak/>
        <w:t>Апоптоз</w:t>
      </w:r>
      <w:proofErr w:type="spellEnd"/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B5D4F" w:rsidRPr="00C1715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клітинах дорослого організму є повсюдним і постійно процесом [</w:t>
      </w:r>
      <w:r w:rsidR="00915FE5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C17159" w:rsidRPr="00C1715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с</w:t>
      </w:r>
      <w:r w:rsidR="00C32788" w:rsidRPr="00C1715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  <w:r w:rsidR="00C17159" w:rsidRPr="00C1715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915FE5" w:rsidRPr="002D3FC1">
        <w:rPr>
          <w:rFonts w:ascii="Times New Roman" w:hAnsi="Times New Roman" w:cs="Times New Roman"/>
          <w:sz w:val="28"/>
          <w:szCs w:val="28"/>
          <w:lang w:val="uk-UA"/>
        </w:rPr>
        <w:t>1415–</w:t>
      </w:r>
      <w:r w:rsidR="004E27CA">
        <w:rPr>
          <w:rFonts w:ascii="Times New Roman" w:hAnsi="Times New Roman" w:cs="Times New Roman"/>
          <w:sz w:val="28"/>
          <w:szCs w:val="28"/>
          <w:lang w:val="uk-UA"/>
        </w:rPr>
        <w:t>14</w:t>
      </w:r>
      <w:r w:rsidR="00915FE5" w:rsidRPr="002D3FC1">
        <w:rPr>
          <w:rFonts w:ascii="Times New Roman" w:hAnsi="Times New Roman" w:cs="Times New Roman"/>
          <w:sz w:val="28"/>
          <w:szCs w:val="28"/>
          <w:lang w:val="uk-UA"/>
        </w:rPr>
        <w:t>30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]. Це особливий вид загибелі клітини, що спостерігається в умовах як нормальної, так і патологічної життєдіяльності клітин </w:t>
      </w:r>
      <w:r w:rsidR="003B5D4F" w:rsidRPr="00C1715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>сіх тканин організму, але на відміну від некрозу незмінно носить захисно-адаптивний характер</w:t>
      </w:r>
      <w:r w:rsidR="00D42C57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915FE5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4E27CA">
        <w:rPr>
          <w:rFonts w:ascii="Times New Roman" w:hAnsi="Times New Roman" w:cs="Times New Roman"/>
          <w:sz w:val="28"/>
          <w:szCs w:val="28"/>
          <w:lang w:val="uk-UA"/>
        </w:rPr>
        <w:t>, с. 121-123</w:t>
      </w:r>
      <w:r w:rsidR="00D42C57" w:rsidRPr="00C17159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C3EC1" w:rsidRPr="00C17159" w:rsidRDefault="00D42C57" w:rsidP="00D42C57">
      <w:pPr>
        <w:spacing w:after="0" w:line="36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Дослідження, присвячені вивченню ролі </w:t>
      </w:r>
      <w:proofErr w:type="spellStart"/>
      <w:r w:rsidRPr="00C17159">
        <w:rPr>
          <w:rFonts w:ascii="Times New Roman" w:hAnsi="Times New Roman" w:cs="Times New Roman"/>
          <w:sz w:val="28"/>
          <w:szCs w:val="28"/>
          <w:lang w:val="uk-UA"/>
        </w:rPr>
        <w:t>апоптозу</w:t>
      </w:r>
      <w:proofErr w:type="spellEnd"/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при запальних захворюваннях пародонту, переконливо свідчать про значні порушення в експресії генів, що індукують </w:t>
      </w:r>
      <w:proofErr w:type="spellStart"/>
      <w:r w:rsidRPr="00C17159">
        <w:rPr>
          <w:rFonts w:ascii="Times New Roman" w:hAnsi="Times New Roman" w:cs="Times New Roman"/>
          <w:sz w:val="28"/>
          <w:szCs w:val="28"/>
          <w:lang w:val="uk-UA"/>
        </w:rPr>
        <w:t>апоптоз</w:t>
      </w:r>
      <w:proofErr w:type="spellEnd"/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proofErr w:type="spellStart"/>
      <w:r w:rsidRPr="00C17159">
        <w:rPr>
          <w:rFonts w:ascii="Times New Roman" w:hAnsi="Times New Roman" w:cs="Times New Roman"/>
          <w:sz w:val="28"/>
          <w:szCs w:val="28"/>
          <w:lang w:val="uk-UA"/>
        </w:rPr>
        <w:t>лімфоїдних</w:t>
      </w:r>
      <w:proofErr w:type="spellEnd"/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клітинах власне слизової оболонки ясен, особливо при середньому та тяжкому ступенях </w:t>
      </w:r>
      <w:proofErr w:type="spellStart"/>
      <w:r w:rsidRPr="00C17159">
        <w:rPr>
          <w:rFonts w:ascii="Times New Roman" w:hAnsi="Times New Roman" w:cs="Times New Roman"/>
          <w:sz w:val="28"/>
          <w:szCs w:val="28"/>
          <w:lang w:val="uk-UA"/>
        </w:rPr>
        <w:t>пародонтиту</w:t>
      </w:r>
      <w:proofErr w:type="spellEnd"/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>Встановлено, що при середн</w:t>
      </w:r>
      <w:r w:rsidR="003B5D4F" w:rsidRPr="00C17159">
        <w:rPr>
          <w:rFonts w:ascii="Times New Roman" w:hAnsi="Times New Roman" w:cs="Times New Roman"/>
          <w:sz w:val="28"/>
          <w:szCs w:val="28"/>
          <w:lang w:val="uk-UA"/>
        </w:rPr>
        <w:t>ьому та</w:t>
      </w:r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тяжко</w:t>
      </w:r>
      <w:r w:rsidR="003B5D4F" w:rsidRPr="00C17159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ступеня</w:t>
      </w:r>
      <w:r w:rsidR="003B5D4F" w:rsidRPr="00C17159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хронічного </w:t>
      </w:r>
      <w:proofErr w:type="spellStart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>пародонтиту</w:t>
      </w:r>
      <w:proofErr w:type="spellEnd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найбільш низькі показники </w:t>
      </w:r>
      <w:proofErr w:type="spellStart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>апоптозу</w:t>
      </w:r>
      <w:proofErr w:type="spellEnd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>лімфоїдн</w:t>
      </w:r>
      <w:r w:rsidR="003B5D4F" w:rsidRPr="00C17159">
        <w:rPr>
          <w:rFonts w:ascii="Times New Roman" w:hAnsi="Times New Roman" w:cs="Times New Roman"/>
          <w:sz w:val="28"/>
          <w:szCs w:val="28"/>
          <w:lang w:val="uk-UA"/>
        </w:rPr>
        <w:t>ій</w:t>
      </w:r>
      <w:proofErr w:type="spellEnd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популяції клітин (3</w:t>
      </w:r>
      <w:r w:rsidR="003B5D4F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>% і 2</w:t>
      </w:r>
      <w:r w:rsidR="003B5D4F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>% відповідно при 7</w:t>
      </w:r>
      <w:r w:rsidR="003B5D4F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% в контролі). Індекс </w:t>
      </w:r>
      <w:proofErr w:type="spellStart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>апоптозу</w:t>
      </w:r>
      <w:proofErr w:type="spellEnd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при гінгівіті найбільш високий (8</w:t>
      </w:r>
      <w:r w:rsidR="003B5D4F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%). Підвищення рівня </w:t>
      </w:r>
      <w:proofErr w:type="spellStart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>апоптозу</w:t>
      </w:r>
      <w:proofErr w:type="spellEnd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, зазначене при гінгівіті, відповідає найвищим абсолютним значенням клітин інфільтрату, що характеризує цей запальний процес </w:t>
      </w:r>
      <w:r w:rsidR="003B5D4F" w:rsidRPr="00C1715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яснах як пов'язаний </w:t>
      </w:r>
      <w:r w:rsidR="003B5D4F" w:rsidRPr="00C171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>з антигенно</w:t>
      </w:r>
      <w:r w:rsidR="003B5D4F" w:rsidRPr="00C17159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активацією лімфоцитів слизової оболонки ясен, що супроводжується посиленою клітинно</w:t>
      </w:r>
      <w:r w:rsidR="00650DDC" w:rsidRPr="00C17159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проліфераці</w:t>
      </w:r>
      <w:r w:rsidR="00650DDC" w:rsidRPr="00C17159">
        <w:rPr>
          <w:rFonts w:ascii="Times New Roman" w:hAnsi="Times New Roman" w:cs="Times New Roman"/>
          <w:sz w:val="28"/>
          <w:szCs w:val="28"/>
          <w:lang w:val="uk-UA"/>
        </w:rPr>
        <w:t>єю</w:t>
      </w:r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915FE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C17159" w:rsidRPr="00C17159">
        <w:rPr>
          <w:rFonts w:ascii="Times New Roman" w:hAnsi="Times New Roman" w:cs="Times New Roman"/>
          <w:sz w:val="28"/>
          <w:szCs w:val="28"/>
          <w:lang w:val="uk-UA"/>
        </w:rPr>
        <w:t>, с. 28</w:t>
      </w:r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:rsidR="007C3EC1" w:rsidRPr="00C17159" w:rsidRDefault="00650DDC" w:rsidP="00D42C57">
      <w:pPr>
        <w:spacing w:after="0" w:line="36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Доведено, </w:t>
      </w:r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proofErr w:type="spellStart"/>
      <w:r w:rsidRPr="00C17159">
        <w:rPr>
          <w:rFonts w:ascii="Times New Roman" w:hAnsi="Times New Roman" w:cs="Times New Roman"/>
          <w:sz w:val="28"/>
          <w:szCs w:val="28"/>
          <w:lang w:val="uk-UA"/>
        </w:rPr>
        <w:t>пародонтопатогени</w:t>
      </w:r>
      <w:proofErr w:type="spellEnd"/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відіграють </w:t>
      </w:r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>рол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індукторів </w:t>
      </w:r>
      <w:proofErr w:type="spellStart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>апоптозу</w:t>
      </w:r>
      <w:proofErr w:type="spellEnd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при запальних захворюваннях пародонту [</w:t>
      </w:r>
      <w:r w:rsidR="00915FE5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C17159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, с. </w:t>
      </w:r>
      <w:r w:rsidR="00915FE5" w:rsidRPr="002D3FC1">
        <w:rPr>
          <w:rFonts w:ascii="Times New Roman" w:hAnsi="Times New Roman" w:cs="Times New Roman"/>
          <w:sz w:val="28"/>
          <w:szCs w:val="28"/>
          <w:lang w:val="uk-UA"/>
        </w:rPr>
        <w:t>91–93</w:t>
      </w:r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]. Так, токсин </w:t>
      </w:r>
      <w:proofErr w:type="spellStart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>Аctinobacillus</w:t>
      </w:r>
      <w:proofErr w:type="spellEnd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>actinomycetemcomitans</w:t>
      </w:r>
      <w:proofErr w:type="spellEnd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може індукувати </w:t>
      </w:r>
      <w:proofErr w:type="spellStart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>апоптоз</w:t>
      </w:r>
      <w:proofErr w:type="spellEnd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В-лімфоцитів </w:t>
      </w:r>
      <w:proofErr w:type="spellStart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>периодонтально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>ї</w:t>
      </w:r>
      <w:proofErr w:type="spellEnd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тканини, а сам </w:t>
      </w:r>
      <w:proofErr w:type="spellStart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>Аctinobacillus</w:t>
      </w:r>
      <w:proofErr w:type="spellEnd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>actinomycetemcomitans</w:t>
      </w:r>
      <w:proofErr w:type="spellEnd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прискорює </w:t>
      </w:r>
      <w:proofErr w:type="spellStart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>апоптоз</w:t>
      </w:r>
      <w:proofErr w:type="spellEnd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макрофагів, які він інфікував [</w:t>
      </w:r>
      <w:r w:rsidR="00915FE5" w:rsidRPr="004D7BF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6</w:t>
      </w:r>
      <w:r w:rsidR="00C17159" w:rsidRPr="004D7BF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, с. </w:t>
      </w:r>
      <w:r w:rsidR="00915FE5" w:rsidRPr="002D3FC1">
        <w:rPr>
          <w:rFonts w:ascii="Times New Roman" w:hAnsi="Times New Roman" w:cs="Times New Roman"/>
          <w:sz w:val="28"/>
          <w:szCs w:val="28"/>
          <w:lang w:val="uk-UA"/>
        </w:rPr>
        <w:t>476–99</w:t>
      </w:r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:rsidR="00CB3270" w:rsidRPr="00C17159" w:rsidRDefault="00650DDC" w:rsidP="007C3EC1">
      <w:pPr>
        <w:spacing w:after="0" w:line="36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17159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еструкція тканин при хронічному </w:t>
      </w:r>
      <w:proofErr w:type="spellStart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>пародонтиті</w:t>
      </w:r>
      <w:proofErr w:type="spellEnd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може частково (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>кількість</w:t>
      </w:r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>апоптозних</w:t>
      </w:r>
      <w:proofErr w:type="spellEnd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клітин 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>біоптатах</w:t>
      </w:r>
      <w:proofErr w:type="spellEnd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хворих на </w:t>
      </w:r>
      <w:proofErr w:type="spellStart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>пародонтит</w:t>
      </w:r>
      <w:proofErr w:type="spellEnd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становить менше 10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>% від загально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>ї кількості</w:t>
      </w:r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клітин) відбуватися за механізмом </w:t>
      </w:r>
      <w:proofErr w:type="spellStart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>апоптозу</w:t>
      </w:r>
      <w:proofErr w:type="spellEnd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915FE5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C17159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, с. </w:t>
      </w:r>
      <w:r w:rsidR="00915FE5" w:rsidRPr="002D3FC1">
        <w:rPr>
          <w:rFonts w:ascii="Times New Roman" w:hAnsi="Times New Roman" w:cs="Times New Roman"/>
          <w:sz w:val="28"/>
          <w:szCs w:val="28"/>
          <w:lang w:val="uk-UA"/>
        </w:rPr>
        <w:t>91–93</w:t>
      </w:r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]. </w:t>
      </w:r>
      <w:proofErr w:type="spellStart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>Апоптоз</w:t>
      </w:r>
      <w:proofErr w:type="spellEnd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>нейтрофілів</w:t>
      </w:r>
      <w:proofErr w:type="spellEnd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у вогнищі запалення пародонту супроводжується зниженням адгезії 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активності фагоцитозу.</w:t>
      </w:r>
    </w:p>
    <w:p w:rsidR="007C3EC1" w:rsidRPr="00C17159" w:rsidRDefault="007C3EC1" w:rsidP="007C3EC1">
      <w:pPr>
        <w:spacing w:after="0" w:line="36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Дослідження системного імунітету при хронічному </w:t>
      </w:r>
      <w:proofErr w:type="spellStart"/>
      <w:r w:rsidRPr="00C17159">
        <w:rPr>
          <w:rFonts w:ascii="Times New Roman" w:hAnsi="Times New Roman" w:cs="Times New Roman"/>
          <w:sz w:val="28"/>
          <w:szCs w:val="28"/>
          <w:lang w:val="uk-UA"/>
        </w:rPr>
        <w:t>генералізованому</w:t>
      </w:r>
      <w:proofErr w:type="spellEnd"/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17159">
        <w:rPr>
          <w:rFonts w:ascii="Times New Roman" w:hAnsi="Times New Roman" w:cs="Times New Roman"/>
          <w:sz w:val="28"/>
          <w:szCs w:val="28"/>
          <w:lang w:val="uk-UA"/>
        </w:rPr>
        <w:t>пародонтиті</w:t>
      </w:r>
      <w:proofErr w:type="spellEnd"/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довели провідну роль плазматичних клітин </w:t>
      </w:r>
      <w:r w:rsidR="00650DDC" w:rsidRPr="00C1715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патогенезі запальних захворювань слизової оболонки ясен хворих на </w:t>
      </w:r>
      <w:proofErr w:type="spellStart"/>
      <w:r w:rsidRPr="00C17159">
        <w:rPr>
          <w:rFonts w:ascii="Times New Roman" w:hAnsi="Times New Roman" w:cs="Times New Roman"/>
          <w:sz w:val="28"/>
          <w:szCs w:val="28"/>
          <w:lang w:val="uk-UA"/>
        </w:rPr>
        <w:t>пародонтит</w:t>
      </w:r>
      <w:proofErr w:type="spellEnd"/>
      <w:r w:rsidRPr="00C17159">
        <w:rPr>
          <w:rFonts w:ascii="Times New Roman" w:hAnsi="Times New Roman" w:cs="Times New Roman"/>
          <w:sz w:val="28"/>
          <w:szCs w:val="28"/>
          <w:lang w:val="uk-UA"/>
        </w:rPr>
        <w:t>. Збільшення вмісту в периферичн</w:t>
      </w:r>
      <w:r w:rsidR="00650DDC" w:rsidRPr="00C17159">
        <w:rPr>
          <w:rFonts w:ascii="Times New Roman" w:hAnsi="Times New Roman" w:cs="Times New Roman"/>
          <w:sz w:val="28"/>
          <w:szCs w:val="28"/>
          <w:lang w:val="uk-UA"/>
        </w:rPr>
        <w:t>ій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крові лімфоцитів, що </w:t>
      </w:r>
      <w:proofErr w:type="spellStart"/>
      <w:r w:rsidRPr="00C17159">
        <w:rPr>
          <w:rFonts w:ascii="Times New Roman" w:hAnsi="Times New Roman" w:cs="Times New Roman"/>
          <w:sz w:val="28"/>
          <w:szCs w:val="28"/>
          <w:lang w:val="uk-UA"/>
        </w:rPr>
        <w:t>експресують</w:t>
      </w:r>
      <w:proofErr w:type="spellEnd"/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рецептори індукції </w:t>
      </w:r>
      <w:proofErr w:type="spellStart"/>
      <w:r w:rsidRPr="00C17159">
        <w:rPr>
          <w:rFonts w:ascii="Times New Roman" w:hAnsi="Times New Roman" w:cs="Times New Roman"/>
          <w:sz w:val="28"/>
          <w:szCs w:val="28"/>
          <w:lang w:val="uk-UA"/>
        </w:rPr>
        <w:t>апоптозу</w:t>
      </w:r>
      <w:proofErr w:type="spellEnd"/>
      <w:r w:rsidR="00650DDC" w:rsidRPr="00C1715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може призводити до посилення </w:t>
      </w:r>
      <w:proofErr w:type="spellStart"/>
      <w:r w:rsidRPr="00C17159">
        <w:rPr>
          <w:rFonts w:ascii="Times New Roman" w:hAnsi="Times New Roman" w:cs="Times New Roman"/>
          <w:sz w:val="28"/>
          <w:szCs w:val="28"/>
          <w:lang w:val="uk-UA"/>
        </w:rPr>
        <w:t>апоптозу</w:t>
      </w:r>
      <w:proofErr w:type="spellEnd"/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лімфоцитів і, можливо, </w:t>
      </w:r>
      <w:r w:rsidR="00650DDC" w:rsidRPr="00C17159">
        <w:rPr>
          <w:rFonts w:ascii="Times New Roman" w:hAnsi="Times New Roman" w:cs="Times New Roman"/>
          <w:sz w:val="28"/>
          <w:szCs w:val="28"/>
          <w:lang w:val="uk-UA"/>
        </w:rPr>
        <w:t>стати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причиною розвитку Т-клітинного дефіциту</w:t>
      </w:r>
      <w:r w:rsidR="00650DDC" w:rsidRPr="00C1715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50DDC" w:rsidRPr="00C17159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ри </w:t>
      </w:r>
      <w:proofErr w:type="spellStart"/>
      <w:r w:rsidRPr="00C17159">
        <w:rPr>
          <w:rFonts w:ascii="Times New Roman" w:hAnsi="Times New Roman" w:cs="Times New Roman"/>
          <w:sz w:val="28"/>
          <w:szCs w:val="28"/>
          <w:lang w:val="uk-UA"/>
        </w:rPr>
        <w:t>генералізованому</w:t>
      </w:r>
      <w:proofErr w:type="spellEnd"/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17159">
        <w:rPr>
          <w:rFonts w:ascii="Times New Roman" w:hAnsi="Times New Roman" w:cs="Times New Roman"/>
          <w:sz w:val="28"/>
          <w:szCs w:val="28"/>
          <w:lang w:val="uk-UA"/>
        </w:rPr>
        <w:t>пародонтиті</w:t>
      </w:r>
      <w:proofErr w:type="spellEnd"/>
      <w:r w:rsidRPr="00C17159">
        <w:rPr>
          <w:rFonts w:ascii="Times New Roman" w:hAnsi="Times New Roman" w:cs="Times New Roman"/>
          <w:sz w:val="28"/>
          <w:szCs w:val="28"/>
          <w:lang w:val="uk-UA"/>
        </w:rPr>
        <w:t>, асоційован</w:t>
      </w:r>
      <w:r w:rsidR="00650DDC" w:rsidRPr="00C17159">
        <w:rPr>
          <w:rFonts w:ascii="Times New Roman" w:hAnsi="Times New Roman" w:cs="Times New Roman"/>
          <w:sz w:val="28"/>
          <w:szCs w:val="28"/>
          <w:lang w:val="uk-UA"/>
        </w:rPr>
        <w:t>ому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proofErr w:type="spellStart"/>
      <w:r w:rsidRPr="00C17159">
        <w:rPr>
          <w:rFonts w:ascii="Times New Roman" w:hAnsi="Times New Roman" w:cs="Times New Roman"/>
          <w:sz w:val="28"/>
          <w:szCs w:val="28"/>
          <w:lang w:val="uk-UA"/>
        </w:rPr>
        <w:t>герпесвирусно</w:t>
      </w:r>
      <w:r w:rsidR="00650DDC" w:rsidRPr="00C17159">
        <w:rPr>
          <w:rFonts w:ascii="Times New Roman" w:hAnsi="Times New Roman" w:cs="Times New Roman"/>
          <w:sz w:val="28"/>
          <w:szCs w:val="28"/>
          <w:lang w:val="uk-UA"/>
        </w:rPr>
        <w:t>м</w:t>
      </w:r>
      <w:proofErr w:type="spellEnd"/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і/або </w:t>
      </w:r>
      <w:proofErr w:type="spellStart"/>
      <w:r w:rsidRPr="00C17159">
        <w:rPr>
          <w:rFonts w:ascii="Times New Roman" w:hAnsi="Times New Roman" w:cs="Times New Roman"/>
          <w:sz w:val="28"/>
          <w:szCs w:val="28"/>
          <w:lang w:val="uk-UA"/>
        </w:rPr>
        <w:t>цитомегаловірусом</w:t>
      </w:r>
      <w:proofErr w:type="spellEnd"/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, формується стан вторинного імунодефіциту з «низькою» реактивністю Т-системи імунітету, переважним порушенням процесів активації та </w:t>
      </w:r>
      <w:proofErr w:type="spellStart"/>
      <w:r w:rsidRPr="00C17159">
        <w:rPr>
          <w:rFonts w:ascii="Times New Roman" w:hAnsi="Times New Roman" w:cs="Times New Roman"/>
          <w:sz w:val="28"/>
          <w:szCs w:val="28"/>
          <w:lang w:val="uk-UA"/>
        </w:rPr>
        <w:t>апоптозу</w:t>
      </w:r>
      <w:proofErr w:type="spellEnd"/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, незважаючи на різку антимікробну спрямованість клітинного </w:t>
      </w:r>
      <w:r w:rsidR="00650DDC" w:rsidRPr="00C17159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гуморального імунітету [</w:t>
      </w:r>
      <w:r w:rsidR="00915F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7</w:t>
      </w:r>
      <w:r w:rsidR="00C17159" w:rsidRPr="00C1715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с. </w:t>
      </w:r>
      <w:r w:rsidR="00915FE5" w:rsidRPr="002D3FC1">
        <w:rPr>
          <w:rFonts w:ascii="Times New Roman" w:hAnsi="Times New Roman" w:cs="Times New Roman"/>
          <w:sz w:val="28"/>
          <w:szCs w:val="28"/>
          <w:lang w:val="uk-UA"/>
        </w:rPr>
        <w:t>3–11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:rsidR="007C3EC1" w:rsidRPr="00C17159" w:rsidRDefault="007C3EC1" w:rsidP="007C3EC1">
      <w:pPr>
        <w:spacing w:after="0" w:line="36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Таким чином, загибель клітин </w:t>
      </w:r>
      <w:r w:rsidR="00650DDC" w:rsidRPr="00C17159">
        <w:rPr>
          <w:rFonts w:ascii="Times New Roman" w:hAnsi="Times New Roman" w:cs="Times New Roman"/>
          <w:sz w:val="28"/>
          <w:szCs w:val="28"/>
          <w:lang w:val="uk-UA"/>
        </w:rPr>
        <w:t>має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важливу роль </w:t>
      </w:r>
      <w:r w:rsidR="00650DDC" w:rsidRPr="00C1715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житті </w:t>
      </w:r>
      <w:r w:rsidR="00650DDC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як 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>здорового</w:t>
      </w:r>
      <w:r w:rsidR="00650DDC" w:rsidRPr="00C17159">
        <w:rPr>
          <w:rFonts w:ascii="Times New Roman" w:hAnsi="Times New Roman" w:cs="Times New Roman"/>
          <w:sz w:val="28"/>
          <w:szCs w:val="28"/>
          <w:lang w:val="uk-UA"/>
        </w:rPr>
        <w:t>,  так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і хворого організму, а знання сутності та проявів </w:t>
      </w:r>
      <w:proofErr w:type="spellStart"/>
      <w:r w:rsidRPr="00C17159">
        <w:rPr>
          <w:rFonts w:ascii="Times New Roman" w:hAnsi="Times New Roman" w:cs="Times New Roman"/>
          <w:sz w:val="28"/>
          <w:szCs w:val="28"/>
          <w:lang w:val="uk-UA"/>
        </w:rPr>
        <w:t>апоптозу</w:t>
      </w:r>
      <w:proofErr w:type="spellEnd"/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допоможе у вирішенні </w:t>
      </w:r>
      <w:r w:rsidR="00650DDC" w:rsidRPr="00C17159">
        <w:rPr>
          <w:rFonts w:ascii="Times New Roman" w:hAnsi="Times New Roman" w:cs="Times New Roman"/>
          <w:sz w:val="28"/>
          <w:szCs w:val="28"/>
          <w:lang w:val="uk-UA"/>
        </w:rPr>
        <w:t>певних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завдань </w:t>
      </w:r>
      <w:proofErr w:type="spellStart"/>
      <w:r w:rsidRPr="00C17159">
        <w:rPr>
          <w:rFonts w:ascii="Times New Roman" w:hAnsi="Times New Roman" w:cs="Times New Roman"/>
          <w:sz w:val="28"/>
          <w:szCs w:val="28"/>
          <w:lang w:val="uk-UA"/>
        </w:rPr>
        <w:t>пародонтолог</w:t>
      </w:r>
      <w:r w:rsidR="00650DDC" w:rsidRPr="00C17159">
        <w:rPr>
          <w:rFonts w:ascii="Times New Roman" w:hAnsi="Times New Roman" w:cs="Times New Roman"/>
          <w:sz w:val="28"/>
          <w:szCs w:val="28"/>
          <w:lang w:val="uk-UA"/>
        </w:rPr>
        <w:t>ії</w:t>
      </w:r>
      <w:proofErr w:type="spellEnd"/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4F066A" w:rsidRPr="00C17159">
        <w:rPr>
          <w:rFonts w:ascii="Times New Roman" w:hAnsi="Times New Roman" w:cs="Times New Roman"/>
          <w:sz w:val="28"/>
          <w:szCs w:val="28"/>
          <w:lang w:val="uk-UA"/>
        </w:rPr>
        <w:t>Так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, використовуючи нові підходи, створювати більш ефективні комплекси лікарських засобів, </w:t>
      </w:r>
      <w:r w:rsidR="003C45C7" w:rsidRPr="00C17159">
        <w:rPr>
          <w:rFonts w:ascii="Times New Roman" w:hAnsi="Times New Roman" w:cs="Times New Roman"/>
          <w:sz w:val="28"/>
          <w:szCs w:val="28"/>
          <w:lang w:val="uk-UA"/>
        </w:rPr>
        <w:t>які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C45C7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зможуть 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>забезпеч</w:t>
      </w:r>
      <w:r w:rsidR="003C45C7" w:rsidRPr="00C17159">
        <w:rPr>
          <w:rFonts w:ascii="Times New Roman" w:hAnsi="Times New Roman" w:cs="Times New Roman"/>
          <w:sz w:val="28"/>
          <w:szCs w:val="28"/>
          <w:lang w:val="uk-UA"/>
        </w:rPr>
        <w:t>ити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17159">
        <w:rPr>
          <w:rFonts w:ascii="Times New Roman" w:hAnsi="Times New Roman" w:cs="Times New Roman"/>
          <w:sz w:val="28"/>
          <w:szCs w:val="28"/>
          <w:lang w:val="uk-UA"/>
        </w:rPr>
        <w:t>протиішемічн</w:t>
      </w:r>
      <w:r w:rsidR="003C45C7" w:rsidRPr="00C17159">
        <w:rPr>
          <w:rFonts w:ascii="Times New Roman" w:hAnsi="Times New Roman" w:cs="Times New Roman"/>
          <w:sz w:val="28"/>
          <w:szCs w:val="28"/>
          <w:lang w:val="uk-UA"/>
        </w:rPr>
        <w:t>ий</w:t>
      </w:r>
      <w:proofErr w:type="spellEnd"/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захист і </w:t>
      </w:r>
      <w:proofErr w:type="spellStart"/>
      <w:r w:rsidRPr="00C17159">
        <w:rPr>
          <w:rFonts w:ascii="Times New Roman" w:hAnsi="Times New Roman" w:cs="Times New Roman"/>
          <w:sz w:val="28"/>
          <w:szCs w:val="28"/>
          <w:lang w:val="uk-UA"/>
        </w:rPr>
        <w:t>купірува</w:t>
      </w:r>
      <w:r w:rsidR="003C45C7" w:rsidRPr="00C17159">
        <w:rPr>
          <w:rFonts w:ascii="Times New Roman" w:hAnsi="Times New Roman" w:cs="Times New Roman"/>
          <w:sz w:val="28"/>
          <w:szCs w:val="28"/>
          <w:lang w:val="uk-UA"/>
        </w:rPr>
        <w:t>ти</w:t>
      </w:r>
      <w:proofErr w:type="spellEnd"/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C45C7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смерть 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>клітин</w:t>
      </w:r>
      <w:r w:rsidR="003C45C7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у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різних тканинах. Перспективними напрямками дослідження мож</w:t>
      </w:r>
      <w:r w:rsidR="003C45C7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е стати 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вивчення механізмів дії на </w:t>
      </w:r>
      <w:proofErr w:type="spellStart"/>
      <w:r w:rsidRPr="00C17159">
        <w:rPr>
          <w:rFonts w:ascii="Times New Roman" w:hAnsi="Times New Roman" w:cs="Times New Roman"/>
          <w:sz w:val="28"/>
          <w:szCs w:val="28"/>
          <w:lang w:val="uk-UA"/>
        </w:rPr>
        <w:t>апоптоз</w:t>
      </w:r>
      <w:proofErr w:type="spellEnd"/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лікарських препаратів, що застосовуються в клінічній практиці</w:t>
      </w:r>
      <w:r w:rsidR="003C45C7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Більшість захворювань не характеризується загальним збільшенням чутливості або резистентності до </w:t>
      </w:r>
      <w:proofErr w:type="spellStart"/>
      <w:r w:rsidRPr="00C17159">
        <w:rPr>
          <w:rFonts w:ascii="Times New Roman" w:hAnsi="Times New Roman" w:cs="Times New Roman"/>
          <w:sz w:val="28"/>
          <w:szCs w:val="28"/>
          <w:lang w:val="uk-UA"/>
        </w:rPr>
        <w:t>апоптозу</w:t>
      </w:r>
      <w:proofErr w:type="spellEnd"/>
      <w:r w:rsidRPr="00C17159">
        <w:rPr>
          <w:rFonts w:ascii="Times New Roman" w:hAnsi="Times New Roman" w:cs="Times New Roman"/>
          <w:sz w:val="28"/>
          <w:szCs w:val="28"/>
          <w:lang w:val="uk-UA"/>
        </w:rPr>
        <w:t>, що визначає відсутність універсально</w:t>
      </w:r>
      <w:r w:rsidR="003C45C7" w:rsidRPr="00C17159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дії препаратів, </w:t>
      </w:r>
      <w:r w:rsidR="003C45C7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які 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односторонньо регулюють </w:t>
      </w:r>
      <w:proofErr w:type="spellStart"/>
      <w:r w:rsidRPr="00C17159">
        <w:rPr>
          <w:rFonts w:ascii="Times New Roman" w:hAnsi="Times New Roman" w:cs="Times New Roman"/>
          <w:sz w:val="28"/>
          <w:szCs w:val="28"/>
          <w:lang w:val="uk-UA"/>
        </w:rPr>
        <w:t>апоптоз</w:t>
      </w:r>
      <w:proofErr w:type="spellEnd"/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в умовах всього організму. Разом з тим, включення медичного озону </w:t>
      </w:r>
      <w:r w:rsidR="003C45C7" w:rsidRPr="00C17159"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комплекс</w:t>
      </w:r>
      <w:r w:rsidR="003C45C7" w:rsidRPr="00C1715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медичних заходів при запальних захворюваннях щелепно-лицевої ділянки супроводжується достовірним скороченням термінів нормалізації більшості параметрів імунологічної реактивності, неспецифічно</w:t>
      </w:r>
      <w:r w:rsidR="003C45C7" w:rsidRPr="00C17159">
        <w:rPr>
          <w:rFonts w:ascii="Times New Roman" w:hAnsi="Times New Roman" w:cs="Times New Roman"/>
          <w:sz w:val="28"/>
          <w:szCs w:val="28"/>
          <w:lang w:val="uk-UA"/>
        </w:rPr>
        <w:t>го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захисту </w:t>
      </w:r>
      <w:r w:rsidR="003C45C7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й </w:t>
      </w:r>
      <w:proofErr w:type="spellStart"/>
      <w:r w:rsidRPr="00C17159">
        <w:rPr>
          <w:rFonts w:ascii="Times New Roman" w:hAnsi="Times New Roman" w:cs="Times New Roman"/>
          <w:sz w:val="28"/>
          <w:szCs w:val="28"/>
          <w:lang w:val="uk-UA"/>
        </w:rPr>
        <w:t>апоптозу</w:t>
      </w:r>
      <w:proofErr w:type="spellEnd"/>
      <w:r w:rsidRPr="00C17159">
        <w:rPr>
          <w:rFonts w:ascii="Times New Roman" w:hAnsi="Times New Roman" w:cs="Times New Roman"/>
          <w:sz w:val="28"/>
          <w:szCs w:val="28"/>
          <w:lang w:val="uk-UA"/>
        </w:rPr>
        <w:t>, позитивн</w:t>
      </w:r>
      <w:r w:rsidR="003C45C7" w:rsidRPr="00C171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вплив</w:t>
      </w:r>
      <w:r w:rsidR="003C45C7" w:rsidRPr="00C17159">
        <w:rPr>
          <w:rFonts w:ascii="Times New Roman" w:hAnsi="Times New Roman" w:cs="Times New Roman"/>
          <w:sz w:val="28"/>
          <w:szCs w:val="28"/>
          <w:lang w:val="uk-UA"/>
        </w:rPr>
        <w:t>аючи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на регуляцію Т-к</w:t>
      </w:r>
      <w:r w:rsidR="003C45C7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літинних 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>популяційних взаємин [</w:t>
      </w:r>
      <w:r w:rsidR="00915FE5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C17159" w:rsidRPr="004D7B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с. </w:t>
      </w:r>
      <w:r w:rsidR="00915FE5" w:rsidRPr="002D3FC1">
        <w:rPr>
          <w:rFonts w:ascii="Times New Roman" w:hAnsi="Times New Roman" w:cs="Times New Roman"/>
          <w:sz w:val="28"/>
          <w:szCs w:val="28"/>
          <w:lang w:val="uk-UA"/>
        </w:rPr>
        <w:t>3–6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:rsidR="007C3EC1" w:rsidRPr="00C17159" w:rsidRDefault="003C45C7" w:rsidP="007C3EC1">
      <w:pPr>
        <w:spacing w:after="0" w:line="36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Розуміння процесу </w:t>
      </w:r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>виб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>ору</w:t>
      </w:r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напрямку сигналізації 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>у бік</w:t>
      </w:r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>апоптозу</w:t>
      </w:r>
      <w:proofErr w:type="spellEnd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клітини або її виживання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створить можливість р</w:t>
      </w:r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>озроб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>и нов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підход</w:t>
      </w:r>
      <w:r w:rsidRPr="00C17159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до лікування імунодефіцитів, </w:t>
      </w:r>
      <w:proofErr w:type="spellStart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>аутоімунної</w:t>
      </w:r>
      <w:proofErr w:type="spellEnd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патології та злоякісних новоутворень. У зв'язку з цим вивчення </w:t>
      </w:r>
      <w:proofErr w:type="spellStart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>апоптозу</w:t>
      </w:r>
      <w:proofErr w:type="spellEnd"/>
      <w:r w:rsidR="007C3EC1" w:rsidRPr="00C17159">
        <w:rPr>
          <w:rFonts w:ascii="Times New Roman" w:hAnsi="Times New Roman" w:cs="Times New Roman"/>
          <w:sz w:val="28"/>
          <w:szCs w:val="28"/>
          <w:lang w:val="uk-UA"/>
        </w:rPr>
        <w:t xml:space="preserve"> набуває все більшого практичного значення для з'ясування механізмів різних патологічних станів.</w:t>
      </w:r>
    </w:p>
    <w:p w:rsidR="00C17159" w:rsidRDefault="00C17159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17159" w:rsidRDefault="00C17159" w:rsidP="00C17159">
      <w:pPr>
        <w:spacing w:after="0" w:line="360" w:lineRule="auto"/>
        <w:ind w:left="567"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Література</w:t>
      </w:r>
    </w:p>
    <w:p w:rsidR="00C17159" w:rsidRPr="002D3FC1" w:rsidRDefault="00C17159" w:rsidP="00C17159">
      <w:pPr>
        <w:pStyle w:val="a4"/>
        <w:numPr>
          <w:ilvl w:val="0"/>
          <w:numId w:val="1"/>
        </w:numPr>
        <w:spacing w:after="0" w:line="360" w:lineRule="auto"/>
        <w:ind w:left="1560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_Ref483163671"/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lastRenderedPageBreak/>
        <w:t>Апоптоз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воспалительные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заболевания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пародонта / Е. Н. 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Николаева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В. Н. Ца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рев,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Д. В. Ермо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лин,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В. В. Шула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ков //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Институт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стоматологии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>. — 2003. — № 4. — С. 91–93.</w:t>
      </w:r>
      <w:bookmarkEnd w:id="1"/>
    </w:p>
    <w:p w:rsidR="00C17159" w:rsidRPr="002D3FC1" w:rsidRDefault="00C17159" w:rsidP="00C17159">
      <w:pPr>
        <w:pStyle w:val="a4"/>
        <w:numPr>
          <w:ilvl w:val="0"/>
          <w:numId w:val="1"/>
        </w:numPr>
        <w:spacing w:after="0" w:line="360" w:lineRule="auto"/>
        <w:ind w:left="1560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2" w:name="_Ref483163654"/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Миха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лева Л. М.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Хронический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пародонтит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Клиническая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морфология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иммунология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/ Л. М. 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Михалева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В. Д. Шапова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лов,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Т. Г. Барх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ина. — М. :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Триада-фарм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>», 2004. — 126 с.</w:t>
      </w:r>
      <w:bookmarkEnd w:id="2"/>
    </w:p>
    <w:p w:rsidR="00C17159" w:rsidRPr="002D3FC1" w:rsidRDefault="00C17159" w:rsidP="00C17159">
      <w:pPr>
        <w:pStyle w:val="a4"/>
        <w:numPr>
          <w:ilvl w:val="0"/>
          <w:numId w:val="1"/>
        </w:numPr>
        <w:spacing w:after="0" w:line="360" w:lineRule="auto"/>
        <w:ind w:left="1560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3" w:name="_Ref483163576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Патофізіологія :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підруч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. для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студ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вищ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. мед.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навч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закл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>. III–IV рівнів акредитації / за ред. М. Н. 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Зайка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та ін. — 4-е вид.,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переробл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. і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доп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>. — К. : Медицина , 2014. — 751 с.</w:t>
      </w:r>
      <w:bookmarkEnd w:id="3"/>
    </w:p>
    <w:p w:rsidR="00C17159" w:rsidRPr="002D3FC1" w:rsidRDefault="00C17159" w:rsidP="00C17159">
      <w:pPr>
        <w:pStyle w:val="a4"/>
        <w:numPr>
          <w:ilvl w:val="0"/>
          <w:numId w:val="1"/>
        </w:numPr>
        <w:spacing w:after="0" w:line="360" w:lineRule="auto"/>
        <w:ind w:left="1560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4" w:name="_Ref483163590"/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Філь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ченков О. О.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Апоптоз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і рак : від теорії до практики / О. О. 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Фільченков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Р. С. Сто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>йка. — Тернопіль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Укрмедкнига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>, 2006. — 523 с.</w:t>
      </w:r>
      <w:bookmarkEnd w:id="4"/>
    </w:p>
    <w:p w:rsidR="00C17159" w:rsidRPr="002D3FC1" w:rsidRDefault="00C17159" w:rsidP="00C17159">
      <w:pPr>
        <w:pStyle w:val="a4"/>
        <w:numPr>
          <w:ilvl w:val="0"/>
          <w:numId w:val="1"/>
        </w:numPr>
        <w:spacing w:after="0" w:line="360" w:lineRule="auto"/>
        <w:ind w:left="1560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5" w:name="_Ref483163756"/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Цепо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в Л. М.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Апоптоз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воспалительные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заболевания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пародонта : (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обзор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литературы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) /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Л. М. Це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пов //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Пародонтология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>. — 2009. — №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2D3FC1">
        <w:rPr>
          <w:rFonts w:ascii="Times New Roman" w:hAnsi="Times New Roman" w:cs="Times New Roman"/>
          <w:sz w:val="28"/>
          <w:szCs w:val="28"/>
          <w:lang w:val="uk-UA"/>
        </w:rPr>
        <w:t>2. — С. 3–6.</w:t>
      </w:r>
      <w:bookmarkEnd w:id="5"/>
    </w:p>
    <w:p w:rsidR="00C17159" w:rsidRPr="002D3FC1" w:rsidRDefault="00C17159" w:rsidP="00C17159">
      <w:pPr>
        <w:pStyle w:val="a4"/>
        <w:numPr>
          <w:ilvl w:val="0"/>
          <w:numId w:val="1"/>
        </w:numPr>
        <w:spacing w:after="0" w:line="360" w:lineRule="auto"/>
        <w:ind w:left="1560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6" w:name="_Ref483163689"/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DiRi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enzo J. M.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Breaking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Gingival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Epithelial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Barrier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Role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Aggregatibacter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actinomycetemcomitans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Cytolethal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Distending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Toxin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Oral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Infectious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Disease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/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J. M. DiRie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nzo //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Cells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. — 2014. — </w:t>
      </w:r>
      <w:r w:rsidRPr="002D3FC1">
        <w:rPr>
          <w:rFonts w:ascii="Times New Roman" w:hAnsi="Times New Roman" w:cs="Times New Roman"/>
          <w:sz w:val="28"/>
          <w:szCs w:val="28"/>
          <w:lang w:val="en-US"/>
        </w:rPr>
        <w:t>Vol.</w:t>
      </w:r>
      <w:r w:rsidRPr="004D7B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D3FC1">
        <w:rPr>
          <w:rFonts w:ascii="Times New Roman" w:hAnsi="Times New Roman" w:cs="Times New Roman"/>
          <w:sz w:val="28"/>
          <w:szCs w:val="28"/>
          <w:lang w:val="uk-UA"/>
        </w:rPr>
        <w:t>3 (2). — Р. 476–99.</w:t>
      </w:r>
      <w:bookmarkEnd w:id="6"/>
    </w:p>
    <w:p w:rsidR="00C17159" w:rsidRPr="002D3FC1" w:rsidRDefault="00C17159" w:rsidP="00C17159">
      <w:pPr>
        <w:pStyle w:val="a4"/>
        <w:numPr>
          <w:ilvl w:val="0"/>
          <w:numId w:val="1"/>
        </w:numPr>
        <w:spacing w:after="0" w:line="360" w:lineRule="auto"/>
        <w:ind w:left="1560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7" w:name="_Ref483163728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Hajishengallis G.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Immunomicrobial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pathogenesis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periodontitis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keystones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pathobionts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host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response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/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G. Hajishengal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lis //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Trends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Immunol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. — 2014. — </w:t>
      </w:r>
      <w:r w:rsidRPr="002D3FC1">
        <w:rPr>
          <w:rFonts w:ascii="Times New Roman" w:hAnsi="Times New Roman" w:cs="Times New Roman"/>
          <w:sz w:val="28"/>
          <w:szCs w:val="28"/>
          <w:lang w:val="en-US"/>
        </w:rPr>
        <w:t>Vol.</w:t>
      </w:r>
      <w:r w:rsidRPr="004D7B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D3FC1">
        <w:rPr>
          <w:rFonts w:ascii="Times New Roman" w:hAnsi="Times New Roman" w:cs="Times New Roman"/>
          <w:sz w:val="28"/>
          <w:szCs w:val="28"/>
          <w:lang w:val="uk-UA"/>
        </w:rPr>
        <w:t>35(1). — Р. 3–11.</w:t>
      </w:r>
      <w:bookmarkEnd w:id="7"/>
    </w:p>
    <w:p w:rsidR="00C17159" w:rsidRPr="002D3FC1" w:rsidRDefault="00C17159" w:rsidP="00C17159">
      <w:pPr>
        <w:pStyle w:val="a4"/>
        <w:numPr>
          <w:ilvl w:val="0"/>
          <w:numId w:val="1"/>
        </w:numPr>
        <w:spacing w:after="0" w:line="360" w:lineRule="auto"/>
        <w:ind w:left="1560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8" w:name="_Ref483163636"/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Programmed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cell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death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periodontitis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recent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advances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future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perspectives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/ B. Song, T. Zhou, W. L. Yang </w:t>
      </w:r>
      <w:r w:rsidRPr="002D3FC1">
        <w:rPr>
          <w:rFonts w:ascii="Times New Roman" w:hAnsi="Times New Roman" w:cs="Times New Roman"/>
          <w:sz w:val="28"/>
          <w:szCs w:val="28"/>
          <w:lang w:val="en-US"/>
        </w:rPr>
        <w:t>et al.</w:t>
      </w:r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//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Oral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Dis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. — 2016. —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doi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>: 10.1111/odi.12574.</w:t>
      </w:r>
      <w:bookmarkEnd w:id="8"/>
    </w:p>
    <w:p w:rsidR="00C17159" w:rsidRPr="002D3FC1" w:rsidRDefault="00C17159" w:rsidP="00C17159">
      <w:pPr>
        <w:pStyle w:val="a4"/>
        <w:numPr>
          <w:ilvl w:val="0"/>
          <w:numId w:val="1"/>
        </w:numPr>
        <w:spacing w:after="0" w:line="360" w:lineRule="auto"/>
        <w:ind w:left="1560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9" w:name="_Ref483163612"/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Reed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J. C.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Mechanisms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apoptosis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/ J. C. 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Reed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//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Am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 J </w:t>
      </w:r>
      <w:proofErr w:type="spellStart"/>
      <w:r w:rsidRPr="002D3FC1">
        <w:rPr>
          <w:rFonts w:ascii="Times New Roman" w:hAnsi="Times New Roman" w:cs="Times New Roman"/>
          <w:sz w:val="28"/>
          <w:szCs w:val="28"/>
          <w:lang w:val="uk-UA"/>
        </w:rPr>
        <w:t>Pathol</w:t>
      </w:r>
      <w:proofErr w:type="spellEnd"/>
      <w:r w:rsidRPr="002D3FC1">
        <w:rPr>
          <w:rFonts w:ascii="Times New Roman" w:hAnsi="Times New Roman" w:cs="Times New Roman"/>
          <w:sz w:val="28"/>
          <w:szCs w:val="28"/>
          <w:lang w:val="uk-UA"/>
        </w:rPr>
        <w:t xml:space="preserve">. — 2000. — </w:t>
      </w:r>
      <w:r w:rsidRPr="002D3FC1">
        <w:rPr>
          <w:rFonts w:ascii="Times New Roman" w:hAnsi="Times New Roman" w:cs="Times New Roman"/>
          <w:sz w:val="28"/>
          <w:szCs w:val="28"/>
          <w:lang w:val="en-US"/>
        </w:rPr>
        <w:t xml:space="preserve">Vol. </w:t>
      </w:r>
      <w:r w:rsidRPr="002D3FC1">
        <w:rPr>
          <w:rFonts w:ascii="Times New Roman" w:hAnsi="Times New Roman" w:cs="Times New Roman"/>
          <w:sz w:val="28"/>
          <w:szCs w:val="28"/>
          <w:lang w:val="uk-UA"/>
        </w:rPr>
        <w:t>157. — Р. 1415–30.</w:t>
      </w:r>
      <w:bookmarkEnd w:id="9"/>
    </w:p>
    <w:p w:rsidR="00C17159" w:rsidRDefault="00C17159" w:rsidP="00C17159">
      <w:pPr>
        <w:spacing w:after="0" w:line="36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17159" w:rsidRPr="004D7BF0" w:rsidRDefault="00C17159" w:rsidP="00C17159">
      <w:pPr>
        <w:rPr>
          <w:lang w:val="en-US"/>
        </w:rPr>
      </w:pPr>
    </w:p>
    <w:p w:rsidR="00DC6387" w:rsidRPr="007C3EC1" w:rsidRDefault="00DC6387" w:rsidP="007C3EC1">
      <w:pPr>
        <w:spacing w:after="0" w:line="36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DC6387" w:rsidRPr="007C3EC1" w:rsidSect="007C3EC1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D6B64"/>
    <w:multiLevelType w:val="hybridMultilevel"/>
    <w:tmpl w:val="6354F0B4"/>
    <w:lvl w:ilvl="0" w:tplc="0419000F">
      <w:start w:val="1"/>
      <w:numFmt w:val="decimal"/>
      <w:lvlText w:val="%1."/>
      <w:lvlJc w:val="left"/>
      <w:pPr>
        <w:ind w:left="1996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EC1"/>
    <w:rsid w:val="003B5D4F"/>
    <w:rsid w:val="003C45C7"/>
    <w:rsid w:val="003D5A6C"/>
    <w:rsid w:val="004D7BF0"/>
    <w:rsid w:val="004E27CA"/>
    <w:rsid w:val="004F066A"/>
    <w:rsid w:val="00594BCC"/>
    <w:rsid w:val="00650DDC"/>
    <w:rsid w:val="0067192E"/>
    <w:rsid w:val="006E734D"/>
    <w:rsid w:val="007C3EC1"/>
    <w:rsid w:val="00915FE5"/>
    <w:rsid w:val="00AD41DC"/>
    <w:rsid w:val="00B84ED4"/>
    <w:rsid w:val="00BC112C"/>
    <w:rsid w:val="00C17159"/>
    <w:rsid w:val="00C32788"/>
    <w:rsid w:val="00D42C57"/>
    <w:rsid w:val="00DC6387"/>
    <w:rsid w:val="00EE4025"/>
    <w:rsid w:val="00F47557"/>
    <w:rsid w:val="00FA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D41DC"/>
  </w:style>
  <w:style w:type="character" w:styleId="a3">
    <w:name w:val="Hyperlink"/>
    <w:basedOn w:val="a0"/>
    <w:uiPriority w:val="99"/>
    <w:semiHidden/>
    <w:unhideWhenUsed/>
    <w:rsid w:val="00BC112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171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D41DC"/>
  </w:style>
  <w:style w:type="character" w:styleId="a3">
    <w:name w:val="Hyperlink"/>
    <w:basedOn w:val="a0"/>
    <w:uiPriority w:val="99"/>
    <w:semiHidden/>
    <w:unhideWhenUsed/>
    <w:rsid w:val="00BC112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171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48E27-403F-4B9E-B992-5CBF86A41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1066</Words>
  <Characters>6081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admin</cp:lastModifiedBy>
  <cp:revision>4</cp:revision>
  <dcterms:created xsi:type="dcterms:W3CDTF">2017-05-29T06:52:00Z</dcterms:created>
  <dcterms:modified xsi:type="dcterms:W3CDTF">2017-10-31T07:52:00Z</dcterms:modified>
</cp:coreProperties>
</file>