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BCC" w:rsidRPr="00594BCC" w:rsidRDefault="00594BCC" w:rsidP="00915FE5">
      <w:pPr>
        <w:spacing w:after="0" w:line="360" w:lineRule="auto"/>
        <w:ind w:left="567"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bookmarkStart w:id="0" w:name="_GoBack"/>
      <w:bookmarkEnd w:id="0"/>
    </w:p>
    <w:p w:rsidR="00594BCC" w:rsidRDefault="00594BCC" w:rsidP="00915FE5">
      <w:pPr>
        <w:spacing w:after="0" w:line="360" w:lineRule="auto"/>
        <w:ind w:left="567"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915FE5" w:rsidRPr="004D7BF0" w:rsidRDefault="00915FE5" w:rsidP="00915FE5">
      <w:pPr>
        <w:spacing w:after="0" w:line="360" w:lineRule="auto"/>
        <w:ind w:left="567"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915FE5">
        <w:rPr>
          <w:rFonts w:ascii="Times New Roman" w:hAnsi="Times New Roman" w:cs="Times New Roman"/>
          <w:b/>
          <w:i/>
          <w:sz w:val="28"/>
          <w:szCs w:val="28"/>
          <w:lang w:val="uk-UA"/>
        </w:rPr>
        <w:t>Нагорний І. А.</w:t>
      </w:r>
      <w:r w:rsidR="004D7BF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, </w:t>
      </w:r>
      <w:proofErr w:type="spellStart"/>
      <w:r w:rsidR="004D7BF0">
        <w:rPr>
          <w:rFonts w:ascii="Times New Roman" w:hAnsi="Times New Roman" w:cs="Times New Roman"/>
          <w:b/>
          <w:i/>
          <w:sz w:val="28"/>
          <w:szCs w:val="28"/>
          <w:lang w:val="uk-UA"/>
        </w:rPr>
        <w:t>Ковальцова</w:t>
      </w:r>
      <w:proofErr w:type="spellEnd"/>
      <w:r w:rsidR="004D7BF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М. В., </w:t>
      </w:r>
      <w:proofErr w:type="spellStart"/>
      <w:r w:rsidR="004D7BF0">
        <w:rPr>
          <w:rFonts w:ascii="Times New Roman" w:hAnsi="Times New Roman" w:cs="Times New Roman"/>
          <w:b/>
          <w:i/>
          <w:sz w:val="28"/>
          <w:szCs w:val="28"/>
          <w:lang w:val="uk-UA"/>
        </w:rPr>
        <w:t>Халімов</w:t>
      </w:r>
      <w:proofErr w:type="spellEnd"/>
      <w:r w:rsidR="004D7BF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Є. Г.</w:t>
      </w:r>
    </w:p>
    <w:p w:rsidR="00915FE5" w:rsidRPr="00915FE5" w:rsidRDefault="00915FE5" w:rsidP="00915FE5">
      <w:pPr>
        <w:spacing w:after="0" w:line="360" w:lineRule="auto"/>
        <w:ind w:left="567"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915FE5" w:rsidRPr="00915FE5" w:rsidRDefault="00915FE5" w:rsidP="00915FE5">
      <w:pPr>
        <w:spacing w:after="0" w:line="360" w:lineRule="auto"/>
        <w:ind w:left="567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15FE5">
        <w:rPr>
          <w:rFonts w:ascii="Times New Roman" w:hAnsi="Times New Roman" w:cs="Times New Roman"/>
          <w:b/>
          <w:sz w:val="28"/>
          <w:szCs w:val="28"/>
          <w:lang w:val="uk-UA"/>
        </w:rPr>
        <w:t>ПАТОФІЗІОЛОГІЧНА РОЛЬ АПОПТОЗУ В РОЗВИТКУ ЗАХВОРЮВАНЬ ПАРОДОНТУ</w:t>
      </w:r>
    </w:p>
    <w:p w:rsidR="007C3EC1" w:rsidRPr="00C17159" w:rsidRDefault="007C3EC1" w:rsidP="007C3EC1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Проблема дослідження молекулярних механізмів запрограмованої загибелі клітини </w:t>
      </w:r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>останнім часом є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однією з актуальних проблем медичних наук. Незважаючи на велику кількість експериментальних </w:t>
      </w:r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>робіт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>дотепер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залишаються недослідженими механізми цього явища, не до кінця з'ясована регуляція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окремих клітин в цілісному багатоклітинн</w:t>
      </w:r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організмі. Актуальність цієї проблеми визначається взаємозв'язком порушення регуляції процесу запрограмованої загибелі клітини з більшістю захворювань.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Апоптотична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загибель клітин спостерігається при різних патологічних станах. Виявлення конкретних механізмів порушення регуляції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при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конкретни</w:t>
      </w:r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</w:t>
      </w:r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>х дасть змогу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етіологію </w:t>
      </w:r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патогенез </w:t>
      </w:r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захворювань, отже, </w:t>
      </w:r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>створить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коригувати порушення регуляції запрограмованої загибелі клітини.</w:t>
      </w:r>
    </w:p>
    <w:p w:rsidR="00D42C57" w:rsidRPr="00C17159" w:rsidRDefault="007C3EC1" w:rsidP="007C3EC1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Питання взаємини механізмів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імунологічної реактивності при захворюваннях щелепно-лицевої ділянки</w:t>
      </w:r>
      <w:r w:rsidR="00EE4025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досі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залишаються недостатньо вивченими. </w:t>
      </w:r>
    </w:p>
    <w:p w:rsidR="007C3EC1" w:rsidRPr="00C17159" w:rsidRDefault="007C3EC1" w:rsidP="007C3EC1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C171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від </w:t>
      </w:r>
      <w:proofErr w:type="spellStart"/>
      <w:r w:rsidRPr="00C17159">
        <w:rPr>
          <w:rFonts w:ascii="Times New Roman" w:hAnsi="Times New Roman" w:cs="Times New Roman"/>
          <w:i/>
          <w:sz w:val="28"/>
          <w:szCs w:val="28"/>
          <w:lang w:val="uk-UA"/>
        </w:rPr>
        <w:t>грец</w:t>
      </w:r>
      <w:proofErr w:type="spellEnd"/>
      <w:r w:rsidRPr="00C171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="003B5D4F" w:rsidRPr="00C17159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C17159">
        <w:rPr>
          <w:rFonts w:ascii="Times New Roman" w:hAnsi="Times New Roman" w:cs="Times New Roman"/>
          <w:i/>
          <w:sz w:val="28"/>
          <w:szCs w:val="28"/>
          <w:lang w:val="uk-UA"/>
        </w:rPr>
        <w:t>po</w:t>
      </w:r>
      <w:proofErr w:type="spellEnd"/>
      <w:r w:rsidRPr="00C171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B5D4F" w:rsidRPr="00C17159">
        <w:rPr>
          <w:rFonts w:ascii="Times New Roman" w:hAnsi="Times New Roman" w:cs="Times New Roman"/>
          <w:i/>
          <w:sz w:val="28"/>
          <w:szCs w:val="28"/>
          <w:lang w:val="uk-UA"/>
        </w:rPr>
        <w:t>—</w:t>
      </w:r>
      <w:r w:rsidRPr="00C171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відсутність, заперечення чого-небудь, </w:t>
      </w:r>
      <w:proofErr w:type="spellStart"/>
      <w:r w:rsidRPr="00C17159">
        <w:rPr>
          <w:rFonts w:ascii="Times New Roman" w:hAnsi="Times New Roman" w:cs="Times New Roman"/>
          <w:i/>
          <w:sz w:val="28"/>
          <w:szCs w:val="28"/>
          <w:lang w:val="uk-UA"/>
        </w:rPr>
        <w:t>ptosis</w:t>
      </w:r>
      <w:proofErr w:type="spellEnd"/>
      <w:r w:rsidRPr="00C171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B5D4F" w:rsidRPr="00C17159">
        <w:rPr>
          <w:rFonts w:ascii="Times New Roman" w:hAnsi="Times New Roman" w:cs="Times New Roman"/>
          <w:i/>
          <w:sz w:val="28"/>
          <w:szCs w:val="28"/>
          <w:lang w:val="uk-UA"/>
        </w:rPr>
        <w:t>—</w:t>
      </w:r>
      <w:r w:rsidRPr="00C171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падіння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являє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генетично програмований процес припинення життєдіяльності 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смерть клітини або групи клітин 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живому організмі [</w:t>
      </w:r>
      <w:r w:rsidR="00915FE5" w:rsidRPr="004D7BF0">
        <w:rPr>
          <w:rFonts w:ascii="Times New Roman" w:hAnsi="Times New Roman" w:cs="Times New Roman"/>
          <w:bCs/>
          <w:color w:val="2D2C2C"/>
          <w:sz w:val="28"/>
          <w:szCs w:val="28"/>
          <w:shd w:val="clear" w:color="auto" w:fill="FFFFFF"/>
          <w:lang w:val="uk-UA"/>
        </w:rPr>
        <w:t>3</w:t>
      </w:r>
      <w:r w:rsidR="00C17159" w:rsidRPr="004D7BF0">
        <w:rPr>
          <w:rFonts w:ascii="Times New Roman" w:hAnsi="Times New Roman" w:cs="Times New Roman"/>
          <w:b/>
          <w:bCs/>
          <w:color w:val="2D2C2C"/>
          <w:sz w:val="28"/>
          <w:szCs w:val="28"/>
          <w:shd w:val="clear" w:color="auto" w:fill="FFFFFF"/>
          <w:lang w:val="uk-UA"/>
        </w:rPr>
        <w:t>,</w:t>
      </w:r>
      <w:r w:rsidR="00AD41DC" w:rsidRPr="00C17159">
        <w:rPr>
          <w:rFonts w:ascii="Times New Roman" w:hAnsi="Times New Roman" w:cs="Times New Roman"/>
          <w:color w:val="2D2C2C"/>
          <w:sz w:val="28"/>
          <w:szCs w:val="28"/>
          <w:shd w:val="clear" w:color="auto" w:fill="FFFFFF"/>
          <w:lang w:val="uk-UA"/>
        </w:rPr>
        <w:t xml:space="preserve"> с. 128</w:t>
      </w:r>
      <w:r w:rsidR="00915FE5">
        <w:rPr>
          <w:rFonts w:ascii="Times New Roman" w:hAnsi="Times New Roman" w:cs="Times New Roman"/>
          <w:color w:val="2D2C2C"/>
          <w:sz w:val="28"/>
          <w:szCs w:val="28"/>
          <w:shd w:val="clear" w:color="auto" w:fill="FFFFFF"/>
          <w:lang w:val="uk-UA"/>
        </w:rPr>
        <w:t>–</w:t>
      </w:r>
      <w:r w:rsidR="00AD41DC" w:rsidRPr="00C17159">
        <w:rPr>
          <w:rFonts w:ascii="Times New Roman" w:hAnsi="Times New Roman" w:cs="Times New Roman"/>
          <w:color w:val="2D2C2C"/>
          <w:sz w:val="28"/>
          <w:szCs w:val="28"/>
          <w:shd w:val="clear" w:color="auto" w:fill="FFFFFF"/>
          <w:lang w:val="uk-UA"/>
        </w:rPr>
        <w:t>130.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]. Частота його 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ростає в міру старіння організму. У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оновлючихся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тканинах організму людини 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запрограмован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на генетичному рівні процес фізіологічної смерті (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>) щодня гинуть 50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70 млрд клітин, звільняючи місце для нових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складаючи в своїй масі щорічно масу тіла людини Це нормальний процес підтримки гомеостазу за рахунок елімінації клітин, які вичерпали свій фізіологічний ресурс </w:t>
      </w:r>
      <w:r w:rsidR="00B84ED4" w:rsidRPr="00C1715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15FE5" w:rsidRPr="004D7BF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4</w:t>
      </w:r>
      <w:r w:rsidR="00C17159" w:rsidRPr="004D7BF0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, </w:t>
      </w:r>
      <w:r w:rsidR="004E27CA">
        <w:rPr>
          <w:rFonts w:ascii="Times New Roman" w:hAnsi="Times New Roman" w:cs="Times New Roman"/>
          <w:color w:val="2D2C2C"/>
          <w:sz w:val="28"/>
          <w:szCs w:val="28"/>
          <w:shd w:val="clear" w:color="auto" w:fill="FFFFFF"/>
          <w:lang w:val="uk-UA"/>
        </w:rPr>
        <w:t>с. 14</w:t>
      </w:r>
      <w:r w:rsidR="00B84ED4" w:rsidRPr="00C1715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C3EC1" w:rsidRPr="00C17159" w:rsidRDefault="007C3EC1" w:rsidP="007C3EC1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lastRenderedPageBreak/>
        <w:t>Апоптоз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клітинах дорослого організму є повсюдним і постійно процесом [</w:t>
      </w:r>
      <w:r w:rsidR="00915FE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C17159" w:rsidRPr="00C1715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с</w:t>
      </w:r>
      <w:r w:rsidR="00C32788" w:rsidRPr="00C1715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 w:rsidR="00C17159" w:rsidRPr="00C1715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915FE5" w:rsidRPr="002D3FC1">
        <w:rPr>
          <w:rFonts w:ascii="Times New Roman" w:hAnsi="Times New Roman" w:cs="Times New Roman"/>
          <w:sz w:val="28"/>
          <w:szCs w:val="28"/>
          <w:lang w:val="uk-UA"/>
        </w:rPr>
        <w:t>1415–</w:t>
      </w:r>
      <w:r w:rsidR="004E27CA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915FE5" w:rsidRPr="002D3FC1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]. Це особливий вид загибелі клітини, що спостерігається в умовах як нормальної, так і патологічної життєдіяльності клітин 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сіх тканин організму, але на відміну від некрозу незмінно носить захисно-адаптивний характер</w:t>
      </w:r>
      <w:r w:rsidR="00D42C57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15FE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4E27CA">
        <w:rPr>
          <w:rFonts w:ascii="Times New Roman" w:hAnsi="Times New Roman" w:cs="Times New Roman"/>
          <w:sz w:val="28"/>
          <w:szCs w:val="28"/>
          <w:lang w:val="uk-UA"/>
        </w:rPr>
        <w:t>, с. 121-123</w:t>
      </w:r>
      <w:r w:rsidR="00D42C57" w:rsidRPr="00C1715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3EC1" w:rsidRPr="00C17159" w:rsidRDefault="00D42C57" w:rsidP="00D42C57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Дослідження, присвячені вивченню ролі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при запальних захворюваннях пародонту, переконливо свідчать про значні порушення в експресії генів, що індукують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лімфоїдних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клітинах власне слизової оболонки ясен, особливо при середньому та тяжкому ступенях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пародонтиту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Встановлено, що при середн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ьому та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тяжко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ступеня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хронічного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пародонтиту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низькі показники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лімфоїдн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ій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популяції клітин (3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% і 2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% відповідно при 7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% в контролі). Індекс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при гінгівіті найбільш високий (8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%). Підвищення рівня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, зазначене при гінгівіті, відповідає найвищим абсолютним значенням клітин інфільтрату, що характеризує цей запальний процес 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яснах як пов'язаний 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з антигенно</w:t>
      </w:r>
      <w:r w:rsidR="003B5D4F" w:rsidRPr="00C1715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активацією лімфоцитів слизової оболонки ясен, що супроводжується посиленою клітинно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проліфераці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15FE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17159" w:rsidRPr="00C17159">
        <w:rPr>
          <w:rFonts w:ascii="Times New Roman" w:hAnsi="Times New Roman" w:cs="Times New Roman"/>
          <w:sz w:val="28"/>
          <w:szCs w:val="28"/>
          <w:lang w:val="uk-UA"/>
        </w:rPr>
        <w:t>, с. 28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C3EC1" w:rsidRPr="00C17159" w:rsidRDefault="00650DDC" w:rsidP="00D42C57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Доведено, 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пародонтопатогени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відіграють 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рол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індукторів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при запальних захворюваннях пародонту [</w:t>
      </w:r>
      <w:r w:rsidR="00915FE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17159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915FE5" w:rsidRPr="002D3FC1">
        <w:rPr>
          <w:rFonts w:ascii="Times New Roman" w:hAnsi="Times New Roman" w:cs="Times New Roman"/>
          <w:sz w:val="28"/>
          <w:szCs w:val="28"/>
          <w:lang w:val="uk-UA"/>
        </w:rPr>
        <w:t>91–93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]. Так, токсин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Аctinobacillus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actinomycetemcomitans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може індукувати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В-лімфоцитів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периодонтально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тканини, а сам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Аctinobacillus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actinomycetemcomitans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прискорює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макрофагів, які він інфікував [</w:t>
      </w:r>
      <w:r w:rsidR="00915FE5" w:rsidRPr="004D7B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6</w:t>
      </w:r>
      <w:r w:rsidR="00C17159" w:rsidRPr="004D7B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с. </w:t>
      </w:r>
      <w:r w:rsidR="00915FE5" w:rsidRPr="002D3FC1">
        <w:rPr>
          <w:rFonts w:ascii="Times New Roman" w:hAnsi="Times New Roman" w:cs="Times New Roman"/>
          <w:sz w:val="28"/>
          <w:szCs w:val="28"/>
          <w:lang w:val="uk-UA"/>
        </w:rPr>
        <w:t>476–99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CB3270" w:rsidRPr="00C17159" w:rsidRDefault="00650DDC" w:rsidP="007C3EC1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15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еструкція тканин при хронічному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пародонтиті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може частково (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апоптозних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клітин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біоптатах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пародонтит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менше 10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% від загально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ї кількості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клітин) відбуватися за механізмом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15FE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17159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915FE5" w:rsidRPr="002D3FC1">
        <w:rPr>
          <w:rFonts w:ascii="Times New Roman" w:hAnsi="Times New Roman" w:cs="Times New Roman"/>
          <w:sz w:val="28"/>
          <w:szCs w:val="28"/>
          <w:lang w:val="uk-UA"/>
        </w:rPr>
        <w:t>91–93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нейтрофілів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у вогнищі запалення пародонту супроводжується зниженням адгезії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фагоцитозу.</w:t>
      </w:r>
    </w:p>
    <w:p w:rsidR="007C3EC1" w:rsidRPr="00C17159" w:rsidRDefault="007C3EC1" w:rsidP="007C3EC1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системного імунітету при хронічному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генералізованому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пародонтиті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довели провідну роль плазматичних клітин 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патогенезі запальних захворювань слизової оболонки ясен хворих на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пародонтит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>. Збільшення вмісту в периферичн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крові лімфоцитів, що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експресують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рецептори індукції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може призводити до посилення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лімфоцитів і, можливо, 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стати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причиною розвитку Т-клітинного дефіциту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ри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генералізованому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пародонтиті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>, асоційован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герпесвирусно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і/або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цитомегаловірусом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, формується стан вторинного імунодефіциту з «низькою» реактивністю Т-системи імунітету, переважним порушенням процесів активації та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, незважаючи на різку антимікробну спрямованість клітинного 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гуморального імунітету [</w:t>
      </w:r>
      <w:r w:rsidR="00915FE5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7</w:t>
      </w:r>
      <w:r w:rsidR="00C17159" w:rsidRPr="00C1715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с. </w:t>
      </w:r>
      <w:r w:rsidR="00915FE5" w:rsidRPr="002D3FC1">
        <w:rPr>
          <w:rFonts w:ascii="Times New Roman" w:hAnsi="Times New Roman" w:cs="Times New Roman"/>
          <w:sz w:val="28"/>
          <w:szCs w:val="28"/>
          <w:lang w:val="uk-UA"/>
        </w:rPr>
        <w:t>3–11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C3EC1" w:rsidRPr="00C17159" w:rsidRDefault="007C3EC1" w:rsidP="007C3EC1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загибель клітин 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важливу роль 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житті 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здорового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,  так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і хворого організму, а знання сутності та проявів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допоможе у вирішенні 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завдань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пародонтолог</w:t>
      </w:r>
      <w:r w:rsidR="00650DDC" w:rsidRPr="00C17159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F066A" w:rsidRPr="00C17159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, використовуючи нові підходи, створювати більш ефективні комплекси лікарських засобів, 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зможуть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забезпеч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протиішемічн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захист і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купірува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>ти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смерть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клітин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різних тканинах. Перспективними напрямками дослідження мож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е стати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вивчення механізмів дії на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лікарських препаратів, що застосовуються в клінічній практиці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захворювань не характеризується загальним збільшенням чутливості або резистентності до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>, що визначає відсутність універсально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дії препаратів, 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односторонньо регулюють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в умовах всього організму. Разом з тим, включення медичного озону 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комплекс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медичних заходів при запальних захворюваннях щелепно-лицевої ділянки супроводжується достовірним скороченням термінів нормалізації більшості параметрів імунологічної реактивності, неспецифічно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захисту 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proofErr w:type="spellStart"/>
      <w:r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Pr="00C17159">
        <w:rPr>
          <w:rFonts w:ascii="Times New Roman" w:hAnsi="Times New Roman" w:cs="Times New Roman"/>
          <w:sz w:val="28"/>
          <w:szCs w:val="28"/>
          <w:lang w:val="uk-UA"/>
        </w:rPr>
        <w:t>, позитивн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>аючи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на регуляцію Т-к</w:t>
      </w:r>
      <w:r w:rsidR="003C45C7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літинних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популяційних взаємин [</w:t>
      </w:r>
      <w:r w:rsidR="00915FE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17159" w:rsidRPr="004D7B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с. </w:t>
      </w:r>
      <w:r w:rsidR="00915FE5" w:rsidRPr="002D3FC1">
        <w:rPr>
          <w:rFonts w:ascii="Times New Roman" w:hAnsi="Times New Roman" w:cs="Times New Roman"/>
          <w:sz w:val="28"/>
          <w:szCs w:val="28"/>
          <w:lang w:val="uk-UA"/>
        </w:rPr>
        <w:t>3–6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C3EC1" w:rsidRPr="00C17159" w:rsidRDefault="003C45C7" w:rsidP="007C3EC1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Розуміння процесу 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виб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ору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напрямку сигналізації 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у бік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клітини або її виживання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створить можливість р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озроб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и нов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підход</w:t>
      </w:r>
      <w:r w:rsidRPr="00C1715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до лікування імунодефіцитів,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аутоімунної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та злоякісних новоутворень. У зв'язку з цим вивчення </w:t>
      </w:r>
      <w:proofErr w:type="spellStart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="007C3EC1" w:rsidRPr="00C17159">
        <w:rPr>
          <w:rFonts w:ascii="Times New Roman" w:hAnsi="Times New Roman" w:cs="Times New Roman"/>
          <w:sz w:val="28"/>
          <w:szCs w:val="28"/>
          <w:lang w:val="uk-UA"/>
        </w:rPr>
        <w:t xml:space="preserve"> набуває все більшого практичного значення для з'ясування механізмів різних патологічних станів.</w:t>
      </w:r>
    </w:p>
    <w:p w:rsidR="00C17159" w:rsidRDefault="00C17159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17159" w:rsidRDefault="00C17159" w:rsidP="00C17159">
      <w:pPr>
        <w:spacing w:after="0" w:line="360" w:lineRule="auto"/>
        <w:ind w:left="567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C17159" w:rsidRPr="002D3FC1" w:rsidRDefault="00C17159" w:rsidP="00C17159">
      <w:pPr>
        <w:pStyle w:val="a4"/>
        <w:numPr>
          <w:ilvl w:val="0"/>
          <w:numId w:val="1"/>
        </w:numPr>
        <w:spacing w:after="0" w:line="360" w:lineRule="auto"/>
        <w:ind w:left="156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Ref483163671"/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lastRenderedPageBreak/>
        <w:t>Апоптоз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воспалительные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заболевания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пародонта / Е. Н. 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Николаева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В. Н. Ца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рев,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Д. В. Ермо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лин,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В. В. Шула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ков //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Институт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стоматологии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>. — 2003. — № 4. — С. 91–93.</w:t>
      </w:r>
      <w:bookmarkEnd w:id="1"/>
    </w:p>
    <w:p w:rsidR="00C17159" w:rsidRPr="002D3FC1" w:rsidRDefault="00C17159" w:rsidP="00C17159">
      <w:pPr>
        <w:pStyle w:val="a4"/>
        <w:numPr>
          <w:ilvl w:val="0"/>
          <w:numId w:val="1"/>
        </w:numPr>
        <w:spacing w:after="0" w:line="360" w:lineRule="auto"/>
        <w:ind w:left="156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_Ref483163654"/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Миха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лева Л. М.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Хронический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пародонтит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Клиническая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морфология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иммунология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/ Л. М. 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Михалева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В. Д. Шапова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лов,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Т. Г. Барх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ина. — М. :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Триада-фарм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>», 2004. — 126 с.</w:t>
      </w:r>
      <w:bookmarkEnd w:id="2"/>
    </w:p>
    <w:p w:rsidR="00C17159" w:rsidRPr="002D3FC1" w:rsidRDefault="00C17159" w:rsidP="00C17159">
      <w:pPr>
        <w:pStyle w:val="a4"/>
        <w:numPr>
          <w:ilvl w:val="0"/>
          <w:numId w:val="1"/>
        </w:numPr>
        <w:spacing w:after="0" w:line="360" w:lineRule="auto"/>
        <w:ind w:left="156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" w:name="_Ref483163576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Патофізіологія :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підруч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вищ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. мед.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>. III–IV рівнів акредитації / за ред. М. Н. 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Зайка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та ін. — 4-е вид.,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переробл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. і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>. — К. : Медицина , 2014. — 751 с.</w:t>
      </w:r>
      <w:bookmarkEnd w:id="3"/>
    </w:p>
    <w:p w:rsidR="00C17159" w:rsidRPr="002D3FC1" w:rsidRDefault="00C17159" w:rsidP="00C17159">
      <w:pPr>
        <w:pStyle w:val="a4"/>
        <w:numPr>
          <w:ilvl w:val="0"/>
          <w:numId w:val="1"/>
        </w:numPr>
        <w:spacing w:after="0" w:line="360" w:lineRule="auto"/>
        <w:ind w:left="156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" w:name="_Ref483163590"/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Філь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ченков О. О.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і рак : від теорії до практики / О. О. 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Фільченков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Р. С. Сто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>йка. — Тернопіль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Укрмедкнига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>, 2006. — 523 с.</w:t>
      </w:r>
      <w:bookmarkEnd w:id="4"/>
    </w:p>
    <w:p w:rsidR="00C17159" w:rsidRPr="002D3FC1" w:rsidRDefault="00C17159" w:rsidP="00C17159">
      <w:pPr>
        <w:pStyle w:val="a4"/>
        <w:numPr>
          <w:ilvl w:val="0"/>
          <w:numId w:val="1"/>
        </w:numPr>
        <w:spacing w:after="0" w:line="360" w:lineRule="auto"/>
        <w:ind w:left="156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" w:name="_Ref483163756"/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Цепо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в Л. М.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Апоптоз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воспалительные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заболевания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пародонта : (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обзор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литературы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) /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Л. М. Це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пов //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Пародонтология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>. — 2009. — №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D3FC1">
        <w:rPr>
          <w:rFonts w:ascii="Times New Roman" w:hAnsi="Times New Roman" w:cs="Times New Roman"/>
          <w:sz w:val="28"/>
          <w:szCs w:val="28"/>
          <w:lang w:val="uk-UA"/>
        </w:rPr>
        <w:t>2. — С. 3–6.</w:t>
      </w:r>
      <w:bookmarkEnd w:id="5"/>
    </w:p>
    <w:p w:rsidR="00C17159" w:rsidRPr="002D3FC1" w:rsidRDefault="00C17159" w:rsidP="00C17159">
      <w:pPr>
        <w:pStyle w:val="a4"/>
        <w:numPr>
          <w:ilvl w:val="0"/>
          <w:numId w:val="1"/>
        </w:numPr>
        <w:spacing w:after="0" w:line="360" w:lineRule="auto"/>
        <w:ind w:left="156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" w:name="_Ref483163689"/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DiRi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enzo J. M.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Breaking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Gingival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Epithelial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Barrier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Role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Aggregatibacter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actinomycetemcomitans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Cytolethal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Distending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Toxin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Oral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Infectious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Disease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J. M. DiRie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nzo //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Cells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. — 2014. — </w:t>
      </w:r>
      <w:r w:rsidRPr="002D3FC1">
        <w:rPr>
          <w:rFonts w:ascii="Times New Roman" w:hAnsi="Times New Roman" w:cs="Times New Roman"/>
          <w:sz w:val="28"/>
          <w:szCs w:val="28"/>
          <w:lang w:val="en-US"/>
        </w:rPr>
        <w:t>Vol.</w:t>
      </w:r>
      <w:r w:rsidRPr="004D7B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D3FC1">
        <w:rPr>
          <w:rFonts w:ascii="Times New Roman" w:hAnsi="Times New Roman" w:cs="Times New Roman"/>
          <w:sz w:val="28"/>
          <w:szCs w:val="28"/>
          <w:lang w:val="uk-UA"/>
        </w:rPr>
        <w:t>3 (2). — Р. 476–99.</w:t>
      </w:r>
      <w:bookmarkEnd w:id="6"/>
    </w:p>
    <w:p w:rsidR="00C17159" w:rsidRPr="002D3FC1" w:rsidRDefault="00C17159" w:rsidP="00C17159">
      <w:pPr>
        <w:pStyle w:val="a4"/>
        <w:numPr>
          <w:ilvl w:val="0"/>
          <w:numId w:val="1"/>
        </w:numPr>
        <w:spacing w:after="0" w:line="360" w:lineRule="auto"/>
        <w:ind w:left="156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" w:name="_Ref483163728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Hajishengallis G.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Immunomicrobial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pathogenesis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periodontitis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keystones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pathobionts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host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response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G. Hajishengal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lis //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Trends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Immunol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. — 2014. — </w:t>
      </w:r>
      <w:r w:rsidRPr="002D3FC1">
        <w:rPr>
          <w:rFonts w:ascii="Times New Roman" w:hAnsi="Times New Roman" w:cs="Times New Roman"/>
          <w:sz w:val="28"/>
          <w:szCs w:val="28"/>
          <w:lang w:val="en-US"/>
        </w:rPr>
        <w:t>Vol.</w:t>
      </w:r>
      <w:r w:rsidRPr="004D7B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D3FC1">
        <w:rPr>
          <w:rFonts w:ascii="Times New Roman" w:hAnsi="Times New Roman" w:cs="Times New Roman"/>
          <w:sz w:val="28"/>
          <w:szCs w:val="28"/>
          <w:lang w:val="uk-UA"/>
        </w:rPr>
        <w:t>35(1). — Р. 3–11.</w:t>
      </w:r>
      <w:bookmarkEnd w:id="7"/>
    </w:p>
    <w:p w:rsidR="00C17159" w:rsidRPr="002D3FC1" w:rsidRDefault="00C17159" w:rsidP="00C17159">
      <w:pPr>
        <w:pStyle w:val="a4"/>
        <w:numPr>
          <w:ilvl w:val="0"/>
          <w:numId w:val="1"/>
        </w:numPr>
        <w:spacing w:after="0" w:line="360" w:lineRule="auto"/>
        <w:ind w:left="156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" w:name="_Ref483163636"/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Programmed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cell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death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periodontitis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recent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advances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future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perspectives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/ B. Song, T. Zhou, W. L. Yang </w:t>
      </w:r>
      <w:r w:rsidRPr="002D3FC1">
        <w:rPr>
          <w:rFonts w:ascii="Times New Roman" w:hAnsi="Times New Roman" w:cs="Times New Roman"/>
          <w:sz w:val="28"/>
          <w:szCs w:val="28"/>
          <w:lang w:val="en-US"/>
        </w:rPr>
        <w:t>et al.</w:t>
      </w:r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Oral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Dis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. — 2016. —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doi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>: 10.1111/odi.12574.</w:t>
      </w:r>
      <w:bookmarkEnd w:id="8"/>
    </w:p>
    <w:p w:rsidR="00C17159" w:rsidRPr="002D3FC1" w:rsidRDefault="00C17159" w:rsidP="00C17159">
      <w:pPr>
        <w:pStyle w:val="a4"/>
        <w:numPr>
          <w:ilvl w:val="0"/>
          <w:numId w:val="1"/>
        </w:numPr>
        <w:spacing w:after="0" w:line="360" w:lineRule="auto"/>
        <w:ind w:left="156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9" w:name="_Ref483163612"/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Reed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J. C.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Mechanisms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apoptosis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/ J. C. 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Reed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Am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 J </w:t>
      </w:r>
      <w:proofErr w:type="spellStart"/>
      <w:r w:rsidRPr="002D3FC1">
        <w:rPr>
          <w:rFonts w:ascii="Times New Roman" w:hAnsi="Times New Roman" w:cs="Times New Roman"/>
          <w:sz w:val="28"/>
          <w:szCs w:val="28"/>
          <w:lang w:val="uk-UA"/>
        </w:rPr>
        <w:t>Pathol</w:t>
      </w:r>
      <w:proofErr w:type="spellEnd"/>
      <w:r w:rsidRPr="002D3FC1">
        <w:rPr>
          <w:rFonts w:ascii="Times New Roman" w:hAnsi="Times New Roman" w:cs="Times New Roman"/>
          <w:sz w:val="28"/>
          <w:szCs w:val="28"/>
          <w:lang w:val="uk-UA"/>
        </w:rPr>
        <w:t xml:space="preserve">. — 2000. — </w:t>
      </w:r>
      <w:r w:rsidRPr="002D3FC1">
        <w:rPr>
          <w:rFonts w:ascii="Times New Roman" w:hAnsi="Times New Roman" w:cs="Times New Roman"/>
          <w:sz w:val="28"/>
          <w:szCs w:val="28"/>
          <w:lang w:val="en-US"/>
        </w:rPr>
        <w:t xml:space="preserve">Vol. </w:t>
      </w:r>
      <w:r w:rsidRPr="002D3FC1">
        <w:rPr>
          <w:rFonts w:ascii="Times New Roman" w:hAnsi="Times New Roman" w:cs="Times New Roman"/>
          <w:sz w:val="28"/>
          <w:szCs w:val="28"/>
          <w:lang w:val="uk-UA"/>
        </w:rPr>
        <w:t>157. — Р. 1415–30.</w:t>
      </w:r>
      <w:bookmarkEnd w:id="9"/>
    </w:p>
    <w:p w:rsidR="00C17159" w:rsidRDefault="00C17159" w:rsidP="00C17159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17159" w:rsidRPr="004D7BF0" w:rsidRDefault="00C17159" w:rsidP="00C17159">
      <w:pPr>
        <w:rPr>
          <w:lang w:val="en-US"/>
        </w:rPr>
      </w:pPr>
    </w:p>
    <w:p w:rsidR="00DC6387" w:rsidRPr="007C3EC1" w:rsidRDefault="00DC6387" w:rsidP="007C3EC1">
      <w:pPr>
        <w:spacing w:after="0" w:line="360" w:lineRule="auto"/>
        <w:ind w:left="56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C6387" w:rsidRPr="007C3EC1" w:rsidSect="007C3EC1">
      <w:pgSz w:w="11906" w:h="16838"/>
      <w:pgMar w:top="851" w:right="851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D6B64"/>
    <w:multiLevelType w:val="hybridMultilevel"/>
    <w:tmpl w:val="6354F0B4"/>
    <w:lvl w:ilvl="0" w:tplc="0419000F">
      <w:start w:val="1"/>
      <w:numFmt w:val="decimal"/>
      <w:lvlText w:val="%1."/>
      <w:lvlJc w:val="left"/>
      <w:pPr>
        <w:ind w:left="1996" w:hanging="360"/>
      </w:pPr>
    </w:lvl>
    <w:lvl w:ilvl="1" w:tplc="04190019" w:tentative="1">
      <w:start w:val="1"/>
      <w:numFmt w:val="lowerLetter"/>
      <w:lvlText w:val="%2."/>
      <w:lvlJc w:val="left"/>
      <w:pPr>
        <w:ind w:left="2716" w:hanging="360"/>
      </w:pPr>
    </w:lvl>
    <w:lvl w:ilvl="2" w:tplc="0419001B" w:tentative="1">
      <w:start w:val="1"/>
      <w:numFmt w:val="lowerRoman"/>
      <w:lvlText w:val="%3."/>
      <w:lvlJc w:val="right"/>
      <w:pPr>
        <w:ind w:left="3436" w:hanging="180"/>
      </w:pPr>
    </w:lvl>
    <w:lvl w:ilvl="3" w:tplc="0419000F" w:tentative="1">
      <w:start w:val="1"/>
      <w:numFmt w:val="decimal"/>
      <w:lvlText w:val="%4."/>
      <w:lvlJc w:val="left"/>
      <w:pPr>
        <w:ind w:left="4156" w:hanging="360"/>
      </w:pPr>
    </w:lvl>
    <w:lvl w:ilvl="4" w:tplc="04190019" w:tentative="1">
      <w:start w:val="1"/>
      <w:numFmt w:val="lowerLetter"/>
      <w:lvlText w:val="%5."/>
      <w:lvlJc w:val="left"/>
      <w:pPr>
        <w:ind w:left="4876" w:hanging="360"/>
      </w:pPr>
    </w:lvl>
    <w:lvl w:ilvl="5" w:tplc="0419001B" w:tentative="1">
      <w:start w:val="1"/>
      <w:numFmt w:val="lowerRoman"/>
      <w:lvlText w:val="%6."/>
      <w:lvlJc w:val="right"/>
      <w:pPr>
        <w:ind w:left="5596" w:hanging="180"/>
      </w:pPr>
    </w:lvl>
    <w:lvl w:ilvl="6" w:tplc="0419000F" w:tentative="1">
      <w:start w:val="1"/>
      <w:numFmt w:val="decimal"/>
      <w:lvlText w:val="%7."/>
      <w:lvlJc w:val="left"/>
      <w:pPr>
        <w:ind w:left="6316" w:hanging="360"/>
      </w:pPr>
    </w:lvl>
    <w:lvl w:ilvl="7" w:tplc="04190019" w:tentative="1">
      <w:start w:val="1"/>
      <w:numFmt w:val="lowerLetter"/>
      <w:lvlText w:val="%8."/>
      <w:lvlJc w:val="left"/>
      <w:pPr>
        <w:ind w:left="7036" w:hanging="360"/>
      </w:pPr>
    </w:lvl>
    <w:lvl w:ilvl="8" w:tplc="0419001B" w:tentative="1">
      <w:start w:val="1"/>
      <w:numFmt w:val="lowerRoman"/>
      <w:lvlText w:val="%9."/>
      <w:lvlJc w:val="right"/>
      <w:pPr>
        <w:ind w:left="775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3EC1"/>
    <w:rsid w:val="003B5D4F"/>
    <w:rsid w:val="003C45C7"/>
    <w:rsid w:val="003D5A6C"/>
    <w:rsid w:val="004D7BF0"/>
    <w:rsid w:val="004E27CA"/>
    <w:rsid w:val="004F066A"/>
    <w:rsid w:val="00594BCC"/>
    <w:rsid w:val="00650DDC"/>
    <w:rsid w:val="0067192E"/>
    <w:rsid w:val="006E734D"/>
    <w:rsid w:val="007C3EC1"/>
    <w:rsid w:val="00915FE5"/>
    <w:rsid w:val="00AD41DC"/>
    <w:rsid w:val="00B84ED4"/>
    <w:rsid w:val="00BC112C"/>
    <w:rsid w:val="00C17159"/>
    <w:rsid w:val="00C32788"/>
    <w:rsid w:val="00D42C57"/>
    <w:rsid w:val="00DC6387"/>
    <w:rsid w:val="00EE4025"/>
    <w:rsid w:val="00F47557"/>
    <w:rsid w:val="00FA3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D41DC"/>
  </w:style>
  <w:style w:type="character" w:styleId="a3">
    <w:name w:val="Hyperlink"/>
    <w:basedOn w:val="a0"/>
    <w:uiPriority w:val="99"/>
    <w:semiHidden/>
    <w:unhideWhenUsed/>
    <w:rsid w:val="00BC112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C1715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D41DC"/>
  </w:style>
  <w:style w:type="character" w:styleId="a3">
    <w:name w:val="Hyperlink"/>
    <w:basedOn w:val="a0"/>
    <w:uiPriority w:val="99"/>
    <w:semiHidden/>
    <w:unhideWhenUsed/>
    <w:rsid w:val="00BC112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C17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948E27-403F-4B9E-B992-5CBF86A41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1066</Words>
  <Characters>6081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Andrew</dc:creator>
  <cp:lastModifiedBy>admin</cp:lastModifiedBy>
  <cp:revision>4</cp:revision>
  <dcterms:created xsi:type="dcterms:W3CDTF">2017-05-29T06:52:00Z</dcterms:created>
  <dcterms:modified xsi:type="dcterms:W3CDTF">2017-10-31T07:52:00Z</dcterms:modified>
</cp:coreProperties>
</file>