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289" w:rsidRPr="00156441" w:rsidRDefault="00690289" w:rsidP="00690289">
      <w:pPr>
        <w:tabs>
          <w:tab w:val="left" w:pos="1134"/>
        </w:tabs>
        <w:spacing w:after="0" w:line="360" w:lineRule="auto"/>
        <w:contextualSpacing/>
        <w:jc w:val="center"/>
        <w:rPr>
          <w:rFonts w:ascii="Times New Roman" w:hAnsi="Times New Roman" w:cs="Times New Roman"/>
          <w:b/>
          <w:sz w:val="28"/>
          <w:szCs w:val="28"/>
        </w:rPr>
      </w:pPr>
      <w:r w:rsidRPr="00156441">
        <w:rPr>
          <w:rFonts w:ascii="Times New Roman" w:hAnsi="Times New Roman" w:cs="Times New Roman"/>
          <w:b/>
          <w:sz w:val="28"/>
          <w:szCs w:val="28"/>
        </w:rPr>
        <w:t>ХАРКІВСЬКИЙ НАЦІОНАЛЬНИЙ МЕДИЧНИЙ УНІВЕРСИТЕТ</w:t>
      </w:r>
    </w:p>
    <w:p w:rsidR="00690289" w:rsidRPr="00156441" w:rsidRDefault="00690289" w:rsidP="00690289">
      <w:pPr>
        <w:tabs>
          <w:tab w:val="left" w:pos="1134"/>
        </w:tabs>
        <w:spacing w:after="0" w:line="360" w:lineRule="auto"/>
        <w:contextualSpacing/>
        <w:jc w:val="center"/>
        <w:rPr>
          <w:rFonts w:ascii="Times New Roman" w:hAnsi="Times New Roman" w:cs="Times New Roman"/>
          <w:b/>
          <w:sz w:val="28"/>
          <w:szCs w:val="28"/>
        </w:rPr>
      </w:pPr>
      <w:r w:rsidRPr="00156441">
        <w:rPr>
          <w:rFonts w:ascii="Times New Roman" w:hAnsi="Times New Roman" w:cs="Times New Roman"/>
          <w:b/>
          <w:sz w:val="28"/>
          <w:szCs w:val="28"/>
        </w:rPr>
        <w:t>МІНІСТЕРСТВО ОХОРОНИ ЗДОРОВ</w:t>
      </w:r>
      <w:r w:rsidR="00FC48A2" w:rsidRPr="00156441">
        <w:rPr>
          <w:rFonts w:ascii="Times New Roman" w:hAnsi="Times New Roman" w:cs="Times New Roman"/>
          <w:b/>
          <w:sz w:val="28"/>
          <w:szCs w:val="28"/>
        </w:rPr>
        <w:t>’</w:t>
      </w:r>
      <w:r w:rsidRPr="00156441">
        <w:rPr>
          <w:rFonts w:ascii="Times New Roman" w:hAnsi="Times New Roman" w:cs="Times New Roman"/>
          <w:b/>
          <w:sz w:val="28"/>
          <w:szCs w:val="28"/>
        </w:rPr>
        <w:t>Я УКРАЇНИ</w:t>
      </w:r>
    </w:p>
    <w:p w:rsidR="00690289" w:rsidRPr="00156441" w:rsidRDefault="00690289" w:rsidP="00690289">
      <w:pPr>
        <w:tabs>
          <w:tab w:val="left" w:pos="1134"/>
        </w:tabs>
        <w:spacing w:after="0" w:line="360" w:lineRule="auto"/>
        <w:contextualSpacing/>
        <w:jc w:val="center"/>
        <w:rPr>
          <w:rFonts w:ascii="Times New Roman" w:hAnsi="Times New Roman" w:cs="Times New Roman"/>
          <w:b/>
          <w:sz w:val="28"/>
          <w:szCs w:val="28"/>
        </w:rPr>
      </w:pPr>
    </w:p>
    <w:p w:rsidR="00690289" w:rsidRPr="00156441" w:rsidRDefault="00690289" w:rsidP="00690289">
      <w:pPr>
        <w:tabs>
          <w:tab w:val="left" w:pos="1134"/>
        </w:tabs>
        <w:spacing w:after="0" w:line="360" w:lineRule="auto"/>
        <w:contextualSpacing/>
        <w:jc w:val="right"/>
        <w:rPr>
          <w:rFonts w:ascii="Times New Roman" w:hAnsi="Times New Roman" w:cs="Times New Roman"/>
          <w:sz w:val="28"/>
          <w:szCs w:val="28"/>
        </w:rPr>
      </w:pPr>
      <w:r w:rsidRPr="00156441">
        <w:rPr>
          <w:rFonts w:ascii="Times New Roman" w:hAnsi="Times New Roman" w:cs="Times New Roman"/>
          <w:sz w:val="28"/>
          <w:szCs w:val="28"/>
        </w:rPr>
        <w:t xml:space="preserve">Кваліфікаційна наукова </w:t>
      </w:r>
    </w:p>
    <w:p w:rsidR="00690289" w:rsidRPr="00156441" w:rsidRDefault="00690289" w:rsidP="00690289">
      <w:pPr>
        <w:tabs>
          <w:tab w:val="left" w:pos="1134"/>
        </w:tabs>
        <w:spacing w:after="0" w:line="360" w:lineRule="auto"/>
        <w:contextualSpacing/>
        <w:jc w:val="right"/>
        <w:rPr>
          <w:rFonts w:ascii="Times New Roman" w:hAnsi="Times New Roman" w:cs="Times New Roman"/>
          <w:sz w:val="28"/>
          <w:szCs w:val="28"/>
        </w:rPr>
      </w:pPr>
      <w:r w:rsidRPr="00156441">
        <w:rPr>
          <w:rFonts w:ascii="Times New Roman" w:hAnsi="Times New Roman" w:cs="Times New Roman"/>
          <w:sz w:val="28"/>
          <w:szCs w:val="28"/>
        </w:rPr>
        <w:t>праця на правах рукопису</w:t>
      </w:r>
    </w:p>
    <w:p w:rsidR="00690289" w:rsidRPr="00156441" w:rsidRDefault="00690289" w:rsidP="00690289">
      <w:pPr>
        <w:tabs>
          <w:tab w:val="left" w:pos="1134"/>
        </w:tabs>
        <w:spacing w:after="0" w:line="360" w:lineRule="auto"/>
        <w:contextualSpacing/>
        <w:jc w:val="center"/>
        <w:rPr>
          <w:rFonts w:ascii="Times New Roman" w:hAnsi="Times New Roman" w:cs="Times New Roman"/>
          <w:b/>
          <w:sz w:val="28"/>
          <w:szCs w:val="28"/>
        </w:rPr>
      </w:pP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ІСТОМІНА Ольга Володимирівна</w:t>
      </w:r>
    </w:p>
    <w:p w:rsidR="00690289" w:rsidRPr="00156441" w:rsidRDefault="00690289" w:rsidP="00690289">
      <w:pPr>
        <w:tabs>
          <w:tab w:val="left" w:pos="1134"/>
        </w:tabs>
        <w:spacing w:after="0" w:line="360" w:lineRule="auto"/>
        <w:contextualSpacing/>
        <w:rPr>
          <w:rFonts w:ascii="Times New Roman" w:hAnsi="Times New Roman" w:cs="Times New Roman"/>
          <w:sz w:val="28"/>
          <w:szCs w:val="28"/>
        </w:rPr>
      </w:pP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УДК: [616.24</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007.272</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036.12 + 616.12</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008.331.1]</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018.74</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008.6</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07:57.083.3</w:t>
      </w: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p>
    <w:p w:rsidR="00690289" w:rsidRPr="00156441" w:rsidRDefault="00690289" w:rsidP="00690289">
      <w:pPr>
        <w:tabs>
          <w:tab w:val="left" w:pos="1134"/>
        </w:tabs>
        <w:spacing w:after="0" w:line="360" w:lineRule="auto"/>
        <w:contextualSpacing/>
        <w:jc w:val="center"/>
        <w:rPr>
          <w:rFonts w:ascii="Times New Roman" w:hAnsi="Times New Roman" w:cs="Times New Roman"/>
          <w:b/>
          <w:sz w:val="28"/>
          <w:szCs w:val="28"/>
        </w:rPr>
      </w:pPr>
      <w:r w:rsidRPr="00156441">
        <w:rPr>
          <w:rFonts w:ascii="Times New Roman" w:hAnsi="Times New Roman" w:cs="Times New Roman"/>
          <w:b/>
          <w:sz w:val="28"/>
          <w:szCs w:val="28"/>
        </w:rPr>
        <w:t>ДИСЕРТАЦІЯ</w:t>
      </w: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ОПТИМІЗАЦІЯ ДІАГНОСТИКИ ЕНДОТЕЛІАЛЬНОЇ ДИСФУНКЦІЇ ТА ПРОГНОЗУВАННЯ ПЕРЕБІГУ ХРОНІЧНОГО ОБСТРУКТИВНОГО ЗАХВОРЮВАННЯ ЛЕГЕНЬ В ПОЄДНАННІ З ГІПЕРТОНІЧНОЮ ХВОРОБОЮ</w:t>
      </w: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14.01.02</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внутрішні хвороби</w:t>
      </w: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Подається на здобуття наукового ступеня кандидата медичних наук</w:t>
      </w:r>
    </w:p>
    <w:p w:rsidR="00690289" w:rsidRPr="00156441" w:rsidRDefault="00690289" w:rsidP="00690289">
      <w:pPr>
        <w:tabs>
          <w:tab w:val="left" w:pos="1134"/>
        </w:tabs>
        <w:spacing w:after="0" w:line="360" w:lineRule="auto"/>
        <w:contextualSpacing/>
        <w:jc w:val="center"/>
        <w:rPr>
          <w:rFonts w:ascii="Times New Roman" w:hAnsi="Times New Roman" w:cs="Times New Roman"/>
          <w:sz w:val="28"/>
          <w:szCs w:val="28"/>
        </w:rPr>
      </w:pPr>
    </w:p>
    <w:p w:rsidR="00690289" w:rsidRPr="00156441" w:rsidRDefault="00690289" w:rsidP="00690289">
      <w:pPr>
        <w:tabs>
          <w:tab w:val="left" w:pos="1134"/>
        </w:tabs>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690289" w:rsidRPr="00156441" w:rsidRDefault="00690289" w:rsidP="00690289">
      <w:pPr>
        <w:tabs>
          <w:tab w:val="left" w:pos="1134"/>
        </w:tabs>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Істоміна О. В. ___________</w:t>
      </w:r>
    </w:p>
    <w:p w:rsidR="00690289" w:rsidRPr="00156441" w:rsidRDefault="00690289" w:rsidP="00690289">
      <w:pPr>
        <w:spacing w:after="0" w:line="240" w:lineRule="auto"/>
        <w:ind w:right="-2"/>
        <w:contextualSpacing/>
        <w:rPr>
          <w:rFonts w:ascii="Times New Roman" w:eastAsia="Times New Roman" w:hAnsi="Times New Roman" w:cs="Times New Roman"/>
          <w:sz w:val="28"/>
          <w:szCs w:val="28"/>
          <w:lang w:eastAsia="ru-RU"/>
        </w:rPr>
      </w:pPr>
    </w:p>
    <w:p w:rsidR="00690289" w:rsidRDefault="00690289" w:rsidP="00690289">
      <w:pPr>
        <w:spacing w:after="0" w:line="240" w:lineRule="auto"/>
        <w:ind w:right="-2"/>
        <w:contextualSpacing/>
        <w:rPr>
          <w:rFonts w:ascii="Times New Roman" w:eastAsia="Times New Roman" w:hAnsi="Times New Roman" w:cs="Times New Roman"/>
          <w:sz w:val="28"/>
          <w:szCs w:val="28"/>
          <w:lang w:eastAsia="ru-RU"/>
        </w:rPr>
      </w:pPr>
    </w:p>
    <w:p w:rsidR="00333B2D" w:rsidRDefault="00333B2D" w:rsidP="00690289">
      <w:pPr>
        <w:spacing w:after="0" w:line="240" w:lineRule="auto"/>
        <w:ind w:right="-2"/>
        <w:contextualSpacing/>
        <w:rPr>
          <w:rFonts w:ascii="Times New Roman" w:eastAsia="Times New Roman" w:hAnsi="Times New Roman" w:cs="Times New Roman"/>
          <w:sz w:val="28"/>
          <w:szCs w:val="28"/>
          <w:lang w:eastAsia="ru-RU"/>
        </w:rPr>
      </w:pPr>
    </w:p>
    <w:p w:rsidR="00333B2D" w:rsidRDefault="00333B2D" w:rsidP="00690289">
      <w:pPr>
        <w:spacing w:after="0" w:line="240" w:lineRule="auto"/>
        <w:ind w:right="-2"/>
        <w:contextualSpacing/>
        <w:rPr>
          <w:rFonts w:ascii="Times New Roman" w:eastAsia="Times New Roman" w:hAnsi="Times New Roman" w:cs="Times New Roman"/>
          <w:sz w:val="28"/>
          <w:szCs w:val="28"/>
          <w:lang w:eastAsia="ru-RU"/>
        </w:rPr>
      </w:pPr>
    </w:p>
    <w:p w:rsidR="00690289" w:rsidRPr="00156441" w:rsidRDefault="00690289" w:rsidP="00690289">
      <w:pPr>
        <w:spacing w:after="0" w:line="240" w:lineRule="auto"/>
        <w:ind w:right="-2"/>
        <w:contextualSpacing/>
        <w:rPr>
          <w:rFonts w:ascii="Times New Roman" w:eastAsia="Times New Roman" w:hAnsi="Times New Roman" w:cs="Times New Roman"/>
          <w:sz w:val="28"/>
          <w:szCs w:val="28"/>
          <w:lang w:eastAsia="ru-RU"/>
        </w:rPr>
      </w:pPr>
    </w:p>
    <w:p w:rsidR="00690289" w:rsidRPr="00156441" w:rsidRDefault="00690289" w:rsidP="00690289">
      <w:pPr>
        <w:spacing w:after="0" w:line="240" w:lineRule="auto"/>
        <w:ind w:right="-2"/>
        <w:contextualSpacing/>
        <w:rPr>
          <w:rFonts w:ascii="Times New Roman" w:eastAsia="Times New Roman" w:hAnsi="Times New Roman" w:cs="Times New Roman"/>
          <w:sz w:val="28"/>
          <w:szCs w:val="28"/>
          <w:lang w:eastAsia="ru-RU"/>
        </w:rPr>
      </w:pPr>
    </w:p>
    <w:p w:rsidR="00690289" w:rsidRPr="00156441" w:rsidRDefault="00690289" w:rsidP="00690289">
      <w:pPr>
        <w:spacing w:after="0" w:line="240" w:lineRule="auto"/>
        <w:ind w:right="-2"/>
        <w:contextualSpacing/>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Науковий керів</w:t>
      </w:r>
      <w:r w:rsidR="00BA46DA">
        <w:rPr>
          <w:rFonts w:ascii="Times New Roman" w:eastAsia="Times New Roman" w:hAnsi="Times New Roman" w:cs="Times New Roman"/>
          <w:sz w:val="28"/>
          <w:szCs w:val="28"/>
          <w:lang w:eastAsia="ru-RU"/>
        </w:rPr>
        <w:t xml:space="preserve">ник: д.мед.н., професор                                               </w:t>
      </w:r>
      <w:r w:rsidRPr="00156441">
        <w:rPr>
          <w:rFonts w:ascii="Times New Roman" w:eastAsia="Times New Roman" w:hAnsi="Times New Roman" w:cs="Times New Roman"/>
          <w:sz w:val="28"/>
          <w:szCs w:val="28"/>
          <w:lang w:eastAsia="ru-RU"/>
        </w:rPr>
        <w:t>В. А. Капустник</w:t>
      </w:r>
    </w:p>
    <w:p w:rsidR="00FA23AF" w:rsidRPr="00156441" w:rsidRDefault="00FA23AF" w:rsidP="00690289">
      <w:pPr>
        <w:tabs>
          <w:tab w:val="left" w:pos="1134"/>
        </w:tabs>
        <w:spacing w:after="0" w:line="360" w:lineRule="auto"/>
        <w:contextualSpacing/>
        <w:rPr>
          <w:rFonts w:ascii="Times New Roman" w:hAnsi="Times New Roman" w:cs="Times New Roman"/>
          <w:sz w:val="28"/>
          <w:szCs w:val="28"/>
          <w:lang w:val="ru-RU"/>
        </w:rPr>
      </w:pPr>
    </w:p>
    <w:p w:rsidR="006B528B" w:rsidRPr="00156441" w:rsidRDefault="006B528B" w:rsidP="00690289">
      <w:pPr>
        <w:tabs>
          <w:tab w:val="left" w:pos="1134"/>
        </w:tabs>
        <w:spacing w:after="0" w:line="360" w:lineRule="auto"/>
        <w:contextualSpacing/>
        <w:rPr>
          <w:rFonts w:ascii="Times New Roman" w:hAnsi="Times New Roman" w:cs="Times New Roman"/>
          <w:sz w:val="28"/>
          <w:szCs w:val="28"/>
          <w:lang w:val="ru-RU"/>
        </w:rPr>
      </w:pPr>
    </w:p>
    <w:p w:rsidR="009D2378" w:rsidRDefault="00690289" w:rsidP="009D2378">
      <w:pPr>
        <w:tabs>
          <w:tab w:val="left" w:pos="1134"/>
        </w:tabs>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Харків</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2018</w:t>
      </w:r>
      <w:r w:rsidR="009D2378">
        <w:rPr>
          <w:rFonts w:ascii="Times New Roman" w:hAnsi="Times New Roman" w:cs="Times New Roman"/>
          <w:sz w:val="28"/>
          <w:szCs w:val="28"/>
        </w:rPr>
        <w:br w:type="page"/>
      </w:r>
    </w:p>
    <w:p w:rsidR="00690289" w:rsidRPr="00156441" w:rsidRDefault="00690289" w:rsidP="00690289">
      <w:pPr>
        <w:tabs>
          <w:tab w:val="left" w:pos="1134"/>
        </w:tabs>
        <w:spacing w:after="0" w:line="360" w:lineRule="auto"/>
        <w:ind w:firstLine="709"/>
        <w:contextualSpacing/>
        <w:jc w:val="center"/>
        <w:rPr>
          <w:rFonts w:ascii="Times New Roman" w:hAnsi="Times New Roman" w:cs="Times New Roman"/>
          <w:b/>
          <w:sz w:val="28"/>
          <w:szCs w:val="28"/>
        </w:rPr>
      </w:pPr>
      <w:r w:rsidRPr="00156441">
        <w:rPr>
          <w:rFonts w:ascii="Times New Roman" w:hAnsi="Times New Roman" w:cs="Times New Roman"/>
          <w:b/>
          <w:sz w:val="28"/>
          <w:szCs w:val="28"/>
        </w:rPr>
        <w:lastRenderedPageBreak/>
        <w:t>АНОТАЦІЯ</w:t>
      </w:r>
    </w:p>
    <w:p w:rsidR="00690289" w:rsidRPr="00156441" w:rsidRDefault="00690289" w:rsidP="006B528B">
      <w:pPr>
        <w:tabs>
          <w:tab w:val="left" w:pos="1134"/>
        </w:tabs>
        <w:spacing w:after="0" w:line="360" w:lineRule="auto"/>
        <w:ind w:firstLine="709"/>
        <w:contextualSpacing/>
        <w:jc w:val="both"/>
        <w:rPr>
          <w:rFonts w:ascii="Times New Roman" w:hAnsi="Times New Roman" w:cs="Times New Roman"/>
          <w:sz w:val="28"/>
          <w:szCs w:val="28"/>
          <w:lang w:val="ru-RU"/>
        </w:rPr>
      </w:pPr>
      <w:r w:rsidRPr="00156441">
        <w:rPr>
          <w:rFonts w:ascii="Times New Roman" w:hAnsi="Times New Roman" w:cs="Times New Roman"/>
          <w:i/>
          <w:sz w:val="28"/>
          <w:szCs w:val="28"/>
        </w:rPr>
        <w:t xml:space="preserve">Істоміна О. В. </w:t>
      </w:r>
      <w:r w:rsidRPr="00156441">
        <w:rPr>
          <w:rFonts w:ascii="Times New Roman" w:hAnsi="Times New Roman" w:cs="Times New Roman"/>
          <w:sz w:val="28"/>
          <w:szCs w:val="28"/>
        </w:rPr>
        <w:t>Оптимізація діагностики ендотеліальної дисфункції та прогнозування перебігу хронічного обструктивного захворювання легень в поєднанні з гіпертонічною хворобою</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Кваліфікаційна наукова праця на правах рукопису.</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Дисертація на здобуття наукового ступеня кандидата медичних наук за спеціальністю 14.01.02 — внутрішні хвороби</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Харківський національний медичний університет МОЗ України, Харків, 2018.</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З</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ясування патогенезу, питання причинно-наслідкових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язків та нових можливостей у діагностиці ендотеліальної дисфункції (ЕД) у хворих на хронічне обструктивне захворювання легень (ХОЗЛ) у поєднанні з гіпертонічною хворобою (ГХ) залишається актуальним та до кінця не розв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язаним питанням сучасної медицини, вважаючи на велику розповсюдженість цієї коморбідної патології.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Згідно з цим, було визначено мету нашого дослідження: удосконалення ранньої діагностики та прогнозування перебігу ХОЗЛ в поєднанні з ГХ на підставі комплексної оцінки показників ендотеліальної дисфункції та її впливу на розвиток судинних розладів та ге</w:t>
      </w:r>
      <w:r w:rsidR="008029A8" w:rsidRPr="008029A8">
        <w:rPr>
          <w:rFonts w:ascii="Times New Roman" w:hAnsi="Times New Roman" w:cs="Times New Roman"/>
          <w:sz w:val="28"/>
          <w:szCs w:val="28"/>
        </w:rPr>
        <w:t>м</w:t>
      </w:r>
      <w:r w:rsidRPr="00156441">
        <w:rPr>
          <w:rFonts w:ascii="Times New Roman" w:hAnsi="Times New Roman" w:cs="Times New Roman"/>
          <w:sz w:val="28"/>
          <w:szCs w:val="28"/>
        </w:rPr>
        <w:t xml:space="preserve">одинамічних показників.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Відповідно дизайну дослідження було обстежено 100 пацієнтів, що знаходились на обстеженні та лікуванні в НДІ гігієни праці та професійних захворювань ХНМУ </w:t>
      </w:r>
      <w:r w:rsidR="00934E4F" w:rsidRPr="00156441">
        <w:rPr>
          <w:rFonts w:ascii="Times New Roman" w:hAnsi="Times New Roman" w:cs="Times New Roman"/>
          <w:sz w:val="28"/>
          <w:szCs w:val="28"/>
        </w:rPr>
        <w:t>—</w:t>
      </w:r>
      <w:r w:rsidRPr="00156441">
        <w:rPr>
          <w:rFonts w:ascii="Times New Roman" w:hAnsi="Times New Roman" w:cs="Times New Roman"/>
          <w:sz w:val="28"/>
          <w:szCs w:val="28"/>
        </w:rPr>
        <w:t xml:space="preserve"> клінічній базі кафедри внутрішніх та професійних хвороб. Всі пацієнти були розділені на 3 групи: до першої групи увійшло 55 пацієнтів (35 чоловіків і 20 жінок), яким було встановлено діагноз ХОЗЛ із супутньою ГХ - основна група; група порівняння склала 45 пацієнтів (34 чоловіки і 11 жінок) з ізольованим перебігом ХОЗЛ,</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в г</w:t>
      </w:r>
      <w:r w:rsidR="00ED4BEF">
        <w:rPr>
          <w:rFonts w:ascii="Times New Roman" w:hAnsi="Times New Roman" w:cs="Times New Roman"/>
          <w:sz w:val="28"/>
          <w:szCs w:val="28"/>
        </w:rPr>
        <w:t>рупу контролю увійшло 45 умовно</w:t>
      </w:r>
      <w:r w:rsidR="00ED4BEF" w:rsidRPr="00ED4BEF">
        <w:rPr>
          <w:rFonts w:ascii="Times New Roman" w:hAnsi="Times New Roman" w:cs="Times New Roman"/>
          <w:sz w:val="28"/>
          <w:szCs w:val="28"/>
        </w:rPr>
        <w:t xml:space="preserve"> </w:t>
      </w:r>
      <w:r w:rsidRPr="00156441">
        <w:rPr>
          <w:rFonts w:ascii="Times New Roman" w:hAnsi="Times New Roman" w:cs="Times New Roman"/>
          <w:sz w:val="28"/>
          <w:szCs w:val="28"/>
        </w:rPr>
        <w:t>здорових осіб: 25 чоловіків і 20 жінок. Середній вік хворих І групи склав 53,8±5,08 років, ІІ групи — 56,06±3,97 років, групи контролю — 53,44±6,77 років. Всім обстеженим пацієнтам визначалися рівні катехоламінів, метаболітів та синтаз оксиду азоту, S-нітрозотіол, васкулоендотеліального фактору росту (ВЕФР), рівні біогенних елементів, вазоактивних гормонів, пептидів та нейромедіаторів.</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Встановлювалися діагнози та проводилось комплексне обстеження хворих згідно з критеріями GOLD — Global Initiative for Obstructive Lung Disease (2015 р.) та наказом МОЗ України № 555</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від 27.06.2013 та наказом МОЗ України № 384 від 24.05.2012.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Лабораторно-інструментальне обстеження хворих проводилось одноразово, під час надходження хворого до клініки.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Згідно результатів дослідження було встановлено, що найбільш</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виражені зміни функціонального стану ендотелію та клінічного перебігу ХОЗЛ були виявлені у групи хворих з наявністю ГХ, що дає змогу розглядати супутню патологію, як обтяжуючий фактор перебігу ХОЗЛ.</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Вивчення стану системи оксиду азоту у хворих на ХОЗЛ в поєднанні з ГХ виявило підвищення нітритів/нітратів майже у 2,0 та 2,4 рази відповідно умовно-здорових пацієнтів та на 1,5 та 1,6 відносно хворих з ізольованим перебігом ХОЗЛ, що дозволяє констатувати підвищення синтезу оксиду азоту (NO) у основній групи та паралельно з цим наявність ЕД. Виявлено підвищення S-нітрозотіолу</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(S-HT) в 3,6 та 1,8 разів відносно контролю та групи порівняння, що можна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язати з активацією індуцибельної синтази оксиду азоту (iNOS), суттєве підвищення якої відзначалось у групі з коморбідною патологією у 3,4 відносно контролю та 1,7 по відношенню до групи порівняння. На цьому тлі виявлено збільшення ендотеліальної синтази оксиду азоту (eNOS) у середньому на 2,0 та 1,4 рази. То ж, за наявності поєднаної патології гіпоксія впливає на функцію ендотелію, діючи на структурно-функціональні властивості мембран клітин, та створює оксидативний стрес. Модифікуючий ефект продуктів ліпопероксидації у подальшому реалізується через вазоконстрикцію та підвищення периферійного опору.</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Було виявлено активацію ренін-ангіотензинової системи (РАС) у пацієнтів на поєднаний перебіг ХОЗЛ з ГХ, наслідком чого нами встановлено стимулювання вазоконстрикторних ефектів з подальшими змінами судин та серця, виникнення гіпонатріємії та затримання води як результат підвищеної секреції альдостерону та вазопресину. Встановлене підвищення ангіотензинперетворювального фермен</w:t>
      </w:r>
      <w:r w:rsidR="00BA46DA">
        <w:rPr>
          <w:rFonts w:ascii="Times New Roman" w:hAnsi="Times New Roman" w:cs="Times New Roman"/>
          <w:sz w:val="28"/>
          <w:szCs w:val="28"/>
        </w:rPr>
        <w:t>ту (АПФ) та карбоксипептидази N,</w:t>
      </w:r>
      <w:r w:rsidRPr="00156441">
        <w:rPr>
          <w:rFonts w:ascii="Times New Roman" w:hAnsi="Times New Roman" w:cs="Times New Roman"/>
          <w:sz w:val="28"/>
          <w:szCs w:val="28"/>
        </w:rPr>
        <w:t xml:space="preserve">що у основної групи дає можливість припустити </w:t>
      </w:r>
      <w:r w:rsidRPr="00156441">
        <w:rPr>
          <w:rFonts w:ascii="Times New Roman" w:hAnsi="Times New Roman" w:cs="Times New Roman"/>
          <w:sz w:val="28"/>
          <w:szCs w:val="28"/>
        </w:rPr>
        <w:lastRenderedPageBreak/>
        <w:t xml:space="preserve">поступове виснаження адаптаційного потенціалу калікреїн-кінінової системи з формуванням недостатності вазодилятуючих факторів та, як результат, розвитком ЕД.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Проведене дослідження демонструє, що у хворих на поєднану патологію збільшується рівень катехоламінів, що може бути наслідком системної гіпоксії. Вона супроводжується значною активацією симпатичного відділу вегетативної нервової системи з подальшим підвищенням адреналіну, дофаміну, норадреналіну.</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Отримані результати дослідження виявили зниження</w:t>
      </w:r>
      <w:r w:rsidR="00155CDF" w:rsidRPr="00156441">
        <w:rPr>
          <w:rFonts w:ascii="Times New Roman" w:hAnsi="Times New Roman" w:cs="Times New Roman"/>
          <w:sz w:val="28"/>
          <w:szCs w:val="28"/>
        </w:rPr>
        <w:t xml:space="preserve"> вазо</w:t>
      </w:r>
      <w:r w:rsidRPr="00156441">
        <w:rPr>
          <w:rFonts w:ascii="Times New Roman" w:hAnsi="Times New Roman" w:cs="Times New Roman"/>
          <w:sz w:val="28"/>
          <w:szCs w:val="28"/>
        </w:rPr>
        <w:t xml:space="preserve">активного інтестинального пептиду (ВІП), який відноситься до міцних системних вазо- та бронходилятаторів, у основній групі у середньому в 2,0 рази, як по відношенню до групи порівняння так й до контрольної групи, що блокує його вазодилятуючий ефект, сприяючи розвитку гіпертензії. При дослідження рівня ВЕФР, що підтримує стабільність ендотелію, виявлено його вірогідне збільшення в основній групі відносно інших когорт. Сироватковий рівень ВЕФР у пацієнтів з ХОЗЛ та ГХ можна розглядати, як компенсаторну реакцію, що спрямована на </w:t>
      </w:r>
      <w:r w:rsidR="00155CDF" w:rsidRPr="00156441">
        <w:rPr>
          <w:rFonts w:ascii="Times New Roman" w:hAnsi="Times New Roman" w:cs="Times New Roman"/>
          <w:sz w:val="28"/>
          <w:szCs w:val="28"/>
        </w:rPr>
        <w:t xml:space="preserve">підтримку газообміну та </w:t>
      </w:r>
      <w:r w:rsidRPr="00156441">
        <w:rPr>
          <w:rFonts w:ascii="Times New Roman" w:hAnsi="Times New Roman" w:cs="Times New Roman"/>
          <w:sz w:val="28"/>
          <w:szCs w:val="28"/>
        </w:rPr>
        <w:t>нормалізацію</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гемодинаміки.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Було виявлено порушення балансу біогенних елементів, таких як збільшення рівню кальцію, магнію та заліза, що може розглядатись як причина порушення енергетичного гомеостазу та адаптаційних механізмів. Також, на тлі ХОЗЛ з ГХ виявлена дезорганізація структурно-функціонального стану клітинних мембран багатьох тканин та систем, що підтверджується зростанням рівня активності органоспецифічних ферментів у сироватці крові (КФК, МВ-КФК, ГГТП, ЛДГ, АлАТ, АсАТ, α-амілази, лужної фосфатази).</w:t>
      </w:r>
    </w:p>
    <w:p w:rsidR="00690289" w:rsidRPr="009D2378"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Аналіз показників ехокардіографічного дослідження</w:t>
      </w:r>
      <w:r w:rsidR="00921FC7" w:rsidRPr="00156441">
        <w:rPr>
          <w:rFonts w:ascii="Times New Roman" w:hAnsi="Times New Roman" w:cs="Times New Roman"/>
          <w:sz w:val="28"/>
          <w:szCs w:val="28"/>
        </w:rPr>
        <w:t xml:space="preserve"> (ЕхоКГ)</w:t>
      </w:r>
      <w:r w:rsidRPr="00156441">
        <w:rPr>
          <w:rFonts w:ascii="Times New Roman" w:hAnsi="Times New Roman" w:cs="Times New Roman"/>
          <w:sz w:val="28"/>
          <w:szCs w:val="28"/>
        </w:rPr>
        <w:t xml:space="preserve"> як лівих, так і правих відділів серця у хворих на ХОЗЛ в поєднанні з ГХ виявив порушення діастолічної функції обох шлуночків</w:t>
      </w:r>
      <w:r w:rsidR="00921FC7" w:rsidRPr="00156441">
        <w:rPr>
          <w:rFonts w:ascii="Times New Roman" w:hAnsi="Times New Roman" w:cs="Times New Roman"/>
          <w:sz w:val="28"/>
          <w:szCs w:val="28"/>
        </w:rPr>
        <w:t xml:space="preserve"> I типу</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з переважанням таких змін у геометрії серця як концентрична гіпертрофія, тоді як у групі хворих з ізольованим перебігом ХОЗЛ була виявлена більша кількість концентричного ремоделювання.</w:t>
      </w:r>
    </w:p>
    <w:p w:rsidR="009C4375" w:rsidRPr="009C4375" w:rsidRDefault="009C4375" w:rsidP="00690289">
      <w:pPr>
        <w:tabs>
          <w:tab w:val="left" w:pos="1134"/>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Розроблено алгоритм прогнозування перебігу ХОЗЛ за наявності ГХ на підставі використання класифікаційних функцій.</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 xml:space="preserve">Аналіз і узагальнення результатів даної роботи дозволяють зробити загальний висновок щодо розвитку у хворих на ХОЗЛ у сполученні з ГХ вираженої дисфункції ендотелію, яка зумовлена гіперактивацією симпатоадреналової та ренін-ангіотензинової систем, зниженням адаптаційного потенціалу калікреїн-кінінової системи та ефектів брадикініну через підвищену активацію ферментів його руйнування (АПФ і </w:t>
      </w:r>
      <w:r w:rsidR="00921FC7" w:rsidRPr="00156441">
        <w:rPr>
          <w:rFonts w:ascii="Times New Roman" w:hAnsi="Times New Roman" w:cs="Times New Roman"/>
          <w:sz w:val="28"/>
          <w:szCs w:val="28"/>
        </w:rPr>
        <w:t>КП-</w:t>
      </w:r>
      <w:r w:rsidRPr="00156441">
        <w:rPr>
          <w:rFonts w:ascii="Times New Roman" w:hAnsi="Times New Roman" w:cs="Times New Roman"/>
          <w:sz w:val="28"/>
          <w:szCs w:val="28"/>
        </w:rPr>
        <w:t xml:space="preserve">N), підвищенням синтезу </w:t>
      </w:r>
      <w:r w:rsidR="00921FC7" w:rsidRPr="00156441">
        <w:rPr>
          <w:rFonts w:ascii="Times New Roman" w:hAnsi="Times New Roman" w:cs="Times New Roman"/>
          <w:sz w:val="28"/>
          <w:szCs w:val="28"/>
        </w:rPr>
        <w:t>NO</w:t>
      </w:r>
      <w:r w:rsidRPr="00156441">
        <w:rPr>
          <w:rFonts w:ascii="Times New Roman" w:hAnsi="Times New Roman" w:cs="Times New Roman"/>
          <w:sz w:val="28"/>
          <w:szCs w:val="28"/>
        </w:rPr>
        <w:t>, розбалансуванням обміну біогенних елементів та активності органоспецифічних ферментів, і характеризується зниженням вазодилатуючих і посиленням</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вазоконстрикторних ефектів. При сполученні ХОЗЛ з ГХ формується патологічне порочне коло, основними ланками якого, крім ендотеліальної дисфункції, є киснева недостатність, оксидативний стрес та хронічне запалення.</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Ключові слова: ендотеліальна дисфункції, хронічне обструктивне захворювання легень, гіпертонічна хвороба. </w:t>
      </w:r>
    </w:p>
    <w:p w:rsidR="00690289" w:rsidRPr="00156441" w:rsidRDefault="00690289" w:rsidP="00690289">
      <w:pPr>
        <w:tabs>
          <w:tab w:val="left" w:pos="1134"/>
        </w:tabs>
        <w:spacing w:after="0" w:line="360" w:lineRule="auto"/>
        <w:contextualSpacing/>
        <w:jc w:val="both"/>
        <w:rPr>
          <w:rFonts w:ascii="Times New Roman" w:hAnsi="Times New Roman" w:cs="Times New Roman"/>
          <w:sz w:val="28"/>
          <w:szCs w:val="28"/>
        </w:rPr>
      </w:pPr>
    </w:p>
    <w:p w:rsidR="00690289" w:rsidRPr="00156441" w:rsidRDefault="00690289" w:rsidP="006B528B">
      <w:pPr>
        <w:tabs>
          <w:tab w:val="left" w:pos="1134"/>
        </w:tabs>
        <w:spacing w:after="0" w:line="360" w:lineRule="auto"/>
        <w:ind w:firstLine="709"/>
        <w:contextualSpacing/>
        <w:jc w:val="center"/>
        <w:rPr>
          <w:rFonts w:ascii="Times New Roman" w:hAnsi="Times New Roman" w:cs="Times New Roman"/>
          <w:b/>
          <w:sz w:val="28"/>
          <w:szCs w:val="28"/>
          <w:lang w:val="en-US"/>
        </w:rPr>
      </w:pPr>
      <w:r w:rsidRPr="00156441">
        <w:rPr>
          <w:rFonts w:ascii="Times New Roman" w:hAnsi="Times New Roman" w:cs="Times New Roman"/>
          <w:b/>
          <w:sz w:val="28"/>
          <w:szCs w:val="28"/>
          <w:lang w:val="en-US"/>
        </w:rPr>
        <w:t>ANNOTATION</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i/>
          <w:sz w:val="28"/>
          <w:szCs w:val="28"/>
          <w:lang w:val="en-US"/>
        </w:rPr>
        <w:t xml:space="preserve">Istomina O. V. </w:t>
      </w:r>
      <w:r w:rsidRPr="00156441">
        <w:rPr>
          <w:rFonts w:ascii="Times New Roman" w:hAnsi="Times New Roman" w:cs="Times New Roman"/>
          <w:sz w:val="28"/>
          <w:szCs w:val="28"/>
          <w:lang w:val="en-US"/>
        </w:rPr>
        <w:t xml:space="preserve">Optimization of diagnostics of endothelial dysfunction in patients with chronic obstructive pulmonary disease combined with arterial hypertension. Qualification research. </w:t>
      </w:r>
      <w:r w:rsidR="00A60896">
        <w:rPr>
          <w:rFonts w:ascii="Times New Roman" w:hAnsi="Times New Roman" w:cs="Times New Roman"/>
          <w:sz w:val="28"/>
          <w:szCs w:val="28"/>
          <w:lang w:val="en-US"/>
        </w:rPr>
        <w:t xml:space="preserve">The </w:t>
      </w:r>
      <w:r w:rsidRPr="00156441">
        <w:rPr>
          <w:rFonts w:ascii="Times New Roman" w:hAnsi="Times New Roman" w:cs="Times New Roman"/>
          <w:sz w:val="28"/>
          <w:szCs w:val="28"/>
          <w:lang w:val="en-US"/>
        </w:rPr>
        <w:t>Manuscript.</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Dissertation for obtaining PhD scientific degree in specialty 14.01.02 — internal diseases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Kharkiv national medical university Ministry of Healthcare of Ukraine, Kharkiv, 2017.</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Clarification of pathogenesis, point of relationships of cause and effect and modern possibilities in diagnostics of endothelial dysfunction (ED) in patients with chronic obstructive pulmonary disease (COPD) combined with arterial hypertension (AH) is actual and not solved issue of modern medicine, taking into account high prevalence of this comorbid pathology.</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According to this, the aim of our study has been determined: improving of early diagnostics and prognostication of course of COPD and AH based on complex estimation of indices of endothelial dysfunction and its influence on the development of vascular violations and hemodynamic indices.</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 xml:space="preserve">In accordance to research design, 100 patients, which have been examined and treated in RI of occupational hygiene and occupational diseases of KNMU — clinical base of department of internal and occupational diseases — have been observed. All patients have been divided into 3 groups: first one included 55 patients (35 men and 20 women) with COPD and AH — main group; comparison group included 45 patients (34 men and 11 women) with isolated course of COPD; control group included 45 conditionally healthy persons — 25 men and 20 women. Mean age of patients in I group was 53.8±5.08, II group — 56.06±3.97, and control group — 53.44±6.77. All patients have been examined </w:t>
      </w:r>
      <w:r w:rsidR="00821A4D" w:rsidRPr="00156441">
        <w:rPr>
          <w:rFonts w:ascii="Times New Roman" w:hAnsi="Times New Roman" w:cs="Times New Roman"/>
          <w:sz w:val="28"/>
          <w:szCs w:val="28"/>
          <w:lang w:val="en-US"/>
        </w:rPr>
        <w:t>for</w:t>
      </w:r>
      <w:r w:rsidRPr="00156441">
        <w:rPr>
          <w:rFonts w:ascii="Times New Roman" w:hAnsi="Times New Roman" w:cs="Times New Roman"/>
          <w:sz w:val="28"/>
          <w:szCs w:val="28"/>
          <w:lang w:val="en-US"/>
        </w:rPr>
        <w:t xml:space="preserve"> catecholamines, metabolites and synthases of nitrogen oxide levels, S-nitrosothiol (S-NT), VEGF, levels of biogenic elements, vasoactive hormones, peptides and neurotransmitters.</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Complex examination and diagnosis determination of patients have been held according to GOLD (Global Initiative for Obstructive Lung Disease) criteria and MH of Ukraine order № 384 from 24.05.2012.</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Clinical-instrumental examination of patients has been performed once the patient came to clinic.</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According to results of research there have been found that most expressed changes of functional state of endothelium and clinical course of COPD are in patients with combined AH, which allows determining comorbid pathology as aggravating factor of COPD course.</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Studying of state of nitrogen oxide system in patients with COPD and AH showed increasing of nitrites/nitrates in 2.0 and 2.4 times respectively combining to healthy patients and in 1.5 and 1.6 combining to those with isolated COPD course, which allows establishing intensification of NO synthesis in main group and at the same time presence of ED. Determination of increasing of S-NT in 3.6 and 1.8 relatively to control and comparison group, which can be connected with activation of iNOS, which significant increasing have been found in group with comorbid pathology in 3.4 times relatively to control, and 1.7 times relatively to comparison group. There have also been found eNOS increasing in 2.0 and 1.4 times. Thus, in the presence of comorbid pathology hypoxia influences endothelial function, effecting structural-functional properties of cellular </w:t>
      </w:r>
      <w:r w:rsidRPr="00156441">
        <w:rPr>
          <w:rFonts w:ascii="Times New Roman" w:hAnsi="Times New Roman" w:cs="Times New Roman"/>
          <w:sz w:val="28"/>
          <w:szCs w:val="28"/>
          <w:lang w:val="en-US"/>
        </w:rPr>
        <w:lastRenderedPageBreak/>
        <w:t>membranes and forming oxidative stress. Modifying effect of lipoperoxidation products is afterwards implemented by vasoconstriction and increasing of peripheral resistance.</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Presence of activation of renin-angiotensin system activation in patients with COPD and AH comorbid course has been found, the result of which implemented into stimulation of vasoconstrictor effects with further changes of vessels and heart, hyponatremia and water delay appearance as the result of increased secretion of aldosterone and vasopressin. Increasing of ACE and carboxypeptidase N has been found. In main </w:t>
      </w:r>
      <w:r w:rsidR="00821A4D" w:rsidRPr="00156441">
        <w:rPr>
          <w:rFonts w:ascii="Times New Roman" w:hAnsi="Times New Roman" w:cs="Times New Roman"/>
          <w:sz w:val="28"/>
          <w:szCs w:val="28"/>
          <w:lang w:val="en-US"/>
        </w:rPr>
        <w:t>group,</w:t>
      </w:r>
      <w:r w:rsidRPr="00156441">
        <w:rPr>
          <w:rFonts w:ascii="Times New Roman" w:hAnsi="Times New Roman" w:cs="Times New Roman"/>
          <w:sz w:val="28"/>
          <w:szCs w:val="28"/>
          <w:lang w:val="en-US"/>
        </w:rPr>
        <w:t xml:space="preserve"> it allows supposing gradual exhaustion of adaptation potential of kallikrein-kinin system and formation of failure of vasodilating factors and as the result ED development.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Performed research demonstrates that patients with comorbid course have increased levels of catecholamines, which can be the result of systemic hypoxia. It is accompanied by significant activation of sympathetic division of vegetative nervous system with subsequent catecholamines increasing. </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Results of the research found decreasing of vasculointerstitial peptide (VIP), which is intense systemic vaso- and bronchial dilatator, in main group in 2.0 times both to comparison and control groups, which blocks its vasodilator effect leading to hypertension development. Studying of VEGF providing endothelial stability, showed its possible increasing in main group comparing to others. VEGF serum levels in COPD and AH patients can be defined as compensatory reaction directed on hemodynamics normalization.</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There have been found violations of biogenic elements balance, such as increasing of levels of calcium, magnesium and iron, which can be the cause of violations of energetic homeostasis and adaptation mechanisms. Also, in COPD and AH, there have been found disorganization of structural-functional state of cellular membranes of numerous tissues and systems, which is proved by increasing of activity of organo-specific ferments in blood serum (CPK, CPK-MB, GGTP, LDG, AlAT, AsAT, α-amylase, and alkaline phosphatase)</w:t>
      </w:r>
    </w:p>
    <w:p w:rsidR="00690289"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Analysis of echocardiography indices of both left and right parts of heart in patients with COPD and AH showed violations of diastolic function of both left and right </w:t>
      </w:r>
      <w:r w:rsidRPr="00156441">
        <w:rPr>
          <w:rFonts w:ascii="Times New Roman" w:hAnsi="Times New Roman" w:cs="Times New Roman"/>
          <w:sz w:val="28"/>
          <w:szCs w:val="28"/>
          <w:lang w:val="en-US"/>
        </w:rPr>
        <w:lastRenderedPageBreak/>
        <w:t>ventricles with prevalence of such changes of heart geometry as concentric hypertrophy, while in isolated COPD course group lesser number of concentric remodeling has been found.</w:t>
      </w:r>
    </w:p>
    <w:p w:rsidR="00975C93" w:rsidRPr="00156441" w:rsidRDefault="00975C93"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975C93">
        <w:rPr>
          <w:rFonts w:ascii="Times New Roman" w:hAnsi="Times New Roman" w:cs="Times New Roman"/>
          <w:sz w:val="28"/>
          <w:szCs w:val="28"/>
          <w:lang w:val="en-US"/>
        </w:rPr>
        <w:t xml:space="preserve">The algorithm of prediction of COPD course in the presence of </w:t>
      </w:r>
      <w:r>
        <w:rPr>
          <w:rFonts w:ascii="Times New Roman" w:hAnsi="Times New Roman" w:cs="Times New Roman"/>
          <w:sz w:val="28"/>
          <w:szCs w:val="28"/>
          <w:lang w:val="en-US"/>
        </w:rPr>
        <w:t>AH</w:t>
      </w:r>
      <w:r w:rsidRPr="00975C93">
        <w:rPr>
          <w:rFonts w:ascii="Times New Roman" w:hAnsi="Times New Roman" w:cs="Times New Roman"/>
          <w:sz w:val="28"/>
          <w:szCs w:val="28"/>
          <w:lang w:val="en-US"/>
        </w:rPr>
        <w:t xml:space="preserve"> based on the use of classification functions is developed.</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Analysis and resuming of results of this research allow making general conclusion about development in patients with COPD and comorbid AH of expressed endothelial dysfunction, which is determined by hyper-activation of sympathoadrenal and renin-angiotensin system, reduction of adaptive potential of kallikrein-kinin system and effects of bradykinin through increased activation of its destruction ferments (ACE and carboxypeptidase N), increasing of NO synthesis, imbalance of biogenic elements metabolism and activity of organo-specific ferments, and is characterized by decreasing of vasodilating and intensification of vasoconstrictor effects. In comorbid course of COPD and AH vicious circle is formed, including oxygen insufficiency, oxidative stress and chronic inflammation besides endothelial dysfunction.</w:t>
      </w:r>
    </w:p>
    <w:p w:rsidR="00690289" w:rsidRPr="00156441" w:rsidRDefault="00690289" w:rsidP="00690289">
      <w:pPr>
        <w:tabs>
          <w:tab w:val="left" w:pos="1134"/>
        </w:tabs>
        <w:spacing w:after="0" w:line="360" w:lineRule="auto"/>
        <w:ind w:firstLine="709"/>
        <w:contextualSpacing/>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Keywords: endothelial dysfunction, chronic obstructive pulmonary disease, hypertension.</w:t>
      </w:r>
    </w:p>
    <w:p w:rsidR="00821A4D" w:rsidRPr="00156441" w:rsidRDefault="00821A4D">
      <w:pPr>
        <w:rPr>
          <w:rFonts w:ascii="Times New Roman" w:hAnsi="Times New Roman" w:cs="Times New Roman"/>
          <w:b/>
          <w:sz w:val="28"/>
          <w:szCs w:val="28"/>
        </w:rPr>
      </w:pPr>
      <w:r w:rsidRPr="00156441">
        <w:rPr>
          <w:rFonts w:ascii="Times New Roman" w:hAnsi="Times New Roman" w:cs="Times New Roman"/>
          <w:b/>
          <w:sz w:val="28"/>
          <w:szCs w:val="28"/>
        </w:rPr>
        <w:br w:type="page"/>
      </w:r>
    </w:p>
    <w:p w:rsidR="00690289" w:rsidRPr="00156441" w:rsidRDefault="00690289" w:rsidP="00690289">
      <w:pPr>
        <w:tabs>
          <w:tab w:val="left" w:pos="1134"/>
        </w:tabs>
        <w:spacing w:after="0" w:line="360" w:lineRule="auto"/>
        <w:contextualSpacing/>
        <w:jc w:val="both"/>
        <w:rPr>
          <w:rFonts w:ascii="Times New Roman" w:hAnsi="Times New Roman" w:cs="Times New Roman"/>
          <w:b/>
          <w:sz w:val="28"/>
          <w:szCs w:val="28"/>
        </w:rPr>
      </w:pPr>
      <w:r w:rsidRPr="00156441">
        <w:rPr>
          <w:rFonts w:ascii="Times New Roman" w:hAnsi="Times New Roman" w:cs="Times New Roman"/>
          <w:b/>
          <w:sz w:val="28"/>
          <w:szCs w:val="28"/>
        </w:rPr>
        <w:lastRenderedPageBreak/>
        <w:t>Список публікацій здобувача:</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bookmarkStart w:id="0" w:name="Zmist"/>
      <w:r w:rsidRPr="00156441">
        <w:rPr>
          <w:rFonts w:ascii="Times New Roman" w:eastAsia="Calibri" w:hAnsi="Times New Roman" w:cs="Times New Roman"/>
          <w:sz w:val="28"/>
          <w:szCs w:val="28"/>
        </w:rPr>
        <w:t>Істоміна О. В. Рівень органоспецифічних ферментів у хворих на хронічне обструктивне захворювання легень у поєднанні з гіпертонічною хворобою /О. В. Істоміна// Вісник проблем біології та медицини.</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Випуск 1, Том 2 (127).</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83-85.</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Істоміна О. В. Стан вазоактивних пептидів, гормонів і нейромедіаторів у хворих на хронічне обструктивне захворювання легень у поєднанні з гіпертонічною хворобою / В. А. Капустник, О. В. Істоміна // Здобутки клінічної і експериментальної медицини.</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 (26).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56-60.</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lang w:val="en-US"/>
        </w:rPr>
        <w:t xml:space="preserve">Istomina </w:t>
      </w:r>
      <w:r w:rsidRPr="00156441">
        <w:rPr>
          <w:rFonts w:ascii="Times New Roman" w:eastAsia="Calibri" w:hAnsi="Times New Roman" w:cs="Times New Roman"/>
          <w:sz w:val="28"/>
          <w:szCs w:val="28"/>
        </w:rPr>
        <w:t>О</w:t>
      </w:r>
      <w:r w:rsidRPr="00156441">
        <w:rPr>
          <w:rFonts w:ascii="Times New Roman" w:eastAsia="Calibri" w:hAnsi="Times New Roman" w:cs="Times New Roman"/>
          <w:sz w:val="28"/>
          <w:szCs w:val="28"/>
          <w:lang w:val="en-US"/>
        </w:rPr>
        <w:t xml:space="preserve">. Endothelial dysfunction in patients with chronic obsrtructive pulmonary disease with concomitant hypertension /V. </w:t>
      </w:r>
      <w:r w:rsidRPr="00156441">
        <w:rPr>
          <w:rFonts w:ascii="Times New Roman" w:eastAsia="Calibri" w:hAnsi="Times New Roman" w:cs="Times New Roman"/>
          <w:sz w:val="28"/>
          <w:szCs w:val="28"/>
        </w:rPr>
        <w:t xml:space="preserve">Kapustnik, </w:t>
      </w:r>
      <w:r w:rsidRPr="00156441">
        <w:rPr>
          <w:rFonts w:ascii="Times New Roman" w:eastAsia="Calibri" w:hAnsi="Times New Roman" w:cs="Times New Roman"/>
          <w:sz w:val="28"/>
          <w:szCs w:val="28"/>
          <w:lang w:val="en-US"/>
        </w:rPr>
        <w:t>O</w:t>
      </w:r>
      <w:r w:rsidRPr="00156441">
        <w:rPr>
          <w:rFonts w:ascii="Times New Roman" w:eastAsia="Calibri" w:hAnsi="Times New Roman" w:cs="Times New Roman"/>
          <w:sz w:val="28"/>
          <w:szCs w:val="28"/>
        </w:rPr>
        <w:t>. Istomina // Georgian medical news.</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No 7-8 (256-257).</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Р. 29-33.</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 В. Обмен биогенных элементов</w:t>
      </w:r>
      <w:r w:rsid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у больных хроническим обструктивным заболеванием легких с сопутствующей гипертонической болезнью / В. А. Капустник, О. В. Истомина// Журнал клінічних та експериментальних медичних досліджень.</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Том 4, №3.</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396-401.</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Істоміна О. В. Математико</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статистичний аналіз прогнозування ступеня тяжкості хворих на хронічне обструктивне захворювання легень з супутньою гіпертонічною хворобою / В. А. Капустник, О. В. Істоміна, О. В. Зайцева. // Вісник проблем біології та медицини.</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2017.</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№2(136).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46–51.</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 В. Функциональная оценка миокарда у пациентов с хроническим обструктивным заболеванием легких и гипертонической болезнью</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В.</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А. Капустник, О.</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Г. Мельник, О.</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Л. Архипкина,</w:t>
      </w:r>
      <w:r w:rsid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О.</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В.</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Истомина,</w:t>
      </w:r>
      <w:r w:rsid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Е.</w:t>
      </w:r>
      <w:r w:rsidR="009D2378" w:rsidRPr="009D2378">
        <w:rPr>
          <w:rFonts w:ascii="Times New Roman" w:eastAsia="Calibri" w:hAnsi="Times New Roman" w:cs="Times New Roman"/>
          <w:sz w:val="28"/>
          <w:szCs w:val="28"/>
          <w:lang w:val="ru-RU"/>
        </w:rPr>
        <w:t xml:space="preserve"> </w:t>
      </w:r>
      <w:r w:rsidR="009D2378">
        <w:rPr>
          <w:rFonts w:ascii="Times New Roman" w:eastAsia="Calibri" w:hAnsi="Times New Roman" w:cs="Times New Roman"/>
          <w:sz w:val="28"/>
          <w:szCs w:val="28"/>
        </w:rPr>
        <w:t>И. Санина</w:t>
      </w:r>
      <w:r w:rsidRPr="00156441">
        <w:rPr>
          <w:rFonts w:ascii="Times New Roman" w:eastAsia="Calibri" w:hAnsi="Times New Roman" w:cs="Times New Roman"/>
          <w:sz w:val="28"/>
          <w:szCs w:val="28"/>
        </w:rPr>
        <w:t xml:space="preserve"> // Міжнародний медичний журнал.</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2017.</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№1 (89), Том 23</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21–25.</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Істоміна О. В. Рівень васкулярного ендотеліального фактора росту у хворих на хронічне обструктивне захворювання легень з супутньою гіпертонічною хворобою //В. А. Капустник, О. В. Істоміна</w:t>
      </w:r>
      <w:r w:rsidR="009D2378" w:rsidRP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 Експериментальна і клінічна медицина.</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№4 (73).</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54-57.</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 xml:space="preserve">Пат. № 113096, Україна, МПК G01N 33/50 (2006.01), G01N 33/52 (2006.01). Спосіб оцінки ризику розвитку хронічного обструктивного </w:t>
      </w:r>
      <w:r w:rsidRPr="00156441">
        <w:rPr>
          <w:rFonts w:ascii="Times New Roman" w:eastAsia="Calibri" w:hAnsi="Times New Roman" w:cs="Times New Roman"/>
          <w:sz w:val="28"/>
          <w:szCs w:val="28"/>
        </w:rPr>
        <w:lastRenderedPageBreak/>
        <w:t>захворювання легень у хворих на гіпертонічну хворобу / О. В. Істоміна, В. А. Капустник; Харківський національний медичний університет.</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 u 2016 07290; заявл. 05,07.2016; опубл. 10.01.2017, Бюл. №1.</w:t>
      </w:r>
    </w:p>
    <w:p w:rsidR="006044D3" w:rsidRPr="00156441" w:rsidRDefault="006044D3" w:rsidP="009D2378">
      <w:pPr>
        <w:pStyle w:val="a4"/>
        <w:numPr>
          <w:ilvl w:val="0"/>
          <w:numId w:val="23"/>
        </w:numPr>
        <w:tabs>
          <w:tab w:val="left" w:pos="1134"/>
        </w:tabs>
        <w:spacing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 В. Эндотелиальная дисфункция у больных хроническим обструктивным заболеванием легких в сочетании с гипертонической болезнью (обзор литературы) /О. В. Истомина// Медицина сьогодні і завтра.</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2015.</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1 (66).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30-36.</w:t>
      </w:r>
    </w:p>
    <w:p w:rsidR="006044D3" w:rsidRPr="00156441" w:rsidRDefault="006044D3" w:rsidP="009D2378">
      <w:pPr>
        <w:pStyle w:val="a4"/>
        <w:numPr>
          <w:ilvl w:val="0"/>
          <w:numId w:val="23"/>
        </w:numPr>
        <w:tabs>
          <w:tab w:val="left" w:pos="1134"/>
        </w:tabs>
        <w:spacing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 В. Изменение уровня катехоламинов у больных хроническим обструктивным заболеванием легких в сочетании с гипертонической болезнью /В. А. Капустник, О. В. Истомина// Матеріали научно-практичної конференції з міжнародною участю «Щорічні терапевтичні читання: профілактика неінфекційних захворювань на перехресті терапевтичних наук, 21 квітня 2016 р.</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Харків.</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138.</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Istomina O. Right ventricular dysfunction in patients with COPD and hypertension diaease / О. Arkhipkina, О. Istomina// Медицина третього тисячоліття: збірник тез міжвузівської конференції молодих вчених та студентів, 16-17 січня 2017 р.</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Харків: ХНМУ.</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2017.</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93.</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 В. Динамика экспрессии VEGF у больных хроническим обструктивным заболеванием легких с сопутствующей гипертонической болезнью /О. В. Истомина</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 Медицина третього тисячоліття: Збірник тез міжвузівської конференції молодих вчених та студентів, 16-17 січня 2017р.</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Харків: ХНМУ.</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2017.</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124-125.</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 В. Определение эндотелиальной дисфункции на основании показателей обмена оксид азота /О. В. Истомина</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 Медицина третього тисячоліття: Збірник тез міжвузівської конференції молодих вчених та студентів, 19 січня 2016 р.</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Харків: ХНМУ.</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2017.</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 xml:space="preserve">С. 114. </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 В. Структурные изменения левого желудочка у больных хроническим обструктивным заболеванием легких и гипертонической болезнью /О. Л. Архипкина, О. В. Истомина</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 Сборник IV международной научно-</w:t>
      </w:r>
      <w:r w:rsidRPr="00156441">
        <w:rPr>
          <w:rFonts w:ascii="Times New Roman" w:eastAsia="Calibri" w:hAnsi="Times New Roman" w:cs="Times New Roman"/>
          <w:sz w:val="28"/>
          <w:szCs w:val="28"/>
        </w:rPr>
        <w:lastRenderedPageBreak/>
        <w:t>практической конференции студентов и молодых ученых «Наука и медицина: современный взгляд молодежи», 20-21 апреля 2017 г.</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Алмати.</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 xml:space="preserve">С. 12-13. </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Истомина О.В. Состояние вазоактивных пептидов у больных хроническим обструктивным заболеванием легких с сопутствующей гипертонической болезнью /О. В. Истомина, О. Л. Архипкина</w:t>
      </w:r>
      <w:r w:rsidR="009D2378" w:rsidRPr="009D2378">
        <w:rPr>
          <w:rFonts w:ascii="Times New Roman" w:eastAsia="Calibri" w:hAnsi="Times New Roman" w:cs="Times New Roman"/>
          <w:sz w:val="28"/>
          <w:szCs w:val="28"/>
          <w:lang w:val="ru-RU"/>
        </w:rPr>
        <w:t xml:space="preserve"> </w:t>
      </w:r>
      <w:r w:rsidRPr="00156441">
        <w:rPr>
          <w:rFonts w:ascii="Times New Roman" w:eastAsia="Calibri" w:hAnsi="Times New Roman" w:cs="Times New Roman"/>
          <w:sz w:val="28"/>
          <w:szCs w:val="28"/>
        </w:rPr>
        <w:t>// Сборник IV международной научно-практической конференции студентов и молодых ученых «Наука и медицина: современный взгляд молодежи», 20-21 апреля 2017 г.</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Алмати.</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 xml:space="preserve">С. 32-33. </w:t>
      </w:r>
    </w:p>
    <w:p w:rsidR="006044D3" w:rsidRPr="00156441" w:rsidRDefault="006044D3" w:rsidP="009D2378">
      <w:pPr>
        <w:pStyle w:val="a4"/>
        <w:numPr>
          <w:ilvl w:val="0"/>
          <w:numId w:val="23"/>
        </w:numPr>
        <w:tabs>
          <w:tab w:val="left" w:pos="1134"/>
        </w:tabs>
        <w:spacing w:after="0" w:line="360" w:lineRule="auto"/>
        <w:ind w:left="0" w:firstLine="709"/>
        <w:jc w:val="both"/>
        <w:rPr>
          <w:rFonts w:ascii="Times New Roman" w:eastAsia="Calibri" w:hAnsi="Times New Roman" w:cs="Times New Roman"/>
          <w:sz w:val="28"/>
          <w:szCs w:val="28"/>
        </w:rPr>
      </w:pPr>
      <w:r w:rsidRPr="00156441">
        <w:rPr>
          <w:rFonts w:ascii="Times New Roman" w:eastAsia="Calibri" w:hAnsi="Times New Roman" w:cs="Times New Roman"/>
          <w:sz w:val="28"/>
          <w:szCs w:val="28"/>
        </w:rPr>
        <w:t>Istomina O. V. Endothelial dysfunction in patients with chronic obstructive pulmonary disease with concomitant hypertension /</w:t>
      </w:r>
      <w:r w:rsidR="009D2378" w:rsidRP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V.</w:t>
      </w:r>
      <w:r w:rsidR="009D2378" w:rsidRP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A. Kapustnuk, O.</w:t>
      </w:r>
      <w:r w:rsidR="009D2378" w:rsidRP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V.</w:t>
      </w:r>
      <w:r w:rsidR="009D2378" w:rsidRP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Istomina</w:t>
      </w:r>
      <w:r w:rsidR="009D2378">
        <w:rPr>
          <w:rFonts w:ascii="Times New Roman" w:eastAsia="Calibri" w:hAnsi="Times New Roman" w:cs="Times New Roman"/>
          <w:sz w:val="28"/>
          <w:szCs w:val="28"/>
        </w:rPr>
        <w:t xml:space="preserve"> </w:t>
      </w:r>
      <w:r w:rsidRPr="00156441">
        <w:rPr>
          <w:rFonts w:ascii="Times New Roman" w:eastAsia="Calibri" w:hAnsi="Times New Roman" w:cs="Times New Roman"/>
          <w:sz w:val="28"/>
          <w:szCs w:val="28"/>
        </w:rPr>
        <w:t>// «Медична наука та клінічна практика</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 Матеріали науково-практичної конференції з участю міжнародних спеціалістів, присвяченої Дню науки, 20 травня 2016 р.</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Харків.</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2016.</w:t>
      </w:r>
      <w:r w:rsidR="009D2378">
        <w:rPr>
          <w:rFonts w:ascii="Times New Roman" w:eastAsia="Calibri" w:hAnsi="Times New Roman" w:cs="Times New Roman"/>
          <w:sz w:val="28"/>
          <w:szCs w:val="28"/>
        </w:rPr>
        <w:t xml:space="preserve"> — </w:t>
      </w:r>
      <w:r w:rsidRPr="00156441">
        <w:rPr>
          <w:rFonts w:ascii="Times New Roman" w:eastAsia="Calibri" w:hAnsi="Times New Roman" w:cs="Times New Roman"/>
          <w:sz w:val="28"/>
          <w:szCs w:val="28"/>
        </w:rPr>
        <w:t>С. 13.</w:t>
      </w:r>
    </w:p>
    <w:p w:rsidR="003B436B" w:rsidRDefault="003B436B">
      <w:pPr>
        <w:rPr>
          <w:rFonts w:ascii="Times New Roman" w:hAnsi="Times New Roman" w:cs="Times New Roman"/>
          <w:sz w:val="28"/>
          <w:szCs w:val="28"/>
        </w:rPr>
      </w:pPr>
      <w:r>
        <w:rPr>
          <w:rFonts w:ascii="Times New Roman" w:hAnsi="Times New Roman" w:cs="Times New Roman"/>
          <w:sz w:val="28"/>
          <w:szCs w:val="28"/>
        </w:rPr>
        <w:br w:type="page"/>
      </w:r>
    </w:p>
    <w:p w:rsidR="00D97DA7" w:rsidRPr="00156441" w:rsidRDefault="00D97DA7" w:rsidP="009720A3">
      <w:pPr>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lastRenderedPageBreak/>
        <w:t>ЗМІСТ</w:t>
      </w:r>
      <w:bookmarkEnd w:id="0"/>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gridCol w:w="707"/>
      </w:tblGrid>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ЗМІСТ…………………………………………………………………………</w:t>
            </w:r>
            <w:r w:rsidR="003B436B">
              <w:rPr>
                <w:rFonts w:ascii="Times New Roman" w:hAnsi="Times New Roman" w:cs="Times New Roman"/>
                <w:sz w:val="28"/>
                <w:szCs w:val="28"/>
                <w:lang w:val="ru-RU"/>
              </w:rPr>
              <w:t>.</w:t>
            </w:r>
            <w:r w:rsidRPr="00156441">
              <w:rPr>
                <w:rFonts w:ascii="Times New Roman" w:hAnsi="Times New Roman" w:cs="Times New Roman"/>
                <w:sz w:val="28"/>
                <w:szCs w:val="28"/>
              </w:rPr>
              <w:t>...</w:t>
            </w:r>
          </w:p>
        </w:tc>
        <w:tc>
          <w:tcPr>
            <w:tcW w:w="707" w:type="dxa"/>
          </w:tcPr>
          <w:p w:rsidR="00D97DA7" w:rsidRPr="00156441" w:rsidRDefault="00553F65"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Zmist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9</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ПЕРЕЛІК</w:t>
            </w:r>
            <w:r w:rsidR="00184106">
              <w:rPr>
                <w:rFonts w:ascii="Times New Roman" w:hAnsi="Times New Roman" w:cs="Times New Roman"/>
                <w:sz w:val="28"/>
                <w:szCs w:val="28"/>
              </w:rPr>
              <w:t xml:space="preserve"> СКОРОЧЕНЬ ТА ПОЗНАЧЕНЬ …………………</w:t>
            </w:r>
            <w:r w:rsidRPr="00156441">
              <w:rPr>
                <w:rFonts w:ascii="Times New Roman" w:hAnsi="Times New Roman" w:cs="Times New Roman"/>
                <w:sz w:val="28"/>
                <w:szCs w:val="28"/>
              </w:rPr>
              <w:t>……………</w:t>
            </w:r>
            <w:r w:rsidR="003B436B">
              <w:rPr>
                <w:rFonts w:ascii="Times New Roman" w:hAnsi="Times New Roman" w:cs="Times New Roman"/>
                <w:sz w:val="28"/>
                <w:szCs w:val="28"/>
                <w:lang w:val="ru-RU"/>
              </w:rPr>
              <w:t>...</w:t>
            </w:r>
            <w:r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Per_skor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13</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ВСТУП………………………………………………………………………</w:t>
            </w:r>
            <w:r w:rsidR="003B436B">
              <w:rPr>
                <w:rFonts w:ascii="Times New Roman" w:hAnsi="Times New Roman" w:cs="Times New Roman"/>
                <w:sz w:val="28"/>
                <w:szCs w:val="28"/>
                <w:lang w:val="ru-RU"/>
              </w:rPr>
              <w:t>.</w:t>
            </w:r>
            <w:r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Vstup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16</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184106" w:rsidP="009720A3">
            <w:pPr>
              <w:tabs>
                <w:tab w:val="left" w:pos="1134"/>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РОЗДІЛ 1. ОГЛЯД ЛІТЕРАТУРИ……………</w:t>
            </w:r>
            <w:r w:rsidR="00D97DA7" w:rsidRPr="00156441">
              <w:rPr>
                <w:rFonts w:ascii="Times New Roman" w:hAnsi="Times New Roman" w:cs="Times New Roman"/>
                <w:sz w:val="28"/>
                <w:szCs w:val="28"/>
              </w:rPr>
              <w:t>……………………………</w:t>
            </w:r>
            <w:r w:rsidR="003B436B">
              <w:rPr>
                <w:rFonts w:ascii="Times New Roman" w:hAnsi="Times New Roman" w:cs="Times New Roman"/>
                <w:sz w:val="28"/>
                <w:szCs w:val="28"/>
                <w:lang w:val="ru-RU"/>
              </w:rPr>
              <w:t>..</w:t>
            </w:r>
            <w:r w:rsidR="00D97DA7"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Rozd_1_ogl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23</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3"/>
              </w:numPr>
              <w:tabs>
                <w:tab w:val="left" w:pos="1134"/>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Сучасний погляд на особливості клінічного перебігу хронічного обструктивного захворювання легень в поєднанні з гіпертонічною хворобою …………………………………………</w:t>
            </w:r>
            <w:r w:rsidR="00CA03FD" w:rsidRPr="00156441">
              <w:rPr>
                <w:rFonts w:ascii="Times New Roman" w:hAnsi="Times New Roman" w:cs="Times New Roman"/>
                <w:sz w:val="28"/>
                <w:szCs w:val="28"/>
                <w:lang w:val="ru-RU"/>
              </w:rPr>
              <w:t>………...</w:t>
            </w:r>
            <w:r w:rsidRPr="00156441">
              <w:rPr>
                <w:rFonts w:ascii="Times New Roman" w:hAnsi="Times New Roman" w:cs="Times New Roman"/>
                <w:sz w:val="28"/>
                <w:szCs w:val="28"/>
              </w:rPr>
              <w:t>……………</w:t>
            </w:r>
            <w:r w:rsidR="00333B2D">
              <w:rPr>
                <w:rFonts w:ascii="Times New Roman" w:hAnsi="Times New Roman" w:cs="Times New Roman"/>
                <w:sz w:val="28"/>
                <w:szCs w:val="28"/>
              </w:rPr>
              <w:t>……...</w:t>
            </w:r>
          </w:p>
        </w:tc>
        <w:tc>
          <w:tcPr>
            <w:tcW w:w="707" w:type="dxa"/>
          </w:tcPr>
          <w:p w:rsidR="00934E4F" w:rsidRPr="00156441" w:rsidRDefault="00934E4F" w:rsidP="009720A3">
            <w:pPr>
              <w:pStyle w:val="a4"/>
              <w:tabs>
                <w:tab w:val="left" w:pos="1134"/>
              </w:tabs>
              <w:spacing w:line="360" w:lineRule="auto"/>
              <w:ind w:left="0"/>
              <w:jc w:val="both"/>
              <w:rPr>
                <w:rFonts w:ascii="Times New Roman" w:hAnsi="Times New Roman" w:cs="Times New Roman"/>
                <w:sz w:val="28"/>
                <w:szCs w:val="28"/>
              </w:rPr>
            </w:pPr>
          </w:p>
          <w:p w:rsidR="00934E4F" w:rsidRPr="00156441" w:rsidRDefault="00934E4F" w:rsidP="009720A3">
            <w:pPr>
              <w:pStyle w:val="a4"/>
              <w:tabs>
                <w:tab w:val="left" w:pos="1134"/>
              </w:tabs>
              <w:spacing w:line="360" w:lineRule="auto"/>
              <w:ind w:left="0"/>
              <w:jc w:val="both"/>
              <w:rPr>
                <w:rFonts w:ascii="Times New Roman" w:hAnsi="Times New Roman" w:cs="Times New Roman"/>
                <w:sz w:val="28"/>
                <w:szCs w:val="28"/>
              </w:rPr>
            </w:pPr>
          </w:p>
          <w:p w:rsidR="00D97DA7" w:rsidRPr="00156441" w:rsidRDefault="00934E4F" w:rsidP="009720A3">
            <w:pPr>
              <w:pStyle w:val="a4"/>
              <w:tabs>
                <w:tab w:val="left" w:pos="1134"/>
              </w:tabs>
              <w:spacing w:line="360" w:lineRule="auto"/>
              <w:ind w:left="0"/>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Pidrozd_1_1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23</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3"/>
              </w:numPr>
              <w:tabs>
                <w:tab w:val="left" w:pos="1134"/>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Дисфункція ендотелію та її біологічні маркери ………</w:t>
            </w:r>
            <w:r w:rsidR="00CA03FD"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707" w:type="dxa"/>
          </w:tcPr>
          <w:p w:rsidR="00D97DA7" w:rsidRPr="00156441" w:rsidRDefault="00934E4F" w:rsidP="009720A3">
            <w:pPr>
              <w:pStyle w:val="a4"/>
              <w:tabs>
                <w:tab w:val="left" w:pos="1134"/>
              </w:tabs>
              <w:spacing w:line="360" w:lineRule="auto"/>
              <w:ind w:left="0"/>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Pidrozd_1_2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30</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3"/>
              </w:numPr>
              <w:tabs>
                <w:tab w:val="left" w:pos="1134"/>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Стан функції ендотелію за хронічного обструктивного захворювання легень та гіпертонічної хвороби ……</w:t>
            </w:r>
            <w:r w:rsidR="00184106">
              <w:rPr>
                <w:rFonts w:ascii="Times New Roman" w:hAnsi="Times New Roman" w:cs="Times New Roman"/>
                <w:sz w:val="28"/>
                <w:szCs w:val="28"/>
                <w:lang w:val="ru-RU"/>
              </w:rPr>
              <w:t>…</w:t>
            </w:r>
            <w:r w:rsidR="003B436B">
              <w:rPr>
                <w:rFonts w:ascii="Times New Roman" w:hAnsi="Times New Roman" w:cs="Times New Roman"/>
                <w:sz w:val="28"/>
                <w:szCs w:val="28"/>
                <w:lang w:val="ru-RU"/>
              </w:rPr>
              <w:t>………………</w:t>
            </w:r>
            <w:r w:rsidR="00301DBA">
              <w:rPr>
                <w:rFonts w:ascii="Times New Roman" w:hAnsi="Times New Roman" w:cs="Times New Roman"/>
                <w:sz w:val="28"/>
                <w:szCs w:val="28"/>
                <w:lang w:val="ru-RU"/>
              </w:rPr>
              <w:t>…</w:t>
            </w:r>
            <w:r w:rsidR="00333B2D">
              <w:rPr>
                <w:rFonts w:ascii="Times New Roman" w:hAnsi="Times New Roman" w:cs="Times New Roman"/>
                <w:sz w:val="28"/>
                <w:szCs w:val="28"/>
                <w:lang w:val="ru-RU"/>
              </w:rPr>
              <w:t>….</w:t>
            </w:r>
          </w:p>
        </w:tc>
        <w:tc>
          <w:tcPr>
            <w:tcW w:w="707" w:type="dxa"/>
          </w:tcPr>
          <w:p w:rsidR="00934E4F" w:rsidRPr="00156441" w:rsidRDefault="00934E4F" w:rsidP="009720A3">
            <w:pPr>
              <w:pStyle w:val="a4"/>
              <w:tabs>
                <w:tab w:val="left" w:pos="1134"/>
              </w:tabs>
              <w:spacing w:line="360" w:lineRule="auto"/>
              <w:ind w:left="0"/>
              <w:jc w:val="both"/>
              <w:rPr>
                <w:rFonts w:ascii="Times New Roman" w:hAnsi="Times New Roman" w:cs="Times New Roman"/>
                <w:sz w:val="28"/>
                <w:szCs w:val="28"/>
              </w:rPr>
            </w:pPr>
          </w:p>
          <w:p w:rsidR="00D97DA7" w:rsidRPr="00156441" w:rsidRDefault="00934E4F" w:rsidP="009720A3">
            <w:pPr>
              <w:pStyle w:val="a4"/>
              <w:tabs>
                <w:tab w:val="left" w:pos="1134"/>
              </w:tabs>
              <w:spacing w:line="360" w:lineRule="auto"/>
              <w:ind w:left="0"/>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Pidrozd_1_3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39</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CA03FD"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РОЗДІЛ</w:t>
            </w:r>
            <w:r w:rsidRPr="00156441">
              <w:rPr>
                <w:rFonts w:ascii="Times New Roman" w:hAnsi="Times New Roman" w:cs="Times New Roman"/>
                <w:sz w:val="28"/>
                <w:szCs w:val="28"/>
                <w:lang w:val="ru-RU"/>
              </w:rPr>
              <w:t xml:space="preserve"> </w:t>
            </w:r>
            <w:r w:rsidR="00D97DA7" w:rsidRPr="00156441">
              <w:rPr>
                <w:rFonts w:ascii="Times New Roman" w:hAnsi="Times New Roman" w:cs="Times New Roman"/>
                <w:sz w:val="28"/>
                <w:szCs w:val="28"/>
              </w:rPr>
              <w:t>2. М</w:t>
            </w:r>
            <w:r w:rsidR="00301DBA">
              <w:rPr>
                <w:rFonts w:ascii="Times New Roman" w:hAnsi="Times New Roman" w:cs="Times New Roman"/>
                <w:sz w:val="28"/>
                <w:szCs w:val="28"/>
              </w:rPr>
              <w:t>АТЕРІАЛИ ТА МЕТОДИ ДОСЛІДЖЕН</w:t>
            </w:r>
            <w:r w:rsidR="00301DBA">
              <w:rPr>
                <w:rFonts w:ascii="Times New Roman" w:hAnsi="Times New Roman" w:cs="Times New Roman"/>
                <w:sz w:val="28"/>
                <w:szCs w:val="28"/>
                <w:lang w:val="ru-RU"/>
              </w:rPr>
              <w:t>НЯ</w:t>
            </w:r>
            <w:r w:rsidRPr="00156441">
              <w:rPr>
                <w:rFonts w:ascii="Times New Roman" w:hAnsi="Times New Roman" w:cs="Times New Roman"/>
                <w:sz w:val="28"/>
                <w:szCs w:val="28"/>
              </w:rPr>
              <w:t xml:space="preserve"> …</w:t>
            </w:r>
            <w:r w:rsidR="00184106">
              <w:rPr>
                <w:rFonts w:ascii="Times New Roman" w:hAnsi="Times New Roman" w:cs="Times New Roman"/>
                <w:sz w:val="28"/>
                <w:szCs w:val="28"/>
              </w:rPr>
              <w:t>…</w:t>
            </w:r>
            <w:r w:rsidR="00301DBA">
              <w:rPr>
                <w:rFonts w:ascii="Times New Roman" w:hAnsi="Times New Roman" w:cs="Times New Roman"/>
                <w:sz w:val="28"/>
                <w:szCs w:val="28"/>
              </w:rPr>
              <w:t>…….</w:t>
            </w:r>
            <w:r w:rsidR="00333B2D">
              <w:rPr>
                <w:rFonts w:ascii="Times New Roman" w:hAnsi="Times New Roman" w:cs="Times New Roman"/>
                <w:sz w:val="28"/>
                <w:szCs w:val="28"/>
              </w:rPr>
              <w:t>…</w:t>
            </w:r>
            <w:r w:rsidR="003B436B">
              <w:rPr>
                <w:rFonts w:ascii="Times New Roman" w:hAnsi="Times New Roman" w:cs="Times New Roman"/>
                <w:sz w:val="28"/>
                <w:szCs w:val="28"/>
                <w:lang w:val="ru-RU"/>
              </w:rPr>
              <w:t>….</w:t>
            </w:r>
            <w:r w:rsidR="00D97DA7"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Rozd_2_Mat_i_met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47</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2"/>
              </w:numPr>
              <w:tabs>
                <w:tab w:val="left" w:pos="1137"/>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Клінічна хара</w:t>
            </w:r>
            <w:r w:rsidR="00184106">
              <w:rPr>
                <w:rFonts w:ascii="Times New Roman" w:hAnsi="Times New Roman" w:cs="Times New Roman"/>
                <w:sz w:val="28"/>
                <w:szCs w:val="28"/>
              </w:rPr>
              <w:t>ктеристика хворих ………………………</w:t>
            </w:r>
            <w:r w:rsidR="00CA03FD" w:rsidRPr="00156441">
              <w:rPr>
                <w:rFonts w:ascii="Times New Roman" w:hAnsi="Times New Roman" w:cs="Times New Roman"/>
                <w:sz w:val="28"/>
                <w:szCs w:val="28"/>
              </w:rPr>
              <w:t>……</w:t>
            </w:r>
            <w:r w:rsidR="00333B2D">
              <w:rPr>
                <w:rFonts w:ascii="Times New Roman" w:hAnsi="Times New Roman" w:cs="Times New Roman"/>
                <w:sz w:val="28"/>
                <w:szCs w:val="28"/>
              </w:rPr>
              <w:t>..</w:t>
            </w:r>
            <w:r w:rsidR="003B436B">
              <w:rPr>
                <w:rFonts w:ascii="Times New Roman" w:hAnsi="Times New Roman" w:cs="Times New Roman"/>
                <w:sz w:val="28"/>
                <w:szCs w:val="28"/>
                <w:lang w:val="ru-RU"/>
              </w:rPr>
              <w:t>…</w:t>
            </w:r>
            <w:r w:rsidRPr="00156441">
              <w:rPr>
                <w:rFonts w:ascii="Times New Roman" w:hAnsi="Times New Roman" w:cs="Times New Roman"/>
                <w:sz w:val="28"/>
                <w:szCs w:val="28"/>
              </w:rPr>
              <w:t>..</w:t>
            </w:r>
          </w:p>
        </w:tc>
        <w:tc>
          <w:tcPr>
            <w:tcW w:w="707" w:type="dxa"/>
          </w:tcPr>
          <w:p w:rsidR="00D97DA7" w:rsidRPr="00156441" w:rsidRDefault="00934E4F" w:rsidP="009720A3">
            <w:pPr>
              <w:pStyle w:val="a4"/>
              <w:tabs>
                <w:tab w:val="left" w:pos="709"/>
              </w:tabs>
              <w:spacing w:line="360" w:lineRule="auto"/>
              <w:ind w:left="0"/>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Pidrozd_2_1_klin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47</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2"/>
              </w:numPr>
              <w:tabs>
                <w:tab w:val="left" w:pos="1137"/>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Методи дослідження ………………………………........</w:t>
            </w:r>
            <w:r w:rsidR="00934E4F" w:rsidRPr="00156441">
              <w:rPr>
                <w:rFonts w:ascii="Times New Roman" w:hAnsi="Times New Roman" w:cs="Times New Roman"/>
                <w:sz w:val="28"/>
                <w:szCs w:val="28"/>
              </w:rPr>
              <w:t>.....</w:t>
            </w:r>
            <w:r w:rsidR="003B436B">
              <w:rPr>
                <w:rFonts w:ascii="Times New Roman" w:hAnsi="Times New Roman" w:cs="Times New Roman"/>
                <w:sz w:val="28"/>
                <w:szCs w:val="28"/>
                <w:lang w:val="ru-RU"/>
              </w:rPr>
              <w:t>........</w:t>
            </w:r>
            <w:r w:rsidR="00333B2D">
              <w:rPr>
                <w:rFonts w:ascii="Times New Roman" w:hAnsi="Times New Roman" w:cs="Times New Roman"/>
                <w:sz w:val="28"/>
                <w:szCs w:val="28"/>
                <w:lang w:val="ru-RU"/>
              </w:rPr>
              <w:t>..</w:t>
            </w:r>
            <w:r w:rsidR="003B436B">
              <w:rPr>
                <w:rFonts w:ascii="Times New Roman" w:hAnsi="Times New Roman" w:cs="Times New Roman"/>
                <w:sz w:val="28"/>
                <w:szCs w:val="28"/>
                <w:lang w:val="ru-RU"/>
              </w:rPr>
              <w:t>..</w:t>
            </w:r>
            <w:r w:rsidR="00934E4F" w:rsidRPr="00156441">
              <w:rPr>
                <w:rFonts w:ascii="Times New Roman" w:hAnsi="Times New Roman" w:cs="Times New Roman"/>
                <w:sz w:val="28"/>
                <w:szCs w:val="28"/>
              </w:rPr>
              <w:t>..</w:t>
            </w:r>
          </w:p>
        </w:tc>
        <w:tc>
          <w:tcPr>
            <w:tcW w:w="707" w:type="dxa"/>
          </w:tcPr>
          <w:p w:rsidR="00D97DA7" w:rsidRPr="00156441" w:rsidRDefault="00934E4F" w:rsidP="009720A3">
            <w:pPr>
              <w:pStyle w:val="a4"/>
              <w:tabs>
                <w:tab w:val="left" w:pos="1134"/>
              </w:tabs>
              <w:spacing w:line="360" w:lineRule="auto"/>
              <w:ind w:left="0"/>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Pidrozd_2_2_Metod_dosl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53</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Р</w:t>
            </w:r>
            <w:r w:rsidR="00A7727E">
              <w:rPr>
                <w:rFonts w:ascii="Times New Roman" w:hAnsi="Times New Roman" w:cs="Times New Roman"/>
                <w:sz w:val="28"/>
                <w:szCs w:val="28"/>
              </w:rPr>
              <w:t>ОЗДІЛ</w:t>
            </w:r>
            <w:r w:rsidR="00A7727E">
              <w:rPr>
                <w:rFonts w:ascii="Times New Roman" w:hAnsi="Times New Roman" w:cs="Times New Roman"/>
                <w:sz w:val="28"/>
                <w:szCs w:val="28"/>
                <w:lang w:val="ru-RU"/>
              </w:rPr>
              <w:t xml:space="preserve"> </w:t>
            </w:r>
            <w:r w:rsidR="00184106">
              <w:rPr>
                <w:rFonts w:ascii="Times New Roman" w:hAnsi="Times New Roman" w:cs="Times New Roman"/>
                <w:sz w:val="28"/>
                <w:szCs w:val="28"/>
              </w:rPr>
              <w:t>3. ВЛАСНІ ДОСЛІДЖЕННЯ………</w:t>
            </w:r>
            <w:r w:rsidR="00A7727E">
              <w:rPr>
                <w:rFonts w:ascii="Times New Roman" w:hAnsi="Times New Roman" w:cs="Times New Roman"/>
                <w:sz w:val="28"/>
                <w:szCs w:val="28"/>
              </w:rPr>
              <w:t>………</w:t>
            </w:r>
            <w:r w:rsidRPr="00156441">
              <w:rPr>
                <w:rFonts w:ascii="Times New Roman" w:hAnsi="Times New Roman" w:cs="Times New Roman"/>
                <w:sz w:val="28"/>
                <w:szCs w:val="28"/>
              </w:rPr>
              <w:t>………………</w:t>
            </w:r>
            <w:r w:rsidR="003B436B">
              <w:rPr>
                <w:rFonts w:ascii="Times New Roman" w:hAnsi="Times New Roman" w:cs="Times New Roman"/>
                <w:sz w:val="28"/>
                <w:szCs w:val="28"/>
                <w:lang w:val="ru-RU"/>
              </w:rPr>
              <w:t>…</w:t>
            </w:r>
            <w:r w:rsidR="00333B2D">
              <w:rPr>
                <w:rFonts w:ascii="Times New Roman" w:hAnsi="Times New Roman" w:cs="Times New Roman"/>
                <w:sz w:val="28"/>
                <w:szCs w:val="28"/>
                <w:lang w:val="ru-RU"/>
              </w:rPr>
              <w:t>…</w:t>
            </w:r>
            <w:r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Rozd_3_Vlasni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63</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19"/>
              </w:numPr>
              <w:tabs>
                <w:tab w:val="left" w:pos="743"/>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 xml:space="preserve">Зміни рівня </w:t>
            </w:r>
            <w:r w:rsidR="009D2378">
              <w:rPr>
                <w:rFonts w:ascii="Times New Roman" w:hAnsi="Times New Roman" w:cs="Times New Roman"/>
                <w:sz w:val="28"/>
                <w:szCs w:val="28"/>
              </w:rPr>
              <w:t xml:space="preserve">вазоактивного </w:t>
            </w:r>
            <w:r w:rsidRPr="00156441">
              <w:rPr>
                <w:rFonts w:ascii="Times New Roman" w:hAnsi="Times New Roman" w:cs="Times New Roman"/>
                <w:sz w:val="28"/>
                <w:szCs w:val="28"/>
              </w:rPr>
              <w:t>інтестинального пептиду та васкулоендотеліаль</w:t>
            </w:r>
            <w:r w:rsidR="00301DBA">
              <w:rPr>
                <w:rFonts w:ascii="Times New Roman" w:hAnsi="Times New Roman" w:cs="Times New Roman"/>
                <w:sz w:val="28"/>
                <w:szCs w:val="28"/>
              </w:rPr>
              <w:t>ного фактор</w:t>
            </w:r>
            <w:r w:rsidR="00301DBA">
              <w:rPr>
                <w:rFonts w:ascii="Times New Roman" w:hAnsi="Times New Roman" w:cs="Times New Roman"/>
                <w:sz w:val="28"/>
                <w:szCs w:val="28"/>
                <w:lang w:val="ru-RU"/>
              </w:rPr>
              <w:t>а</w:t>
            </w:r>
            <w:r w:rsidR="00A7727E">
              <w:rPr>
                <w:rFonts w:ascii="Times New Roman" w:hAnsi="Times New Roman" w:cs="Times New Roman"/>
                <w:sz w:val="28"/>
                <w:szCs w:val="28"/>
              </w:rPr>
              <w:t xml:space="preserve"> росту ……………</w:t>
            </w:r>
            <w:r w:rsidR="009D2378">
              <w:rPr>
                <w:rFonts w:ascii="Times New Roman" w:hAnsi="Times New Roman" w:cs="Times New Roman"/>
                <w:sz w:val="28"/>
                <w:szCs w:val="28"/>
              </w:rPr>
              <w:t>……………</w:t>
            </w:r>
            <w:r w:rsidR="00333B2D">
              <w:rPr>
                <w:rFonts w:ascii="Times New Roman" w:hAnsi="Times New Roman" w:cs="Times New Roman"/>
                <w:sz w:val="28"/>
                <w:szCs w:val="28"/>
              </w:rPr>
              <w:t>…...…</w:t>
            </w:r>
            <w:r w:rsidR="009D2378">
              <w:rPr>
                <w:rFonts w:ascii="Times New Roman" w:hAnsi="Times New Roman" w:cs="Times New Roman"/>
                <w:sz w:val="28"/>
                <w:szCs w:val="28"/>
              </w:rPr>
              <w:t>…..</w:t>
            </w:r>
          </w:p>
        </w:tc>
        <w:tc>
          <w:tcPr>
            <w:tcW w:w="707" w:type="dxa"/>
          </w:tcPr>
          <w:p w:rsidR="00934E4F" w:rsidRPr="00156441" w:rsidRDefault="00934E4F" w:rsidP="009720A3">
            <w:pPr>
              <w:tabs>
                <w:tab w:val="left" w:pos="1134"/>
              </w:tabs>
              <w:spacing w:line="360" w:lineRule="auto"/>
              <w:contextualSpacing/>
              <w:jc w:val="both"/>
              <w:rPr>
                <w:rFonts w:ascii="Times New Roman" w:hAnsi="Times New Roman" w:cs="Times New Roman"/>
                <w:sz w:val="28"/>
                <w:szCs w:val="28"/>
              </w:rPr>
            </w:pPr>
          </w:p>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Pidrozd_3_1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63</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D1740C" w:rsidRDefault="00D97DA7" w:rsidP="00D1740C">
            <w:pPr>
              <w:pStyle w:val="a4"/>
              <w:numPr>
                <w:ilvl w:val="1"/>
                <w:numId w:val="19"/>
              </w:numPr>
              <w:tabs>
                <w:tab w:val="left" w:pos="743"/>
              </w:tabs>
              <w:spacing w:line="360" w:lineRule="auto"/>
              <w:ind w:left="0" w:firstLine="0"/>
              <w:jc w:val="both"/>
              <w:rPr>
                <w:rFonts w:ascii="Times New Roman" w:hAnsi="Times New Roman" w:cs="Times New Roman"/>
                <w:sz w:val="28"/>
                <w:szCs w:val="28"/>
              </w:rPr>
            </w:pPr>
            <w:r w:rsidRPr="00D1740C">
              <w:rPr>
                <w:rFonts w:ascii="Times New Roman" w:hAnsi="Times New Roman" w:cs="Times New Roman"/>
                <w:sz w:val="28"/>
                <w:szCs w:val="28"/>
              </w:rPr>
              <w:t xml:space="preserve">Дослідження активності ренін-ангіотензинової та калікреїн-кінінової систем </w:t>
            </w:r>
            <w:r w:rsidR="00184106" w:rsidRPr="00D1740C">
              <w:rPr>
                <w:rFonts w:ascii="Times New Roman" w:hAnsi="Times New Roman" w:cs="Times New Roman"/>
                <w:sz w:val="28"/>
                <w:szCs w:val="28"/>
              </w:rPr>
              <w:t>…………………</w:t>
            </w:r>
            <w:r w:rsidR="00934E4F" w:rsidRPr="00D1740C">
              <w:rPr>
                <w:rFonts w:ascii="Times New Roman" w:hAnsi="Times New Roman" w:cs="Times New Roman"/>
                <w:sz w:val="28"/>
                <w:szCs w:val="28"/>
              </w:rPr>
              <w:t>…..</w:t>
            </w:r>
            <w:r w:rsidR="00A7727E" w:rsidRPr="00D1740C">
              <w:rPr>
                <w:rFonts w:ascii="Times New Roman" w:hAnsi="Times New Roman" w:cs="Times New Roman"/>
                <w:sz w:val="28"/>
                <w:szCs w:val="28"/>
              </w:rPr>
              <w:t>…</w:t>
            </w:r>
            <w:r w:rsidR="00CA03FD" w:rsidRPr="00D1740C">
              <w:rPr>
                <w:rFonts w:ascii="Times New Roman" w:hAnsi="Times New Roman" w:cs="Times New Roman"/>
                <w:sz w:val="28"/>
                <w:szCs w:val="28"/>
              </w:rPr>
              <w:t>…………...</w:t>
            </w:r>
            <w:r w:rsidRPr="00D1740C">
              <w:rPr>
                <w:rFonts w:ascii="Times New Roman" w:hAnsi="Times New Roman" w:cs="Times New Roman"/>
                <w:sz w:val="28"/>
                <w:szCs w:val="28"/>
              </w:rPr>
              <w:t>……</w:t>
            </w:r>
            <w:r w:rsidR="00333B2D" w:rsidRPr="00D1740C">
              <w:rPr>
                <w:rFonts w:ascii="Times New Roman" w:hAnsi="Times New Roman" w:cs="Times New Roman"/>
                <w:sz w:val="28"/>
                <w:szCs w:val="28"/>
              </w:rPr>
              <w:t>…………………...</w:t>
            </w:r>
          </w:p>
        </w:tc>
        <w:tc>
          <w:tcPr>
            <w:tcW w:w="707" w:type="dxa"/>
          </w:tcPr>
          <w:p w:rsidR="00934E4F" w:rsidRPr="00156441" w:rsidRDefault="00934E4F" w:rsidP="009720A3">
            <w:pPr>
              <w:tabs>
                <w:tab w:val="left" w:pos="1134"/>
              </w:tabs>
              <w:spacing w:line="360" w:lineRule="auto"/>
              <w:contextualSpacing/>
              <w:jc w:val="both"/>
              <w:rPr>
                <w:rFonts w:ascii="Times New Roman" w:hAnsi="Times New Roman" w:cs="Times New Roman"/>
                <w:sz w:val="28"/>
                <w:szCs w:val="28"/>
              </w:rPr>
            </w:pPr>
          </w:p>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Pidrozd_3_2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67</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D1740C">
            <w:pPr>
              <w:pStyle w:val="a4"/>
              <w:numPr>
                <w:ilvl w:val="1"/>
                <w:numId w:val="19"/>
              </w:numPr>
              <w:tabs>
                <w:tab w:val="left" w:pos="743"/>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Оцінка активності симпатоадреналової системи ……</w:t>
            </w:r>
            <w:r w:rsidR="00934E4F" w:rsidRPr="00156441">
              <w:rPr>
                <w:rFonts w:ascii="Times New Roman" w:hAnsi="Times New Roman" w:cs="Times New Roman"/>
                <w:sz w:val="28"/>
                <w:szCs w:val="28"/>
              </w:rPr>
              <w:t>…</w:t>
            </w:r>
            <w:r w:rsidR="00CA03FD" w:rsidRPr="00184106">
              <w:rPr>
                <w:rFonts w:ascii="Times New Roman" w:hAnsi="Times New Roman" w:cs="Times New Roman"/>
                <w:sz w:val="28"/>
                <w:szCs w:val="28"/>
              </w:rPr>
              <w:t>.</w:t>
            </w:r>
            <w:r w:rsidR="00934E4F" w:rsidRPr="00156441">
              <w:rPr>
                <w:rFonts w:ascii="Times New Roman" w:hAnsi="Times New Roman" w:cs="Times New Roman"/>
                <w:sz w:val="28"/>
                <w:szCs w:val="28"/>
              </w:rPr>
              <w:t>…</w:t>
            </w:r>
            <w:r w:rsidR="00A7727E">
              <w:rPr>
                <w:rFonts w:ascii="Times New Roman" w:hAnsi="Times New Roman" w:cs="Times New Roman"/>
                <w:sz w:val="28"/>
                <w:szCs w:val="28"/>
              </w:rPr>
              <w:t>……</w:t>
            </w:r>
            <w:r w:rsidR="00333B2D">
              <w:rPr>
                <w:rFonts w:ascii="Times New Roman" w:hAnsi="Times New Roman" w:cs="Times New Roman"/>
                <w:sz w:val="28"/>
                <w:szCs w:val="28"/>
              </w:rPr>
              <w:t>.</w:t>
            </w:r>
            <w:r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Pidrozd_3_3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75</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D1740C">
            <w:pPr>
              <w:pStyle w:val="a4"/>
              <w:numPr>
                <w:ilvl w:val="1"/>
                <w:numId w:val="19"/>
              </w:numPr>
              <w:tabs>
                <w:tab w:val="left" w:pos="743"/>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Аналіз динаміки змін показників обміну оксиду азоту …</w:t>
            </w:r>
            <w:r w:rsidR="00A7727E">
              <w:rPr>
                <w:rFonts w:ascii="Times New Roman" w:hAnsi="Times New Roman" w:cs="Times New Roman"/>
                <w:sz w:val="28"/>
                <w:szCs w:val="28"/>
              </w:rPr>
              <w:t>…</w:t>
            </w:r>
            <w:r w:rsidR="00934E4F" w:rsidRPr="00156441">
              <w:rPr>
                <w:rFonts w:ascii="Times New Roman" w:hAnsi="Times New Roman" w:cs="Times New Roman"/>
                <w:sz w:val="28"/>
                <w:szCs w:val="28"/>
              </w:rPr>
              <w:t>…</w:t>
            </w:r>
            <w:r w:rsidR="00333B2D">
              <w:rPr>
                <w:rFonts w:ascii="Times New Roman" w:hAnsi="Times New Roman" w:cs="Times New Roman"/>
                <w:sz w:val="28"/>
                <w:szCs w:val="28"/>
              </w:rPr>
              <w:t>….</w:t>
            </w:r>
            <w:r w:rsidR="00934E4F"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Pidrozd_3_4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80</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0075AE" w:rsidP="00D1740C">
            <w:pPr>
              <w:pStyle w:val="a4"/>
              <w:numPr>
                <w:ilvl w:val="1"/>
                <w:numId w:val="19"/>
              </w:numPr>
              <w:tabs>
                <w:tab w:val="left" w:pos="743"/>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Зміни</w:t>
            </w:r>
            <w:r w:rsidR="00D97DA7" w:rsidRPr="00156441">
              <w:rPr>
                <w:rFonts w:ascii="Times New Roman" w:hAnsi="Times New Roman" w:cs="Times New Roman"/>
                <w:sz w:val="28"/>
                <w:szCs w:val="28"/>
              </w:rPr>
              <w:t xml:space="preserve"> вмісту біогенних елементів та активності о</w:t>
            </w:r>
            <w:r w:rsidR="00CA03FD" w:rsidRPr="00156441">
              <w:rPr>
                <w:rFonts w:ascii="Times New Roman" w:hAnsi="Times New Roman" w:cs="Times New Roman"/>
                <w:sz w:val="28"/>
                <w:szCs w:val="28"/>
              </w:rPr>
              <w:t>рганоспецифічних ферментів …</w:t>
            </w:r>
            <w:r w:rsidR="00CA03FD" w:rsidRPr="00156441">
              <w:rPr>
                <w:rFonts w:ascii="Times New Roman" w:hAnsi="Times New Roman" w:cs="Times New Roman"/>
                <w:sz w:val="28"/>
                <w:szCs w:val="28"/>
                <w:lang w:val="ru-RU"/>
              </w:rPr>
              <w:t>……...</w:t>
            </w:r>
            <w:r w:rsidR="00A7727E">
              <w:rPr>
                <w:rFonts w:ascii="Times New Roman" w:hAnsi="Times New Roman" w:cs="Times New Roman"/>
                <w:sz w:val="28"/>
                <w:szCs w:val="28"/>
              </w:rPr>
              <w:t>………</w:t>
            </w:r>
            <w:r w:rsidR="00D97DA7" w:rsidRPr="00156441">
              <w:rPr>
                <w:rFonts w:ascii="Times New Roman" w:hAnsi="Times New Roman" w:cs="Times New Roman"/>
                <w:sz w:val="28"/>
                <w:szCs w:val="28"/>
              </w:rPr>
              <w:t>…………………………………………</w:t>
            </w:r>
            <w:r w:rsidR="00333B2D">
              <w:rPr>
                <w:rFonts w:ascii="Times New Roman" w:hAnsi="Times New Roman" w:cs="Times New Roman"/>
                <w:sz w:val="28"/>
                <w:szCs w:val="28"/>
              </w:rPr>
              <w:t>……...</w:t>
            </w:r>
            <w:r w:rsidR="00D97DA7" w:rsidRPr="00156441">
              <w:rPr>
                <w:rFonts w:ascii="Times New Roman" w:hAnsi="Times New Roman" w:cs="Times New Roman"/>
                <w:sz w:val="28"/>
                <w:szCs w:val="28"/>
              </w:rPr>
              <w:t>…</w:t>
            </w:r>
          </w:p>
        </w:tc>
        <w:tc>
          <w:tcPr>
            <w:tcW w:w="707" w:type="dxa"/>
          </w:tcPr>
          <w:p w:rsidR="00934E4F" w:rsidRPr="00156441" w:rsidRDefault="00934E4F" w:rsidP="009720A3">
            <w:pPr>
              <w:tabs>
                <w:tab w:val="left" w:pos="1134"/>
              </w:tabs>
              <w:spacing w:line="360" w:lineRule="auto"/>
              <w:contextualSpacing/>
              <w:jc w:val="both"/>
              <w:rPr>
                <w:rFonts w:ascii="Times New Roman" w:hAnsi="Times New Roman" w:cs="Times New Roman"/>
                <w:sz w:val="28"/>
                <w:szCs w:val="28"/>
              </w:rPr>
            </w:pPr>
          </w:p>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Pidrozd_3_5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87</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22"/>
              </w:numPr>
              <w:tabs>
                <w:tab w:val="left" w:pos="743"/>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Оцінка структури і функціонального стану серця на підставі даних ЕхоКГ хворих хронічним обструктивним захворюванням легень в поєднанні з гіпертонічною хворобою</w:t>
            </w:r>
            <w:r w:rsidR="00553F65" w:rsidRPr="00156441">
              <w:rPr>
                <w:rFonts w:ascii="Times New Roman" w:hAnsi="Times New Roman" w:cs="Times New Roman"/>
                <w:sz w:val="28"/>
                <w:szCs w:val="28"/>
              </w:rPr>
              <w:t xml:space="preserve"> </w:t>
            </w:r>
            <w:r w:rsidR="00A7727E">
              <w:rPr>
                <w:rFonts w:ascii="Times New Roman" w:hAnsi="Times New Roman" w:cs="Times New Roman"/>
                <w:sz w:val="28"/>
                <w:szCs w:val="28"/>
              </w:rPr>
              <w:t>………………………</w:t>
            </w:r>
            <w:r w:rsidR="009D1EAE" w:rsidRPr="00156441">
              <w:rPr>
                <w:rFonts w:ascii="Times New Roman" w:hAnsi="Times New Roman" w:cs="Times New Roman"/>
                <w:sz w:val="28"/>
                <w:szCs w:val="28"/>
              </w:rPr>
              <w:t>.</w:t>
            </w:r>
            <w:r w:rsidRPr="00156441">
              <w:rPr>
                <w:rFonts w:ascii="Times New Roman" w:hAnsi="Times New Roman" w:cs="Times New Roman"/>
                <w:sz w:val="28"/>
                <w:szCs w:val="28"/>
              </w:rPr>
              <w:t>……</w:t>
            </w:r>
            <w:r w:rsidR="00333B2D">
              <w:rPr>
                <w:rFonts w:ascii="Times New Roman" w:hAnsi="Times New Roman" w:cs="Times New Roman"/>
                <w:sz w:val="28"/>
                <w:szCs w:val="28"/>
              </w:rPr>
              <w:t>………</w:t>
            </w:r>
            <w:r w:rsidRPr="00156441">
              <w:rPr>
                <w:rFonts w:ascii="Times New Roman" w:hAnsi="Times New Roman" w:cs="Times New Roman"/>
                <w:sz w:val="28"/>
                <w:szCs w:val="28"/>
              </w:rPr>
              <w:t>…</w:t>
            </w:r>
          </w:p>
        </w:tc>
        <w:tc>
          <w:tcPr>
            <w:tcW w:w="707" w:type="dxa"/>
          </w:tcPr>
          <w:p w:rsidR="00934E4F" w:rsidRPr="00156441" w:rsidRDefault="00934E4F" w:rsidP="009720A3">
            <w:pPr>
              <w:tabs>
                <w:tab w:val="left" w:pos="1134"/>
              </w:tabs>
              <w:spacing w:line="360" w:lineRule="auto"/>
              <w:contextualSpacing/>
              <w:jc w:val="both"/>
              <w:rPr>
                <w:rFonts w:ascii="Times New Roman" w:hAnsi="Times New Roman" w:cs="Times New Roman"/>
                <w:sz w:val="28"/>
                <w:szCs w:val="28"/>
              </w:rPr>
            </w:pPr>
          </w:p>
          <w:p w:rsidR="00934E4F" w:rsidRPr="00156441" w:rsidRDefault="00934E4F" w:rsidP="009720A3">
            <w:pPr>
              <w:tabs>
                <w:tab w:val="left" w:pos="1134"/>
              </w:tabs>
              <w:spacing w:line="360" w:lineRule="auto"/>
              <w:contextualSpacing/>
              <w:jc w:val="both"/>
              <w:rPr>
                <w:rFonts w:ascii="Times New Roman" w:hAnsi="Times New Roman" w:cs="Times New Roman"/>
                <w:sz w:val="28"/>
                <w:szCs w:val="28"/>
              </w:rPr>
            </w:pPr>
          </w:p>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Pidrozd_3_6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97</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2"/>
                <w:numId w:val="22"/>
              </w:numPr>
              <w:tabs>
                <w:tab w:val="left" w:pos="1134"/>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Товщина та розміри камер серця…………………</w:t>
            </w:r>
            <w:r w:rsidR="00A7727E">
              <w:rPr>
                <w:rFonts w:ascii="Times New Roman" w:hAnsi="Times New Roman" w:cs="Times New Roman"/>
                <w:sz w:val="28"/>
                <w:szCs w:val="28"/>
                <w:lang w:val="ru-RU"/>
              </w:rPr>
              <w:t>.</w:t>
            </w:r>
            <w:r w:rsidR="009D1EAE" w:rsidRPr="00156441">
              <w:rPr>
                <w:rFonts w:ascii="Times New Roman" w:hAnsi="Times New Roman" w:cs="Times New Roman"/>
                <w:sz w:val="28"/>
                <w:szCs w:val="28"/>
                <w:lang w:val="ru-RU"/>
              </w:rPr>
              <w:t>.</w:t>
            </w:r>
            <w:r w:rsidRPr="00156441">
              <w:rPr>
                <w:rFonts w:ascii="Times New Roman" w:hAnsi="Times New Roman" w:cs="Times New Roman"/>
                <w:sz w:val="28"/>
                <w:szCs w:val="28"/>
              </w:rPr>
              <w:t>………</w:t>
            </w:r>
            <w:r w:rsidR="00333B2D">
              <w:rPr>
                <w:rFonts w:ascii="Times New Roman" w:hAnsi="Times New Roman" w:cs="Times New Roman"/>
                <w:sz w:val="28"/>
                <w:szCs w:val="28"/>
              </w:rPr>
              <w:t>…..</w:t>
            </w:r>
            <w:r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Pirdozd_3_6_1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97</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553F65" w:rsidP="009720A3">
            <w:pPr>
              <w:pStyle w:val="a4"/>
              <w:numPr>
                <w:ilvl w:val="2"/>
                <w:numId w:val="22"/>
              </w:numPr>
              <w:tabs>
                <w:tab w:val="left" w:pos="1134"/>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t>Си</w:t>
            </w:r>
            <w:r w:rsidR="00D97DA7" w:rsidRPr="00156441">
              <w:rPr>
                <w:rFonts w:ascii="Times New Roman" w:hAnsi="Times New Roman" w:cs="Times New Roman"/>
                <w:sz w:val="28"/>
                <w:szCs w:val="28"/>
              </w:rPr>
              <w:t>столічна та діастолічна функції серця…………</w:t>
            </w:r>
            <w:r w:rsidR="009D1EAE" w:rsidRPr="00156441">
              <w:rPr>
                <w:rFonts w:ascii="Times New Roman" w:hAnsi="Times New Roman" w:cs="Times New Roman"/>
                <w:sz w:val="28"/>
                <w:szCs w:val="28"/>
                <w:lang w:val="ru-RU"/>
              </w:rPr>
              <w:t>………</w:t>
            </w:r>
            <w:r w:rsidR="00333B2D">
              <w:rPr>
                <w:rFonts w:ascii="Times New Roman" w:hAnsi="Times New Roman" w:cs="Times New Roman"/>
                <w:sz w:val="28"/>
                <w:szCs w:val="28"/>
                <w:lang w:val="ru-RU"/>
              </w:rPr>
              <w:t>..</w:t>
            </w:r>
            <w:r w:rsidR="009D1EAE" w:rsidRPr="00156441">
              <w:rPr>
                <w:rFonts w:ascii="Times New Roman" w:hAnsi="Times New Roman" w:cs="Times New Roman"/>
                <w:sz w:val="28"/>
                <w:szCs w:val="28"/>
                <w:lang w:val="ru-RU"/>
              </w:rPr>
              <w:t>.</w:t>
            </w:r>
            <w:r w:rsidR="00D97DA7" w:rsidRPr="00156441">
              <w:rPr>
                <w:rFonts w:ascii="Times New Roman" w:hAnsi="Times New Roman" w:cs="Times New Roman"/>
                <w:sz w:val="28"/>
                <w:szCs w:val="28"/>
              </w:rPr>
              <w:t>…….</w:t>
            </w:r>
          </w:p>
        </w:tc>
        <w:tc>
          <w:tcPr>
            <w:tcW w:w="707" w:type="dxa"/>
          </w:tcPr>
          <w:p w:rsidR="00D97DA7" w:rsidRPr="00156441" w:rsidRDefault="00821A4D"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Pidrozd_3_6_2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101</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pStyle w:val="a4"/>
              <w:numPr>
                <w:ilvl w:val="1"/>
                <w:numId w:val="22"/>
              </w:numPr>
              <w:tabs>
                <w:tab w:val="left" w:pos="1134"/>
              </w:tabs>
              <w:spacing w:line="360" w:lineRule="auto"/>
              <w:ind w:left="0" w:firstLine="0"/>
              <w:jc w:val="both"/>
              <w:rPr>
                <w:rFonts w:ascii="Times New Roman" w:hAnsi="Times New Roman" w:cs="Times New Roman"/>
                <w:sz w:val="28"/>
                <w:szCs w:val="28"/>
              </w:rPr>
            </w:pPr>
            <w:r w:rsidRPr="00156441">
              <w:rPr>
                <w:rFonts w:ascii="Times New Roman" w:hAnsi="Times New Roman" w:cs="Times New Roman"/>
                <w:sz w:val="28"/>
                <w:szCs w:val="28"/>
              </w:rPr>
              <w:lastRenderedPageBreak/>
              <w:t>Математико-статистичний аналіз прогнозування ступеня тяжкості стану хворих з хронічними обструктивними захворюваннями легень в поєднанні з гіпертонічною хворобою</w:t>
            </w:r>
            <w:r w:rsidR="00934E4F" w:rsidRPr="00156441">
              <w:rPr>
                <w:rFonts w:ascii="Times New Roman" w:hAnsi="Times New Roman" w:cs="Times New Roman"/>
                <w:sz w:val="28"/>
                <w:szCs w:val="28"/>
              </w:rPr>
              <w:t xml:space="preserve"> </w:t>
            </w:r>
            <w:r w:rsidR="00A7727E">
              <w:rPr>
                <w:rFonts w:ascii="Times New Roman" w:hAnsi="Times New Roman" w:cs="Times New Roman"/>
                <w:sz w:val="28"/>
                <w:szCs w:val="28"/>
              </w:rPr>
              <w:t>…………………………</w:t>
            </w:r>
            <w:r w:rsidRPr="00156441">
              <w:rPr>
                <w:rFonts w:ascii="Times New Roman" w:hAnsi="Times New Roman" w:cs="Times New Roman"/>
                <w:sz w:val="28"/>
                <w:szCs w:val="28"/>
              </w:rPr>
              <w:t>…..</w:t>
            </w:r>
          </w:p>
        </w:tc>
        <w:tc>
          <w:tcPr>
            <w:tcW w:w="707" w:type="dxa"/>
          </w:tcPr>
          <w:p w:rsidR="00821A4D" w:rsidRPr="00156441" w:rsidRDefault="00821A4D" w:rsidP="009720A3">
            <w:pPr>
              <w:tabs>
                <w:tab w:val="left" w:pos="1134"/>
              </w:tabs>
              <w:spacing w:line="360" w:lineRule="auto"/>
              <w:contextualSpacing/>
              <w:jc w:val="both"/>
              <w:rPr>
                <w:rFonts w:ascii="Times New Roman" w:hAnsi="Times New Roman" w:cs="Times New Roman"/>
                <w:sz w:val="28"/>
                <w:szCs w:val="28"/>
              </w:rPr>
            </w:pPr>
          </w:p>
          <w:p w:rsidR="00821A4D" w:rsidRPr="00156441" w:rsidRDefault="00821A4D" w:rsidP="009720A3">
            <w:pPr>
              <w:tabs>
                <w:tab w:val="left" w:pos="1134"/>
              </w:tabs>
              <w:spacing w:line="360" w:lineRule="auto"/>
              <w:contextualSpacing/>
              <w:jc w:val="both"/>
              <w:rPr>
                <w:rFonts w:ascii="Times New Roman" w:hAnsi="Times New Roman" w:cs="Times New Roman"/>
                <w:sz w:val="28"/>
                <w:szCs w:val="28"/>
              </w:rPr>
            </w:pPr>
          </w:p>
          <w:p w:rsidR="00D97DA7" w:rsidRPr="00156441" w:rsidRDefault="00821A4D"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Pidrozd_3_7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109</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АНАЛІЗ ТА УЗАГАЛЬНЕННЯ РЕЗУЛЬТАТІВ ДОСЛІДЖЕННЯ</w:t>
            </w:r>
            <w:r w:rsidR="009D1EAE" w:rsidRPr="00156441">
              <w:rPr>
                <w:rFonts w:ascii="Times New Roman" w:hAnsi="Times New Roman" w:cs="Times New Roman"/>
                <w:sz w:val="28"/>
                <w:szCs w:val="28"/>
                <w:lang w:val="ru-RU"/>
              </w:rPr>
              <w:t>…</w:t>
            </w:r>
            <w:r w:rsidR="00333B2D">
              <w:rPr>
                <w:rFonts w:ascii="Times New Roman" w:hAnsi="Times New Roman" w:cs="Times New Roman"/>
                <w:sz w:val="28"/>
                <w:szCs w:val="28"/>
                <w:lang w:val="ru-RU"/>
              </w:rPr>
              <w:t>.</w:t>
            </w:r>
            <w:r w:rsidR="009D1EAE" w:rsidRPr="00156441">
              <w:rPr>
                <w:rFonts w:ascii="Times New Roman" w:hAnsi="Times New Roman" w:cs="Times New Roman"/>
                <w:sz w:val="28"/>
                <w:szCs w:val="28"/>
                <w:lang w:val="ru-RU"/>
              </w:rPr>
              <w:t>…</w:t>
            </w:r>
            <w:r w:rsidRPr="00156441">
              <w:rPr>
                <w:rFonts w:ascii="Times New Roman" w:hAnsi="Times New Roman" w:cs="Times New Roman"/>
                <w:sz w:val="28"/>
                <w:szCs w:val="28"/>
              </w:rPr>
              <w:t>…</w:t>
            </w:r>
          </w:p>
        </w:tc>
        <w:tc>
          <w:tcPr>
            <w:tcW w:w="707" w:type="dxa"/>
          </w:tcPr>
          <w:p w:rsidR="00D97DA7" w:rsidRPr="00156441" w:rsidRDefault="003B436B" w:rsidP="009720A3">
            <w:pPr>
              <w:tabs>
                <w:tab w:val="left" w:pos="1134"/>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Analiz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1C0081">
              <w:rPr>
                <w:rFonts w:ascii="Times New Roman" w:hAnsi="Times New Roman" w:cs="Times New Roman"/>
                <w:noProof/>
                <w:sz w:val="28"/>
                <w:szCs w:val="28"/>
              </w:rPr>
              <w:t>120</w:t>
            </w:r>
            <w:r>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ВИСНОВКИ</w:t>
            </w:r>
            <w:r w:rsidR="00934E4F"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r w:rsidR="009D1EAE" w:rsidRPr="00156441">
              <w:rPr>
                <w:rFonts w:ascii="Times New Roman" w:hAnsi="Times New Roman" w:cs="Times New Roman"/>
                <w:sz w:val="28"/>
                <w:szCs w:val="28"/>
                <w:lang w:val="ru-RU"/>
              </w:rPr>
              <w:t>...</w:t>
            </w:r>
            <w:r w:rsidRPr="00156441">
              <w:rPr>
                <w:rFonts w:ascii="Times New Roman" w:hAnsi="Times New Roman" w:cs="Times New Roman"/>
                <w:sz w:val="28"/>
                <w:szCs w:val="28"/>
              </w:rPr>
              <w:t>……..</w:t>
            </w:r>
          </w:p>
        </w:tc>
        <w:tc>
          <w:tcPr>
            <w:tcW w:w="707" w:type="dxa"/>
          </w:tcPr>
          <w:p w:rsidR="00D97DA7" w:rsidRPr="00156441" w:rsidRDefault="003B436B" w:rsidP="009720A3">
            <w:pPr>
              <w:tabs>
                <w:tab w:val="left" w:pos="1134"/>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Vysn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1C0081">
              <w:rPr>
                <w:rFonts w:ascii="Times New Roman" w:hAnsi="Times New Roman" w:cs="Times New Roman"/>
                <w:noProof/>
                <w:sz w:val="28"/>
                <w:szCs w:val="28"/>
              </w:rPr>
              <w:t>137</w:t>
            </w:r>
            <w:r>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ПРАКТИЧНІ РЕКОМ</w:t>
            </w:r>
            <w:r w:rsidR="003F2037" w:rsidRPr="00156441">
              <w:rPr>
                <w:rFonts w:ascii="Times New Roman" w:hAnsi="Times New Roman" w:cs="Times New Roman"/>
                <w:sz w:val="28"/>
                <w:szCs w:val="28"/>
              </w:rPr>
              <w:t>ЕН</w:t>
            </w:r>
            <w:r w:rsidRPr="00156441">
              <w:rPr>
                <w:rFonts w:ascii="Times New Roman" w:hAnsi="Times New Roman" w:cs="Times New Roman"/>
                <w:sz w:val="28"/>
                <w:szCs w:val="28"/>
              </w:rPr>
              <w:t>ДАЦІЇ</w:t>
            </w:r>
            <w:r w:rsidR="00934E4F"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p>
        </w:tc>
        <w:tc>
          <w:tcPr>
            <w:tcW w:w="707" w:type="dxa"/>
          </w:tcPr>
          <w:p w:rsidR="00D97DA7" w:rsidRPr="00156441" w:rsidRDefault="003B436B" w:rsidP="009720A3">
            <w:pPr>
              <w:tabs>
                <w:tab w:val="left" w:pos="1134"/>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Prakt_rekom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1C0081">
              <w:rPr>
                <w:rFonts w:ascii="Times New Roman" w:hAnsi="Times New Roman" w:cs="Times New Roman"/>
                <w:noProof/>
                <w:sz w:val="28"/>
                <w:szCs w:val="28"/>
              </w:rPr>
              <w:t>139</w:t>
            </w:r>
            <w:r>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СПИСОК ЛІТЕРАТУРИ</w:t>
            </w:r>
            <w:r w:rsidR="00934E4F"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p>
        </w:tc>
        <w:tc>
          <w:tcPr>
            <w:tcW w:w="707" w:type="dxa"/>
          </w:tcPr>
          <w:p w:rsidR="00D97DA7" w:rsidRPr="00156441" w:rsidRDefault="00934E4F" w:rsidP="009720A3">
            <w:pPr>
              <w:tabs>
                <w:tab w:val="left" w:pos="1134"/>
              </w:tabs>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PAGEREF Spisok_Liter \h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noProof/>
                <w:sz w:val="28"/>
                <w:szCs w:val="28"/>
              </w:rPr>
              <w:t>140</w:t>
            </w:r>
            <w:r w:rsidRPr="00156441">
              <w:rPr>
                <w:rFonts w:ascii="Times New Roman" w:hAnsi="Times New Roman" w:cs="Times New Roman"/>
                <w:sz w:val="28"/>
                <w:szCs w:val="28"/>
              </w:rPr>
              <w:fldChar w:fldCharType="end"/>
            </w:r>
          </w:p>
        </w:tc>
      </w:tr>
      <w:tr w:rsidR="00156441" w:rsidRPr="00156441" w:rsidTr="00934E4F">
        <w:tc>
          <w:tcPr>
            <w:tcW w:w="9214"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p>
        </w:tc>
        <w:tc>
          <w:tcPr>
            <w:tcW w:w="707" w:type="dxa"/>
          </w:tcPr>
          <w:p w:rsidR="00D97DA7" w:rsidRPr="00156441" w:rsidRDefault="00D97DA7" w:rsidP="009720A3">
            <w:pPr>
              <w:tabs>
                <w:tab w:val="left" w:pos="1134"/>
              </w:tabs>
              <w:spacing w:line="360" w:lineRule="auto"/>
              <w:contextualSpacing/>
              <w:jc w:val="both"/>
              <w:rPr>
                <w:rFonts w:ascii="Times New Roman" w:hAnsi="Times New Roman" w:cs="Times New Roman"/>
                <w:sz w:val="28"/>
                <w:szCs w:val="28"/>
              </w:rPr>
            </w:pPr>
          </w:p>
        </w:tc>
      </w:tr>
    </w:tbl>
    <w:p w:rsidR="003B436B" w:rsidRDefault="003B436B" w:rsidP="009720A3">
      <w:pPr>
        <w:spacing w:after="0" w:line="360" w:lineRule="auto"/>
        <w:rPr>
          <w:rFonts w:ascii="Times New Roman" w:hAnsi="Times New Roman" w:cs="Times New Roman"/>
          <w:b/>
          <w:sz w:val="28"/>
          <w:szCs w:val="28"/>
        </w:rPr>
      </w:pPr>
      <w:bookmarkStart w:id="1" w:name="Per_skor"/>
    </w:p>
    <w:p w:rsidR="003B436B" w:rsidRDefault="003B436B" w:rsidP="009720A3">
      <w:pPr>
        <w:spacing w:after="0" w:line="360" w:lineRule="auto"/>
        <w:rPr>
          <w:rFonts w:ascii="Times New Roman" w:hAnsi="Times New Roman" w:cs="Times New Roman"/>
          <w:b/>
          <w:sz w:val="28"/>
          <w:szCs w:val="28"/>
        </w:rPr>
      </w:pPr>
      <w:r>
        <w:rPr>
          <w:rFonts w:ascii="Times New Roman" w:hAnsi="Times New Roman" w:cs="Times New Roman"/>
          <w:b/>
          <w:sz w:val="28"/>
          <w:szCs w:val="28"/>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8034"/>
      </w:tblGrid>
      <w:tr w:rsidR="003B436B" w:rsidRPr="003B436B" w:rsidTr="00933F2D">
        <w:tc>
          <w:tcPr>
            <w:tcW w:w="9911" w:type="dxa"/>
            <w:gridSpan w:val="2"/>
          </w:tcPr>
          <w:bookmarkEnd w:id="1"/>
          <w:p w:rsidR="003B436B" w:rsidRPr="003B436B" w:rsidRDefault="003B436B" w:rsidP="00BA46DA">
            <w:pPr>
              <w:spacing w:line="360" w:lineRule="auto"/>
              <w:jc w:val="center"/>
              <w:rPr>
                <w:rFonts w:ascii="Times New Roman" w:hAnsi="Times New Roman" w:cs="Times New Roman"/>
                <w:b/>
                <w:sz w:val="28"/>
                <w:szCs w:val="28"/>
              </w:rPr>
            </w:pPr>
            <w:r w:rsidRPr="003B436B">
              <w:rPr>
                <w:rFonts w:ascii="Times New Roman" w:hAnsi="Times New Roman" w:cs="Times New Roman"/>
                <w:b/>
                <w:sz w:val="28"/>
                <w:szCs w:val="28"/>
              </w:rPr>
              <w:lastRenderedPageBreak/>
              <w:t>ПЕРЕЛІК УМОВНИХ ПОЗНАЧЕНЬ ТА СКОРОЧЕНЬ</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АПФ</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3B436B">
              <w:rPr>
                <w:rFonts w:ascii="Times New Roman" w:hAnsi="Times New Roman" w:cs="Times New Roman"/>
                <w:sz w:val="28"/>
                <w:szCs w:val="28"/>
                <w:lang w:val="ru-RU"/>
              </w:rPr>
              <w:t xml:space="preserve"> ангіотензинперетворюючий фермент</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ВЕФР</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3B436B">
              <w:rPr>
                <w:rFonts w:ascii="Times New Roman" w:hAnsi="Times New Roman" w:cs="Times New Roman"/>
                <w:sz w:val="28"/>
                <w:szCs w:val="28"/>
                <w:lang w:val="ru-RU"/>
              </w:rPr>
              <w:t xml:space="preserve"> васкулоендотеліальний фактор росту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ВІП</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3B436B">
              <w:rPr>
                <w:rFonts w:ascii="Times New Roman" w:hAnsi="Times New Roman" w:cs="Times New Roman"/>
                <w:sz w:val="28"/>
                <w:szCs w:val="28"/>
                <w:lang w:val="ru-RU"/>
              </w:rPr>
              <w:t xml:space="preserve"> вазоактивний інтестинальний пептид</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ВТСЛШ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відносна товщина стінки лівого шлуночка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ГХ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3B436B">
              <w:rPr>
                <w:rFonts w:ascii="Times New Roman" w:hAnsi="Times New Roman" w:cs="Times New Roman"/>
                <w:sz w:val="28"/>
                <w:szCs w:val="28"/>
                <w:lang w:val="ru-RU"/>
              </w:rPr>
              <w:t xml:space="preserve"> гіпертонічна хвороба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ДД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3B436B">
              <w:rPr>
                <w:rFonts w:ascii="Times New Roman" w:hAnsi="Times New Roman" w:cs="Times New Roman"/>
                <w:sz w:val="28"/>
                <w:szCs w:val="28"/>
                <w:lang w:val="ru-RU"/>
              </w:rPr>
              <w:t xml:space="preserve"> діастолічна дисфункція</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ЕД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3B436B">
              <w:rPr>
                <w:rFonts w:ascii="Times New Roman" w:hAnsi="Times New Roman" w:cs="Times New Roman"/>
                <w:sz w:val="28"/>
                <w:szCs w:val="28"/>
                <w:lang w:val="ru-RU"/>
              </w:rPr>
              <w:t xml:space="preserve"> ендотеліальна дисфункція</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ЖЄЛ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життєва ємність легень</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ІММЛШ</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індекс маси міокарда лівого шлуночка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КДП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кінцева діастолічна площа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lang w:val="ru-RU"/>
              </w:rPr>
              <w:t xml:space="preserve">КДР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кінцевий діастолічний розмір лівого шлуночка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КСП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кінцева систолічна площа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ММЛШ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маса міокарда лівого шлуночка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МОС</w:t>
            </w:r>
            <w:r w:rsidRPr="003B436B">
              <w:rPr>
                <w:rFonts w:ascii="Times New Roman" w:hAnsi="Times New Roman" w:cs="Times New Roman"/>
                <w:sz w:val="28"/>
                <w:szCs w:val="28"/>
                <w:vertAlign w:val="subscript"/>
              </w:rPr>
              <w:t>25</w:t>
            </w:r>
            <w:r w:rsidRPr="003B436B">
              <w:rPr>
                <w:rFonts w:ascii="Times New Roman" w:hAnsi="Times New Roman" w:cs="Times New Roman"/>
                <w:sz w:val="28"/>
                <w:szCs w:val="28"/>
              </w:rPr>
              <w:t>, МОС</w:t>
            </w:r>
            <w:r w:rsidRPr="003B436B">
              <w:rPr>
                <w:rFonts w:ascii="Times New Roman" w:hAnsi="Times New Roman" w:cs="Times New Roman"/>
                <w:sz w:val="28"/>
                <w:szCs w:val="28"/>
                <w:vertAlign w:val="subscript"/>
              </w:rPr>
              <w:t>50</w:t>
            </w:r>
            <w:r w:rsidRPr="003B436B">
              <w:rPr>
                <w:rFonts w:ascii="Times New Roman" w:hAnsi="Times New Roman" w:cs="Times New Roman"/>
                <w:sz w:val="28"/>
                <w:szCs w:val="28"/>
              </w:rPr>
              <w:t>, МОС</w:t>
            </w:r>
            <w:r w:rsidRPr="003B436B">
              <w:rPr>
                <w:rFonts w:ascii="Times New Roman" w:hAnsi="Times New Roman" w:cs="Times New Roman"/>
                <w:sz w:val="28"/>
                <w:szCs w:val="28"/>
                <w:vertAlign w:val="subscript"/>
              </w:rPr>
              <w:t>75</w:t>
            </w:r>
            <w:r w:rsidRPr="003B436B">
              <w:rPr>
                <w:rFonts w:ascii="Times New Roman" w:hAnsi="Times New Roman" w:cs="Times New Roman"/>
                <w:sz w:val="28"/>
                <w:szCs w:val="28"/>
              </w:rPr>
              <w:t xml:space="preserve">, </w:t>
            </w:r>
          </w:p>
        </w:tc>
        <w:tc>
          <w:tcPr>
            <w:tcW w:w="8034" w:type="dxa"/>
            <w:vAlign w:val="center"/>
          </w:tcPr>
          <w:p w:rsidR="003B436B" w:rsidRPr="003B436B" w:rsidRDefault="00933F2D"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 швидкість повітряного потоку на рівні мілких, середніх та великих бронхів</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 xml:space="preserve">ОФВ1 </w:t>
            </w:r>
          </w:p>
        </w:tc>
        <w:tc>
          <w:tcPr>
            <w:tcW w:w="8034" w:type="dxa"/>
          </w:tcPr>
          <w:p w:rsidR="003B436B" w:rsidRPr="003B436B" w:rsidRDefault="00933F2D" w:rsidP="003B436B">
            <w:pPr>
              <w:spacing w:line="360" w:lineRule="auto"/>
              <w:rPr>
                <w:rFonts w:ascii="Times New Roman" w:hAnsi="Times New Roman" w:cs="Times New Roman"/>
                <w:sz w:val="28"/>
                <w:szCs w:val="28"/>
              </w:rPr>
            </w:pPr>
            <w:r w:rsidRPr="003B436B">
              <w:rPr>
                <w:rFonts w:ascii="Times New Roman" w:hAnsi="Times New Roman" w:cs="Times New Roman"/>
                <w:sz w:val="28"/>
                <w:szCs w:val="28"/>
              </w:rPr>
              <w:t>— обсяг форсованого видиху за першу секунду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rPr>
              <w:t xml:space="preserve">ОФВ1/ФЖЕЛ </w:t>
            </w:r>
          </w:p>
        </w:tc>
        <w:tc>
          <w:tcPr>
            <w:tcW w:w="8034" w:type="dxa"/>
          </w:tcPr>
          <w:p w:rsidR="003B436B" w:rsidRPr="003B436B" w:rsidRDefault="00933F2D" w:rsidP="003B436B">
            <w:pPr>
              <w:spacing w:line="360" w:lineRule="auto"/>
              <w:rPr>
                <w:rFonts w:ascii="Times New Roman" w:hAnsi="Times New Roman" w:cs="Times New Roman"/>
                <w:sz w:val="28"/>
                <w:szCs w:val="28"/>
              </w:rPr>
            </w:pPr>
            <w:r w:rsidRPr="003B436B">
              <w:rPr>
                <w:rFonts w:ascii="Times New Roman" w:hAnsi="Times New Roman" w:cs="Times New Roman"/>
                <w:sz w:val="28"/>
                <w:szCs w:val="28"/>
              </w:rPr>
              <w:t>— модифікований тест Тифно</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Пік Е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рання фаза заповнення шлуночку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Пік А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передсердний компонент діастолічного заповнення шлуночку серця</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РАС</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Pr="003B436B">
              <w:rPr>
                <w:rFonts w:ascii="Times New Roman" w:hAnsi="Times New Roman" w:cs="Times New Roman"/>
                <w:sz w:val="28"/>
                <w:szCs w:val="28"/>
                <w:lang w:val="ru-RU"/>
              </w:rPr>
              <w:t xml:space="preserve"> ренін-ангіотензинова система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ТЗСЛШ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товщина задньої стінки лівого шлуночка в діастолу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ТМШП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товщина міжшлуночкової перегородки в діастолу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xml:space="preserve">ФВ </w:t>
            </w:r>
          </w:p>
        </w:tc>
        <w:tc>
          <w:tcPr>
            <w:tcW w:w="8034" w:type="dxa"/>
          </w:tcPr>
          <w:p w:rsidR="003B436B" w:rsidRPr="003B436B" w:rsidRDefault="00933F2D" w:rsidP="003B436B">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lang w:val="ru-RU"/>
              </w:rPr>
              <w:t>— фракція викиду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lang w:val="ru-RU"/>
              </w:rPr>
            </w:pPr>
            <w:r w:rsidRPr="003B436B">
              <w:rPr>
                <w:rFonts w:ascii="Times New Roman" w:hAnsi="Times New Roman" w:cs="Times New Roman"/>
                <w:sz w:val="28"/>
                <w:szCs w:val="28"/>
              </w:rPr>
              <w:t xml:space="preserve">ФЖЄЛ </w:t>
            </w:r>
          </w:p>
        </w:tc>
        <w:tc>
          <w:tcPr>
            <w:tcW w:w="8034" w:type="dxa"/>
          </w:tcPr>
          <w:p w:rsidR="003B436B" w:rsidRPr="003B436B" w:rsidRDefault="00933F2D" w:rsidP="003B436B">
            <w:pPr>
              <w:spacing w:line="360" w:lineRule="auto"/>
              <w:rPr>
                <w:rFonts w:ascii="Times New Roman" w:hAnsi="Times New Roman" w:cs="Times New Roman"/>
                <w:sz w:val="28"/>
                <w:szCs w:val="28"/>
              </w:rPr>
            </w:pPr>
            <w:r w:rsidRPr="003B436B">
              <w:rPr>
                <w:rFonts w:ascii="Times New Roman" w:hAnsi="Times New Roman" w:cs="Times New Roman"/>
                <w:sz w:val="28"/>
                <w:szCs w:val="28"/>
              </w:rPr>
              <w:t>— форсована життєва ємність</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 xml:space="preserve">ФЗПС </w:t>
            </w:r>
          </w:p>
        </w:tc>
        <w:tc>
          <w:tcPr>
            <w:tcW w:w="8034" w:type="dxa"/>
          </w:tcPr>
          <w:p w:rsidR="003B436B" w:rsidRPr="003B436B" w:rsidRDefault="00933F2D" w:rsidP="003B436B">
            <w:pPr>
              <w:spacing w:line="360" w:lineRule="auto"/>
              <w:rPr>
                <w:rFonts w:ascii="Times New Roman" w:hAnsi="Times New Roman" w:cs="Times New Roman"/>
                <w:sz w:val="28"/>
                <w:szCs w:val="28"/>
              </w:rPr>
            </w:pPr>
            <w:r w:rsidRPr="003B436B">
              <w:rPr>
                <w:rFonts w:ascii="Times New Roman" w:hAnsi="Times New Roman" w:cs="Times New Roman"/>
                <w:sz w:val="28"/>
                <w:szCs w:val="28"/>
              </w:rPr>
              <w:t>— фракція зміни площі перерізу правого шлуночка</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 xml:space="preserve">ХОЗЛ </w:t>
            </w:r>
          </w:p>
        </w:tc>
        <w:tc>
          <w:tcPr>
            <w:tcW w:w="8034" w:type="dxa"/>
          </w:tcPr>
          <w:p w:rsidR="003B436B" w:rsidRPr="003B436B" w:rsidRDefault="00933F2D" w:rsidP="003B436B">
            <w:pPr>
              <w:spacing w:line="360" w:lineRule="auto"/>
              <w:rPr>
                <w:rFonts w:ascii="Times New Roman" w:hAnsi="Times New Roman" w:cs="Times New Roman"/>
                <w:sz w:val="28"/>
                <w:szCs w:val="28"/>
              </w:rPr>
            </w:pPr>
            <w:r>
              <w:rPr>
                <w:rFonts w:ascii="Times New Roman" w:hAnsi="Times New Roman" w:cs="Times New Roman"/>
                <w:sz w:val="28"/>
                <w:szCs w:val="28"/>
              </w:rPr>
              <w:t>—</w:t>
            </w:r>
            <w:r w:rsidRPr="003B436B">
              <w:rPr>
                <w:rFonts w:ascii="Times New Roman" w:hAnsi="Times New Roman" w:cs="Times New Roman"/>
                <w:sz w:val="28"/>
                <w:szCs w:val="28"/>
              </w:rPr>
              <w:t xml:space="preserve"> хронічне обструктивне захворювання легень</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lastRenderedPageBreak/>
              <w:t xml:space="preserve">eNOS </w:t>
            </w:r>
          </w:p>
        </w:tc>
        <w:tc>
          <w:tcPr>
            <w:tcW w:w="8034" w:type="dxa"/>
          </w:tcPr>
          <w:p w:rsidR="003B436B" w:rsidRPr="003B436B" w:rsidRDefault="00933F2D" w:rsidP="003B436B">
            <w:pPr>
              <w:spacing w:line="360" w:lineRule="auto"/>
              <w:rPr>
                <w:rFonts w:ascii="Times New Roman" w:hAnsi="Times New Roman" w:cs="Times New Roman"/>
                <w:sz w:val="28"/>
                <w:szCs w:val="28"/>
              </w:rPr>
            </w:pPr>
            <w:r>
              <w:rPr>
                <w:rFonts w:ascii="Times New Roman" w:hAnsi="Times New Roman" w:cs="Times New Roman"/>
                <w:sz w:val="28"/>
                <w:szCs w:val="28"/>
              </w:rPr>
              <w:t>—</w:t>
            </w:r>
            <w:r w:rsidRPr="003B436B">
              <w:rPr>
                <w:rFonts w:ascii="Times New Roman" w:hAnsi="Times New Roman" w:cs="Times New Roman"/>
                <w:sz w:val="28"/>
                <w:szCs w:val="28"/>
              </w:rPr>
              <w:t xml:space="preserve"> ендотеліальна синтаза оксиду азоту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 xml:space="preserve">iNOS </w:t>
            </w:r>
          </w:p>
        </w:tc>
        <w:tc>
          <w:tcPr>
            <w:tcW w:w="8034" w:type="dxa"/>
          </w:tcPr>
          <w:p w:rsidR="003B436B" w:rsidRPr="003B436B" w:rsidRDefault="00933F2D" w:rsidP="003B436B">
            <w:pPr>
              <w:spacing w:line="360" w:lineRule="auto"/>
              <w:rPr>
                <w:rFonts w:ascii="Times New Roman" w:hAnsi="Times New Roman" w:cs="Times New Roman"/>
                <w:sz w:val="28"/>
                <w:szCs w:val="28"/>
              </w:rPr>
            </w:pPr>
            <w:r>
              <w:rPr>
                <w:rFonts w:ascii="Times New Roman" w:hAnsi="Times New Roman" w:cs="Times New Roman"/>
                <w:sz w:val="28"/>
                <w:szCs w:val="28"/>
              </w:rPr>
              <w:t>—</w:t>
            </w:r>
            <w:r w:rsidRPr="003B436B">
              <w:rPr>
                <w:rFonts w:ascii="Times New Roman" w:hAnsi="Times New Roman" w:cs="Times New Roman"/>
                <w:sz w:val="28"/>
                <w:szCs w:val="28"/>
              </w:rPr>
              <w:t xml:space="preserve"> індуцибельна синтаза оксиду азоту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 xml:space="preserve">NO </w:t>
            </w:r>
          </w:p>
        </w:tc>
        <w:tc>
          <w:tcPr>
            <w:tcW w:w="8034" w:type="dxa"/>
          </w:tcPr>
          <w:p w:rsidR="003B436B" w:rsidRPr="003B436B" w:rsidRDefault="00933F2D" w:rsidP="003B436B">
            <w:pPr>
              <w:spacing w:line="360" w:lineRule="auto"/>
              <w:rPr>
                <w:rFonts w:ascii="Times New Roman" w:hAnsi="Times New Roman" w:cs="Times New Roman"/>
                <w:sz w:val="28"/>
                <w:szCs w:val="28"/>
              </w:rPr>
            </w:pPr>
            <w:r>
              <w:rPr>
                <w:rFonts w:ascii="Times New Roman" w:hAnsi="Times New Roman" w:cs="Times New Roman"/>
                <w:sz w:val="28"/>
                <w:szCs w:val="28"/>
              </w:rPr>
              <w:t>—</w:t>
            </w:r>
            <w:r w:rsidRPr="003B436B">
              <w:rPr>
                <w:rFonts w:ascii="Times New Roman" w:hAnsi="Times New Roman" w:cs="Times New Roman"/>
                <w:sz w:val="28"/>
                <w:szCs w:val="28"/>
              </w:rPr>
              <w:t xml:space="preserve"> оксид азоту</w:t>
            </w:r>
          </w:p>
        </w:tc>
      </w:tr>
      <w:tr w:rsidR="003B436B" w:rsidRPr="003B436B" w:rsidTr="00933F2D">
        <w:tc>
          <w:tcPr>
            <w:tcW w:w="1877" w:type="dxa"/>
          </w:tcPr>
          <w:p w:rsidR="003B436B" w:rsidRPr="003B436B" w:rsidRDefault="003B436B" w:rsidP="00933F2D">
            <w:pPr>
              <w:spacing w:line="360" w:lineRule="auto"/>
              <w:rPr>
                <w:rFonts w:ascii="Times New Roman" w:hAnsi="Times New Roman" w:cs="Times New Roman"/>
                <w:sz w:val="28"/>
                <w:szCs w:val="28"/>
              </w:rPr>
            </w:pPr>
            <w:r w:rsidRPr="003B436B">
              <w:rPr>
                <w:rFonts w:ascii="Times New Roman" w:hAnsi="Times New Roman" w:cs="Times New Roman"/>
                <w:sz w:val="28"/>
                <w:szCs w:val="28"/>
              </w:rPr>
              <w:t xml:space="preserve">S-HT </w:t>
            </w:r>
          </w:p>
        </w:tc>
        <w:tc>
          <w:tcPr>
            <w:tcW w:w="8034" w:type="dxa"/>
          </w:tcPr>
          <w:p w:rsidR="003B436B" w:rsidRPr="003B436B" w:rsidRDefault="00933F2D" w:rsidP="003B436B">
            <w:pPr>
              <w:spacing w:line="360" w:lineRule="auto"/>
              <w:rPr>
                <w:rFonts w:ascii="Times New Roman" w:hAnsi="Times New Roman" w:cs="Times New Roman"/>
                <w:sz w:val="28"/>
                <w:szCs w:val="28"/>
              </w:rPr>
            </w:pPr>
            <w:r>
              <w:rPr>
                <w:rFonts w:ascii="Times New Roman" w:hAnsi="Times New Roman" w:cs="Times New Roman"/>
                <w:sz w:val="28"/>
                <w:szCs w:val="28"/>
              </w:rPr>
              <w:t>—</w:t>
            </w:r>
            <w:r w:rsidRPr="003B436B">
              <w:rPr>
                <w:rFonts w:ascii="Times New Roman" w:hAnsi="Times New Roman" w:cs="Times New Roman"/>
                <w:sz w:val="28"/>
                <w:szCs w:val="28"/>
              </w:rPr>
              <w:t xml:space="preserve"> S-нітрозотіол</w:t>
            </w:r>
          </w:p>
        </w:tc>
      </w:tr>
    </w:tbl>
    <w:p w:rsidR="003B436B" w:rsidRDefault="003B436B">
      <w:pPr>
        <w:rPr>
          <w:rFonts w:ascii="Times New Roman" w:hAnsi="Times New Roman" w:cs="Times New Roman"/>
          <w:b/>
          <w:sz w:val="28"/>
          <w:szCs w:val="28"/>
        </w:rPr>
      </w:pPr>
      <w:r>
        <w:rPr>
          <w:rFonts w:ascii="Times New Roman" w:hAnsi="Times New Roman" w:cs="Times New Roman"/>
          <w:b/>
          <w:sz w:val="28"/>
          <w:szCs w:val="28"/>
        </w:rPr>
        <w:br w:type="page"/>
      </w:r>
    </w:p>
    <w:p w:rsidR="00690289" w:rsidRPr="00156441" w:rsidRDefault="00690289" w:rsidP="00690289">
      <w:pPr>
        <w:tabs>
          <w:tab w:val="left" w:pos="1134"/>
        </w:tabs>
        <w:spacing w:after="0" w:line="360" w:lineRule="auto"/>
        <w:contextualSpacing/>
        <w:jc w:val="center"/>
        <w:rPr>
          <w:rFonts w:ascii="Times New Roman" w:hAnsi="Times New Roman" w:cs="Times New Roman"/>
          <w:b/>
          <w:sz w:val="28"/>
          <w:szCs w:val="28"/>
        </w:rPr>
      </w:pPr>
      <w:bookmarkStart w:id="2" w:name="Vstup"/>
      <w:r w:rsidRPr="00156441">
        <w:rPr>
          <w:rFonts w:ascii="Times New Roman" w:hAnsi="Times New Roman" w:cs="Times New Roman"/>
          <w:b/>
          <w:sz w:val="28"/>
          <w:szCs w:val="28"/>
        </w:rPr>
        <w:lastRenderedPageBreak/>
        <w:t>ВСТУП</w:t>
      </w:r>
    </w:p>
    <w:bookmarkEnd w:id="2"/>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b/>
          <w:sz w:val="28"/>
          <w:szCs w:val="28"/>
        </w:rPr>
        <w:t xml:space="preserve">Актуальність теми. </w:t>
      </w:r>
      <w:r w:rsidRPr="00156441">
        <w:rPr>
          <w:rFonts w:ascii="Times New Roman" w:hAnsi="Times New Roman" w:cs="Times New Roman"/>
          <w:sz w:val="28"/>
          <w:szCs w:val="28"/>
        </w:rPr>
        <w:t>В останні роки відзначається зростання числа захворювань бронхолегеневої системи, серед яких особливе місце займає хронічне обструктивне захворювання легень. З огляду на те, що ХОЗЛ можна розглядати як захворювання другої половини життя, то часто воно поєднується з іншою соматичною патологією, «придбаної» до цього віку, зокрема</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гіпертонічною хворобою. Наявність позалегеневих ефектів дозволяє визначати ХОЗЛ як системне захворювання. Поширеність ГХ</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знаходиться в діапазоні 30-45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загальної популяції, з різким зростанням в міру старіння людини. Згідно даним ВООЗ, обидва патологічні стани входять до переліку десяти найч</w:t>
      </w:r>
      <w:r w:rsidR="00E9360D" w:rsidRPr="00156441">
        <w:rPr>
          <w:rFonts w:ascii="Times New Roman" w:hAnsi="Times New Roman" w:cs="Times New Roman"/>
          <w:sz w:val="28"/>
          <w:szCs w:val="28"/>
        </w:rPr>
        <w:t>астіши</w:t>
      </w:r>
      <w:r w:rsidRPr="00156441">
        <w:rPr>
          <w:rFonts w:ascii="Times New Roman" w:hAnsi="Times New Roman" w:cs="Times New Roman"/>
          <w:sz w:val="28"/>
          <w:szCs w:val="28"/>
        </w:rPr>
        <w:t>х причин смертності в світі. В цілому у пацієнтів з ХОЗЛ ризик серцево-судинних захворювань зростає в 2-3 рази. Дослідження останніх років свідчать, що ГХ виявляється у хворого на ХОЗЛ від 6,8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до 76,3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та ставити в середньому 34,3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У теперішній час виявлена домінуюча роль гіпоксії, як провідного механізму розвитку системної ГХ у хворих на ХОЗЛ.</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Вважається, що гіпоксія у хворих на ХОЗЛ може підвищувати артеріальний тиск за рахунок негативних впливів на функцію ендотелію, будучи однією з найголовніших причин активізації процесів вільно-радикального і перекисного окислення і, отже, розвитку оксидативного стресу що, на думку багатьох дослідників, є сполучною ланкою між ХОЗЛ та ГХ поряд з дисфункцією ендотелію. </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Крім того, одне з провідних місць в патогенезі ХОЗЛ належить хронічному запаленню, ініціація і підтримка якого опосередковано посилює утворення вільних радикалів зі збільшенням ендотелійпошкоджуючих стимулів. Таким чином, запускається патологічний коло, основними ланками якого є: системна гіпоксія, хронічне системне запалення, пошкодження ендотелію судин, формування оксидативного стресу</w:t>
      </w:r>
      <w:r w:rsidR="00386222" w:rsidRPr="00156441">
        <w:rPr>
          <w:rFonts w:ascii="Times New Roman" w:hAnsi="Times New Roman" w:cs="Times New Roman"/>
          <w:sz w:val="28"/>
          <w:szCs w:val="28"/>
        </w:rPr>
        <w:t>.</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 теперішній час патогенез багатьох захворювань розглядається з позицій дерегуляції [</w:t>
      </w:r>
      <w:r w:rsidR="00EA1D5E" w:rsidRPr="00156441">
        <w:rPr>
          <w:rFonts w:ascii="Times New Roman" w:hAnsi="Times New Roman" w:cs="Times New Roman"/>
          <w:sz w:val="28"/>
          <w:szCs w:val="28"/>
        </w:rPr>
        <w:fldChar w:fldCharType="begin"/>
      </w:r>
      <w:r w:rsidR="00EA1D5E" w:rsidRPr="00156441">
        <w:rPr>
          <w:rFonts w:ascii="Times New Roman" w:hAnsi="Times New Roman" w:cs="Times New Roman"/>
          <w:sz w:val="28"/>
          <w:szCs w:val="28"/>
        </w:rPr>
        <w:instrText xml:space="preserve"> REF _Ref502690534 \r \h </w:instrText>
      </w:r>
      <w:r w:rsidR="00F44EE4" w:rsidRPr="00156441">
        <w:rPr>
          <w:rFonts w:ascii="Times New Roman" w:hAnsi="Times New Roman" w:cs="Times New Roman"/>
          <w:sz w:val="28"/>
          <w:szCs w:val="28"/>
        </w:rPr>
        <w:instrText xml:space="preserve"> \* MERGEFORMAT </w:instrText>
      </w:r>
      <w:r w:rsidR="00EA1D5E" w:rsidRPr="00156441">
        <w:rPr>
          <w:rFonts w:ascii="Times New Roman" w:hAnsi="Times New Roman" w:cs="Times New Roman"/>
          <w:sz w:val="28"/>
          <w:szCs w:val="28"/>
        </w:rPr>
      </w:r>
      <w:r w:rsidR="00EA1D5E"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w:t>
      </w:r>
      <w:r w:rsidR="00EA1D5E" w:rsidRPr="00156441">
        <w:rPr>
          <w:rFonts w:ascii="Times New Roman" w:hAnsi="Times New Roman" w:cs="Times New Roman"/>
          <w:sz w:val="28"/>
          <w:szCs w:val="28"/>
        </w:rPr>
        <w:fldChar w:fldCharType="end"/>
      </w:r>
      <w:r w:rsidR="00EA1D5E" w:rsidRPr="00156441">
        <w:rPr>
          <w:rFonts w:ascii="Times New Roman" w:hAnsi="Times New Roman" w:cs="Times New Roman"/>
          <w:sz w:val="28"/>
          <w:szCs w:val="28"/>
        </w:rPr>
        <w:t xml:space="preserve">, </w:t>
      </w:r>
      <w:r w:rsidR="00EA1D5E" w:rsidRPr="00156441">
        <w:rPr>
          <w:rFonts w:ascii="Times New Roman" w:hAnsi="Times New Roman" w:cs="Times New Roman"/>
          <w:sz w:val="28"/>
          <w:szCs w:val="28"/>
        </w:rPr>
        <w:fldChar w:fldCharType="begin"/>
      </w:r>
      <w:r w:rsidR="00EA1D5E" w:rsidRPr="00156441">
        <w:rPr>
          <w:rFonts w:ascii="Times New Roman" w:hAnsi="Times New Roman" w:cs="Times New Roman"/>
          <w:sz w:val="28"/>
          <w:szCs w:val="28"/>
        </w:rPr>
        <w:instrText xml:space="preserve"> REF _Ref502690536 \r \h </w:instrText>
      </w:r>
      <w:r w:rsidR="00F44EE4" w:rsidRPr="00156441">
        <w:rPr>
          <w:rFonts w:ascii="Times New Roman" w:hAnsi="Times New Roman" w:cs="Times New Roman"/>
          <w:sz w:val="28"/>
          <w:szCs w:val="28"/>
        </w:rPr>
        <w:instrText xml:space="preserve"> \* MERGEFORMAT </w:instrText>
      </w:r>
      <w:r w:rsidR="00EA1D5E" w:rsidRPr="00156441">
        <w:rPr>
          <w:rFonts w:ascii="Times New Roman" w:hAnsi="Times New Roman" w:cs="Times New Roman"/>
          <w:sz w:val="28"/>
          <w:szCs w:val="28"/>
        </w:rPr>
      </w:r>
      <w:r w:rsidR="00EA1D5E"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w:t>
      </w:r>
      <w:r w:rsidR="00EA1D5E"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Цим продиктована актуальність поглибленого вивчення регуляторної системи і порушення її функцій при багатьох патологічних станах, </w:t>
      </w:r>
      <w:r w:rsidRPr="00156441">
        <w:rPr>
          <w:rFonts w:ascii="Times New Roman" w:hAnsi="Times New Roman" w:cs="Times New Roman"/>
          <w:sz w:val="28"/>
          <w:szCs w:val="28"/>
        </w:rPr>
        <w:lastRenderedPageBreak/>
        <w:t xml:space="preserve">оскільки основними функціями цієї системи є підтримання гомеостазу та забезпечення адаптивних процесів. </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Спільними патогенетичними ланками розвитку ХОЗЛ, а також ГХ є підвищення активності симпатичної нервової системи, дисбаланс ерготропної і трофотропної функції організму, порушення функції легень в метаболізмі вазоактивних речовин, розвиток оксидативного стресу, хронічного системного запалення, дисбалансу ренін-ангіотензин-альдостеронової системи.</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Поряд з тим, недостатньо вивченими залишаються питання ролі ендотеліальної дисфункції у формуванні змін системного артеріального русла у хворих на ХОЗЛ із супутньою ГХ. </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Порушення функції ендотелію лежить в основі порушення механічних властивостей артерій, що порушує гемодинамі</w:t>
      </w:r>
      <w:r w:rsidR="00E9360D" w:rsidRPr="00156441">
        <w:rPr>
          <w:rFonts w:ascii="Times New Roman" w:hAnsi="Times New Roman" w:cs="Times New Roman"/>
          <w:sz w:val="28"/>
          <w:szCs w:val="28"/>
        </w:rPr>
        <w:t>ку і може стати причиною кардіо</w:t>
      </w:r>
      <w:r w:rsidRPr="00156441">
        <w:rPr>
          <w:rFonts w:ascii="Times New Roman" w:hAnsi="Times New Roman" w:cs="Times New Roman"/>
          <w:sz w:val="28"/>
          <w:szCs w:val="28"/>
        </w:rPr>
        <w:t xml:space="preserve">васкулярної патології, також виступає в якості перших проявів судинної патології при ХОЗЛ, </w:t>
      </w:r>
      <w:r w:rsidR="00386222" w:rsidRPr="00156441">
        <w:rPr>
          <w:rFonts w:ascii="Times New Roman" w:hAnsi="Times New Roman" w:cs="Times New Roman"/>
          <w:sz w:val="28"/>
          <w:szCs w:val="28"/>
        </w:rPr>
        <w:t>посилюючи ранню наростаючу дихальною</w:t>
      </w:r>
      <w:r w:rsidRPr="00156441">
        <w:rPr>
          <w:rFonts w:ascii="Times New Roman" w:hAnsi="Times New Roman" w:cs="Times New Roman"/>
          <w:sz w:val="28"/>
          <w:szCs w:val="28"/>
        </w:rPr>
        <w:t xml:space="preserve"> недостатність, гіпоксію і гіпоксемію.</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Однією з причин виникнення та прогресування ЕД є порушення релаксаційних властивостей ендотелію, що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язано з </w:t>
      </w:r>
      <w:r w:rsidR="00E9360D" w:rsidRPr="00156441">
        <w:rPr>
          <w:rFonts w:ascii="Times New Roman" w:hAnsi="Times New Roman" w:cs="Times New Roman"/>
          <w:sz w:val="28"/>
          <w:szCs w:val="28"/>
        </w:rPr>
        <w:t>розбалансуванням обміну оксиду</w:t>
      </w:r>
      <w:r w:rsidRPr="00156441">
        <w:rPr>
          <w:rFonts w:ascii="Times New Roman" w:hAnsi="Times New Roman" w:cs="Times New Roman"/>
          <w:sz w:val="28"/>
          <w:szCs w:val="28"/>
        </w:rPr>
        <w:t xml:space="preserve"> азоту, який розглядається, як багатофункціональний трансмітер в розвитку різних патологічних станів впливаючи на серцево-судинну, дихальну, нервову, імунну, м</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язову та інші системи організму.</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Актуальним залишається питання ролі активація симпатоадреналової системи у формуванні ендотеліальної дисфункції, порушення ендотелійзалежної вазодилатації. Відомо, що підвищене вироблення стресових гормонів (адреналіну, </w:t>
      </w:r>
      <w:r w:rsidR="003F2037" w:rsidRPr="00156441">
        <w:rPr>
          <w:rFonts w:ascii="Times New Roman" w:hAnsi="Times New Roman" w:cs="Times New Roman"/>
          <w:sz w:val="28"/>
          <w:szCs w:val="28"/>
        </w:rPr>
        <w:t>норадреналіну</w:t>
      </w:r>
      <w:r w:rsidRPr="00156441">
        <w:rPr>
          <w:rFonts w:ascii="Times New Roman" w:hAnsi="Times New Roman" w:cs="Times New Roman"/>
          <w:sz w:val="28"/>
          <w:szCs w:val="28"/>
        </w:rPr>
        <w:t xml:space="preserve">) призводить до різкої вазоконстрикції, в першу чергу, судин нирок, що призводить до посилення вироблення реніну і активації </w:t>
      </w:r>
      <w:r w:rsidR="00E9360D" w:rsidRPr="00156441">
        <w:rPr>
          <w:rFonts w:ascii="Times New Roman" w:hAnsi="Times New Roman" w:cs="Times New Roman"/>
          <w:sz w:val="28"/>
          <w:szCs w:val="28"/>
        </w:rPr>
        <w:t>РАС</w:t>
      </w:r>
      <w:r w:rsidRPr="00156441">
        <w:rPr>
          <w:rFonts w:ascii="Times New Roman" w:hAnsi="Times New Roman" w:cs="Times New Roman"/>
          <w:sz w:val="28"/>
          <w:szCs w:val="28"/>
        </w:rPr>
        <w:t xml:space="preserve"> та впливом на калікреїн-кінінову систему. Та залишається недостатньо вивченим питання щодо їх впливу на формування поєднаної патології ХОЗЛ з ГХ.</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Як показують дані молекулярно-біологічних, фізіологічних і фармакологічних досліджень, ВІП є потенційним вазодилататором, викликаючи атропін-резистентні розширення кровоносних судин, а також забезпечує </w:t>
      </w:r>
      <w:r w:rsidRPr="00156441">
        <w:rPr>
          <w:rFonts w:ascii="Times New Roman" w:hAnsi="Times New Roman" w:cs="Times New Roman"/>
          <w:sz w:val="28"/>
          <w:szCs w:val="28"/>
        </w:rPr>
        <w:lastRenderedPageBreak/>
        <w:t>компенсаторне позитивне хронотропн</w:t>
      </w:r>
      <w:r w:rsidR="003F2037" w:rsidRPr="00156441">
        <w:rPr>
          <w:rFonts w:ascii="Times New Roman" w:hAnsi="Times New Roman" w:cs="Times New Roman"/>
          <w:sz w:val="28"/>
          <w:szCs w:val="28"/>
        </w:rPr>
        <w:t>ий</w:t>
      </w:r>
      <w:r w:rsidRPr="00156441">
        <w:rPr>
          <w:rFonts w:ascii="Times New Roman" w:hAnsi="Times New Roman" w:cs="Times New Roman"/>
          <w:sz w:val="28"/>
          <w:szCs w:val="28"/>
        </w:rPr>
        <w:t xml:space="preserve"> і інотропн</w:t>
      </w:r>
      <w:r w:rsidR="003F2037" w:rsidRPr="00156441">
        <w:rPr>
          <w:rFonts w:ascii="Times New Roman" w:hAnsi="Times New Roman" w:cs="Times New Roman"/>
          <w:sz w:val="28"/>
          <w:szCs w:val="28"/>
        </w:rPr>
        <w:t>ий</w:t>
      </w:r>
      <w:r w:rsidRPr="00156441">
        <w:rPr>
          <w:rFonts w:ascii="Times New Roman" w:hAnsi="Times New Roman" w:cs="Times New Roman"/>
          <w:sz w:val="28"/>
          <w:szCs w:val="28"/>
        </w:rPr>
        <w:t xml:space="preserve"> вплив на серце людини [</w:t>
      </w:r>
      <w:r w:rsidR="00EA1D5E" w:rsidRPr="00156441">
        <w:rPr>
          <w:rFonts w:ascii="Times New Roman" w:hAnsi="Times New Roman" w:cs="Times New Roman"/>
          <w:sz w:val="28"/>
          <w:szCs w:val="28"/>
        </w:rPr>
        <w:fldChar w:fldCharType="begin"/>
      </w:r>
      <w:r w:rsidR="00EA1D5E" w:rsidRPr="00156441">
        <w:rPr>
          <w:rFonts w:ascii="Times New Roman" w:hAnsi="Times New Roman" w:cs="Times New Roman"/>
          <w:sz w:val="28"/>
          <w:szCs w:val="28"/>
        </w:rPr>
        <w:instrText xml:space="preserve"> REF _Ref502690615 \r \h </w:instrText>
      </w:r>
      <w:r w:rsidR="00F44EE4" w:rsidRPr="00156441">
        <w:rPr>
          <w:rFonts w:ascii="Times New Roman" w:hAnsi="Times New Roman" w:cs="Times New Roman"/>
          <w:sz w:val="28"/>
          <w:szCs w:val="28"/>
        </w:rPr>
        <w:instrText xml:space="preserve"> \* MERGEFORMAT </w:instrText>
      </w:r>
      <w:r w:rsidR="00EA1D5E" w:rsidRPr="00156441">
        <w:rPr>
          <w:rFonts w:ascii="Times New Roman" w:hAnsi="Times New Roman" w:cs="Times New Roman"/>
          <w:sz w:val="28"/>
          <w:szCs w:val="28"/>
        </w:rPr>
      </w:r>
      <w:r w:rsidR="00EA1D5E"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w:t>
      </w:r>
      <w:r w:rsidR="00EA1D5E"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Вазоактивний інтестинальний поліпептид регулює продукцію інших регуляторних субстанцій пептидно</w:t>
      </w:r>
      <w:r w:rsidR="003F2037" w:rsidRPr="00156441">
        <w:rPr>
          <w:rFonts w:ascii="Times New Roman" w:hAnsi="Times New Roman" w:cs="Times New Roman"/>
          <w:sz w:val="28"/>
          <w:szCs w:val="28"/>
        </w:rPr>
        <w:t>ї</w:t>
      </w:r>
      <w:r w:rsidRPr="00156441">
        <w:rPr>
          <w:rFonts w:ascii="Times New Roman" w:hAnsi="Times New Roman" w:cs="Times New Roman"/>
          <w:sz w:val="28"/>
          <w:szCs w:val="28"/>
        </w:rPr>
        <w:t xml:space="preserve"> і непептідн</w:t>
      </w:r>
      <w:r w:rsidR="003F2037" w:rsidRPr="00156441">
        <w:rPr>
          <w:rFonts w:ascii="Times New Roman" w:hAnsi="Times New Roman" w:cs="Times New Roman"/>
          <w:sz w:val="28"/>
          <w:szCs w:val="28"/>
        </w:rPr>
        <w:t>ої</w:t>
      </w:r>
      <w:r w:rsidRPr="00156441">
        <w:rPr>
          <w:rFonts w:ascii="Times New Roman" w:hAnsi="Times New Roman" w:cs="Times New Roman"/>
          <w:sz w:val="28"/>
          <w:szCs w:val="28"/>
        </w:rPr>
        <w:t xml:space="preserve"> природи, включаючи оксид азоту.</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Залишається не до кінця вивченим питання, щодо рівня ВІП та його ролі у формуванні ЕД у хворих на коморбідну патологію. </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Ряд патологічних станів організму характеризується порушенням росту судин. Надмірна ангіогенез типовий для раку, діабетичної ретинопатії, ревматоїдного артриту, атеросклерозу, псоріазу і ендометріозу, тоді як ішемія серця, мозку і кінцівок, цукровий діабет, гіпертонічна хвороба, прееклампсія і нефропатія супроводжуються недостатнім зростанням судин. Оскільки ВЕФР є основним стимулятором ангіогенезу, вивчення його утворення та функціонування при цих захворюваннях приділяється велика увага.</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Однак у сучасній літературі не достатньо висвітлено питання ролі </w:t>
      </w:r>
      <w:r w:rsidR="003F2037" w:rsidRPr="00156441">
        <w:rPr>
          <w:rFonts w:ascii="Times New Roman" w:hAnsi="Times New Roman" w:cs="Times New Roman"/>
          <w:sz w:val="28"/>
          <w:szCs w:val="28"/>
        </w:rPr>
        <w:t>ангіогенезу</w:t>
      </w:r>
      <w:r w:rsidRPr="00156441">
        <w:rPr>
          <w:rFonts w:ascii="Times New Roman" w:hAnsi="Times New Roman" w:cs="Times New Roman"/>
          <w:sz w:val="28"/>
          <w:szCs w:val="28"/>
        </w:rPr>
        <w:t xml:space="preserve"> у хворих на ХОЗЛ, та тим паче у поєд</w:t>
      </w:r>
      <w:r w:rsidR="00E9360D" w:rsidRPr="00156441">
        <w:rPr>
          <w:rFonts w:ascii="Times New Roman" w:hAnsi="Times New Roman" w:cs="Times New Roman"/>
          <w:sz w:val="28"/>
          <w:szCs w:val="28"/>
        </w:rPr>
        <w:t>нанні з ГХ. Ви</w:t>
      </w:r>
      <w:r w:rsidRPr="00156441">
        <w:rPr>
          <w:rFonts w:ascii="Times New Roman" w:hAnsi="Times New Roman" w:cs="Times New Roman"/>
          <w:sz w:val="28"/>
          <w:szCs w:val="28"/>
        </w:rPr>
        <w:t xml:space="preserve">вчення динаміки змін ВЕФР може бути цінним для виявлення захворювань і визначення їх прогнозу. </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Все вищеописане диктує необхідність більш детального вивчення загальних взаємообтяжуючих механізмів ХОЗЛ та ГХ з пошуком нових можливих діагностичних заходів</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при поєднанні цих нозологій.</w:t>
      </w:r>
    </w:p>
    <w:p w:rsidR="00A27861" w:rsidRPr="009D2378" w:rsidRDefault="00690289" w:rsidP="00386222">
      <w:pPr>
        <w:tabs>
          <w:tab w:val="left" w:pos="1134"/>
        </w:tabs>
        <w:spacing w:after="0" w:line="360" w:lineRule="auto"/>
        <w:ind w:firstLine="709"/>
        <w:contextualSpacing/>
        <w:jc w:val="both"/>
        <w:rPr>
          <w:rFonts w:ascii="Times New Roman" w:hAnsi="Times New Roman" w:cs="Times New Roman"/>
          <w:sz w:val="28"/>
          <w:szCs w:val="28"/>
          <w:lang w:val="ru-RU"/>
        </w:rPr>
      </w:pPr>
      <w:r w:rsidRPr="00156441">
        <w:rPr>
          <w:rFonts w:ascii="Times New Roman" w:hAnsi="Times New Roman" w:cs="Times New Roman"/>
          <w:b/>
          <w:sz w:val="28"/>
          <w:szCs w:val="28"/>
        </w:rPr>
        <w:t>Зв</w:t>
      </w:r>
      <w:r w:rsidR="00FC48A2" w:rsidRPr="00156441">
        <w:rPr>
          <w:rFonts w:ascii="Times New Roman" w:hAnsi="Times New Roman" w:cs="Times New Roman"/>
          <w:b/>
          <w:sz w:val="28"/>
          <w:szCs w:val="28"/>
        </w:rPr>
        <w:t>’</w:t>
      </w:r>
      <w:r w:rsidRPr="00156441">
        <w:rPr>
          <w:rFonts w:ascii="Times New Roman" w:hAnsi="Times New Roman" w:cs="Times New Roman"/>
          <w:b/>
          <w:sz w:val="28"/>
          <w:szCs w:val="28"/>
        </w:rPr>
        <w:t>язок роботи з науковими програмами</w:t>
      </w:r>
      <w:r w:rsidRPr="00156441">
        <w:rPr>
          <w:rFonts w:ascii="Times New Roman" w:hAnsi="Times New Roman" w:cs="Times New Roman"/>
          <w:sz w:val="28"/>
          <w:szCs w:val="28"/>
        </w:rPr>
        <w:t xml:space="preserve">, </w:t>
      </w:r>
      <w:r w:rsidRPr="00156441">
        <w:rPr>
          <w:rFonts w:ascii="Times New Roman" w:hAnsi="Times New Roman" w:cs="Times New Roman"/>
          <w:b/>
          <w:sz w:val="28"/>
          <w:szCs w:val="28"/>
        </w:rPr>
        <w:t>планами, темами</w:t>
      </w:r>
      <w:r w:rsidRPr="00156441">
        <w:rPr>
          <w:rFonts w:ascii="Times New Roman" w:hAnsi="Times New Roman" w:cs="Times New Roman"/>
          <w:sz w:val="28"/>
          <w:szCs w:val="28"/>
        </w:rPr>
        <w:t>.</w:t>
      </w:r>
      <w:r w:rsidR="009C6C87" w:rsidRPr="00156441">
        <w:rPr>
          <w:rFonts w:ascii="Times New Roman" w:hAnsi="Times New Roman" w:cs="Times New Roman"/>
          <w:sz w:val="28"/>
          <w:szCs w:val="28"/>
        </w:rPr>
        <w:t xml:space="preserve"> </w:t>
      </w:r>
      <w:r w:rsidR="00A27861" w:rsidRPr="00A27861">
        <w:rPr>
          <w:rFonts w:ascii="Times New Roman" w:hAnsi="Times New Roman" w:cs="Times New Roman"/>
          <w:sz w:val="28"/>
          <w:szCs w:val="28"/>
        </w:rPr>
        <w:t>Дисертація є фрагментом науково-дослідної роботи кафедри внутрішніх та професійних хвороб Харківського національного медичного університету МОЗ України «Удосконалення оцінки кардіоваскулярного ризику за хронічного обструктивного захворювання легень» (№ державної реєстрації 0116U004989), термін виконання 2014-2017 рр. Здобувач проведено аналітичний огляд літератури, здійснено патентний пошук. Здобувач приймала участь у відборі хворих за обраною тематикою, створенні бази даних для статистичної обробки та підготовці наукових робіт до друку.</w:t>
      </w:r>
    </w:p>
    <w:p w:rsidR="00690289" w:rsidRPr="00156441" w:rsidRDefault="00690289" w:rsidP="009D2378">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b/>
          <w:sz w:val="28"/>
          <w:szCs w:val="28"/>
        </w:rPr>
        <w:t>Мета дослідження</w:t>
      </w:r>
      <w:r w:rsidRPr="00156441">
        <w:rPr>
          <w:rFonts w:ascii="Times New Roman" w:hAnsi="Times New Roman" w:cs="Times New Roman"/>
          <w:sz w:val="28"/>
          <w:szCs w:val="28"/>
        </w:rPr>
        <w:t xml:space="preserve">: </w:t>
      </w:r>
      <w:r w:rsidR="00386222" w:rsidRPr="00156441">
        <w:rPr>
          <w:rFonts w:ascii="Times New Roman" w:hAnsi="Times New Roman" w:cs="Times New Roman"/>
          <w:sz w:val="28"/>
          <w:szCs w:val="28"/>
        </w:rPr>
        <w:t xml:space="preserve">Удосконалення ранньої діагностики та підвищення якості прогнозування перебігу хронічного обструктивного захворювання легень в поєднанні з гіпертонічною хворобою шляхом комплексної оцінки показників </w:t>
      </w:r>
      <w:r w:rsidR="00386222" w:rsidRPr="00156441">
        <w:rPr>
          <w:rFonts w:ascii="Times New Roman" w:hAnsi="Times New Roman" w:cs="Times New Roman"/>
          <w:sz w:val="28"/>
          <w:szCs w:val="28"/>
        </w:rPr>
        <w:lastRenderedPageBreak/>
        <w:t xml:space="preserve">ендотеліальної дисфункції та її впливу на розвиток судинних розладів та гемодинамічних показників. </w:t>
      </w:r>
      <w:r w:rsidRPr="00156441">
        <w:rPr>
          <w:rFonts w:ascii="Times New Roman" w:hAnsi="Times New Roman" w:cs="Times New Roman"/>
          <w:sz w:val="28"/>
          <w:szCs w:val="28"/>
        </w:rPr>
        <w:t>Виходячи з поставленої мети, визначено наступні завдання дослідження:</w:t>
      </w:r>
    </w:p>
    <w:p w:rsidR="00A27861" w:rsidRPr="004B571C" w:rsidRDefault="00A27861" w:rsidP="009D237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4B571C">
        <w:rPr>
          <w:rFonts w:ascii="Times New Roman" w:hAnsi="Times New Roman" w:cs="Times New Roman"/>
          <w:sz w:val="28"/>
          <w:szCs w:val="28"/>
        </w:rPr>
        <w:t>В</w:t>
      </w:r>
      <w:r>
        <w:rPr>
          <w:rFonts w:ascii="Times New Roman" w:hAnsi="Times New Roman" w:cs="Times New Roman"/>
          <w:sz w:val="28"/>
          <w:szCs w:val="28"/>
        </w:rPr>
        <w:t xml:space="preserve">становити </w:t>
      </w:r>
      <w:r w:rsidRPr="004B571C">
        <w:rPr>
          <w:rFonts w:ascii="Times New Roman" w:hAnsi="Times New Roman" w:cs="Times New Roman"/>
          <w:sz w:val="28"/>
          <w:szCs w:val="28"/>
        </w:rPr>
        <w:t xml:space="preserve"> динаміку змін вмісту у крові</w:t>
      </w:r>
      <w:r w:rsidRPr="00B84603">
        <w:t xml:space="preserve"> </w:t>
      </w:r>
      <w:r w:rsidRPr="00B84603">
        <w:rPr>
          <w:rFonts w:ascii="Times New Roman" w:hAnsi="Times New Roman" w:cs="Times New Roman"/>
          <w:sz w:val="28"/>
          <w:szCs w:val="28"/>
        </w:rPr>
        <w:t>вазоактивного інтестинального пептиду та васкулоендотеліального фактору росту</w:t>
      </w:r>
      <w:r w:rsidRPr="004B571C">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4B571C">
        <w:rPr>
          <w:rFonts w:ascii="Times New Roman" w:hAnsi="Times New Roman" w:cs="Times New Roman"/>
          <w:sz w:val="28"/>
          <w:szCs w:val="28"/>
        </w:rPr>
        <w:t xml:space="preserve">пацієнтів </w:t>
      </w:r>
      <w:r>
        <w:rPr>
          <w:rFonts w:ascii="Times New Roman" w:hAnsi="Times New Roman" w:cs="Times New Roman"/>
          <w:sz w:val="28"/>
          <w:szCs w:val="28"/>
        </w:rPr>
        <w:t xml:space="preserve">з ХОЗЛ в поєднанні з ГХ </w:t>
      </w:r>
      <w:r w:rsidRPr="004B571C">
        <w:rPr>
          <w:rFonts w:ascii="Times New Roman" w:hAnsi="Times New Roman" w:cs="Times New Roman"/>
          <w:sz w:val="28"/>
          <w:szCs w:val="28"/>
        </w:rPr>
        <w:t xml:space="preserve">. </w:t>
      </w:r>
    </w:p>
    <w:p w:rsidR="00A27861" w:rsidRPr="004B571C" w:rsidRDefault="00A27861" w:rsidP="009D237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4B571C">
        <w:rPr>
          <w:rFonts w:ascii="Times New Roman" w:hAnsi="Times New Roman" w:cs="Times New Roman"/>
          <w:sz w:val="28"/>
          <w:szCs w:val="28"/>
        </w:rPr>
        <w:t>З’ясувати зміни у функціонуванні ренін-ангіотензинової та кілікреїн-кінінової систем за активністю у крові реніну, ангіотензинперетв</w:t>
      </w:r>
      <w:r>
        <w:rPr>
          <w:rFonts w:ascii="Times New Roman" w:hAnsi="Times New Roman" w:cs="Times New Roman"/>
          <w:sz w:val="28"/>
          <w:szCs w:val="28"/>
        </w:rPr>
        <w:t>орюючого</w:t>
      </w:r>
      <w:r w:rsidRPr="004B571C">
        <w:rPr>
          <w:rFonts w:ascii="Times New Roman" w:hAnsi="Times New Roman" w:cs="Times New Roman"/>
          <w:sz w:val="28"/>
          <w:szCs w:val="28"/>
        </w:rPr>
        <w:t xml:space="preserve"> ферменту, калікреїну, карбоксипептидази N та вмістом калікреїногену, альдостерону, вазопресину</w:t>
      </w:r>
      <w:r w:rsidRPr="00B84603">
        <w:t xml:space="preserve"> </w:t>
      </w:r>
      <w:r>
        <w:rPr>
          <w:rFonts w:ascii="Times New Roman" w:hAnsi="Times New Roman" w:cs="Times New Roman"/>
          <w:sz w:val="28"/>
          <w:szCs w:val="28"/>
        </w:rPr>
        <w:t xml:space="preserve">у обстежених з </w:t>
      </w:r>
      <w:r w:rsidRPr="00B84603">
        <w:rPr>
          <w:rFonts w:ascii="Times New Roman" w:hAnsi="Times New Roman" w:cs="Times New Roman"/>
          <w:sz w:val="28"/>
          <w:szCs w:val="28"/>
        </w:rPr>
        <w:t xml:space="preserve"> ХОЗЛ у сполученні з ГХ</w:t>
      </w:r>
      <w:r w:rsidRPr="004B571C">
        <w:rPr>
          <w:rFonts w:ascii="Times New Roman" w:hAnsi="Times New Roman" w:cs="Times New Roman"/>
          <w:sz w:val="28"/>
          <w:szCs w:val="28"/>
        </w:rPr>
        <w:t>.</w:t>
      </w:r>
    </w:p>
    <w:p w:rsidR="00A27861" w:rsidRPr="004B571C" w:rsidRDefault="00A27861" w:rsidP="009D237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4B571C">
        <w:rPr>
          <w:rFonts w:ascii="Times New Roman" w:hAnsi="Times New Roman" w:cs="Times New Roman"/>
          <w:sz w:val="28"/>
          <w:szCs w:val="28"/>
        </w:rPr>
        <w:t xml:space="preserve">Визначити стан симпатоадреналової системи за вмістом у сироватці крові катехоламінів </w:t>
      </w:r>
      <w:r>
        <w:rPr>
          <w:rFonts w:ascii="Times New Roman" w:hAnsi="Times New Roman" w:cs="Times New Roman"/>
          <w:sz w:val="28"/>
          <w:szCs w:val="28"/>
        </w:rPr>
        <w:t>—</w:t>
      </w:r>
      <w:r w:rsidRPr="004B571C">
        <w:rPr>
          <w:rFonts w:ascii="Times New Roman" w:hAnsi="Times New Roman" w:cs="Times New Roman"/>
          <w:sz w:val="28"/>
          <w:szCs w:val="28"/>
        </w:rPr>
        <w:t xml:space="preserve"> дофаміну, норадреналіну, адреналіну</w:t>
      </w:r>
      <w:r>
        <w:rPr>
          <w:rFonts w:ascii="Times New Roman" w:hAnsi="Times New Roman" w:cs="Times New Roman"/>
          <w:sz w:val="28"/>
          <w:szCs w:val="28"/>
        </w:rPr>
        <w:t xml:space="preserve"> у хворих з ХОЗЛ на тлі ГХ</w:t>
      </w:r>
      <w:r w:rsidRPr="004B571C">
        <w:rPr>
          <w:rFonts w:ascii="Times New Roman" w:hAnsi="Times New Roman" w:cs="Times New Roman"/>
          <w:sz w:val="28"/>
          <w:szCs w:val="28"/>
        </w:rPr>
        <w:t>.</w:t>
      </w:r>
    </w:p>
    <w:p w:rsidR="00A27861" w:rsidRPr="004B571C" w:rsidRDefault="00A27861" w:rsidP="009D237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4B571C">
        <w:rPr>
          <w:rFonts w:ascii="Times New Roman" w:hAnsi="Times New Roman" w:cs="Times New Roman"/>
          <w:sz w:val="28"/>
          <w:szCs w:val="28"/>
        </w:rPr>
        <w:t>Визначити стан системи оксиду азоту за вмістом у плазмі крові кінцевих стабільних метаболітів нітритів/нітратів, S-нітрозотіолу, активністю ендотеліальної та індуцибільної ізоформ NO-синтази</w:t>
      </w:r>
      <w:r>
        <w:rPr>
          <w:rFonts w:ascii="Times New Roman" w:hAnsi="Times New Roman" w:cs="Times New Roman"/>
          <w:sz w:val="28"/>
          <w:szCs w:val="28"/>
        </w:rPr>
        <w:t xml:space="preserve"> при поєднаному перебігу </w:t>
      </w:r>
      <w:r w:rsidRPr="00B84603">
        <w:rPr>
          <w:rFonts w:ascii="Times New Roman" w:hAnsi="Times New Roman" w:cs="Times New Roman"/>
          <w:sz w:val="28"/>
          <w:szCs w:val="28"/>
        </w:rPr>
        <w:t xml:space="preserve"> ХОЗЛ </w:t>
      </w:r>
      <w:r>
        <w:rPr>
          <w:rFonts w:ascii="Times New Roman" w:hAnsi="Times New Roman" w:cs="Times New Roman"/>
          <w:sz w:val="28"/>
          <w:szCs w:val="28"/>
        </w:rPr>
        <w:t>з</w:t>
      </w:r>
      <w:r w:rsidRPr="00B84603">
        <w:rPr>
          <w:rFonts w:ascii="Times New Roman" w:hAnsi="Times New Roman" w:cs="Times New Roman"/>
          <w:sz w:val="28"/>
          <w:szCs w:val="28"/>
        </w:rPr>
        <w:t xml:space="preserve"> ГХ</w:t>
      </w:r>
      <w:r w:rsidRPr="004B571C">
        <w:rPr>
          <w:rFonts w:ascii="Times New Roman" w:hAnsi="Times New Roman" w:cs="Times New Roman"/>
          <w:sz w:val="28"/>
          <w:szCs w:val="28"/>
        </w:rPr>
        <w:t>.</w:t>
      </w:r>
    </w:p>
    <w:p w:rsidR="00A27861" w:rsidRPr="004B571C" w:rsidRDefault="00A27861" w:rsidP="009D237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4B571C">
        <w:rPr>
          <w:rFonts w:ascii="Times New Roman" w:hAnsi="Times New Roman" w:cs="Times New Roman"/>
          <w:sz w:val="28"/>
          <w:szCs w:val="28"/>
        </w:rPr>
        <w:t>Оцінити вміст у сироватці крові біогенних елементів (заліза, магнію, кальцію, фосфору) та зміни активності органоспецифічних ферментів (креатинфосфокінази,</w:t>
      </w:r>
      <w:r>
        <w:rPr>
          <w:rFonts w:ascii="Times New Roman" w:hAnsi="Times New Roman" w:cs="Times New Roman"/>
          <w:sz w:val="28"/>
          <w:szCs w:val="28"/>
        </w:rPr>
        <w:t xml:space="preserve"> </w:t>
      </w:r>
      <w:r w:rsidRPr="004B571C">
        <w:rPr>
          <w:rFonts w:ascii="Times New Roman" w:hAnsi="Times New Roman" w:cs="Times New Roman"/>
          <w:sz w:val="28"/>
          <w:szCs w:val="28"/>
        </w:rPr>
        <w:t>γ-глутамілтранспептидази, лактатдегідрогенази, α-амілази, аспартат- і аланінамінотрансферази)</w:t>
      </w:r>
      <w:r>
        <w:rPr>
          <w:rFonts w:ascii="Times New Roman" w:hAnsi="Times New Roman" w:cs="Times New Roman"/>
          <w:sz w:val="28"/>
          <w:szCs w:val="28"/>
        </w:rPr>
        <w:t xml:space="preserve"> у </w:t>
      </w:r>
      <w:r w:rsidRPr="0048631A">
        <w:t xml:space="preserve"> </w:t>
      </w:r>
      <w:r>
        <w:rPr>
          <w:rFonts w:ascii="Times New Roman" w:hAnsi="Times New Roman" w:cs="Times New Roman"/>
          <w:sz w:val="28"/>
          <w:szCs w:val="28"/>
        </w:rPr>
        <w:t>пацієнтів</w:t>
      </w:r>
      <w:r w:rsidRPr="0048631A">
        <w:rPr>
          <w:rFonts w:ascii="Times New Roman" w:hAnsi="Times New Roman" w:cs="Times New Roman"/>
          <w:sz w:val="28"/>
          <w:szCs w:val="28"/>
        </w:rPr>
        <w:t xml:space="preserve"> з ХОЗЛ </w:t>
      </w:r>
      <w:r>
        <w:rPr>
          <w:rFonts w:ascii="Times New Roman" w:hAnsi="Times New Roman" w:cs="Times New Roman"/>
          <w:sz w:val="28"/>
          <w:szCs w:val="28"/>
        </w:rPr>
        <w:t>та</w:t>
      </w:r>
      <w:r w:rsidRPr="0048631A">
        <w:rPr>
          <w:rFonts w:ascii="Times New Roman" w:hAnsi="Times New Roman" w:cs="Times New Roman"/>
          <w:sz w:val="28"/>
          <w:szCs w:val="28"/>
        </w:rPr>
        <w:t xml:space="preserve"> ГХ</w:t>
      </w:r>
      <w:r w:rsidRPr="004B571C">
        <w:rPr>
          <w:rFonts w:ascii="Times New Roman" w:hAnsi="Times New Roman" w:cs="Times New Roman"/>
          <w:sz w:val="28"/>
          <w:szCs w:val="28"/>
        </w:rPr>
        <w:t>.</w:t>
      </w:r>
    </w:p>
    <w:p w:rsidR="00A27861" w:rsidRPr="004B571C" w:rsidRDefault="00A27861" w:rsidP="009D2378">
      <w:pPr>
        <w:pStyle w:val="a4"/>
        <w:numPr>
          <w:ilvl w:val="0"/>
          <w:numId w:val="4"/>
        </w:numPr>
        <w:tabs>
          <w:tab w:val="left" w:pos="0"/>
          <w:tab w:val="left" w:pos="1134"/>
        </w:tabs>
        <w:spacing w:after="0" w:line="360" w:lineRule="auto"/>
        <w:ind w:left="0" w:firstLine="709"/>
        <w:jc w:val="both"/>
        <w:rPr>
          <w:rFonts w:ascii="Times New Roman" w:hAnsi="Times New Roman" w:cs="Times New Roman"/>
          <w:sz w:val="28"/>
          <w:szCs w:val="28"/>
        </w:rPr>
      </w:pPr>
      <w:r w:rsidRPr="004B571C">
        <w:rPr>
          <w:rFonts w:ascii="Times New Roman" w:hAnsi="Times New Roman" w:cs="Times New Roman"/>
          <w:sz w:val="28"/>
          <w:szCs w:val="28"/>
        </w:rPr>
        <w:t xml:space="preserve">Дослідити зміни у </w:t>
      </w:r>
      <w:r>
        <w:rPr>
          <w:rFonts w:ascii="Times New Roman" w:hAnsi="Times New Roman" w:cs="Times New Roman"/>
          <w:sz w:val="28"/>
          <w:szCs w:val="28"/>
        </w:rPr>
        <w:t>морфо-функціональному</w:t>
      </w:r>
      <w:r w:rsidRPr="004B571C">
        <w:rPr>
          <w:rFonts w:ascii="Times New Roman" w:hAnsi="Times New Roman" w:cs="Times New Roman"/>
          <w:sz w:val="28"/>
          <w:szCs w:val="28"/>
        </w:rPr>
        <w:t xml:space="preserve"> стані серця на підставі даних ехокардіографічного дослідження у хворих на ХОЗЛ з </w:t>
      </w:r>
      <w:r>
        <w:rPr>
          <w:rFonts w:ascii="Times New Roman" w:hAnsi="Times New Roman" w:cs="Times New Roman"/>
          <w:sz w:val="28"/>
          <w:szCs w:val="28"/>
        </w:rPr>
        <w:t>наявністю</w:t>
      </w:r>
      <w:r w:rsidRPr="004B571C">
        <w:rPr>
          <w:rFonts w:ascii="Times New Roman" w:hAnsi="Times New Roman" w:cs="Times New Roman"/>
          <w:sz w:val="28"/>
          <w:szCs w:val="28"/>
        </w:rPr>
        <w:t xml:space="preserve"> ГХ.</w:t>
      </w:r>
    </w:p>
    <w:p w:rsidR="00A27861" w:rsidRPr="004B571C" w:rsidRDefault="00A27861" w:rsidP="009D237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4B571C">
        <w:rPr>
          <w:rFonts w:ascii="Times New Roman" w:hAnsi="Times New Roman" w:cs="Times New Roman"/>
          <w:sz w:val="28"/>
          <w:szCs w:val="28"/>
        </w:rPr>
        <w:t>Розробити алгоритм індивідуальн</w:t>
      </w:r>
      <w:r>
        <w:rPr>
          <w:rFonts w:ascii="Times New Roman" w:hAnsi="Times New Roman" w:cs="Times New Roman"/>
          <w:sz w:val="28"/>
          <w:szCs w:val="28"/>
        </w:rPr>
        <w:t xml:space="preserve">ого прогнозування перебігу ХОЗЛ </w:t>
      </w:r>
      <w:r w:rsidRPr="004B571C">
        <w:rPr>
          <w:rFonts w:ascii="Times New Roman" w:hAnsi="Times New Roman" w:cs="Times New Roman"/>
          <w:sz w:val="28"/>
          <w:szCs w:val="28"/>
        </w:rPr>
        <w:t>з супутньою ГХ.</w:t>
      </w:r>
    </w:p>
    <w:p w:rsidR="00690289" w:rsidRPr="00156441" w:rsidRDefault="00690289" w:rsidP="009D2378">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i/>
          <w:sz w:val="28"/>
          <w:szCs w:val="28"/>
        </w:rPr>
        <w:t>Об</w:t>
      </w:r>
      <w:r w:rsidR="00FC48A2" w:rsidRPr="00156441">
        <w:rPr>
          <w:rFonts w:ascii="Times New Roman" w:hAnsi="Times New Roman" w:cs="Times New Roman"/>
          <w:i/>
          <w:sz w:val="28"/>
          <w:szCs w:val="28"/>
        </w:rPr>
        <w:t>’</w:t>
      </w:r>
      <w:r w:rsidRPr="00156441">
        <w:rPr>
          <w:rFonts w:ascii="Times New Roman" w:hAnsi="Times New Roman" w:cs="Times New Roman"/>
          <w:i/>
          <w:sz w:val="28"/>
          <w:szCs w:val="28"/>
        </w:rPr>
        <w:t>єкт дослідження</w:t>
      </w:r>
      <w:r w:rsidRPr="00156441">
        <w:rPr>
          <w:rFonts w:ascii="Times New Roman" w:hAnsi="Times New Roman" w:cs="Times New Roman"/>
          <w:sz w:val="28"/>
          <w:szCs w:val="28"/>
        </w:rPr>
        <w:t xml:space="preserve">: хронічне обструктивне захворювання легень в поєднанні з гіпертонічною хворобою. </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i/>
          <w:sz w:val="28"/>
          <w:szCs w:val="28"/>
        </w:rPr>
      </w:pPr>
      <w:r w:rsidRPr="00156441">
        <w:rPr>
          <w:rFonts w:ascii="Times New Roman" w:hAnsi="Times New Roman" w:cs="Times New Roman"/>
          <w:i/>
          <w:sz w:val="28"/>
          <w:szCs w:val="28"/>
        </w:rPr>
        <w:t>Предмет дослідження</w:t>
      </w:r>
      <w:r w:rsidRPr="00156441">
        <w:rPr>
          <w:rFonts w:ascii="Times New Roman" w:hAnsi="Times New Roman" w:cs="Times New Roman"/>
          <w:sz w:val="28"/>
          <w:szCs w:val="28"/>
        </w:rPr>
        <w:t xml:space="preserve">: </w:t>
      </w:r>
      <w:r w:rsidR="00386222" w:rsidRPr="00156441">
        <w:rPr>
          <w:rFonts w:ascii="Times New Roman" w:hAnsi="Times New Roman" w:cs="Times New Roman"/>
          <w:sz w:val="28"/>
          <w:szCs w:val="28"/>
        </w:rPr>
        <w:t>показники кардіогемодинаміки, катехоламіни, метаболіти та синтази оксиду азоту, S-нітрозотіол, рівень біогенних елементів, вазоактивних гормонів, пептидів та нейромедіаторів, фактору росту судин.</w:t>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i/>
          <w:sz w:val="28"/>
          <w:szCs w:val="28"/>
        </w:rPr>
        <w:lastRenderedPageBreak/>
        <w:t>Методи дослідження</w:t>
      </w:r>
      <w:r w:rsidRPr="00156441">
        <w:rPr>
          <w:rFonts w:ascii="Times New Roman" w:hAnsi="Times New Roman" w:cs="Times New Roman"/>
          <w:sz w:val="28"/>
          <w:szCs w:val="28"/>
        </w:rPr>
        <w:t xml:space="preserve">: </w:t>
      </w:r>
      <w:r w:rsidR="00386222" w:rsidRPr="00156441">
        <w:rPr>
          <w:rFonts w:ascii="Times New Roman" w:hAnsi="Times New Roman" w:cs="Times New Roman"/>
          <w:sz w:val="28"/>
          <w:szCs w:val="28"/>
        </w:rPr>
        <w:t>загальноклінічні, лабораторні, біохімічні, інструментальні, аналітико-статистичні.</w:t>
      </w:r>
      <w:r w:rsidRPr="00156441">
        <w:rPr>
          <w:rFonts w:ascii="Times New Roman" w:hAnsi="Times New Roman" w:cs="Times New Roman"/>
          <w:sz w:val="28"/>
          <w:szCs w:val="28"/>
        </w:rPr>
        <w:tab/>
      </w:r>
    </w:p>
    <w:p w:rsidR="00690289" w:rsidRPr="00156441" w:rsidRDefault="00690289" w:rsidP="003F2037">
      <w:pPr>
        <w:tabs>
          <w:tab w:val="left" w:pos="1134"/>
        </w:tabs>
        <w:spacing w:after="0" w:line="360" w:lineRule="auto"/>
        <w:ind w:firstLine="709"/>
        <w:contextualSpacing/>
        <w:jc w:val="both"/>
        <w:rPr>
          <w:rFonts w:ascii="Times New Roman" w:hAnsi="Times New Roman" w:cs="Times New Roman"/>
          <w:b/>
          <w:bCs/>
          <w:sz w:val="28"/>
          <w:szCs w:val="28"/>
        </w:rPr>
      </w:pPr>
      <w:r w:rsidRPr="00156441">
        <w:rPr>
          <w:rFonts w:ascii="Times New Roman" w:hAnsi="Times New Roman" w:cs="Times New Roman"/>
          <w:b/>
          <w:bCs/>
          <w:sz w:val="28"/>
          <w:szCs w:val="28"/>
        </w:rPr>
        <w:t xml:space="preserve">Наукова новизна одержаних результатів. </w:t>
      </w:r>
    </w:p>
    <w:p w:rsidR="00A27861" w:rsidRPr="00A27861" w:rsidRDefault="00A27861" w:rsidP="00A27861">
      <w:pPr>
        <w:tabs>
          <w:tab w:val="left" w:pos="1134"/>
        </w:tabs>
        <w:spacing w:after="0" w:line="360" w:lineRule="auto"/>
        <w:ind w:firstLine="709"/>
        <w:contextualSpacing/>
        <w:jc w:val="both"/>
        <w:rPr>
          <w:rFonts w:ascii="Times New Roman" w:hAnsi="Times New Roman" w:cs="Times New Roman"/>
          <w:sz w:val="28"/>
          <w:szCs w:val="28"/>
        </w:rPr>
      </w:pPr>
      <w:r w:rsidRPr="00A27861">
        <w:rPr>
          <w:rFonts w:ascii="Times New Roman" w:hAnsi="Times New Roman" w:cs="Times New Roman"/>
          <w:sz w:val="28"/>
          <w:szCs w:val="28"/>
        </w:rPr>
        <w:t>Встановлено, що у хворих на хронічне обструктивне захворювання легень у поєднанні з гіпертонічною хворобою має місце підвищення синтезу оксиду азоту через значну продукцію iNOS, з гіперактивацією симпатоадреналової системи за рахунок підвищеного синтезу адреналіну, що свідчить про порушення метаболічних функцій легень. Активація ренін-ангіотензинової системи та зниженням адаптаційного потенціалу калікреїн-кінінової системи, через підвищення активності ангіотензинперетворюючого ферменту та карбоксипептидази N, які сприяють надмірному продукуванню вазоконстрикторного пептиду ангіотензину II на тлі деградації вазодилятаторного пептиду брадикініну, індукуючи формування стану хронічної активації ендотелію з наступним розвитком його дисфункції.</w:t>
      </w:r>
    </w:p>
    <w:p w:rsidR="00A27861" w:rsidRPr="00A27861" w:rsidRDefault="00A27861" w:rsidP="00A27861">
      <w:pPr>
        <w:tabs>
          <w:tab w:val="left" w:pos="1134"/>
        </w:tabs>
        <w:spacing w:after="0" w:line="360" w:lineRule="auto"/>
        <w:ind w:firstLine="709"/>
        <w:contextualSpacing/>
        <w:jc w:val="both"/>
        <w:rPr>
          <w:rFonts w:ascii="Times New Roman" w:hAnsi="Times New Roman" w:cs="Times New Roman"/>
          <w:sz w:val="28"/>
          <w:szCs w:val="28"/>
        </w:rPr>
      </w:pPr>
      <w:r w:rsidRPr="00A27861">
        <w:rPr>
          <w:rFonts w:ascii="Times New Roman" w:hAnsi="Times New Roman" w:cs="Times New Roman"/>
          <w:sz w:val="28"/>
          <w:szCs w:val="28"/>
        </w:rPr>
        <w:t xml:space="preserve">Доповнено наукові дані про факти ризику прогресування ендотеліальної дисфункції у хворих з поєднаним перебігом ХОЗЛ у поєднанні з гіпертонічною хворобою , які підтверджуються підвищенням активності iNOS на 90,4%, АПФ на  77,3%, карбоксипептидази N на 47,5%, адреналіну 57,6% й зниженням  ВІП на 50,3% порівняно з групою хворих з ізольованим перебігом ХОЗЛ. </w:t>
      </w:r>
    </w:p>
    <w:p w:rsidR="00A27861" w:rsidRPr="00A27861" w:rsidRDefault="00A27861" w:rsidP="00A27861">
      <w:pPr>
        <w:tabs>
          <w:tab w:val="left" w:pos="1134"/>
        </w:tabs>
        <w:spacing w:after="0" w:line="360" w:lineRule="auto"/>
        <w:ind w:firstLine="709"/>
        <w:contextualSpacing/>
        <w:jc w:val="both"/>
        <w:rPr>
          <w:rFonts w:ascii="Times New Roman" w:hAnsi="Times New Roman" w:cs="Times New Roman"/>
          <w:sz w:val="28"/>
          <w:szCs w:val="28"/>
        </w:rPr>
      </w:pPr>
      <w:r w:rsidRPr="00A27861">
        <w:rPr>
          <w:rFonts w:ascii="Times New Roman" w:hAnsi="Times New Roman" w:cs="Times New Roman"/>
          <w:sz w:val="28"/>
          <w:szCs w:val="28"/>
        </w:rPr>
        <w:t>Встановлено, що за умови розглянутої поєднаної патології відбувається розбалансування обміну біогенних елементів, а саме: заліза, магнію та фосфору та активація органоспецифічних ферментів: КФ-МВ, ГГТП, ЛДГ, АсАТ, АлАТ, α-Амілази.</w:t>
      </w:r>
    </w:p>
    <w:p w:rsidR="00A27861" w:rsidRPr="00A27861" w:rsidRDefault="00A27861" w:rsidP="00A27861">
      <w:pPr>
        <w:tabs>
          <w:tab w:val="left" w:pos="1134"/>
        </w:tabs>
        <w:spacing w:after="0" w:line="360" w:lineRule="auto"/>
        <w:ind w:firstLine="709"/>
        <w:contextualSpacing/>
        <w:jc w:val="both"/>
        <w:rPr>
          <w:rFonts w:ascii="Times New Roman" w:hAnsi="Times New Roman" w:cs="Times New Roman"/>
          <w:sz w:val="28"/>
          <w:szCs w:val="28"/>
        </w:rPr>
      </w:pPr>
      <w:r w:rsidRPr="00A27861">
        <w:rPr>
          <w:rFonts w:ascii="Times New Roman" w:hAnsi="Times New Roman" w:cs="Times New Roman"/>
          <w:sz w:val="28"/>
          <w:szCs w:val="28"/>
        </w:rPr>
        <w:t>Визначено, що поєднання ХОЗЛ та ГХ негативно впливає на морфо-функціональні характеристик серця, що характеризуються ранішнім формуванням діастолічної дисфункції обох шлуночків та виникненням гіпертрофічних типів ремоделювання.</w:t>
      </w:r>
    </w:p>
    <w:p w:rsidR="00A27861" w:rsidRPr="00A27861" w:rsidRDefault="00A27861" w:rsidP="00A27861">
      <w:pPr>
        <w:tabs>
          <w:tab w:val="left" w:pos="1134"/>
        </w:tabs>
        <w:spacing w:after="0" w:line="360" w:lineRule="auto"/>
        <w:ind w:firstLine="709"/>
        <w:contextualSpacing/>
        <w:jc w:val="both"/>
        <w:rPr>
          <w:rFonts w:ascii="Times New Roman" w:hAnsi="Times New Roman" w:cs="Times New Roman"/>
          <w:sz w:val="28"/>
          <w:szCs w:val="28"/>
        </w:rPr>
      </w:pPr>
      <w:r w:rsidRPr="00A27861">
        <w:rPr>
          <w:rFonts w:ascii="Times New Roman" w:hAnsi="Times New Roman" w:cs="Times New Roman"/>
          <w:sz w:val="28"/>
          <w:szCs w:val="28"/>
        </w:rPr>
        <w:t>Уперше, на підставі використання класифікаційних функцій розроблено алгоритм прогнозування перебігу хронічного обструктивного захворювання легень при наявності  гіпертонічної хвороби.</w:t>
      </w:r>
    </w:p>
    <w:p w:rsidR="00A27861" w:rsidRPr="009D2378" w:rsidRDefault="00A27861" w:rsidP="00A27861">
      <w:pPr>
        <w:tabs>
          <w:tab w:val="left" w:pos="1134"/>
        </w:tabs>
        <w:spacing w:after="0" w:line="360" w:lineRule="auto"/>
        <w:ind w:firstLine="709"/>
        <w:contextualSpacing/>
        <w:jc w:val="both"/>
        <w:rPr>
          <w:rFonts w:ascii="Times New Roman" w:hAnsi="Times New Roman" w:cs="Times New Roman"/>
          <w:sz w:val="28"/>
          <w:szCs w:val="28"/>
          <w:lang w:val="ru-RU"/>
        </w:rPr>
      </w:pPr>
      <w:r w:rsidRPr="00A27861">
        <w:rPr>
          <w:rFonts w:ascii="Times New Roman" w:hAnsi="Times New Roman" w:cs="Times New Roman"/>
          <w:sz w:val="28"/>
          <w:szCs w:val="28"/>
        </w:rPr>
        <w:lastRenderedPageBreak/>
        <w:t>Наукова новизна роботи підтверджена державним патентом на корисну модель: “Спосіб оцінки ризику розвитку хронічного обструктивного захворювання легень у хворих на гіпертонічну хворобу” (деклараційний патент на корисну модель № 113096 U, МПК G01N 33/50 від 10.01.2017).</w:t>
      </w:r>
    </w:p>
    <w:p w:rsidR="007A2690" w:rsidRPr="007A2690" w:rsidRDefault="00690289" w:rsidP="007A2690">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b/>
          <w:sz w:val="28"/>
          <w:szCs w:val="28"/>
        </w:rPr>
        <w:t xml:space="preserve">Практична значимість отриманих результатів. </w:t>
      </w:r>
      <w:r w:rsidR="007A2690" w:rsidRPr="007A2690">
        <w:rPr>
          <w:rFonts w:ascii="Times New Roman" w:hAnsi="Times New Roman" w:cs="Times New Roman"/>
          <w:sz w:val="28"/>
          <w:szCs w:val="28"/>
        </w:rPr>
        <w:t>Комплексне дослідження таких показників як адреналін, ВІП, активності iNOS, АПФ та карбоксипептидази N в крові у пацієнтів з ХОЗЛ в поєднанні з ГХ розширить можливості діагностики та прогнозування перебігу захворювань. Застосування в практичній охороні здоров'я виявлених закономірностей в досліджуваних системах дозволяє розширити існуючі підходи до лікування пацієнтів з кардіореспіраторною патологією.</w:t>
      </w:r>
    </w:p>
    <w:p w:rsidR="007A2690" w:rsidRPr="007A2690" w:rsidRDefault="007A2690" w:rsidP="007A2690">
      <w:pPr>
        <w:tabs>
          <w:tab w:val="left" w:pos="1134"/>
        </w:tabs>
        <w:spacing w:after="0" w:line="360" w:lineRule="auto"/>
        <w:ind w:firstLine="709"/>
        <w:contextualSpacing/>
        <w:jc w:val="both"/>
        <w:rPr>
          <w:rFonts w:ascii="Times New Roman" w:hAnsi="Times New Roman" w:cs="Times New Roman"/>
          <w:sz w:val="28"/>
          <w:szCs w:val="28"/>
        </w:rPr>
      </w:pPr>
      <w:r w:rsidRPr="007A2690">
        <w:rPr>
          <w:rFonts w:ascii="Times New Roman" w:hAnsi="Times New Roman" w:cs="Times New Roman"/>
          <w:sz w:val="28"/>
          <w:szCs w:val="28"/>
        </w:rPr>
        <w:t xml:space="preserve">Розроблений алгоритм прогнозування перебігу хронічного обструктивного захворювання легень за наявності гіпертонічної хвороби на підставі використання класифікаційних функцій дозволяє індивідуалізувати  лікування та профілактичні заходи, щодо прогресування захворювань, як лікарю загальної практики, так й кардіологу та пульмонологу. </w:t>
      </w:r>
    </w:p>
    <w:p w:rsidR="007A2690" w:rsidRPr="007A2690" w:rsidRDefault="007A2690" w:rsidP="007A2690">
      <w:pPr>
        <w:tabs>
          <w:tab w:val="left" w:pos="1134"/>
        </w:tabs>
        <w:spacing w:after="0" w:line="360" w:lineRule="auto"/>
        <w:ind w:firstLine="709"/>
        <w:contextualSpacing/>
        <w:jc w:val="both"/>
        <w:rPr>
          <w:rFonts w:ascii="Times New Roman" w:hAnsi="Times New Roman" w:cs="Times New Roman"/>
          <w:sz w:val="28"/>
          <w:szCs w:val="28"/>
        </w:rPr>
      </w:pPr>
      <w:r w:rsidRPr="007A2690">
        <w:rPr>
          <w:rFonts w:ascii="Times New Roman" w:hAnsi="Times New Roman" w:cs="Times New Roman"/>
          <w:sz w:val="28"/>
          <w:szCs w:val="28"/>
        </w:rPr>
        <w:t>Визначення рівнів ВІП та ВЕФР в сироватці крові дозволяє лікарям закладів практичної охорони здоров’я виявити та спрогнозувати розвиток порушення діастолічної функції серця у хворих на вищезазначену патологію.</w:t>
      </w:r>
    </w:p>
    <w:p w:rsidR="007A2690" w:rsidRPr="007A2690" w:rsidRDefault="007A2690" w:rsidP="007A2690">
      <w:pPr>
        <w:tabs>
          <w:tab w:val="left" w:pos="1134"/>
        </w:tabs>
        <w:spacing w:after="0" w:line="360" w:lineRule="auto"/>
        <w:ind w:firstLine="709"/>
        <w:contextualSpacing/>
        <w:jc w:val="both"/>
        <w:rPr>
          <w:rFonts w:ascii="Times New Roman" w:hAnsi="Times New Roman" w:cs="Times New Roman"/>
          <w:sz w:val="28"/>
          <w:szCs w:val="28"/>
        </w:rPr>
      </w:pPr>
      <w:r w:rsidRPr="007A2690">
        <w:rPr>
          <w:rFonts w:ascii="Times New Roman" w:hAnsi="Times New Roman" w:cs="Times New Roman"/>
          <w:sz w:val="28"/>
          <w:szCs w:val="28"/>
        </w:rPr>
        <w:t>Результати дослідження направлені на розробку профілактичних заходів, спрямованих на нормалізацію метаболічних процесів в бронхолегеневій і серцево-судинній системах. Використання комплексу діагностичних заходів, заснований на отриманих результатах, дасть змогу раннього виявлення перебігу ХОЗЛ з ГХ, що сприятиме покращенню якості життя хворих, підвищенню працездатності, забезпечить більш повноцінний і ефективний контроль над симптомами захворювання, зниженню частоти госпіталізацій, терміну перебування на стаціонарному лікуванні, що забезпечить державі позитивний економічний ефект.</w:t>
      </w:r>
    </w:p>
    <w:p w:rsidR="007A2690" w:rsidRPr="009D2378" w:rsidRDefault="007A2690" w:rsidP="007A2690">
      <w:pPr>
        <w:tabs>
          <w:tab w:val="left" w:pos="1134"/>
        </w:tabs>
        <w:spacing w:after="0" w:line="360" w:lineRule="auto"/>
        <w:ind w:firstLine="709"/>
        <w:contextualSpacing/>
        <w:jc w:val="both"/>
        <w:rPr>
          <w:rFonts w:ascii="Times New Roman" w:hAnsi="Times New Roman" w:cs="Times New Roman"/>
          <w:sz w:val="28"/>
          <w:szCs w:val="28"/>
        </w:rPr>
      </w:pPr>
      <w:r w:rsidRPr="007A2690">
        <w:rPr>
          <w:rFonts w:ascii="Times New Roman" w:hAnsi="Times New Roman" w:cs="Times New Roman"/>
          <w:sz w:val="28"/>
          <w:szCs w:val="28"/>
        </w:rPr>
        <w:t xml:space="preserve">Результати дослідження впроваджені в практичну роботу терапевтичних відділень наступних лікувальних закладів: НДІ гігієни праці та професійних захворювань ХНМУ, КЗОЗ «Бабаївська амбулаторія загальної практики та </w:t>
      </w:r>
      <w:r w:rsidRPr="007A2690">
        <w:rPr>
          <w:rFonts w:ascii="Times New Roman" w:hAnsi="Times New Roman" w:cs="Times New Roman"/>
          <w:sz w:val="28"/>
          <w:szCs w:val="28"/>
        </w:rPr>
        <w:lastRenderedPageBreak/>
        <w:t>семейної медицини», КЗОЗ «Мереф'янська центральна районна лікарня», ХКЛ на ЗТ №2 філії «ЦОЗ» ПАТ «Укрзалізниця», КЗОЗ «Харківська міська клінічна багатопрофільна лікарня №17», КЗОЗ «Харківська міська поліклініка № 24», у навчальний процес кафедри внутрішніх та професійних хвороб Харківського національного медичного університету.</w:t>
      </w:r>
    </w:p>
    <w:p w:rsidR="007A2690" w:rsidRPr="009D2378" w:rsidRDefault="00690289" w:rsidP="003F2037">
      <w:pPr>
        <w:tabs>
          <w:tab w:val="left" w:pos="1134"/>
        </w:tabs>
        <w:spacing w:after="0" w:line="360" w:lineRule="auto"/>
        <w:ind w:firstLine="709"/>
        <w:contextualSpacing/>
        <w:jc w:val="both"/>
        <w:rPr>
          <w:rFonts w:ascii="Times New Roman" w:hAnsi="Times New Roman" w:cs="Times New Roman"/>
          <w:sz w:val="28"/>
          <w:szCs w:val="28"/>
          <w:lang w:val="ru-RU"/>
        </w:rPr>
      </w:pPr>
      <w:r w:rsidRPr="00156441">
        <w:rPr>
          <w:rFonts w:ascii="Times New Roman" w:hAnsi="Times New Roman" w:cs="Times New Roman"/>
          <w:b/>
          <w:sz w:val="28"/>
          <w:szCs w:val="28"/>
        </w:rPr>
        <w:t xml:space="preserve">Особистий внесок </w:t>
      </w:r>
      <w:r w:rsidR="00386222" w:rsidRPr="00156441">
        <w:rPr>
          <w:rFonts w:ascii="Times New Roman" w:hAnsi="Times New Roman" w:cs="Times New Roman"/>
          <w:b/>
          <w:sz w:val="28"/>
          <w:szCs w:val="28"/>
        </w:rPr>
        <w:t>здобувача</w:t>
      </w:r>
      <w:r w:rsidRPr="00156441">
        <w:rPr>
          <w:rFonts w:ascii="Times New Roman" w:hAnsi="Times New Roman" w:cs="Times New Roman"/>
          <w:sz w:val="28"/>
          <w:szCs w:val="28"/>
        </w:rPr>
        <w:t xml:space="preserve">. </w:t>
      </w:r>
      <w:r w:rsidR="007A2690" w:rsidRPr="007A2690">
        <w:rPr>
          <w:rFonts w:ascii="Times New Roman" w:hAnsi="Times New Roman" w:cs="Times New Roman"/>
          <w:sz w:val="28"/>
          <w:szCs w:val="28"/>
        </w:rPr>
        <w:t xml:space="preserve">Здобувач визначила напрямок дослідження, розробила його дизайн та методологію, провела відбір, клінічне обстеження та аналіз результатів імунологічних, спектрофотометричних і біохімічних досліджень визначеної кагорти хворих, створила комп’ютеру базу даних та провела статистичну обробка отриманих результатів. Самостійно оформлені результати дослідження, сформульовані основні положення дисертації, підготовлено матеріали до друку.  </w:t>
      </w:r>
    </w:p>
    <w:p w:rsidR="00386222" w:rsidRPr="00156441" w:rsidRDefault="00690289" w:rsidP="003F2037">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b/>
          <w:sz w:val="28"/>
          <w:szCs w:val="28"/>
        </w:rPr>
        <w:t>Апробація результатів дослідження</w:t>
      </w:r>
      <w:r w:rsidRPr="00156441">
        <w:rPr>
          <w:rFonts w:ascii="Times New Roman" w:hAnsi="Times New Roman" w:cs="Times New Roman"/>
          <w:sz w:val="28"/>
          <w:szCs w:val="28"/>
        </w:rPr>
        <w:t xml:space="preserve">. </w:t>
      </w:r>
      <w:r w:rsidR="00386222" w:rsidRPr="00156441">
        <w:rPr>
          <w:rFonts w:ascii="Times New Roman" w:hAnsi="Times New Roman" w:cs="Times New Roman"/>
          <w:sz w:val="28"/>
          <w:szCs w:val="28"/>
        </w:rPr>
        <w:t>Основні положення дисертації представлено та обговорено на міжвузівській конференції молодих вчених «Медицина третього тисячоліття» (Харків, 19 січня 2016 р., 16-17 січня 2017 р.), науково-практичній конференції з міжнародною участю «Щорічні терапевтичні читання: профілактика неінфекційних захворювань на перехресті терапевтичних наук» присвяченої пам'яті Л. Т. Малої (Харків, 21 квітня 2016 р.), науково-практичній конференції з участю міжнародних спеціалістів, присвяченої дню науки в Україні «Медична наука та клінічна практика», (Харків, 20 травня 2016р.), міжнародній науково-практичній конференції студентів та молодих вчених «Наука и медицина: современный взгляд молодежи» (Алматы, 20-21 апреля 2017г.).</w:t>
      </w:r>
    </w:p>
    <w:p w:rsidR="00EA1D5E" w:rsidRPr="00156441" w:rsidRDefault="00690289" w:rsidP="007A2690">
      <w:pPr>
        <w:tabs>
          <w:tab w:val="left" w:pos="1134"/>
        </w:tabs>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b/>
          <w:bCs/>
          <w:sz w:val="28"/>
          <w:szCs w:val="28"/>
        </w:rPr>
        <w:t xml:space="preserve">Публікації. </w:t>
      </w:r>
      <w:r w:rsidR="007A2690" w:rsidRPr="007A2690">
        <w:rPr>
          <w:rFonts w:ascii="Times New Roman" w:hAnsi="Times New Roman" w:cs="Times New Roman"/>
          <w:sz w:val="28"/>
          <w:szCs w:val="28"/>
        </w:rPr>
        <w:t>За матеріалами дисертації опубліковано 16 наукових праць, з них 7 статей у фахових виданнях, рекомендованих МОН України, з них 1 у моноавторстві і 1 стаття у закордонному виданні, отримано 1 патент України на корисну модель, 7 тез у матеріалах конгресів, з</w:t>
      </w:r>
      <w:r w:rsidR="009D2378">
        <w:rPr>
          <w:rFonts w:ascii="Times New Roman" w:hAnsi="Times New Roman" w:cs="Times New Roman"/>
          <w:sz w:val="28"/>
          <w:szCs w:val="28"/>
        </w:rPr>
        <w:t>’</w:t>
      </w:r>
      <w:r w:rsidR="007A2690" w:rsidRPr="007A2690">
        <w:rPr>
          <w:rFonts w:ascii="Times New Roman" w:hAnsi="Times New Roman" w:cs="Times New Roman"/>
          <w:sz w:val="28"/>
          <w:szCs w:val="28"/>
        </w:rPr>
        <w:t>їздів і конференцій.</w:t>
      </w:r>
      <w:r w:rsidR="00EA1D5E" w:rsidRPr="00156441">
        <w:rPr>
          <w:rFonts w:ascii="Times New Roman" w:hAnsi="Times New Roman" w:cs="Times New Roman"/>
          <w:sz w:val="28"/>
          <w:szCs w:val="28"/>
        </w:rPr>
        <w:br w:type="page"/>
      </w:r>
    </w:p>
    <w:p w:rsidR="009F6F70" w:rsidRPr="00156441" w:rsidRDefault="009F6F70" w:rsidP="009F6F70">
      <w:pPr>
        <w:spacing w:after="0" w:line="360" w:lineRule="auto"/>
        <w:jc w:val="center"/>
        <w:rPr>
          <w:rFonts w:ascii="Times New Roman" w:hAnsi="Times New Roman" w:cs="Times New Roman"/>
          <w:b/>
          <w:sz w:val="28"/>
          <w:szCs w:val="28"/>
        </w:rPr>
      </w:pPr>
      <w:bookmarkStart w:id="3" w:name="Rozd_1_ogl"/>
      <w:r w:rsidRPr="00156441">
        <w:rPr>
          <w:rFonts w:ascii="Times New Roman" w:hAnsi="Times New Roman" w:cs="Times New Roman"/>
          <w:b/>
          <w:sz w:val="28"/>
          <w:szCs w:val="28"/>
        </w:rPr>
        <w:lastRenderedPageBreak/>
        <w:t>РОЗДІЛ 1</w:t>
      </w:r>
      <w:bookmarkEnd w:id="3"/>
    </w:p>
    <w:p w:rsidR="009F6F70" w:rsidRPr="00156441" w:rsidRDefault="009F6F70" w:rsidP="009F6F70">
      <w:pPr>
        <w:spacing w:after="0" w:line="360" w:lineRule="auto"/>
        <w:jc w:val="center"/>
        <w:rPr>
          <w:rFonts w:ascii="Times New Roman" w:hAnsi="Times New Roman" w:cs="Times New Roman"/>
          <w:b/>
          <w:sz w:val="28"/>
          <w:szCs w:val="28"/>
        </w:rPr>
      </w:pPr>
      <w:r w:rsidRPr="00156441">
        <w:rPr>
          <w:rFonts w:ascii="Times New Roman" w:hAnsi="Times New Roman" w:cs="Times New Roman"/>
          <w:b/>
          <w:sz w:val="28"/>
          <w:szCs w:val="28"/>
        </w:rPr>
        <w:t>ОГЛЯД ЛІТЕРАТУРИ</w:t>
      </w:r>
    </w:p>
    <w:p w:rsidR="009F6F70" w:rsidRPr="00156441" w:rsidRDefault="009F6F70" w:rsidP="009F6F70">
      <w:pPr>
        <w:spacing w:after="0" w:line="360" w:lineRule="auto"/>
        <w:ind w:left="709"/>
        <w:contextualSpacing/>
        <w:jc w:val="both"/>
        <w:rPr>
          <w:rFonts w:ascii="Times New Roman" w:hAnsi="Times New Roman" w:cs="Times New Roman"/>
          <w:b/>
          <w:sz w:val="28"/>
          <w:szCs w:val="28"/>
        </w:rPr>
      </w:pPr>
    </w:p>
    <w:p w:rsidR="009F6F70" w:rsidRPr="00156441" w:rsidRDefault="009F6F70" w:rsidP="009F6F70">
      <w:pPr>
        <w:spacing w:after="0" w:line="360" w:lineRule="auto"/>
        <w:ind w:firstLine="709"/>
        <w:jc w:val="center"/>
        <w:rPr>
          <w:rFonts w:ascii="Times New Roman" w:hAnsi="Times New Roman" w:cs="Times New Roman"/>
          <w:b/>
          <w:sz w:val="28"/>
          <w:szCs w:val="28"/>
        </w:rPr>
      </w:pPr>
      <w:bookmarkStart w:id="4" w:name="Pidrozd_1_1"/>
      <w:r w:rsidRPr="00156441">
        <w:rPr>
          <w:rFonts w:ascii="Times New Roman" w:hAnsi="Times New Roman" w:cs="Times New Roman"/>
          <w:b/>
          <w:sz w:val="28"/>
          <w:szCs w:val="28"/>
        </w:rPr>
        <w:t>1.1. Сучасний погляд на особливості клінічного перебігу хронічного обструктивного захворювання легень в поєднанні з гіпертонічною хворобою</w:t>
      </w:r>
    </w:p>
    <w:bookmarkEnd w:id="4"/>
    <w:p w:rsidR="009F6F70" w:rsidRPr="00156441" w:rsidRDefault="009F6F70" w:rsidP="009F6F70">
      <w:pPr>
        <w:spacing w:after="0" w:line="360" w:lineRule="auto"/>
        <w:ind w:left="709"/>
        <w:contextualSpacing/>
        <w:jc w:val="both"/>
        <w:rPr>
          <w:rFonts w:ascii="Times New Roman" w:hAnsi="Times New Roman" w:cs="Times New Roman"/>
          <w:b/>
          <w:sz w:val="28"/>
          <w:szCs w:val="28"/>
        </w:rPr>
      </w:pP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Протягом багатьох століть чимало поколінь лікарів пропагували доцільність комплексного підходу у виявленні хвороби та зцілення хворого, проте сучасна медицина, що оперує великою кількістю діагностичних методик і </w:t>
      </w:r>
      <w:r w:rsidR="003F2037" w:rsidRPr="00156441">
        <w:rPr>
          <w:rFonts w:ascii="Times New Roman" w:hAnsi="Times New Roman" w:cs="Times New Roman"/>
          <w:sz w:val="28"/>
          <w:szCs w:val="28"/>
        </w:rPr>
        <w:t>різноманіттям</w:t>
      </w:r>
      <w:r w:rsidRPr="00156441">
        <w:rPr>
          <w:rFonts w:ascii="Times New Roman" w:hAnsi="Times New Roman" w:cs="Times New Roman"/>
          <w:sz w:val="28"/>
          <w:szCs w:val="28"/>
        </w:rPr>
        <w:t xml:space="preserve"> лікувальних процедур, в якості однієї з фундаментальних засад своєї </w:t>
      </w:r>
      <w:r w:rsidR="003F2037" w:rsidRPr="00156441">
        <w:rPr>
          <w:rFonts w:ascii="Times New Roman" w:hAnsi="Times New Roman" w:cs="Times New Roman"/>
          <w:sz w:val="28"/>
          <w:szCs w:val="28"/>
        </w:rPr>
        <w:t>діяльності</w:t>
      </w:r>
      <w:r w:rsidRPr="00156441">
        <w:rPr>
          <w:rFonts w:ascii="Times New Roman" w:hAnsi="Times New Roman" w:cs="Times New Roman"/>
          <w:sz w:val="28"/>
          <w:szCs w:val="28"/>
        </w:rPr>
        <w:t xml:space="preserve"> обрала конкретизацію, зосередженість на окремих нозологічних формах. Тривалий час це питання залишалося відкритим, поки в 1970 році A. R. Feinstein</w:t>
      </w:r>
      <w:r w:rsidR="009D2378">
        <w:rPr>
          <w:rFonts w:ascii="Times New Roman" w:hAnsi="Times New Roman" w:cs="Times New Roman"/>
          <w:sz w:val="28"/>
          <w:szCs w:val="28"/>
          <w:lang w:val="en-US"/>
        </w:rPr>
        <w:t> </w:t>
      </w:r>
      <w:r w:rsidRPr="00156441">
        <w:rPr>
          <w:rFonts w:ascii="Times New Roman" w:hAnsi="Times New Roman" w:cs="Times New Roman"/>
          <w:sz w:val="28"/>
          <w:szCs w:val="28"/>
        </w:rPr>
        <w:t>— видатний американський лікар, дослідник і епідеміолог, що зробив значний внесок у вдосконалення техніки проведення клінічних досліджень, а особливо в області клінічної епідеміології, — запропонував поняття «коморбідність» [</w:t>
      </w:r>
      <w:r w:rsidR="00CA152C" w:rsidRPr="00156441">
        <w:rPr>
          <w:rFonts w:ascii="Times New Roman" w:hAnsi="Times New Roman" w:cs="Times New Roman"/>
          <w:sz w:val="28"/>
          <w:szCs w:val="28"/>
        </w:rPr>
        <w:fldChar w:fldCharType="begin"/>
      </w:r>
      <w:r w:rsidR="00CA152C" w:rsidRPr="00156441">
        <w:rPr>
          <w:rFonts w:ascii="Times New Roman" w:hAnsi="Times New Roman" w:cs="Times New Roman"/>
          <w:sz w:val="28"/>
          <w:szCs w:val="28"/>
        </w:rPr>
        <w:instrText xml:space="preserve"> REF _Ref502690742 \r \h </w:instrText>
      </w:r>
      <w:r w:rsidR="00F44EE4" w:rsidRPr="00156441">
        <w:rPr>
          <w:rFonts w:ascii="Times New Roman" w:hAnsi="Times New Roman" w:cs="Times New Roman"/>
          <w:sz w:val="28"/>
          <w:szCs w:val="28"/>
        </w:rPr>
        <w:instrText xml:space="preserve"> \* MERGEFORMAT </w:instrText>
      </w:r>
      <w:r w:rsidR="00CA152C" w:rsidRPr="00156441">
        <w:rPr>
          <w:rFonts w:ascii="Times New Roman" w:hAnsi="Times New Roman" w:cs="Times New Roman"/>
          <w:sz w:val="28"/>
          <w:szCs w:val="28"/>
        </w:rPr>
      </w:r>
      <w:r w:rsidR="00CA152C"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w:t>
      </w:r>
      <w:r w:rsidR="00CA152C"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 теперішній час загальноприйнята термінологія коморбідності відсутня. Деякі автори протиставляють одна одній поняття коморбідності і мультиморбідності, визначаючи першу як наявність множинних захворювань,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язаних доведеним єдиним патогенетичним механізмом, а другу, як наявність множинних захворювань, не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язаних між собою доведеними на даний момент патофізіологічними механізмами; існує думка, що мультиморбідность є поєднанням чималої кількості хронічних або гострих хвороб і медичних станів у однієї людини, і не роблять акцент на єдність або різницю їх патогенезу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_Ref502021848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_Ref502021850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_Ref502021852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Принципове уточнення терміну дали H. C. Kraemer і M. van den Akker зі співавт., визначивши коморбідність як поєднання у одного хворого двох і (або) більше хронічних захворювань, патогенетично взаємопов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язаних між собою або співпадаючих по часу у одного пацієнта незалежно від активності кожного з них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_Ref502022194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_Ref502022195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Коморбідність широко представлена серед хворих, госпіталізованих в багатопрофільні стаціонари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_Ref502022970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На етапі первинної медичної допомоги пацієнти з наявністю одночасно декількох захворювань є скоріш правилом, ніж винятком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_Ref502023087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Профілактика і лікування хронічних захворювань позначені Всесвітньою організацією охорони здоров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 в якості пріоритетного проекту другого десятиліття XXI століття, спрямованих на поліпшення якості життя населення світу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_Ref502023450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_Ref502023451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Цим обумовлена повсюдна тенденція до проведення великомасштабних епідеміологічних досліджень в різних галузях медицини, виконуваних із застосуванням засобів багатофакторного статистичного аналізу. Проте, у більшість проведених рандомізованих клінічних досліджень автори включають пацієнтів з окремою рафінованою патологією, роблячи коморбідн</w:t>
      </w:r>
      <w:r w:rsidR="003F2037" w:rsidRPr="00156441">
        <w:rPr>
          <w:rFonts w:ascii="Times New Roman" w:hAnsi="Times New Roman" w:cs="Times New Roman"/>
          <w:sz w:val="28"/>
          <w:szCs w:val="28"/>
        </w:rPr>
        <w:t>і</w:t>
      </w:r>
      <w:r w:rsidRPr="00156441">
        <w:rPr>
          <w:rFonts w:ascii="Times New Roman" w:hAnsi="Times New Roman" w:cs="Times New Roman"/>
          <w:sz w:val="28"/>
          <w:szCs w:val="28"/>
        </w:rPr>
        <w:t>сть критерієм виключення. Через це, дослідження, присвячені оцінці поєднання тих чи інших окремо взятих захворювань, важко віднести до робіт, які вивчають коморбідність в цілому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_Ref502023636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_Ref502040093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_Ref502040959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Одним із можливих аспектів подальшого удосконалення є урахування коморбідності в систематиці захворювань, що наразі відсутнє у Міжнародній класифікації хвороб X-го перегляду. Створюються міжнародні ініціативи, спрямовані на впровадження сучасного новітнього розуміння коморбідності в контексті медичної практики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_Ref502024674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У практиці сучасного лікаря все рідше зустрічаються пацієнти з наявністю лише однієї патології. Так, на підставі проведеного аналізу 980 історій хвороб сімейного лікаря було виявлено, що поєднання двох або більше хвороб складає 69</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у хворих молодого віку (18–44 років), 93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 у людей середнього віку та 98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у групи пацієнтів, старших за 65 років. Найчастіше із супутніх захворювань при ХОЗЛ зустрічаються такі, як: кардіоваскулярна </w:t>
      </w:r>
      <w:r w:rsidR="003F2037" w:rsidRPr="00156441">
        <w:rPr>
          <w:rFonts w:ascii="Times New Roman" w:hAnsi="Times New Roman" w:cs="Times New Roman"/>
          <w:sz w:val="28"/>
          <w:szCs w:val="28"/>
        </w:rPr>
        <w:t>патологія</w:t>
      </w:r>
      <w:r w:rsidRPr="00156441">
        <w:rPr>
          <w:rFonts w:ascii="Times New Roman" w:hAnsi="Times New Roman" w:cs="Times New Roman"/>
          <w:sz w:val="28"/>
          <w:szCs w:val="28"/>
        </w:rPr>
        <w:t xml:space="preserve">, гастроезофагальна рефлюксна хвороба, остеопороз, </w:t>
      </w:r>
      <w:r w:rsidR="00596B89" w:rsidRPr="00156441">
        <w:rPr>
          <w:rFonts w:ascii="Times New Roman" w:hAnsi="Times New Roman" w:cs="Times New Roman"/>
          <w:sz w:val="28"/>
          <w:szCs w:val="28"/>
        </w:rPr>
        <w:t>депресія</w:t>
      </w:r>
      <w:r w:rsidRPr="00156441">
        <w:rPr>
          <w:rFonts w:ascii="Times New Roman" w:hAnsi="Times New Roman" w:cs="Times New Roman"/>
          <w:sz w:val="28"/>
          <w:szCs w:val="28"/>
        </w:rPr>
        <w:t>, дисліпідемія, однак в різних дослідженнях надаються різні дані. В досліджені van Manen з колегами надав дані про те, що близько 50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з 1145 пацієнтів з ХОЗЛ мають 1 чи 2 супутні патології, 15,8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мали від 3 до 4 супутніх захворювань, а 6,8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мали 5 та більше супутніх захворювань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_Ref502026827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Як було показано у численних популяційних дослідженнях, проведених у Нідерландах (67786 пацієнтів)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_Ref502024139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Сполучених Штатах Америки (17285 осіб)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_Ref502024914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та інших країнах, серцево-судинна патологія характеризується високим ризиком коморбідності, яка обумовлює істотний вплив на якість життя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_Ref502024337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_Ref502025052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ефективність лікування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_Ref502024481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_Ref476827651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реабілітації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_Ref502067444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тощо.</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Хронічне обструктивне захворювання легень в теперішній час є четвертою за значимістю причиною інвалідності і смертності в усьому світі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_Ref502059230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і, згідно прогнозам, за три подальші роки може посісти третє місце у загальній структурі летальності від різних хвороб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_Ref476793031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_Ref476793790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навіть попри значні і зростаючі економічні витрати, спрямовані на запобігання, вчасну діагностику й лікування захворювання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_Ref476796590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_Ref502047149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При цьому, загроза життю і значний соціоекономічний тягар здебільшого обумовлені не стільки власне ХОЗЛ, скільки його ускладненнями та широким спектром коморбідної патології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_Ref476793031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_Ref476809391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_Ref476794613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перш за все кардіоваскулярної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_Ref502064240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_Ref502064711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язаної з серцевою недостатністю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_Ref502064920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_Ref502064646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серцевими аритміями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_Ref502064880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_Ref476796879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_Ref502043931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Це обумовило доцільність навіть виокремлення спеціального фенотипу ХОЗЛ, асоційованого з поєднаними захворюваннями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_Ref491655628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_Ref502025385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_Ref502045884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і, в свою чергу, частими загостреннями, що потребують госпіталізації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_Ref502045958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_Ref502046001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Нерідке (за різними даними, у близько 10–40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поєднання ХОЗЛ із хворобами серцево-судинної системи, перш за все гіпертонічною хворобою, істотно впливає на клінічний прогноз для пацієнтів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_Ref476793031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_Ref476794613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_Ref502040667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_Ref502040997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 ретроспективному когортному дослідженні у Нідерландах в контингенті 14603 пацієнтів з ХОЗЛ системну артеріальну гіпертензію виявлено у 35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хоча вплив супутньої ГХ на відносний ризик частого (більше двох разів на рік) загострення ХОЗЛ не було підтверджено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_Ref476809391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З іншого боку, згідно недавно опублікованим результатам популяційного проспективного рандомізованого дослідження, проведеного у Китаї за участю 29258 пацієнтів з ХОЗЛ, за супутньої системної артеріальної гіпертензії істотно підвищується ризик розвитку основних несприятливих кардіоваскулярних подій (гострого інфаркту міокарда, ішемічного інсульту, серцево-судинної смерті)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_Ref476794613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Проте, у деяких дослідженнях автори на клінічному рівні не встановлюють тісної асоціації розвитку цих двох захворювань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_Ref476796879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що можна пояснити широкою варіативністю частоти поєднання ХОЗЛ та ГХ.</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Чимало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язаних із ГХ порушень у серцево-судинній системі як обумовлюються наявним ХОЗЛ, так і, навпаки, сприяють прогресуванню і тяжчому перебігу, загостренням ХОЗЛ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_Ref502066877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_Ref502066879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Зокрема, це було показано багаторічними дослідженнями Bhatt S. P. та співавт.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_Ref476803232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_Ref476803230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_Ref476803233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З клінічної точки зору як цими, так й іншими дослідниками було виявлено спорідненість, з одного боку, розвитку серцевих аритмій, одним із предикторів яких виступала ГХ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_Ref476803234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59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_Ref476806677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і властивої ХОЗЛ гіпертензії в системі легеневої артерії та гіпертрофії правих відділів серця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_Ref502065929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_Ref502065969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з іншого — частоті і тяжкості загострень ХОЗЛ; встановлено закономірності динаміки кардіореспіраторної патології в контексті жорсткості артерій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_Ref502065541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_Ref476803235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у свою чергу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язаної з оксидативним та нітроксидативним стресом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_Ref502047092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тощо.</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Якщо розглядати ХОЗЛ як захворювання другої частини життя, то дуже часто вона поєднується з іншою соматичною патологією, набутою до цього віку. Частіше за все зустрічається патологія серцево-судинної системи (гіпертонічна хвороба, атеросклероз коронарних артерій, серцева недостатність, фібриляція передсердь, інсульт) та відіграє велику роль, тому що вона безпосередньо впливає на виживання пацієнта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_Ref502065871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_Ref502061430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В цілому у пацієнтів з ХОЗЛ ризик серцево-судинних захворювань зростає в 2–3 рази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_Ref502027098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68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_Ref502027099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75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У хворих на ХОЗЛ гіпертонічна хвороба зустрічається в близько 40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випадків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_Ref502027373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76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_Ref502027270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77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На сучасному етапі одним з пріоритетів у лікарів усього світу є поліпшення якості життя пацієнтів, які страждають на хронічні захворювання, максимальне зниження ризику ускладнень та смерті від них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_Ref502027563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78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_Ref502027565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79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_Ref502027566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_Ref502027567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У якості основної мети щодо коморбідного перебігу хронічного обструктивного захворювання легень та гіпертонічної хвороби, тривалий час виділяють такі, як зниження артеріального тиску до цільового рівня, зменшення впливу екзогенних факторів, корекція факторів ризику, що модифікуються, </w:t>
      </w:r>
      <w:r w:rsidRPr="00156441">
        <w:rPr>
          <w:rFonts w:ascii="Times New Roman" w:hAnsi="Times New Roman" w:cs="Times New Roman"/>
          <w:sz w:val="28"/>
          <w:szCs w:val="28"/>
        </w:rPr>
        <w:lastRenderedPageBreak/>
        <w:t>попередження та зменшення наростання ураження органів-мішеней, а також акцентування уваги на асоційованих та супутніх захворюваннях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_Ref502027817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_Ref502027818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_Ref502027819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_Ref502027820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У всьому світі приділяється все більш уваги такій розповсюдженій поєднаній патології, як ХОЗЛ з супутньою ГХ,</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яка безумовно ускладнює перебіг одна іншої, супроводжується істотним зниженням толерантності до фізичного навантаження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_Ref502046736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в рази підвищує рівень захворюваності та летальних наслідків, що і</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являються безумовним стимулом для пошуку факторів ризику, органів</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мішеней та удосконалення діагностики та профілактики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_Ref502066437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Сучасні науковці розглядають серцево-судинну патологію, зокрема ГХ, я системний прояв ХОЗЛ, активно й окремо поділяючи увагу складним патогенетичним ланкам, які й призводять до синдрому </w:t>
      </w:r>
      <w:r w:rsidR="00596B89" w:rsidRPr="00156441">
        <w:rPr>
          <w:rFonts w:ascii="Times New Roman" w:hAnsi="Times New Roman" w:cs="Times New Roman"/>
          <w:sz w:val="28"/>
          <w:szCs w:val="28"/>
        </w:rPr>
        <w:t>взаємного</w:t>
      </w:r>
      <w:r w:rsidRPr="00156441">
        <w:rPr>
          <w:rFonts w:ascii="Times New Roman" w:hAnsi="Times New Roman" w:cs="Times New Roman"/>
          <w:sz w:val="28"/>
          <w:szCs w:val="28"/>
        </w:rPr>
        <w:t xml:space="preserve"> обтяження.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 дослідженнях останнього часу показується, що погіршення функції легень предиктором є настільки ж сильним прогностичним маркером серцево-судинної летальності, як і основні фактори ризику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_Ref502040905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Зменшення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єму форсованого видиху за 1-у секунду на 10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збільшує загальну смертність на 14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і кардіоваскулярну — на 28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_Ref502025385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48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Окремого обговорення заслуговують клініко-фармакологічні аспекти поєднаного перебігу ХОЗЛ та ГХ.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Результати застосування деяких фармакологічних підходів із відомими параметрами фармакодинаміки, а також немедикаментозного лікування, дозволяє оцінити роль певних патогенетичних факторів у розвитку як ХОЗЛ окремо, так і його поєднання з іншими хворобами, зокрема, ГХ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_Ref502066594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89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_Ref502061325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97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Так, масштабне (2007–2012 рр., понад 215 тис. учасників) дослідження ролі терапії, спрямованої на корекцію стану ренін-ангіотензин-альдостеронової системи, у темпах розвитку та часу прояву легеневих ускладнень, проведене у Сполучених Штатах Америки із застосуванням інгібіторів ангіотензинперетворюючого фермента, блокаторів рецепторів ангіотензину, блокаторів кальцієвих каналів та подальшим використанням аналізу Кокса, показало широку гаму особливостей фармакодинамічних ефектів в умовах коморбідності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_Ref502025794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98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_Ref502025745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99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Застосування β-адреноблокаторів у лікуванні ГХ та споріднених їй станів має потужну доказову базу, проте для випадків наявності у пацієнта ХОЗЛ питання доцільності, дозування і режиму застосування цієї групи препаратів досі не є однозначним, попри чисельність досліджень, присвячених цьому аспектові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_Ref502026068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_Ref502026070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_Ref502026071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_Ref476803940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Пробема застосування β-адреноблокаторів людям з поєднаним ХОЗЛ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язана зниження базальної вентиляційної функції легень, погіршенням ефективності невідкладного застосування β-агоністів за нападу бронхіальної обструкції, гіршим ефектом β-агоністів тривалої дії і, таким чином, контролем перебігу ХОЗЛ, зрештою, труднощами диференціальної діагностики між ХОЗЛ та бронхіальною астмою. Здатність β-адреноблокаторів пригнічувати функцію зовнішнього дихання як у загальній популяції, так і у пацієнтів з ХОЗЛ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язана з недостатньою селективністю їх дії щодо кардіальних β1-адренорецепторів та респіраторних β2-адренорецепторів; у ряді досліджень було показано, що подолання блокади β-рецепторів потребує збільшення дози β-агоністів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_Ref476803940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Як ХОЗЛ, так і кардіоваскулярні хвороби, зокрема ГХ, мають багато спільних факторів ризику і обидва захворювання характеризуються значною адренергічною та запальною активацією. Вважають, що β-блокатори таким чином мають бути особливо доречні щодо зниження вірогідності серцево-судинних подій у пацієнтів цієї групи високого ризику через їх властивість знижувати фонову запальну активацію, зменшувати частоту серцевих скорочень та артеріальний тиск, асоційовані як із продукцією ендогенного адреналіну, так і лікуванням великими дозами β-агоністів за тяжкого загострення ХОЗЛ. У деяких дослідженнях не виявлено збільшення, а часом — навпаки, встановлено зменшення смертності у пацієнтів з ХОЗЛ, які приймали β-адреноблокатори щодо коморбідної ГХ та іншої кардіальної патології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_Ref476803940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Проте, здебільшого це обсерваційні дослідження, і вкрай обмаль рандомізованих контрольованих досліджень.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Потенційні шляхи розв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язання цієї дилеми застосування β-адреноблокаторів за поєднаного перебігу ХОЗЛ та ГХ включають розробку високоселективних блокаторів β1-адренорецепторів або застосування засобів, які знижують частоту </w:t>
      </w:r>
      <w:r w:rsidRPr="00156441">
        <w:rPr>
          <w:rFonts w:ascii="Times New Roman" w:hAnsi="Times New Roman" w:cs="Times New Roman"/>
          <w:sz w:val="28"/>
          <w:szCs w:val="28"/>
        </w:rPr>
        <w:lastRenderedPageBreak/>
        <w:t>серцевих скорочень без блокування β-адренорецепторів, таких як івабрадін (відома його ефективність за серцевої недостатності, хоча щодо ГХ та інших хронічних серцево-судинних хвороб без дисфункції серця дані не такі однозначні), у випадку, якщо вони підтвердять свою доказовість у рандомізованих контрольованих дослідженнях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_Ref502033043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В умовах гіпоксії, імунозапальних, окиснювальних, дизрегуляторних процесів у вегетативній нервовій та ендокринній системах, мікроелементному </w:t>
      </w:r>
      <w:r w:rsidR="00596B89" w:rsidRPr="00156441">
        <w:rPr>
          <w:rFonts w:ascii="Times New Roman" w:hAnsi="Times New Roman" w:cs="Times New Roman"/>
          <w:sz w:val="28"/>
          <w:szCs w:val="28"/>
        </w:rPr>
        <w:t>дисбалансі</w:t>
      </w:r>
      <w:r w:rsidRPr="00156441">
        <w:rPr>
          <w:rFonts w:ascii="Times New Roman" w:hAnsi="Times New Roman" w:cs="Times New Roman"/>
          <w:sz w:val="28"/>
          <w:szCs w:val="28"/>
        </w:rPr>
        <w:t>, притаманних ХОЗЛ, а тим більше — впливу широкої гами патогенетичних факторів, властивих серцево-судинним порушенням, зокрема ГХ, погіршуються метаболічні та стимулюються ремоделювальні процеси у судинах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_Ref476796311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_Ref502063604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В результаті, однією з небезпечних рис такої коморбідної патології є підвищений ризик розвитку кардіоваскулярних подій. Все це суттєво впливає на подальший перебіг як ХОЗЛ, так і ГХ, значно погіршує прогноз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_Ref476794613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Спільними факторами ризику для цих захворювань, та причинами їх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язку</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можна виділити такі, як паління (активне і пасивне), надлишкова маса тіла, занизька фізична активність, наявність професійної патології, дисліпідемія, вторинний еритроцитоз, вторинний гіперальдестеронізм, обструктивне апное уві сні, літній вік, чоловіча стать, легенева гіпертонія, гіпертензивні ефекти деяких медикаментозних препаратів, що застосовуються при лікуванні ХОЗЛ (глюкокортикоїди, b2–агоністи), що безумовно прогресують разом з матеріально-технічним розвитком соціуму, урбанізацією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_Ref502033226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_Ref502033227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_Ref502033228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109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_Ref502033230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_Ref502033231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E80394" w:rsidRDefault="009F6F70" w:rsidP="00E80394">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Встановлено, що ХОЗЛ і супутню ГХ зближують різні асоційовані фактори, які відіграють важливу роль в перебігу і прогресуванні кожного з цих патологічних процесів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_Ref502064348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В умовах поєднання ХОЗЛ і ГХ, на додаток до структурно-метаболічних змін міокарду, гемодинамічних розладів, і у тісному з ними взаємозв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язку, істотного значення набуває ураження ендотелію судин як важливої ланки розвитку коморбідної патології.</w:t>
      </w:r>
    </w:p>
    <w:p w:rsidR="001C36B2" w:rsidRDefault="001C36B2" w:rsidP="00184106">
      <w:pPr>
        <w:spacing w:after="0" w:line="360" w:lineRule="auto"/>
        <w:contextualSpacing/>
        <w:jc w:val="both"/>
        <w:rPr>
          <w:rFonts w:ascii="Times New Roman" w:hAnsi="Times New Roman" w:cs="Times New Roman"/>
          <w:sz w:val="28"/>
          <w:szCs w:val="28"/>
        </w:rPr>
      </w:pPr>
    </w:p>
    <w:p w:rsidR="00333B2D" w:rsidRDefault="00333B2D" w:rsidP="00184106">
      <w:pPr>
        <w:spacing w:after="0" w:line="360" w:lineRule="auto"/>
        <w:contextualSpacing/>
        <w:jc w:val="both"/>
        <w:rPr>
          <w:rFonts w:ascii="Times New Roman" w:hAnsi="Times New Roman" w:cs="Times New Roman"/>
          <w:sz w:val="28"/>
          <w:szCs w:val="28"/>
        </w:rPr>
      </w:pPr>
    </w:p>
    <w:p w:rsidR="009D2378" w:rsidRPr="00FA23AF" w:rsidRDefault="009D2378" w:rsidP="00184106">
      <w:pPr>
        <w:spacing w:after="0" w:line="360" w:lineRule="auto"/>
        <w:contextualSpacing/>
        <w:jc w:val="both"/>
        <w:rPr>
          <w:rFonts w:ascii="Times New Roman" w:hAnsi="Times New Roman" w:cs="Times New Roman"/>
          <w:sz w:val="28"/>
          <w:szCs w:val="28"/>
        </w:rPr>
      </w:pPr>
    </w:p>
    <w:p w:rsidR="009F6F70" w:rsidRPr="00156441" w:rsidRDefault="009F6F70" w:rsidP="009F6F70">
      <w:pPr>
        <w:spacing w:after="0" w:line="360" w:lineRule="auto"/>
        <w:ind w:firstLine="709"/>
        <w:jc w:val="center"/>
        <w:rPr>
          <w:rFonts w:ascii="Times New Roman" w:hAnsi="Times New Roman" w:cs="Times New Roman"/>
          <w:b/>
          <w:sz w:val="28"/>
          <w:szCs w:val="28"/>
        </w:rPr>
      </w:pPr>
      <w:bookmarkStart w:id="5" w:name="Pidrozd_1_2"/>
      <w:r w:rsidRPr="00156441">
        <w:rPr>
          <w:rFonts w:ascii="Times New Roman" w:hAnsi="Times New Roman" w:cs="Times New Roman"/>
          <w:b/>
          <w:sz w:val="28"/>
          <w:szCs w:val="28"/>
        </w:rPr>
        <w:lastRenderedPageBreak/>
        <w:t>1.2. Дисфункція ендотелію та її біологічні маркери</w:t>
      </w:r>
    </w:p>
    <w:bookmarkEnd w:id="5"/>
    <w:p w:rsidR="009F6F70" w:rsidRPr="00156441" w:rsidRDefault="009F6F70" w:rsidP="009F6F70">
      <w:pPr>
        <w:spacing w:after="0" w:line="360" w:lineRule="auto"/>
        <w:ind w:firstLine="709"/>
        <w:jc w:val="both"/>
        <w:rPr>
          <w:rFonts w:ascii="Times New Roman" w:hAnsi="Times New Roman" w:cs="Times New Roman"/>
          <w:b/>
          <w:sz w:val="28"/>
          <w:szCs w:val="28"/>
        </w:rPr>
      </w:pP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Ендотелій відіграє важливу роль у модуляції судинного тонусу шляхом синтезу та вивільнення ряду ендотеліальних релаксаційних і контрак</w:t>
      </w:r>
      <w:r w:rsidR="00596B89" w:rsidRPr="00156441">
        <w:rPr>
          <w:rFonts w:ascii="Times New Roman" w:hAnsi="Times New Roman" w:cs="Times New Roman"/>
          <w:sz w:val="28"/>
          <w:szCs w:val="28"/>
        </w:rPr>
        <w:t>ти</w:t>
      </w:r>
      <w:r w:rsidRPr="00156441">
        <w:rPr>
          <w:rFonts w:ascii="Times New Roman" w:hAnsi="Times New Roman" w:cs="Times New Roman"/>
          <w:sz w:val="28"/>
          <w:szCs w:val="28"/>
        </w:rPr>
        <w:t>льних факторів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Такі резервні механізми, як ендогенні гіперглікемічні гормони, сприяють забезпеченню належного судинного тонусу у патологічних умовах, за яких вазоактивні дилатаційні реакції скомпрометовані, що сприяє вазоконстрикції, протромботичному і прозапальному стану. Дисфункція ендотелію в основному обумовлена зменшенням виробництва або дії ендотеліальних </w:t>
      </w:r>
      <w:r w:rsidR="00596B89" w:rsidRPr="00156441">
        <w:rPr>
          <w:rFonts w:ascii="Times New Roman" w:hAnsi="Times New Roman" w:cs="Times New Roman"/>
          <w:sz w:val="28"/>
          <w:szCs w:val="28"/>
        </w:rPr>
        <w:t>розслаблюючих</w:t>
      </w:r>
      <w:r w:rsidRPr="00156441">
        <w:rPr>
          <w:rFonts w:ascii="Times New Roman" w:hAnsi="Times New Roman" w:cs="Times New Roman"/>
          <w:sz w:val="28"/>
          <w:szCs w:val="28"/>
        </w:rPr>
        <w:t xml:space="preserve"> чинників і може бути початковим кроком до серцево-судинних захворювань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_Ref493722064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_Ref493723084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Оцінка клінічних аспектів ендотеліальних функцій заслуговує на особиву увагу, оскільки вона може бути маркером потенційних серцево-судинних подій. Так, показано, що ендотеліальна дисфункція, стандартом оцінки якої є порушення потоку опосередкованої дилатації плечової артерії або зміни показника реактивної гіперемії при периферичній артеріальній тонометрії,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язана у хворих із захворюваннями коронарних артерій зі зростанням ризику серцево-судинних подій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_Ref493724295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_Ref493723247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_Ref493724292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_Ref493724294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Кількість факторів, щодо яких встановлено вплив на функцію ендотелію, вже давно перевищила кілька сотень, і вона безперервно росте, оскільки інтерес дослідників до ролі порушення функції ендотелію в умовах різних патологічних процесів, особливо коморбідних станів, зростає. Далі висвітлимо лише основні новітні результати досліджень кількох останніх років.</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Важливим питанням останніх десятиліть є вивчення факторів, які модулюють функцію ендотелію. За влучним визначенням Lüscher T. F., Corti R. (2004), «потік є сигналом життя»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Потік крові, тобто перемінна сила тиску як фізичне явище сприймається внутрішньою поверхнею ендотелію всієї серцево-судинної системи і трансформується в численні сигнали у відповідності до різноманітних фізіологічних вимог в організмі. Так званий зсувний стрес є одним з важливих фізіологічних сигналів, який регулює синтез та вивільнення </w:t>
      </w:r>
      <w:r w:rsidRPr="00156441">
        <w:rPr>
          <w:rFonts w:ascii="Times New Roman" w:hAnsi="Times New Roman" w:cs="Times New Roman"/>
          <w:sz w:val="28"/>
          <w:szCs w:val="28"/>
        </w:rPr>
        <w:lastRenderedPageBreak/>
        <w:t>релаксаційних і констриктивних факторів щодо судинних гладеньких м</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язів і обумовлює вазодилатацію чи звуження судин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_Ref493724560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_Ref493724561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Розділяють атеропротекторні ламінарний або пульсуючий варіанти, протиставляючи їм потенційно несприятливі поперечний коливальний вплив або порушення току крові, причому докладно досліджують основні молекулярні механізми, що асоціюються з цими моделями кров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яного потоку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_Ref493724560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Стійкий ламінарний потік забезпечує атеропротекторну дію на судинну стінку, посилюючи вироблення ендотелію простацикліну та оксиду азоту, тоді як порушений потік стимулює прозапальну сигналізацію з результуючою ендотеліальною дисфункцією та подальшим розвитком атеросклеротичних уражень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_Ref493724561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Такий порушений потік, який сприймається на чутливих ділянках судинного русла (таких як артеріальні гілки, біфуркації та вигини), прискорює ендотеліальне старіння через p53-p21-залежний шлях; активація у експериментальних умовах сиртуїну-1 чинила захисний вплив щодо ендотелію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_Ref493725247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Також було продемонстровано, що аспект механічного впливу на ендотелій із подальшою сигналізацією відіграє важливу роль у терапевтичному ангіогенному ефекті імпульсного ультразвуку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_Ref493725523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Активні форми кисню вважаються перш за все шкідливими через їх надзвичайно потужний вплив на клітини й тканини та патологічні наслідки в широкому діапазоні серцево-судинних захворювань, асоційованих із дисфункцією ендотелію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_Ref493725865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За допомогою новітньої методики мікродіалізу, яка дозволяє одночасно вимірювати рівень вільнорадикальних форм кисню, було показано його підвищення у людей з ожирінням і мікросудинною ендотеліальною дисфункцією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_Ref493726197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_Ref493726305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Звертає на себе увагу позитивний вплив 8-тижневого тренування з аеробними вправами, за якого відбулася нормалізація як вихідних підвищених рівнів реактивних форм кисню, так мікросудинної ендотеліальної функції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_Ref493726305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lastRenderedPageBreak/>
        <w:t>Проте, у яскравому контрасті відносно відомих раніше негативних ефектів активних форм кисню було виявлено і визначну фізіологічну їх роль у регуляції судинного гомеостазу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_Ref493725865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Так, показано атеропротективну роль пероксиду водню NADPH оксидази 4 у моделі мишей діабет-асоційованого атеросклерозу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_Ref493726305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Продемонстровано, що надмірна продукція ендотеліального оксиду азоту в умовах дефіциту негативного регулятора ендотеліальної синтази оксиду азоту (eNOS) кавеоліну-1 або надмірної експресії eNOS змінює фізіологічний баланс між оксидом азоту та перекисом водню як фактором ендотелійзалежної гіперполяризації у мікроциркуляції, в результаті чого порушується серцево-судинний гомеостаз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_Ref493727147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_Ref493727148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Запропоновано один із механізмів ролі мікросудинної дисфункції у розвитку захворювань коронарних артерій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_Ref493727390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129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Як уже було обговорено вище, за нормальних умов коронарна циркуляція регулюється оксидом азоту та низьким фізіологічним рівнем перекису водню як фактор</w:t>
      </w:r>
      <w:r w:rsidR="00596B89" w:rsidRPr="00156441">
        <w:rPr>
          <w:rFonts w:ascii="Times New Roman" w:hAnsi="Times New Roman" w:cs="Times New Roman"/>
          <w:sz w:val="28"/>
          <w:szCs w:val="28"/>
        </w:rPr>
        <w:t>у</w:t>
      </w:r>
      <w:r w:rsidRPr="00156441">
        <w:rPr>
          <w:rFonts w:ascii="Times New Roman" w:hAnsi="Times New Roman" w:cs="Times New Roman"/>
          <w:sz w:val="28"/>
          <w:szCs w:val="28"/>
        </w:rPr>
        <w:t xml:space="preserve"> ендотелійзалежної гіперполяризації. Проте в умовах атерогенезу та порушення обміну речовин має місце переважання перекису водню, </w:t>
      </w:r>
      <w:r w:rsidR="00596B89" w:rsidRPr="00156441">
        <w:rPr>
          <w:rFonts w:ascii="Times New Roman" w:hAnsi="Times New Roman" w:cs="Times New Roman"/>
          <w:sz w:val="28"/>
          <w:szCs w:val="28"/>
        </w:rPr>
        <w:t>патологічно</w:t>
      </w:r>
      <w:r w:rsidRPr="00156441">
        <w:rPr>
          <w:rFonts w:ascii="Times New Roman" w:hAnsi="Times New Roman" w:cs="Times New Roman"/>
          <w:sz w:val="28"/>
          <w:szCs w:val="28"/>
        </w:rPr>
        <w:t xml:space="preserve"> високий рівень якого, як меч з подвійним лезом, призводить до мікросудинної дисфункції та розвитку ішемічної хвороби серця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_Ref502067741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У експериментальних умовах показано, що зниження активності теломерази в мітохондріях викликає описані ефекти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_Ref493728000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_Ref493728001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Хоча джерела та регулятивні механізми фізіологічних рівнів активних форм кисню не є остаточно відомими, місцева субклітинна концентрація в мікродоменах, а не чиста внутрішньоклітинна концентрація, може мати вирішальне значення для визначення того, чи можуть їх ефекти бути позитивними або шкідливими для клітинних процесів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Серед редокс-регулюючих білків показано, що ендотеліальна тіоредоксинуредуктаза 2 відіграє ключову роль у підтримці здорових ендотеліальних функцій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_Ref493728483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коактиватор 1α проліфераторів рецепторів γ пероксисом є основним регулятором ендотеліальних функцій, включаючи захист від окисного стресу, запалення та атеросклероз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_Ref493728590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Описана вище подвійна роль активних форм кисню як значної ендогенної сигнальної молекули, може бути ключем до розробки кращих терапевтичних </w:t>
      </w:r>
      <w:r w:rsidRPr="00156441">
        <w:rPr>
          <w:rFonts w:ascii="Times New Roman" w:hAnsi="Times New Roman" w:cs="Times New Roman"/>
          <w:sz w:val="28"/>
          <w:szCs w:val="28"/>
        </w:rPr>
        <w:lastRenderedPageBreak/>
        <w:t>стратегій (наприклад, ізоформ або специфічних інгібіторів NADPH оксидаз тощо)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_Ref493728786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Накопичуються докази вазопротекторної ролі периваскулярної жирової тканини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_Ref493729464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Периваскулярну жирову тканину класифікують на білу, коричневу та бежеву з різними патофізіологічними ролями залежно від її розташування в організмі. З</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ясовано її модулюючий вплив на судинний тонус паракринним чи аутокринним шляхом із вивільнення масиву вазоактивних речовин, включаючи адипонектин, оксид азоту, сірководень та інших іще не ідентифікованих щодо даного ефекту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_Ref493729464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Показано, що, подібно до периваскулярної адипозної тканини, що оточує аорту або брижові артерії, міжшкірна коричнева жирова тканина чинить антиконтрактильний ефект за допомогою активації циклічної GMP-індукованої PKG1α (циклічної GMP-залежної протеїнкінази G1α) та наступної вазодилатації малих резистивних артерій, що відкриває терапевтичний потенціал впливу на коричневу жирову тканину в контексті лікування серцево-судинних порушень. Цікаво, що ця окислювально-опосередкована активація PKG1α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язана із вазодилатуючим механізмом перекису водню як фактора ендотелійзалежної гіперполяризації у резистивних артеріях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Крім того, передбачено потенційну роль периваскулярної жирової тканини у патогенезі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язаних з ожирінням коронарної хвороби серця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_Ref493730112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Виявлено потенційно новий механізм, за допомогою якого може розвинутися коронарна мікросудинна дисфункція; активність ADAM17 (старіння та ожиріння збільшували активність дезінтегріну та металлопротеази) та вироблення розчинного фактору некрозу пухлини в жировій тканині призводить до зміни порушеної ендотелій-залежної вазодилатації коронарних артеріол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_Ref493730527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Ожиріння також погіршує судинну функцію, опосередковану периваскулярною адипозною тканиною, через механізми, що включають релаксаційні сигнали, одержувані ендотелієм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По-перше, ожиріння сприяє залученню прозапальних макрофагів до периваскулярного простору і порушенню вазодилататорної властивості </w:t>
      </w:r>
      <w:r w:rsidRPr="00156441">
        <w:rPr>
          <w:rFonts w:ascii="Times New Roman" w:hAnsi="Times New Roman" w:cs="Times New Roman"/>
          <w:sz w:val="28"/>
          <w:szCs w:val="28"/>
        </w:rPr>
        <w:lastRenderedPageBreak/>
        <w:t>периваскулярної жирової тканини шляхом зменшення виробництва сірководню, що є потужним розслабляючим чинником, ендотеліальними та судинними гладеньком</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язовими клітинами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_Ref493730847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139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По-друге, аліментарне ожиріння спричиняє роз</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єднання eNOS у</w:t>
      </w:r>
      <w:r w:rsidR="007E09E1" w:rsidRPr="007E09E1">
        <w:rPr>
          <w:rFonts w:ascii="Times New Roman" w:hAnsi="Times New Roman" w:cs="Times New Roman"/>
          <w:sz w:val="28"/>
          <w:szCs w:val="28"/>
        </w:rPr>
        <w:t xml:space="preserve"> </w:t>
      </w:r>
      <w:r w:rsidRPr="00156441">
        <w:rPr>
          <w:rFonts w:ascii="Times New Roman" w:hAnsi="Times New Roman" w:cs="Times New Roman"/>
          <w:sz w:val="28"/>
          <w:szCs w:val="28"/>
        </w:rPr>
        <w:t>периваскулярній адипозній тканині через аргіназа-індукований дефіцит L-аргініну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_Ref493731086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При цьому, викликана ожирінням втрата антиконтактильного ефекту периваскулярної жирової </w:t>
      </w:r>
      <w:r w:rsidR="00596B89" w:rsidRPr="00156441">
        <w:rPr>
          <w:rFonts w:ascii="Times New Roman" w:hAnsi="Times New Roman" w:cs="Times New Roman"/>
          <w:sz w:val="28"/>
          <w:szCs w:val="28"/>
        </w:rPr>
        <w:t>тканини</w:t>
      </w:r>
      <w:r w:rsidRPr="00156441">
        <w:rPr>
          <w:rFonts w:ascii="Times New Roman" w:hAnsi="Times New Roman" w:cs="Times New Roman"/>
          <w:sz w:val="28"/>
          <w:szCs w:val="28"/>
        </w:rPr>
        <w:t xml:space="preserve"> є зворотною шляхом обмеження калорійності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_Ref493731255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Вірогідно, описані вище нові докази обґрунтовують терапевтичний потенціал, спрямований на урахування орлі периваскулярної жирової тканини у лікуванні серцево-судинних захворювань,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язаних із судинною дисфункцією.</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Зростаюча кількість досліджень доводить різнопланову корисну роль АМФ-активованої протеїнкінази при лікуванні порушень обміну речовин, у тому числі цукрового діабету та ожиріння, де суттєвою є роль судинної дисфункції ендотелію.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Продемонстровано, що α1-субодиниця ендотеліальної AMФ-активованої протеїнкінази відіграє важливу роль у регуляції артеріального тиску та реакції коронарного потоку через ендотелій-залежну вазодилатацію, не впливаючи на оксид азоту-опосередковану вазодилатацію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До речі, метформін, який є препаратом вибору для лікування цукрового діабету 2-го типу, є також активатором цієї протеїнкінази. Нещодавно продемонстрували, що ендотеліальна АМФ-активована протеїнкіназа відіграє важливу захисну роль проти розвитку легеневої гіпертензії і що метформін може бути корисним препаратом для лікування цього стану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_Ref493732933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596B89"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Подібно</w:t>
      </w:r>
      <w:r w:rsidR="009F6F70" w:rsidRPr="00156441">
        <w:rPr>
          <w:rFonts w:ascii="Times New Roman" w:hAnsi="Times New Roman" w:cs="Times New Roman"/>
          <w:sz w:val="28"/>
          <w:szCs w:val="28"/>
        </w:rPr>
        <w:t xml:space="preserve"> до АМФ-активованої протеїнкінази, сиртуїн-1 — це асоційований з старінням білок, який демонструє ефекти антисенесценції в ендотеліальних клітинах [</w:t>
      </w:r>
      <w:r w:rsidR="009F6F70" w:rsidRPr="00156441">
        <w:rPr>
          <w:rFonts w:ascii="Times New Roman" w:hAnsi="Times New Roman" w:cs="Times New Roman"/>
          <w:sz w:val="28"/>
          <w:szCs w:val="28"/>
        </w:rPr>
        <w:fldChar w:fldCharType="begin"/>
      </w:r>
      <w:r w:rsidR="009F6F70" w:rsidRPr="00156441">
        <w:rPr>
          <w:rFonts w:ascii="Times New Roman" w:hAnsi="Times New Roman" w:cs="Times New Roman"/>
          <w:sz w:val="28"/>
          <w:szCs w:val="28"/>
        </w:rPr>
        <w:instrText xml:space="preserve"> REF _Ref493733577 \r \h  \* MERGEFORMAT </w:instrText>
      </w:r>
      <w:r w:rsidR="009F6F70" w:rsidRPr="00156441">
        <w:rPr>
          <w:rFonts w:ascii="Times New Roman" w:hAnsi="Times New Roman" w:cs="Times New Roman"/>
          <w:sz w:val="28"/>
          <w:szCs w:val="28"/>
        </w:rPr>
      </w:r>
      <w:r w:rsidR="009F6F70"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143</w:t>
      </w:r>
      <w:r w:rsidR="009F6F70" w:rsidRPr="00156441">
        <w:rPr>
          <w:rFonts w:ascii="Times New Roman" w:hAnsi="Times New Roman" w:cs="Times New Roman"/>
          <w:sz w:val="28"/>
          <w:szCs w:val="28"/>
        </w:rPr>
        <w:fldChar w:fldCharType="end"/>
      </w:r>
      <w:r w:rsidR="009F6F70"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Сумісний атеропротективний ефект ситруїну-1 та АМФ-активованої протеїнкінази обумовлений тим, що F-актин-зв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язуючий білок корактин, накопичений за допомогою AMФ-активованої протеїнкінази і фосфорилювання та дератилювання сіртуїну-1-медикаментозного деацетилювання у відповідь на стрес </w:t>
      </w:r>
      <w:r w:rsidRPr="00156441">
        <w:rPr>
          <w:rFonts w:ascii="Times New Roman" w:hAnsi="Times New Roman" w:cs="Times New Roman"/>
          <w:sz w:val="28"/>
          <w:szCs w:val="28"/>
        </w:rPr>
        <w:lastRenderedPageBreak/>
        <w:t>зсуву, сприяє розподіленню та наступній активації ендотеліальної синтази оксиду азоту, що призводить до атеропротекторних ефектів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_Ref493734062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_Ref493734063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Більш того продемонстровано, що ендотеліальна мікроРНК-34а підвищується через окисний стресу і сприяє дисфункції ендотелію через інгібіювання сиртуїну-1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_Ref493734280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У гіперліпідемічній моделі миші гальмування активації каспази-1 під час раннього атерогенезу полегшило накопичення сиртуїну-1 в ендотеліальних клітинах з одержанням протизапальних ефектів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_Ref493734280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Сумісно ендотеліальні АМФ-активована протеїнкіназа та сиртуїн-1 можуть бути перспективними терапевтичними мішенями для лікування серцево-судинних та метаболічних розладів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_Ref493734733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Калієві канали відіграють ключову роль у механізмах вазодилатації, особливо в тих, що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язані з ендотелійзалежною гіперполяризацією, релаксацією і вазодилатацією судинної гладкої мускулатури. Так, показано, що релаксація KV7-опосередкованого каналу у відповідь на ізопротеренол залежить від обмінного білка, безпосередньо активованого циклічним АМФ в брижовій артерії, але не в нирковій артерії, що свідчить про зміну проміжних сигнальних етапів від β-адренорецепторів до каналів KV7 залежно від місцеположення судин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_Ref493735113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Встановлено, що блокування каналів KCa3.1 знижує атеросклеротичне навантаження та підвищує стабільність бляшки за атеросклерозу, інгібіюючи диференціювання макрофагів до прозапального фенотипу M1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_Ref493735329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149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Проте, неспецифічне інгібіювання KCa3.1 вимагає обережності, оскільки це може призвести до порушення мікросудинного ендотелію через інгібіцію EDH-опосередкованих реакцій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_Ref493735440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Морфогенний протеїн кістки 4 залучений у розвиток серцево-судинних захворювань та дисфункції ендотелію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_Ref493735640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Недавні дослідження продемонстрували функціональний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язок між морфогенним протеїном кістки 4 і тромбоцитарними факторами росту в молекулярних механізмах ендотеліальної дисфункції та терапевтичного потенціалу інгібіювання каскаду морфогенного протеїну кістки 4 для діабет</w:t>
      </w:r>
      <w:r w:rsidR="00A60D4E" w:rsidRPr="00156441">
        <w:rPr>
          <w:rFonts w:ascii="Times New Roman" w:hAnsi="Times New Roman" w:cs="Times New Roman"/>
          <w:sz w:val="28"/>
          <w:szCs w:val="28"/>
        </w:rPr>
        <w:t>ич</w:t>
      </w:r>
      <w:r w:rsidRPr="00156441">
        <w:rPr>
          <w:rFonts w:ascii="Times New Roman" w:hAnsi="Times New Roman" w:cs="Times New Roman"/>
          <w:sz w:val="28"/>
          <w:szCs w:val="28"/>
        </w:rPr>
        <w:t>ної ендотеліальної дисфункції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lastRenderedPageBreak/>
        <w:t>Специфічна для ендотелію делеція рецептора P2Y2 чинить захисну дію в аспекті стабілізації зубного нальоту, сприяючи утворенню волокнистої шапки в атеросклеротичній моделі миші. Враховуючи, що ендотеліальна клітино-специфічна P2Y2 рецепторно-дефіцитна миша показала зниження нуклеотид-опосередкованої, але збереженої ацетилхолін-індукованої ендотелій-залежної релаксації аорти, не викликаючи системної гіпертензії, ендотеліальний рецептор P2Y2 може бути перспективною терапевтичною мішенню для атеросклеротичних серцево-судинних захворювань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_Ref493736049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Запальні стани суттєво впливають на розвиток ендотеліальної дисфункції, інтерлейкіни 1β, 17, 18 та фактор некрозу пухлин α є одними з ключових прозапальних цитокінів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_Ref502067555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_Ref493736192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Продемонстровано тісний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язок між ендотеліальною дисфункцією, оціненою через потік-опосередковану дилатацію, та запаленням судин, виявлений за допомогою томографії, комп</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ютерної томографії, (18F)-флуоретоксиглюкозо-позитронно-емісійної томографії у суб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єктів з низьким кардіоваскулярним ризиком, обидва з них було покращено через 6-місячне антигіпертензивне лікування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_Ref493736509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Ряд молекул, включених у шлях лектин-компонентів, може сприяти ендотеліальній дисфункції у пацієнтів з легкими метаболічними факторами ризику. Крім того, нещодавній метааналіз показав позитивний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язок між підвищенням рівня антагоніста рецеп</w:t>
      </w:r>
      <w:r w:rsidR="007E09E1">
        <w:rPr>
          <w:rFonts w:ascii="Times New Roman" w:hAnsi="Times New Roman" w:cs="Times New Roman"/>
          <w:sz w:val="28"/>
          <w:szCs w:val="28"/>
        </w:rPr>
        <w:t>торів інтерлейкіну-1β в сироват</w:t>
      </w:r>
      <w:r w:rsidRPr="00156441">
        <w:rPr>
          <w:rFonts w:ascii="Times New Roman" w:hAnsi="Times New Roman" w:cs="Times New Roman"/>
          <w:sz w:val="28"/>
          <w:szCs w:val="28"/>
        </w:rPr>
        <w:t>ці крові та збільшенням частоти серцево-судинних захворювань у загальній популяції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_Ref493736686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Виходячи із запальної теорії атерогенезу і відомої ролі запалення у розвитку серцево-судинних захворювань, наразі ведеться великомасштабне рандомізоване клінічне випробування, метою якого є з</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ясування того, чи може таргетування інтерлейкіну-1β знижувати ризик повторних серцево-судинних подій (дослідження CANTOS)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_Ref493737094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_Ref493737095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язок між запаленням та коронарною ендотеліальною дисфункцією підтверджує той факт, коронарна ендотеліальна дисфункція більш виразна у сегментах ішемічної артерії з інфільтрацією макрофагів і проліферацією власних </w:t>
      </w:r>
      <w:r w:rsidRPr="00156441">
        <w:rPr>
          <w:rFonts w:ascii="Times New Roman" w:hAnsi="Times New Roman" w:cs="Times New Roman"/>
          <w:sz w:val="28"/>
          <w:szCs w:val="28"/>
        </w:rPr>
        <w:lastRenderedPageBreak/>
        <w:t>судин артерій, ніж у осіб без таких змін, що вказує на важливу роль запалення та проліферації власних судин артерій в патогенезі ішемічної хвороби серця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Роль легеневої гіпертензії у розвитку кардіореспіраторної патології, особливо поєднання хронічного обструктивного захворювання та системної артеріальної гіпертензії, є незаперечною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_Ref502040837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159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Встановлено її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язки з численними патофізіологічними аспектами хвороб, зокрема, із нейрозапаленням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_Ref502047006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тощо.</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Ендотелій-специфічна надмірна експресія циклофіліну А, яка, як доведено, індукує пошкодження судин через декілька механізмів, включаючи ендотеліальну дисфункцію та проліферацію гладеньких м</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язів судин, викликає спонтанну легеневу гіпертензію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_Ref493737624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Позаклітинний циклофілін А викликає дисфункцію ендотеліальних клітин через ендотеліальний апоптоз, запалення та окислювальний стрес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_Ref493737624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Запропоновано механізм, за допомогою якого розвивається захворювання коронарних артерій у пацієнтів з легеневою гіпертензією: експресія мікроорганізмів, що містять бромдомієн 4, який сприяє атерогенним процесам через запальні реакції в ендотеліальних клітинах, збільшена не тільки в легенях пацієнтів з легеневою гіпертензією, а й у їхніх коронарних артеріях, що сприяє ремоделюванню судин через посилену проліферацію та придушення апоптозу в судинних гладеньких м</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язових клітинах. Ці дані дають підказку для розуміння того, чому легенева гіпертензія ускладнюється захворюванням коронарних артерій навіть за відсутності метаболічних розладів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_Ref493737900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Показано, що індукований гіпоксією фактор-1 є важливим посередником, який послідовно породжує міогенні фактори, викликані гіпоксією, що сприяє розвитку легеневої гіпертензії, частково через активацію легеневої мікросудинної ендотеліальної клітини, апоптоз та запалення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_Ref493738075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частково — провокуючи вазоконстрикцію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_Ref502061522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Понад третину осіб когорти, що складалася з 5708 учасників Фреймінгемського дослідження, демонстрували реверсию потоків плечової артерії, яка була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язана з ендотеліальною дисфункцією, що оцінювалася через потік-опосередковану дилатацію або реактивний гіперемічний потік, і з вищою </w:t>
      </w:r>
      <w:r w:rsidRPr="00156441">
        <w:rPr>
          <w:rFonts w:ascii="Times New Roman" w:hAnsi="Times New Roman" w:cs="Times New Roman"/>
          <w:sz w:val="28"/>
          <w:szCs w:val="28"/>
        </w:rPr>
        <w:lastRenderedPageBreak/>
        <w:t>жорсткістю аорти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_Ref493738381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Ці результати вказують на те, що обернення потоку може впливати на функцію ендотелію залежним чином і може слугувати показником дисфункції ендотелію.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 іншого аналізу зрізного Фреймінгемського дослідженя одна і та ж група дала подальше уявлення про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язок між неалкогольною</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жировою хворобою печінки та ендотеліальною дисфункцією, незалежно від добре сформованих серцево-судинних ризиків, пояснюючи принаймні частково, чому пацієнти з хронічними хворобами печінки зазвичай страждають на метаболічні та серцево-судинні захворювання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_Ref493738599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Ендотеліальний глікокалікс відіграє важливу роль у збереженні нормальних функцій ендотелію, включаючи антикоагуляцію, механічні властивості та вироблення оксиду азоту,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язану з деформацією зсуву. Розроблено прості способи дослідження, які дозволяють оцінити функцію глікокаліксу шляхом вимірювання його антитромбогенної здатності in vitro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_Ref493738917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Цей аналіз може прокласти шлях до розробки нового діагностичного інструменту ендотеліальної дисфункції та нового терапевтичного підходу, спрямованого на глікокалікс.</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Виявлено декілька нових біомаркерів, які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язані з дисфункцією ендотелію та корелюють із тяжкістю або клінічними наслідками серцево-судинних захворювань. У дослідженні, що включало 3005 осіб у віці понад 40 років, сироватковий рівень ангіопоетиноподібного протеїну 2 (прозапального медіатора, який сприяє дисфункції ендотелію), був позитивно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язаний із ризиком серцево-судинних захворювань у майбутньому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_Ref493739244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Показано, що рівень розчинного ендогліну (трансформуючого фактора росту β-рецептора, експресованого на проліферуючих ендотеліальних клітинах), обернено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язаний з тяжкістю ураження коронарних артерій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_Ref493739484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169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Враховуючи, що раніше у пацієнтів із цукровим діабетом були виявлені суперечливі результати щодо того, питання того, чи ендоглін може служити біомаркером для ішемічної хвороби серця, чекає подальшого дослідження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_Ref493721603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_Ref493739827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Показано, що гіпергомоцистеїнемія викликає дисфункцію ендотелію, інгібіюючи NO-опосередковану релаксацію та релаксацію,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язану з </w:t>
      </w:r>
      <w:r w:rsidRPr="00156441">
        <w:rPr>
          <w:rFonts w:ascii="Times New Roman" w:hAnsi="Times New Roman" w:cs="Times New Roman"/>
          <w:sz w:val="28"/>
          <w:szCs w:val="28"/>
        </w:rPr>
        <w:lastRenderedPageBreak/>
        <w:t>ендотелійзалежною гіперполяризацією, в резистивних артеріях, через що вона вважається незалежним предиктором серцево-судинних подій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_Ref493739949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Одним із механізмів, через який гомоцистеїн викликає ендотеліальну дисфункцію, є прискорення ендотеліального старіння через епігенетичну регуляцію зворотної транскриптази теломерази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_Ref502065754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_Ref502065806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_Ref493740071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_Ref502058405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Дійсно, підвищення рівня гомоцистеїну в плазмі знижує гіпотензивний ефект інгібітора ангіотензинпревращающего ферменту еналаприлу. Нарешті, підвищений рівень циклофіліну А в плазмі, особливо в комбінації з натрійуретичним пептидом мозку або високочутливим С-реактивним білком, може використовуватися для прогнозування серцево-судинних подій у пацієнтів з ішемічною хворобою серця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_Ref493740225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_Ref502047224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center"/>
        <w:rPr>
          <w:rFonts w:ascii="Times New Roman" w:hAnsi="Times New Roman" w:cs="Times New Roman"/>
          <w:sz w:val="28"/>
          <w:szCs w:val="28"/>
        </w:rPr>
      </w:pPr>
    </w:p>
    <w:p w:rsidR="009F6F70" w:rsidRPr="00156441" w:rsidRDefault="009F6F70" w:rsidP="009F6F70">
      <w:pPr>
        <w:keepNext/>
        <w:keepLines/>
        <w:spacing w:after="0" w:line="360" w:lineRule="auto"/>
        <w:ind w:firstLine="709"/>
        <w:jc w:val="center"/>
        <w:rPr>
          <w:rFonts w:ascii="Times New Roman" w:hAnsi="Times New Roman" w:cs="Times New Roman"/>
          <w:b/>
          <w:sz w:val="28"/>
          <w:szCs w:val="28"/>
        </w:rPr>
      </w:pPr>
      <w:bookmarkStart w:id="6" w:name="Pidrozd_1_3"/>
      <w:r w:rsidRPr="00156441">
        <w:rPr>
          <w:rFonts w:ascii="Times New Roman" w:hAnsi="Times New Roman" w:cs="Times New Roman"/>
          <w:b/>
          <w:sz w:val="28"/>
          <w:szCs w:val="28"/>
        </w:rPr>
        <w:t>1.3. Стан функції ендотелію за хронічного обструктивного захворювання легень та гіпертонічної хвороби</w:t>
      </w:r>
    </w:p>
    <w:bookmarkEnd w:id="6"/>
    <w:p w:rsidR="009F6F70" w:rsidRPr="00156441" w:rsidRDefault="009F6F70" w:rsidP="009F6F70">
      <w:pPr>
        <w:keepNext/>
        <w:keepLines/>
        <w:spacing w:after="0" w:line="360" w:lineRule="auto"/>
        <w:ind w:firstLine="709"/>
        <w:contextualSpacing/>
        <w:jc w:val="both"/>
        <w:rPr>
          <w:rFonts w:ascii="Times New Roman" w:hAnsi="Times New Roman" w:cs="Times New Roman"/>
          <w:sz w:val="28"/>
          <w:szCs w:val="28"/>
        </w:rPr>
      </w:pP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На цей час серед патогенетичних зв</w:t>
      </w:r>
      <w:r w:rsidR="007E09E1" w:rsidRPr="007E09E1">
        <w:rPr>
          <w:rFonts w:ascii="Times New Roman" w:hAnsi="Times New Roman" w:cs="Times New Roman"/>
          <w:sz w:val="28"/>
          <w:szCs w:val="28"/>
        </w:rPr>
        <w:t>’</w:t>
      </w:r>
      <w:r w:rsidRPr="00156441">
        <w:rPr>
          <w:rFonts w:ascii="Times New Roman" w:hAnsi="Times New Roman" w:cs="Times New Roman"/>
          <w:sz w:val="28"/>
          <w:szCs w:val="28"/>
        </w:rPr>
        <w:t>язків, що сприяють розвитку ГХ на фоні ХОЗЛ розглядаються гіпоксія й гіперкапнія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_Ref502066125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178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_Ref502067669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183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системне запалення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_Ref502066956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184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_Ref502066999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185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оксидативний стрес, гемодинамічні порушення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_Ref502067605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186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_Ref502066789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198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що викликають дисфункцію та ураження ендотелію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_Ref502065370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199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Однак на сучасному етапі залишається недостатньо вивчена роль дисфункції ендотелію в формуванні та регуляції змін, що відбуваються у хворих ХОЗЛ в поєднанні з ГХ.</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Існує значна кількість доказів, підтверджуючих, що синтез ендотелієм NO необхідний для процесу ангіогенезу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_Ref502066350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Одним з найважливіших факторів, що стимулює формування нових кровоносних та лімфатичних судин та збільшує проникність судин, є глікопротеїн, що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язується лише з ендотеліальними клітинами та стимулює їх проліферацію — васкулоендотеліальний фактор росту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_Ref502029949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_Ref502029950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З одного боку,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xml:space="preserve"> потрібен для стабілізації ендотелію, з іншої — він виступає як прозапальний цитокін, який індукує макрофагальну та </w:t>
      </w:r>
      <w:r w:rsidRPr="00156441">
        <w:rPr>
          <w:rFonts w:ascii="Times New Roman" w:hAnsi="Times New Roman" w:cs="Times New Roman"/>
          <w:sz w:val="28"/>
          <w:szCs w:val="28"/>
        </w:rPr>
        <w:lastRenderedPageBreak/>
        <w:t>ендотеліальну активність, асоційований з бронхолегеневим та судинним ремоделюванням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_Ref502030180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_Ref502030181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Основною стимуляцією активації ангіогенезу є гіпоксія. За умов нестачі кисню в тканинах відбувається активація росту судин. Під впливом ангіогених факторів відбувається проліферація ендотеліоцитів, з подальшою дифференціровкою та формуванням судин чи його ремодулювання.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xml:space="preserve"> є необхідним для адаптації тканин в умовах пошкодження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_Ref502029949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На фоні дисфункції ендотелію порушується взаємозв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язок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xml:space="preserve"> з еNOS, що призводить по порушення регуляції її активності та тим самим порушує продукцію NO та простацикліну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_Ref502067371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Також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xml:space="preserve"> впливає на виживання ендотелію, чинячи на нього антиапоптичний ефект. За умов зниження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xml:space="preserve"> відбувається апоптоз ендотеліальних клітин, що призводить до звуження просвіту судин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_Ref502030181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Зниження та порушення ендотеліального NO є одним з найважливіших показників</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ендотеліальної дисфункції, яка в свою чергу супроводжується посиленням продукції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що стимулює не лише неоангіогенез, але й призводить до перебудови судинної архітектоніки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_Ref502030181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Встановлено асоціацію генетичного поліморфізму, зокрема, </w:t>
      </w:r>
      <w:r w:rsidR="00570069" w:rsidRPr="00156441">
        <w:rPr>
          <w:rFonts w:ascii="Times New Roman" w:hAnsi="Times New Roman" w:cs="Times New Roman"/>
          <w:sz w:val="28"/>
          <w:szCs w:val="28"/>
        </w:rPr>
        <w:t>ВЕФР</w:t>
      </w:r>
      <w:r w:rsidRPr="00156441">
        <w:rPr>
          <w:rFonts w:ascii="Times New Roman" w:hAnsi="Times New Roman" w:cs="Times New Roman"/>
          <w:sz w:val="28"/>
          <w:szCs w:val="28"/>
        </w:rPr>
        <w:t>, з підвищеним ризиком ХОЗЛ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_Ref502030540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У курців виявлено активацію вироблення </w:t>
      </w:r>
      <w:r w:rsidR="00570069" w:rsidRPr="00156441">
        <w:rPr>
          <w:rFonts w:ascii="Times New Roman" w:hAnsi="Times New Roman" w:cs="Times New Roman"/>
          <w:sz w:val="28"/>
          <w:szCs w:val="28"/>
        </w:rPr>
        <w:t xml:space="preserve">ВЕФР </w:t>
      </w:r>
      <w:r w:rsidRPr="00156441">
        <w:rPr>
          <w:rFonts w:ascii="Times New Roman" w:hAnsi="Times New Roman" w:cs="Times New Roman"/>
          <w:sz w:val="28"/>
          <w:szCs w:val="28"/>
        </w:rPr>
        <w:t>[</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_Ref502030788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Як один із найважливіших факторів дисфункції ендотелію можна розглядати гіперактивацію ренін-ангіотензин-альдос</w:t>
      </w:r>
      <w:r w:rsidR="00570069" w:rsidRPr="00156441">
        <w:rPr>
          <w:rFonts w:ascii="Times New Roman" w:hAnsi="Times New Roman" w:cs="Times New Roman"/>
          <w:sz w:val="28"/>
          <w:szCs w:val="28"/>
        </w:rPr>
        <w:t>теронової системи (Р</w:t>
      </w:r>
      <w:r w:rsidRPr="00156441">
        <w:rPr>
          <w:rFonts w:ascii="Times New Roman" w:hAnsi="Times New Roman" w:cs="Times New Roman"/>
          <w:sz w:val="28"/>
          <w:szCs w:val="28"/>
        </w:rPr>
        <w:t>АС)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_Ref502030870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Близько 90</w:t>
      </w:r>
      <w:r w:rsidR="00C70355" w:rsidRPr="00156441">
        <w:rPr>
          <w:rFonts w:ascii="Times New Roman" w:hAnsi="Times New Roman" w:cs="Times New Roman"/>
          <w:sz w:val="28"/>
          <w:szCs w:val="28"/>
        </w:rPr>
        <w:t> %</w:t>
      </w:r>
      <w:r w:rsidR="00570069" w:rsidRPr="00156441">
        <w:rPr>
          <w:rFonts w:ascii="Times New Roman" w:hAnsi="Times New Roman" w:cs="Times New Roman"/>
          <w:sz w:val="28"/>
          <w:szCs w:val="28"/>
        </w:rPr>
        <w:t xml:space="preserve"> всього обсягу Р</w:t>
      </w:r>
      <w:r w:rsidRPr="00156441">
        <w:rPr>
          <w:rFonts w:ascii="Times New Roman" w:hAnsi="Times New Roman" w:cs="Times New Roman"/>
          <w:sz w:val="28"/>
          <w:szCs w:val="28"/>
        </w:rPr>
        <w:t>АС доводиться на органи і тканини (10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 на плазму), серед яких судинний ендотелій займає перше місц</w:t>
      </w:r>
      <w:r w:rsidR="00570069" w:rsidRPr="00156441">
        <w:rPr>
          <w:rFonts w:ascii="Times New Roman" w:hAnsi="Times New Roman" w:cs="Times New Roman"/>
          <w:sz w:val="28"/>
          <w:szCs w:val="28"/>
        </w:rPr>
        <w:t>е. Основною точкою докладання Р</w:t>
      </w:r>
      <w:r w:rsidRPr="00156441">
        <w:rPr>
          <w:rFonts w:ascii="Times New Roman" w:hAnsi="Times New Roman" w:cs="Times New Roman"/>
          <w:sz w:val="28"/>
          <w:szCs w:val="28"/>
        </w:rPr>
        <w:t>АС є підтримка системного артеріального тиску та достатнього кровообігу в життєво важливих органах. Вона виявляє регулюючий вплив на кардіоваскулярну систему, нирковий гомеостаз, сприяє розвитку компенсаторних процесів. Одна</w:t>
      </w:r>
      <w:r w:rsidR="00570069" w:rsidRPr="00156441">
        <w:rPr>
          <w:rFonts w:ascii="Times New Roman" w:hAnsi="Times New Roman" w:cs="Times New Roman"/>
          <w:sz w:val="28"/>
          <w:szCs w:val="28"/>
        </w:rPr>
        <w:t>к при довготривалій активації Р</w:t>
      </w:r>
      <w:r w:rsidRPr="00156441">
        <w:rPr>
          <w:rFonts w:ascii="Times New Roman" w:hAnsi="Times New Roman" w:cs="Times New Roman"/>
          <w:sz w:val="28"/>
          <w:szCs w:val="28"/>
        </w:rPr>
        <w:t>АС спостерігається спазм та підвищення периферійного опору судин, затримка рідини, збільшення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єму циркулюючої крові, гіперперфузія органів та тканин, підвищена чутливість міокарду до токсичного </w:t>
      </w:r>
      <w:r w:rsidRPr="00156441">
        <w:rPr>
          <w:rFonts w:ascii="Times New Roman" w:hAnsi="Times New Roman" w:cs="Times New Roman"/>
          <w:sz w:val="28"/>
          <w:szCs w:val="28"/>
        </w:rPr>
        <w:lastRenderedPageBreak/>
        <w:t>впливу катехоламінів, ремоделювання судин, зменшення просвіту судини до товщини його стінки, розвиток міокардіального і периваскулярного фіброзу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_Ref502031004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Ренін-ангіотензин-альдостеронова система проявляє свої ефекти через гормон ангіотензин II (АТ II), прогормон (попередник) якого, ангіотензиноген, виробляється в клітинах печінки. Ангіотензиноген розщеплюється нирковим реніном з утворенням неактивного декапептиду (пептиду, що складається з 10 амінокислотних залишків) ангіотензину I. Останній в результаті ферментативного впливу ангіотензинперетворюючого ферменту (АПФ, або кініназа II) втрачає 2 амінокислоти (гістидин і лейцин) і перетворюється в активний октапептид AТ II, який є одним з найсильніших вазоконстрікторних агентів. Циркулюючи в системі кровообігу, AТ II чинить свій вплив у різних органах і тканинах: в ЦНС, нирках, надниркових залозах, серці, судинах в основному через два типи рецепторів - АТ1 і АТ2. Надалі AТ II метаболізується (утилізується) в AТ III і ряд інших малоактивних пептидів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_Ref502031109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210</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 міру прогресування ХОЗЛ (за умов розвитку гіпоксії) відбувається активація симпатичного відділу вегетативної нервової системи, що призводить до рівня катехоламінів, зокрема норадреналіну, на підставі чого, в свою чергу, можна зробити висновок про порушення метаболічної функції легень и ролі симпатоадреналової системи у формуванні ГХ. Порушення обміну адреналіну, дофаміну, серотоніну, простагландинів, кініну та інших в цьому випадку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язані з зміненням так званої нереспіраторної функції легень. Багато даних є в літ</w:t>
      </w:r>
      <w:r w:rsidR="00570069" w:rsidRPr="00156441">
        <w:rPr>
          <w:rFonts w:ascii="Times New Roman" w:hAnsi="Times New Roman" w:cs="Times New Roman"/>
          <w:sz w:val="28"/>
          <w:szCs w:val="28"/>
        </w:rPr>
        <w:t>ературі щодо ролі компонентів Р</w:t>
      </w:r>
      <w:r w:rsidRPr="00156441">
        <w:rPr>
          <w:rFonts w:ascii="Times New Roman" w:hAnsi="Times New Roman" w:cs="Times New Roman"/>
          <w:sz w:val="28"/>
          <w:szCs w:val="28"/>
        </w:rPr>
        <w:t>АС в патогенезі серцево-судинних змін у хворих на ХОЗЛ. Тканинний зміст ангіотензину-II в значно більшій мір</w:t>
      </w:r>
      <w:r w:rsidR="00570069" w:rsidRPr="00156441">
        <w:rPr>
          <w:rFonts w:ascii="Times New Roman" w:hAnsi="Times New Roman" w:cs="Times New Roman"/>
          <w:sz w:val="28"/>
          <w:szCs w:val="28"/>
        </w:rPr>
        <w:t>і визначає ступінь активності Р</w:t>
      </w:r>
      <w:r w:rsidRPr="00156441">
        <w:rPr>
          <w:rFonts w:ascii="Times New Roman" w:hAnsi="Times New Roman" w:cs="Times New Roman"/>
          <w:sz w:val="28"/>
          <w:szCs w:val="28"/>
        </w:rPr>
        <w:t>АС, ніж його концентрація в плазмі периферичної крові. Найбільш важлива активність ангіотензинперетворюючого ферменту (АПФ)</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у ендотелії капілярів легень.</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Встановлено, що вміст і активність АПФ</w:t>
      </w:r>
      <w:r w:rsidR="009C6C87" w:rsidRPr="00156441">
        <w:rPr>
          <w:rFonts w:ascii="Times New Roman" w:hAnsi="Times New Roman" w:cs="Times New Roman"/>
          <w:sz w:val="28"/>
          <w:szCs w:val="28"/>
        </w:rPr>
        <w:t xml:space="preserve"> </w:t>
      </w:r>
      <w:r w:rsidR="00570069" w:rsidRPr="00156441">
        <w:rPr>
          <w:rFonts w:ascii="Times New Roman" w:hAnsi="Times New Roman" w:cs="Times New Roman"/>
          <w:sz w:val="28"/>
          <w:szCs w:val="28"/>
        </w:rPr>
        <w:t>та компонентів Р</w:t>
      </w:r>
      <w:r w:rsidRPr="00156441">
        <w:rPr>
          <w:rFonts w:ascii="Times New Roman" w:hAnsi="Times New Roman" w:cs="Times New Roman"/>
          <w:sz w:val="28"/>
          <w:szCs w:val="28"/>
        </w:rPr>
        <w:t xml:space="preserve">АС корелюють з ступенем гіпоксії, а наявність хронічного бронхообструктивного синдрому у частини хворих супроводжується збільшенням </w:t>
      </w:r>
      <w:r w:rsidR="00570069" w:rsidRPr="00156441">
        <w:rPr>
          <w:rFonts w:ascii="Times New Roman" w:hAnsi="Times New Roman" w:cs="Times New Roman"/>
          <w:sz w:val="28"/>
          <w:szCs w:val="28"/>
        </w:rPr>
        <w:t>активності Р</w:t>
      </w:r>
      <w:r w:rsidRPr="00156441">
        <w:rPr>
          <w:rFonts w:ascii="Times New Roman" w:hAnsi="Times New Roman" w:cs="Times New Roman"/>
          <w:sz w:val="28"/>
          <w:szCs w:val="28"/>
        </w:rPr>
        <w:t>АС, причому зростають як плазмові, так і тканинні компоненти, що, можливо, грає роль в розвитку гіпоксичної ГХ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_Ref502027373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76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_Ref502066504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lastRenderedPageBreak/>
        <w:t xml:space="preserve">Відзначена закономірність між підвищенням рівня АПФ в період загострення ХОЗЛ і зменшенням його в період ремісії захворювання. Відповідно до сучасних уявлень про процес </w:t>
      </w:r>
      <w:r w:rsidR="00104F9B">
        <w:rPr>
          <w:rFonts w:ascii="Times New Roman" w:hAnsi="Times New Roman" w:cs="Times New Roman"/>
          <w:sz w:val="28"/>
          <w:szCs w:val="28"/>
        </w:rPr>
        <w:t>морфо-функціо</w:t>
      </w:r>
      <w:r w:rsidRPr="00156441">
        <w:rPr>
          <w:rFonts w:ascii="Times New Roman" w:hAnsi="Times New Roman" w:cs="Times New Roman"/>
          <w:sz w:val="28"/>
          <w:szCs w:val="28"/>
        </w:rPr>
        <w:t>нальної перебудови міокарда і судинної стінки за розвиток фіброзу і гіпертрофії відповідальні підвищені рівні АТ-II і альдостерону</w:t>
      </w:r>
      <w:r w:rsidR="00570069" w:rsidRPr="00156441">
        <w:rPr>
          <w:rFonts w:ascii="Times New Roman" w:hAnsi="Times New Roman" w:cs="Times New Roman"/>
          <w:sz w:val="28"/>
          <w:szCs w:val="28"/>
        </w:rPr>
        <w:t>, що є основними компонентами Р</w:t>
      </w:r>
      <w:r w:rsidRPr="00156441">
        <w:rPr>
          <w:rFonts w:ascii="Times New Roman" w:hAnsi="Times New Roman" w:cs="Times New Roman"/>
          <w:sz w:val="28"/>
          <w:szCs w:val="28"/>
        </w:rPr>
        <w:t>АС. Причому виявлена достовірна пряма залежність між активністю тканинного АПФ і діастолічної дисфункцією, гіпертрофією шлуночків серця і рівнем альдостерону, що, в свою чергу, говорить про істотну р</w:t>
      </w:r>
      <w:r w:rsidR="00570069" w:rsidRPr="00156441">
        <w:rPr>
          <w:rFonts w:ascii="Times New Roman" w:hAnsi="Times New Roman" w:cs="Times New Roman"/>
          <w:sz w:val="28"/>
          <w:szCs w:val="28"/>
        </w:rPr>
        <w:t>оль найважливіших компонентів Р</w:t>
      </w:r>
      <w:r w:rsidRPr="00156441">
        <w:rPr>
          <w:rFonts w:ascii="Times New Roman" w:hAnsi="Times New Roman" w:cs="Times New Roman"/>
          <w:sz w:val="28"/>
          <w:szCs w:val="28"/>
        </w:rPr>
        <w:t>АС в процесах ремоделюванн</w:t>
      </w:r>
      <w:r w:rsidR="00570069" w:rsidRPr="00156441">
        <w:rPr>
          <w:rFonts w:ascii="Times New Roman" w:hAnsi="Times New Roman" w:cs="Times New Roman"/>
          <w:sz w:val="28"/>
          <w:szCs w:val="28"/>
        </w:rPr>
        <w:t>я серця у хворих на ХОЗЛ. Між Р</w:t>
      </w:r>
      <w:r w:rsidRPr="00156441">
        <w:rPr>
          <w:rFonts w:ascii="Times New Roman" w:hAnsi="Times New Roman" w:cs="Times New Roman"/>
          <w:sz w:val="28"/>
          <w:szCs w:val="28"/>
        </w:rPr>
        <w:t>АС і САС існують багаторівневі позитивні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язки. АТ-II активує САС, полег</w:t>
      </w:r>
      <w:r w:rsidR="00570069" w:rsidRPr="00156441">
        <w:rPr>
          <w:rFonts w:ascii="Times New Roman" w:hAnsi="Times New Roman" w:cs="Times New Roman"/>
          <w:sz w:val="28"/>
          <w:szCs w:val="28"/>
        </w:rPr>
        <w:t>шує вивільнення норадреналіну</w:t>
      </w:r>
      <w:r w:rsidRPr="00156441">
        <w:rPr>
          <w:rFonts w:ascii="Times New Roman" w:hAnsi="Times New Roman" w:cs="Times New Roman"/>
          <w:sz w:val="28"/>
          <w:szCs w:val="28"/>
        </w:rPr>
        <w:t>, а САС, в свою чергу, стимулює утворення реніну нирками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_Ref502030870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208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У великих концентраціях ангіотензин-II сприяє виникненню окисного (оксидативного) стресу, так як, по-перше, він пригнічує активацію норадреналіну легкими; по-друге, збільшує активність НАД-і НАДФ-залежної оксида</w:t>
      </w:r>
      <w:r w:rsidR="00570069" w:rsidRPr="00156441">
        <w:rPr>
          <w:rFonts w:ascii="Times New Roman" w:hAnsi="Times New Roman" w:cs="Times New Roman"/>
          <w:sz w:val="28"/>
          <w:szCs w:val="28"/>
        </w:rPr>
        <w:t>зи і перетворює оксид азоту</w:t>
      </w:r>
      <w:r w:rsidRPr="00156441">
        <w:rPr>
          <w:rFonts w:ascii="Times New Roman" w:hAnsi="Times New Roman" w:cs="Times New Roman"/>
          <w:sz w:val="28"/>
          <w:szCs w:val="28"/>
        </w:rPr>
        <w:t xml:space="preserve"> в супероксид азоту - один з основних окислювачів ліпопротеїдів низької щільності (ЛПНЩ); по-третє, зменшує синтез NO, руйнуючи брадик</w:t>
      </w:r>
      <w:r w:rsidR="007E09E1">
        <w:rPr>
          <w:rFonts w:ascii="Times New Roman" w:hAnsi="Times New Roman" w:cs="Times New Roman"/>
          <w:sz w:val="28"/>
          <w:szCs w:val="28"/>
        </w:rPr>
        <w:t>і</w:t>
      </w:r>
      <w:r w:rsidRPr="00156441">
        <w:rPr>
          <w:rFonts w:ascii="Times New Roman" w:hAnsi="Times New Roman" w:cs="Times New Roman"/>
          <w:sz w:val="28"/>
          <w:szCs w:val="28"/>
        </w:rPr>
        <w:t>н</w:t>
      </w:r>
      <w:r w:rsidR="0056592D">
        <w:rPr>
          <w:rFonts w:ascii="Times New Roman" w:hAnsi="Times New Roman" w:cs="Times New Roman"/>
          <w:sz w:val="28"/>
          <w:szCs w:val="28"/>
        </w:rPr>
        <w:t>і</w:t>
      </w:r>
      <w:r w:rsidRPr="00156441">
        <w:rPr>
          <w:rFonts w:ascii="Times New Roman" w:hAnsi="Times New Roman" w:cs="Times New Roman"/>
          <w:sz w:val="28"/>
          <w:szCs w:val="28"/>
        </w:rPr>
        <w:t>н, сильний стимулятор освіти NO; по-четверте, стимулює окислення ЛПНЩ макрофагами. Таким чином, АТ-II,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язуючи між собою багато факторів, що впливають на тонус судин (ренін-ангіотензинову, кінінову, симпатичну нервову систему, альдостерон і ін.), стає центральною ланкою регуляції артеріального тиску. Активація СА</w:t>
      </w:r>
      <w:r w:rsidR="00570069" w:rsidRPr="00156441">
        <w:rPr>
          <w:rFonts w:ascii="Times New Roman" w:hAnsi="Times New Roman" w:cs="Times New Roman"/>
          <w:sz w:val="28"/>
          <w:szCs w:val="28"/>
        </w:rPr>
        <w:t>С і Р</w:t>
      </w:r>
      <w:r w:rsidRPr="00156441">
        <w:rPr>
          <w:rFonts w:ascii="Times New Roman" w:hAnsi="Times New Roman" w:cs="Times New Roman"/>
          <w:sz w:val="28"/>
          <w:szCs w:val="28"/>
        </w:rPr>
        <w:t>АС при ХОЗЛ, а також їх висока активність при ГХ дозволяють припустити вірогідну участь ХОЗЛ у розвитку ГХ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_Ref502033846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212</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Дисфункція ендотелію — перша ланка в патофізіології серцево-судинного континууму, в основі якого лежить прогресуюче ураження судин, що поглиблюється впливом ХОЗЛ. Розглядаючи функції ендотелію, можна говорити про дуже складний механізм взаємодії антагоністичних медіаторів, а також про регуляцію ними різних фізіологічних ефектів. При порушенні функції або структури ендотелію різко змінюється спектр біологічно активних речовин, що виділяються ним. За несприятливих умов ендотелій стає ініціатором (чи модулятором) багатьох патологічних процесів в організмі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_Ref502040223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Дослідження функції ендотелію за допомогою неінвазивної периферичної артеріальної тонометрії (індексу пост-ішемічної реактивної гіперемії на плечовій артерії) у групах пацієнтів з ХОЗЛ, з ГХ, здорових осіб контролю показало високий показник розповсюдженості дисфункції ендотелію за ХОЗЛ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_Ref491656258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За допомогою лінійного регресійного аналізу було виявлено пряму кореляцію між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ємом форсованого видиху за 1-у секунду та індексом реактивної гіперемії. Відповідно, серед пацієнтів груп C та D згідно критеріям Global Initiative for Chronic Obstructive Lung Disease встановлено нижчий показник індексу реактивної гіперемії порівняно з пацієнтами груп A та B. Дані множинного регресійного аналізу продемонстрували асоціацію дисліпідемії, ХОЗЛ та ГХ з наявністю дисфункції ендотелію. Це дозволило авторам дійти висновку про причетність порушення функції ендотелію у пацієнтів зі стабільним ХОЗЛ до розвитку коморбідної кардіоваскулярної патології, а також про доцільність визначення дисфункції ендотелію у пацієнтів з ХОЗЛ з метою своєчасної оцінки стану пацієнтів та лікування кардіальних ускладнень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_Ref491656258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Коморбідний фон ХОЗЛ обтяжений не менше соматичного статусу хворих судинною патологією, при цьому відомо, що ХОЗЛ в свою чергу по ряду клінічних та лабораторних показників значно погіршує клінічний перебіг більшості відомих сьогодні захворювань.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Загальновідомо, що одним з пускових механізмів розвитку ЕД є запальний процес та гіпоксія. Відтак, пошкодження ендотелію супроводжується активацією поліморфноядерних лейкоцитів, продукцією активних форм кисню та інтенсифікацією перекисниго окислення білків та жирних кислот.</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ЕД в теперішній час розглядається у якості пускового механізму розвитку багатьох захворювань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_Ref502040484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Серед основних факторів розвитку цієї коморбідної патології полягає гіпоксія, що призводить до порушення функціювання та структурних змін ендотеліальних клітин, призводячи до ЕД.</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На фоні гіпоксії відбувається потовщення інтими за рахунок гіперплазії та гіпертрофії ендотелія с порушенням ендотеліальних функцій релаксації. У ендотелії легеневих судин відбувається </w:t>
      </w:r>
      <w:r w:rsidRPr="00156441">
        <w:rPr>
          <w:rFonts w:ascii="Times New Roman" w:hAnsi="Times New Roman" w:cs="Times New Roman"/>
          <w:sz w:val="28"/>
          <w:szCs w:val="28"/>
        </w:rPr>
        <w:lastRenderedPageBreak/>
        <w:t xml:space="preserve">процес метаболізму вазоактивних речовин, насамперед ЕД-1 та NO. В умовах гіпоксії можливо також збільшення виділення ендотеліем судиннозвужуючих факторів, нарівні з зменшенням продукції вазодилятуючих речовин. Відмічаеться збільшення рівеня ЕТ-1 в артеріальній крові у хворих ХОЗЛ з гіпоксемією, на відміну від хворих на ХОЗЛ без гіпоксемії.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Оксид азоту бере участь у відтворені багатьох функцій ендотелію судин та відіграє значущу роль у підтримці гомеостазу кардіоваскулярної системи. Він відповідає за контроль тонусу артеріальних судин та рівню </w:t>
      </w:r>
      <w:r w:rsidR="00570069" w:rsidRPr="00156441">
        <w:rPr>
          <w:rFonts w:ascii="Times New Roman" w:hAnsi="Times New Roman" w:cs="Times New Roman"/>
          <w:sz w:val="28"/>
          <w:szCs w:val="28"/>
        </w:rPr>
        <w:t>артеріального тиску</w:t>
      </w:r>
      <w:r w:rsidRPr="00156441">
        <w:rPr>
          <w:rFonts w:ascii="Times New Roman" w:hAnsi="Times New Roman" w:cs="Times New Roman"/>
          <w:sz w:val="28"/>
          <w:szCs w:val="28"/>
        </w:rPr>
        <w:t>, впливає на контрактильну функцію міокарду та</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збільшує діастолічну розтяжність. Недостатнє утворення та виділення NO є лідируючим</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механізмом виникнення та розвитку гіпертензії у малому крузі кровообігу та втратою судинами легень адекватної відповіді розширенням судин на ендотелійзалежні субстанції.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 нормі оксид азоту матаболізується до нітратів та нітритів, а його частина вступає в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язок з супероксид</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аніоном з подальшим утворенням пероксинітрита. Супроводжується гіпоксія зростанням вільних радикалів , також супероксид</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аніона, що призводить до руйнації NO та зменшення його концентрації. Також відомо, що гіпоксемія виступає, як одна із головних причин активізації процесів перекисного та свободнорадикального окислення, що в свою чергу й призводить до розвитку оксидативного стресу, що й може розглядатись, як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язуюча ланка між ХОЗЛ та ГХ.</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Так у багатьох дослідженнях</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показано, що посилення процесів прекисного окислення ліпідів може чинити вплив на модифікацію та бар</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єрні властивості мембран клітин, порушуючи їх нормальне функціонування. Окислювальний стрес відіграє провідну роль в патофізіологічних процесах при ХОЗЛ, що призводить до посилення бронхіального ушкодження та як легеневої гіпертензії, так і до системних розладам кровообігу. Вторинні продукти </w:t>
      </w:r>
      <w:r w:rsidR="00570069" w:rsidRPr="00156441">
        <w:rPr>
          <w:rFonts w:ascii="Times New Roman" w:hAnsi="Times New Roman" w:cs="Times New Roman"/>
          <w:sz w:val="28"/>
          <w:szCs w:val="28"/>
        </w:rPr>
        <w:t>п</w:t>
      </w:r>
      <w:r w:rsidR="0056592D">
        <w:rPr>
          <w:rFonts w:ascii="Times New Roman" w:hAnsi="Times New Roman" w:cs="Times New Roman"/>
          <w:sz w:val="28"/>
          <w:szCs w:val="28"/>
        </w:rPr>
        <w:t>е</w:t>
      </w:r>
      <w:r w:rsidR="00570069" w:rsidRPr="00156441">
        <w:rPr>
          <w:rFonts w:ascii="Times New Roman" w:hAnsi="Times New Roman" w:cs="Times New Roman"/>
          <w:sz w:val="28"/>
          <w:szCs w:val="28"/>
        </w:rPr>
        <w:t>рекисного окислення ліпідів</w:t>
      </w:r>
      <w:r w:rsidRPr="00156441">
        <w:rPr>
          <w:rFonts w:ascii="Times New Roman" w:hAnsi="Times New Roman" w:cs="Times New Roman"/>
          <w:sz w:val="28"/>
          <w:szCs w:val="28"/>
        </w:rPr>
        <w:t xml:space="preserve"> реалізують свій ефект в організмі людини вазоконстрікцією артеріол та підвищенням загального периферичного спротиву. Це й є однією з ланок участі </w:t>
      </w:r>
      <w:r w:rsidR="00570069" w:rsidRPr="00156441">
        <w:rPr>
          <w:rFonts w:ascii="Times New Roman" w:hAnsi="Times New Roman" w:cs="Times New Roman"/>
          <w:sz w:val="28"/>
          <w:szCs w:val="28"/>
        </w:rPr>
        <w:t>п</w:t>
      </w:r>
      <w:r w:rsidR="0056592D">
        <w:rPr>
          <w:rFonts w:ascii="Times New Roman" w:hAnsi="Times New Roman" w:cs="Times New Roman"/>
          <w:sz w:val="28"/>
          <w:szCs w:val="28"/>
        </w:rPr>
        <w:t>е</w:t>
      </w:r>
      <w:r w:rsidR="00570069" w:rsidRPr="00156441">
        <w:rPr>
          <w:rFonts w:ascii="Times New Roman" w:hAnsi="Times New Roman" w:cs="Times New Roman"/>
          <w:sz w:val="28"/>
          <w:szCs w:val="28"/>
        </w:rPr>
        <w:t>рекисного окислення ліпідів</w:t>
      </w:r>
      <w:r w:rsidRPr="00156441">
        <w:rPr>
          <w:rFonts w:ascii="Times New Roman" w:hAnsi="Times New Roman" w:cs="Times New Roman"/>
          <w:sz w:val="28"/>
          <w:szCs w:val="28"/>
        </w:rPr>
        <w:t xml:space="preserve"> у виникненні та прогресуванні ГХ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_Ref502040775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216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lastRenderedPageBreak/>
        <w:t>Отже, можна зробити висновки, що оксидативний стрес при ХОЗЛ проявляє не лише локальний характер, але й системний. Порушення балансу між прооксидантною та антиоксидантною системами у периферичній крові призводить до порушення судинної стінки та як наслідок до формування ЕД.</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При ХОЗЛ та ГХ виявляється ЕД спровокована</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оксидативним стресом з підвищеною продукцією вільних радикалів.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 теперішній час провідне місце серед сприяючих факторів розвитку не лише ХОЗЛ, але захворювань серцево</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судинної системи є паління. Дихальна система</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страждає першочергово, враховуючи, що вона є зоною первинного контакту впливу компонентів тютюнового диму. Паління неминуче</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призводить до дисл</w:t>
      </w:r>
      <w:r w:rsidR="0056592D">
        <w:rPr>
          <w:rFonts w:ascii="Times New Roman" w:hAnsi="Times New Roman" w:cs="Times New Roman"/>
          <w:sz w:val="28"/>
          <w:szCs w:val="28"/>
        </w:rPr>
        <w:t>и</w:t>
      </w:r>
      <w:r w:rsidRPr="00156441">
        <w:rPr>
          <w:rFonts w:ascii="Times New Roman" w:hAnsi="Times New Roman" w:cs="Times New Roman"/>
          <w:sz w:val="28"/>
          <w:szCs w:val="28"/>
        </w:rPr>
        <w:t>підемії та</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системної запальної реакції, на яке судинний ендотелій відповідає розвитком оксидативного стресу та запаленням, активацією симпатичної нервової системи та підвищення коагуляційного п</w:t>
      </w:r>
      <w:r w:rsidR="0056592D">
        <w:rPr>
          <w:rFonts w:ascii="Times New Roman" w:hAnsi="Times New Roman" w:cs="Times New Roman"/>
          <w:sz w:val="28"/>
          <w:szCs w:val="28"/>
        </w:rPr>
        <w:t>о</w:t>
      </w:r>
      <w:r w:rsidRPr="00156441">
        <w:rPr>
          <w:rFonts w:ascii="Times New Roman" w:hAnsi="Times New Roman" w:cs="Times New Roman"/>
          <w:sz w:val="28"/>
          <w:szCs w:val="28"/>
        </w:rPr>
        <w:t>тенціал</w:t>
      </w:r>
      <w:r w:rsidR="0056592D">
        <w:rPr>
          <w:rFonts w:ascii="Times New Roman" w:hAnsi="Times New Roman" w:cs="Times New Roman"/>
          <w:sz w:val="28"/>
          <w:szCs w:val="28"/>
        </w:rPr>
        <w:t>у</w:t>
      </w:r>
      <w:r w:rsidRPr="00156441">
        <w:rPr>
          <w:rFonts w:ascii="Times New Roman" w:hAnsi="Times New Roman" w:cs="Times New Roman"/>
          <w:sz w:val="28"/>
          <w:szCs w:val="28"/>
        </w:rPr>
        <w:t xml:space="preserve"> плазми крові, що й призводить до розвитку та прогресуванню ХОЗЛ в поєднанні з ГХ.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В останній час приділяють все більш уваги позалегеневим проявам ХОЗЛ, що сприяють поліорганному пошкодженню, та деяких випадках й визначають прогноз для пацієнта. Загальновідомо, що в основі розвитку та прогресування ХОЗЛ полягає довготриваючий запальний процес, що впливає на усі структури легенево</w:t>
      </w:r>
      <w:r w:rsidR="0056592D">
        <w:rPr>
          <w:rFonts w:ascii="Times New Roman" w:hAnsi="Times New Roman" w:cs="Times New Roman"/>
          <w:sz w:val="28"/>
          <w:szCs w:val="28"/>
        </w:rPr>
        <w:t>ї</w:t>
      </w:r>
      <w:r w:rsidRPr="00156441">
        <w:rPr>
          <w:rFonts w:ascii="Times New Roman" w:hAnsi="Times New Roman" w:cs="Times New Roman"/>
          <w:sz w:val="28"/>
          <w:szCs w:val="28"/>
        </w:rPr>
        <w:t xml:space="preserve"> тканини (бронхи, бронхіоли, альвеоли ті легеневі судини), однак локальне запалення з часом набуває системного характеру. Хронічне системне запалення розглядається як полісиндромний патологічний процес, що розвивається при системному пошкодженні та характеризується тотальною запальною реактивність ендотеліоцитів, клітинних та плазмових факторів крові, сполучної тканини, а на останніх етапах й мікроциркуляторними порушеннями в життєво важливих органах та тканинах. </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Запалення дихальних шляхів являє собою комплексний процес, що починається пошкодження епітелію бронхів, порушення мікроциркуляції та в подальшому взаємодію первинних та вторинних ефекторних клітин та медіаторів. При антиген</w:t>
      </w:r>
      <w:r w:rsidR="0056592D">
        <w:rPr>
          <w:rFonts w:ascii="Times New Roman" w:hAnsi="Times New Roman" w:cs="Times New Roman"/>
          <w:sz w:val="28"/>
          <w:szCs w:val="28"/>
        </w:rPr>
        <w:t>н</w:t>
      </w:r>
      <w:r w:rsidRPr="00156441">
        <w:rPr>
          <w:rFonts w:ascii="Times New Roman" w:hAnsi="Times New Roman" w:cs="Times New Roman"/>
          <w:sz w:val="28"/>
          <w:szCs w:val="28"/>
        </w:rPr>
        <w:t xml:space="preserve">ої стимуляції клітин епітелію бронхів, макрофагів та тучних клітин, що є первинними ефекторними клітинами, вивільняються медіатори, що </w:t>
      </w:r>
      <w:r w:rsidRPr="00156441">
        <w:rPr>
          <w:rFonts w:ascii="Times New Roman" w:hAnsi="Times New Roman" w:cs="Times New Roman"/>
          <w:sz w:val="28"/>
          <w:szCs w:val="28"/>
        </w:rPr>
        <w:lastRenderedPageBreak/>
        <w:t>викликають запальну реакцію. При активації вторинних ефекторних клітин</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клітин крові (еозинофілів, нейтрофілів, моноцитів) вивільняються їй клітинні продукти, які збільшують та поширюють запальну реакцію. Медіатори, що виділилися в ці фази запалення поділяються на заздалегідь вироблені, та ті, що виробляються після антиге</w:t>
      </w:r>
      <w:r w:rsidR="0056592D">
        <w:rPr>
          <w:rFonts w:ascii="Times New Roman" w:hAnsi="Times New Roman" w:cs="Times New Roman"/>
          <w:sz w:val="28"/>
          <w:szCs w:val="28"/>
        </w:rPr>
        <w:t>н</w:t>
      </w:r>
      <w:r w:rsidRPr="00156441">
        <w:rPr>
          <w:rFonts w:ascii="Times New Roman" w:hAnsi="Times New Roman" w:cs="Times New Roman"/>
          <w:sz w:val="28"/>
          <w:szCs w:val="28"/>
        </w:rPr>
        <w:t>ної стимуляції, до яких відносяться лейкотрі</w:t>
      </w:r>
      <w:r w:rsidR="0056592D">
        <w:rPr>
          <w:rFonts w:ascii="Times New Roman" w:hAnsi="Times New Roman" w:cs="Times New Roman"/>
          <w:sz w:val="28"/>
          <w:szCs w:val="28"/>
        </w:rPr>
        <w:t>є</w:t>
      </w:r>
      <w:r w:rsidRPr="00156441">
        <w:rPr>
          <w:rFonts w:ascii="Times New Roman" w:hAnsi="Times New Roman" w:cs="Times New Roman"/>
          <w:sz w:val="28"/>
          <w:szCs w:val="28"/>
        </w:rPr>
        <w:t>ни, простагландини та тромбоксани. Слабкий прямий вплив на гладеньку мускулатуру виявляє ЛТВ 4, але, стимулюючи циклогенацію ендогенної арахідонової кислоти та утворення тромбоксан</w:t>
      </w:r>
      <w:r w:rsidR="0056592D">
        <w:rPr>
          <w:rFonts w:ascii="Times New Roman" w:hAnsi="Times New Roman" w:cs="Times New Roman"/>
          <w:sz w:val="28"/>
          <w:szCs w:val="28"/>
        </w:rPr>
        <w:t>у</w:t>
      </w:r>
      <w:r w:rsidRPr="00156441">
        <w:rPr>
          <w:rFonts w:ascii="Times New Roman" w:hAnsi="Times New Roman" w:cs="Times New Roman"/>
          <w:sz w:val="28"/>
          <w:szCs w:val="28"/>
        </w:rPr>
        <w:t xml:space="preserve"> у дихальних шляхах, викликає тривалий бронхоспазм. Він також викликає адгезію лейкоцитів до ендотелію пост капілярних вену. Переважає серед продукції легеневих тучних клітин ЛТС 4. Він реалізує свій вплив на організм людини шляхом підвищення проникності капілярів та пост капілярних вену, знижує розтяжність легень, та викликає не лише легеневу, але й системну гіпертензію.</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Досі малодослідженим питанням є місце мінералів та мікронутрієнтів, зокрема, заліза, магнію, кальцію, фосфору у підтриманні судинного ендотеліального гомеостазу в нормі та патології, зокрема, в умовах кардіопульмональної патології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_Ref502032121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285</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w:t>
      </w:r>
    </w:p>
    <w:p w:rsidR="009F6F70"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Асоційованим із загостренням хронічного обструктивного захворювання легень виявилося підвищення сироваткового вмісту вазоактивного інтестинального пептиду понад 88 пг/мл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_Ref502032622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286</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_Ref502032752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287</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p>
    <w:p w:rsidR="00CA152C" w:rsidRPr="00156441" w:rsidRDefault="009F6F70" w:rsidP="009F6F70">
      <w:pPr>
        <w:spacing w:after="0" w:line="360" w:lineRule="auto"/>
        <w:ind w:firstLine="709"/>
        <w:jc w:val="both"/>
        <w:rPr>
          <w:rFonts w:ascii="Times New Roman" w:hAnsi="Times New Roman" w:cs="Times New Roman"/>
          <w:sz w:val="28"/>
          <w:szCs w:val="28"/>
        </w:rPr>
      </w:pPr>
      <w:r w:rsidRPr="00156441">
        <w:rPr>
          <w:rFonts w:ascii="Times New Roman" w:hAnsi="Times New Roman" w:cs="Times New Roman"/>
          <w:sz w:val="28"/>
          <w:szCs w:val="28"/>
        </w:rPr>
        <w:t>Таким чином, дисфункція ендотелію та ремоделювання судин є важливими механізмами формування і прогресування серцево-судинної та бронхолегеневої патології.</w:t>
      </w:r>
    </w:p>
    <w:p w:rsidR="00CA152C" w:rsidRPr="00156441" w:rsidRDefault="00CA152C">
      <w:pPr>
        <w:rPr>
          <w:rFonts w:ascii="Times New Roman" w:hAnsi="Times New Roman" w:cs="Times New Roman"/>
          <w:sz w:val="28"/>
          <w:szCs w:val="28"/>
        </w:rPr>
      </w:pPr>
      <w:r w:rsidRPr="00156441">
        <w:rPr>
          <w:rFonts w:ascii="Times New Roman" w:hAnsi="Times New Roman" w:cs="Times New Roman"/>
          <w:sz w:val="28"/>
          <w:szCs w:val="28"/>
        </w:rPr>
        <w:br w:type="page"/>
      </w:r>
    </w:p>
    <w:p w:rsidR="00007631" w:rsidRPr="00156441" w:rsidRDefault="00007631" w:rsidP="00CA152C">
      <w:pPr>
        <w:spacing w:after="0" w:line="360" w:lineRule="auto"/>
        <w:contextualSpacing/>
        <w:jc w:val="center"/>
        <w:rPr>
          <w:rFonts w:ascii="Times New Roman" w:hAnsi="Times New Roman" w:cs="Times New Roman"/>
          <w:b/>
          <w:sz w:val="28"/>
          <w:szCs w:val="28"/>
        </w:rPr>
      </w:pPr>
      <w:bookmarkStart w:id="7" w:name="Rozd_2_Mat_i_met"/>
      <w:r w:rsidRPr="00156441">
        <w:rPr>
          <w:rFonts w:ascii="Times New Roman" w:hAnsi="Times New Roman" w:cs="Times New Roman"/>
          <w:b/>
          <w:sz w:val="28"/>
          <w:szCs w:val="28"/>
        </w:rPr>
        <w:lastRenderedPageBreak/>
        <w:t>РОЗДІЛ 2</w:t>
      </w:r>
    </w:p>
    <w:bookmarkEnd w:id="7"/>
    <w:p w:rsidR="00007631" w:rsidRPr="00156441" w:rsidRDefault="00007631" w:rsidP="00CA152C">
      <w:pPr>
        <w:spacing w:after="0" w:line="360" w:lineRule="auto"/>
        <w:contextualSpacing/>
        <w:jc w:val="center"/>
        <w:rPr>
          <w:rFonts w:ascii="Times New Roman" w:hAnsi="Times New Roman" w:cs="Times New Roman"/>
          <w:b/>
          <w:sz w:val="28"/>
          <w:szCs w:val="28"/>
        </w:rPr>
      </w:pPr>
      <w:r w:rsidRPr="00156441">
        <w:rPr>
          <w:rFonts w:ascii="Times New Roman" w:hAnsi="Times New Roman" w:cs="Times New Roman"/>
          <w:b/>
          <w:sz w:val="28"/>
          <w:szCs w:val="28"/>
        </w:rPr>
        <w:t>МАТЕРІАЛИ І МЕТОДИ ДОСЛІДЖЕННЯ</w:t>
      </w:r>
    </w:p>
    <w:p w:rsidR="00007631" w:rsidRDefault="0067154C" w:rsidP="00CA152C">
      <w:pPr>
        <w:spacing w:after="0" w:line="360" w:lineRule="auto"/>
        <w:contextualSpacing/>
        <w:jc w:val="center"/>
        <w:rPr>
          <w:rFonts w:ascii="Times New Roman" w:hAnsi="Times New Roman" w:cs="Times New Roman"/>
          <w:b/>
          <w:sz w:val="28"/>
          <w:szCs w:val="28"/>
        </w:rPr>
      </w:pPr>
      <w:bookmarkStart w:id="8" w:name="Pidrozd_2_1_klin"/>
      <w:r w:rsidRPr="00E80394">
        <w:rPr>
          <w:rFonts w:ascii="Times New Roman" w:hAnsi="Times New Roman" w:cs="Times New Roman"/>
          <w:b/>
          <w:sz w:val="28"/>
          <w:szCs w:val="28"/>
        </w:rPr>
        <w:t>2.1. Кліні</w:t>
      </w:r>
      <w:r w:rsidR="00007631" w:rsidRPr="00E80394">
        <w:rPr>
          <w:rFonts w:ascii="Times New Roman" w:hAnsi="Times New Roman" w:cs="Times New Roman"/>
          <w:b/>
          <w:sz w:val="28"/>
          <w:szCs w:val="28"/>
        </w:rPr>
        <w:t>чна характеристика хворих</w:t>
      </w:r>
    </w:p>
    <w:p w:rsidR="00333B2D" w:rsidRPr="00E80394" w:rsidRDefault="00333B2D" w:rsidP="00CA152C">
      <w:pPr>
        <w:spacing w:after="0" w:line="360" w:lineRule="auto"/>
        <w:contextualSpacing/>
        <w:jc w:val="center"/>
        <w:rPr>
          <w:rFonts w:ascii="Times New Roman" w:hAnsi="Times New Roman" w:cs="Times New Roman"/>
          <w:b/>
          <w:sz w:val="28"/>
          <w:szCs w:val="28"/>
        </w:rPr>
      </w:pPr>
    </w:p>
    <w:bookmarkEnd w:id="8"/>
    <w:p w:rsidR="00007631" w:rsidRPr="00156441" w:rsidRDefault="00007631" w:rsidP="00CA152C">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Клінічною базою для проведення дослідження був Науково-дослідний інститут гігієни праці та професійних захворювань ХНМУ. Дане дослідження виконано впродовж 2014</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2017 рр. До обстеження було залучено 100 дорослих пацієнтів з заключним діагнозом хронічне обс</w:t>
      </w:r>
      <w:r w:rsidR="00373BA9" w:rsidRPr="00156441">
        <w:rPr>
          <w:rFonts w:ascii="Times New Roman" w:hAnsi="Times New Roman" w:cs="Times New Roman"/>
          <w:sz w:val="28"/>
          <w:szCs w:val="28"/>
        </w:rPr>
        <w:t>труктивне захворювання легень    гр.</w:t>
      </w:r>
      <w:r w:rsidRPr="00156441">
        <w:rPr>
          <w:rFonts w:ascii="Times New Roman" w:hAnsi="Times New Roman" w:cs="Times New Roman"/>
          <w:sz w:val="28"/>
          <w:szCs w:val="28"/>
        </w:rPr>
        <w:t xml:space="preserve"> В. У 55 осіб разом з ХОЗЛ встановлена ГХ II ст. (основна група) та у 45 хворих ХОЗЛ були визначені нормальні цифри артеріального тиску (група порівняння).</w:t>
      </w:r>
    </w:p>
    <w:p w:rsidR="00007631" w:rsidRPr="00156441" w:rsidRDefault="00007631" w:rsidP="00CA152C">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Всі пацієнти давали згоду на участь в дослідженні. Критеріями включення пацієнтів до основної групи був підтверджений діагноз ХОЗЛ гр. В згідно з критеріями GOLD</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Global Initiative for Obstructive Lung Disease (2015 р.) та наказом МОЗ України від 27.06.2013 № 555.</w:t>
      </w:r>
      <w:r w:rsidR="0067154C" w:rsidRPr="00156441">
        <w:rPr>
          <w:rFonts w:ascii="Times New Roman" w:hAnsi="Times New Roman" w:cs="Times New Roman"/>
          <w:sz w:val="28"/>
          <w:szCs w:val="28"/>
        </w:rPr>
        <w:t xml:space="preserve"> ХОЗЛ</w:t>
      </w:r>
      <w:r w:rsidRPr="00156441">
        <w:rPr>
          <w:rFonts w:ascii="Times New Roman" w:hAnsi="Times New Roman" w:cs="Times New Roman"/>
          <w:sz w:val="28"/>
          <w:szCs w:val="28"/>
        </w:rPr>
        <w:t xml:space="preserve"> Гр. В встановлювалась на підставі наявності спірометричного класу GOLD 1 чи GOLD 2, та/чи 0-1 загострення на рік та відсутності госпіталізації щодо загострення та </w:t>
      </w:r>
      <w:r w:rsidR="0067154C" w:rsidRPr="00156441">
        <w:rPr>
          <w:rFonts w:ascii="Times New Roman" w:hAnsi="Times New Roman" w:cs="Times New Roman"/>
          <w:sz w:val="28"/>
          <w:szCs w:val="28"/>
        </w:rPr>
        <w:t>ступень</w:t>
      </w:r>
      <w:r w:rsidRPr="00156441">
        <w:rPr>
          <w:rFonts w:ascii="Times New Roman" w:hAnsi="Times New Roman" w:cs="Times New Roman"/>
          <w:sz w:val="28"/>
          <w:szCs w:val="28"/>
        </w:rPr>
        <w:t xml:space="preserve"> задишки по mMRC≥2. На момент спостереження вся обстежені</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пацієнти на ХОЗЛ</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перебували у фазі ремісії. Згідно з наказом МОЗ України № 384 від 24.05.2012 залучались хворі з підтвердженим діагнозом ГХ ІІ стадії. Тобто усі обстежені мали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єктивні ознаки ушкодження органів-мішеней без симптомів з їх боку, чи порушення функції та мали гіпертрофію лівого шлуночка за даними ЕКГ. До обстеження не залучалися хворі з супутніми захворюваннями органів дихання (туберкульоз, бронхіальна астма, пневмонія, рак та ін.).</w:t>
      </w:r>
    </w:p>
    <w:p w:rsidR="00CA152C" w:rsidRPr="00184106" w:rsidRDefault="001C36B2" w:rsidP="00184106">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Групу контролю склали </w:t>
      </w:r>
      <w:r w:rsidR="00007631" w:rsidRPr="00156441">
        <w:rPr>
          <w:rFonts w:ascii="Times New Roman" w:hAnsi="Times New Roman" w:cs="Times New Roman"/>
          <w:sz w:val="28"/>
          <w:szCs w:val="28"/>
        </w:rPr>
        <w:t>45 умовно здорових добровольців. Розподіл обстежених на клінічні групи представлений у таблиці 2.1.1</w:t>
      </w:r>
    </w:p>
    <w:p w:rsidR="00007631" w:rsidRPr="00156441" w:rsidRDefault="00007631" w:rsidP="001C36B2">
      <w:pPr>
        <w:spacing w:after="0" w:line="240" w:lineRule="auto"/>
        <w:contextualSpacing/>
        <w:jc w:val="right"/>
        <w:rPr>
          <w:rFonts w:ascii="Times New Roman" w:hAnsi="Times New Roman" w:cs="Times New Roman"/>
          <w:sz w:val="28"/>
          <w:szCs w:val="28"/>
        </w:rPr>
      </w:pPr>
      <w:r w:rsidRPr="00156441">
        <w:rPr>
          <w:rFonts w:ascii="Times New Roman" w:hAnsi="Times New Roman" w:cs="Times New Roman"/>
          <w:sz w:val="28"/>
          <w:szCs w:val="28"/>
        </w:rPr>
        <w:t>Таблиця 2.1.1</w:t>
      </w:r>
    </w:p>
    <w:p w:rsidR="00007631" w:rsidRPr="00156441" w:rsidRDefault="00007631" w:rsidP="001C36B2">
      <w:pPr>
        <w:spacing w:after="0" w:line="24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Розподіл обстежуваних за клінічними групами</w:t>
      </w:r>
    </w:p>
    <w:tbl>
      <w:tblPr>
        <w:tblStyle w:val="a5"/>
        <w:tblW w:w="0" w:type="auto"/>
        <w:tblInd w:w="-5" w:type="dxa"/>
        <w:tblLook w:val="04A0" w:firstRow="1" w:lastRow="0" w:firstColumn="1" w:lastColumn="0" w:noHBand="0" w:noVBand="1"/>
      </w:tblPr>
      <w:tblGrid>
        <w:gridCol w:w="4870"/>
        <w:gridCol w:w="2523"/>
        <w:gridCol w:w="2523"/>
      </w:tblGrid>
      <w:tr w:rsidR="00156441" w:rsidRPr="00156441" w:rsidTr="001C36B2">
        <w:tc>
          <w:tcPr>
            <w:tcW w:w="4870" w:type="dxa"/>
          </w:tcPr>
          <w:p w:rsidR="00007631" w:rsidRPr="00156441" w:rsidRDefault="00007631" w:rsidP="001C36B2">
            <w:pPr>
              <w:contextualSpacing/>
              <w:jc w:val="both"/>
              <w:rPr>
                <w:rFonts w:ascii="Times New Roman" w:hAnsi="Times New Roman" w:cs="Times New Roman"/>
                <w:sz w:val="28"/>
                <w:szCs w:val="28"/>
              </w:rPr>
            </w:pPr>
            <w:r w:rsidRPr="00156441">
              <w:rPr>
                <w:rFonts w:ascii="Times New Roman" w:hAnsi="Times New Roman" w:cs="Times New Roman"/>
                <w:sz w:val="28"/>
                <w:szCs w:val="28"/>
              </w:rPr>
              <w:t>Контингент обстежених</w:t>
            </w:r>
          </w:p>
        </w:tc>
        <w:tc>
          <w:tcPr>
            <w:tcW w:w="2523" w:type="dxa"/>
          </w:tcPr>
          <w:p w:rsidR="00007631" w:rsidRPr="00156441" w:rsidRDefault="00007631" w:rsidP="001C36B2">
            <w:pPr>
              <w:contextualSpacing/>
              <w:jc w:val="both"/>
              <w:rPr>
                <w:rFonts w:ascii="Times New Roman" w:hAnsi="Times New Roman" w:cs="Times New Roman"/>
                <w:sz w:val="28"/>
                <w:szCs w:val="28"/>
              </w:rPr>
            </w:pPr>
            <w:r w:rsidRPr="00156441">
              <w:rPr>
                <w:rFonts w:ascii="Times New Roman" w:hAnsi="Times New Roman" w:cs="Times New Roman"/>
                <w:sz w:val="28"/>
                <w:szCs w:val="28"/>
              </w:rPr>
              <w:t>Кількість хворих</w:t>
            </w:r>
          </w:p>
        </w:tc>
        <w:tc>
          <w:tcPr>
            <w:tcW w:w="2523" w:type="dxa"/>
          </w:tcPr>
          <w:p w:rsidR="00007631" w:rsidRPr="00156441" w:rsidRDefault="00C70355"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 %</w:t>
            </w:r>
          </w:p>
        </w:tc>
      </w:tr>
      <w:tr w:rsidR="00156441" w:rsidRPr="00156441" w:rsidTr="001C36B2">
        <w:trPr>
          <w:trHeight w:val="209"/>
        </w:trPr>
        <w:tc>
          <w:tcPr>
            <w:tcW w:w="4870" w:type="dxa"/>
          </w:tcPr>
          <w:p w:rsidR="00007631" w:rsidRPr="00156441" w:rsidRDefault="00007631" w:rsidP="001C36B2">
            <w:pPr>
              <w:contextualSpacing/>
              <w:rPr>
                <w:rFonts w:ascii="Times New Roman" w:hAnsi="Times New Roman" w:cs="Times New Roman"/>
                <w:sz w:val="28"/>
                <w:szCs w:val="28"/>
              </w:rPr>
            </w:pPr>
            <w:r w:rsidRPr="00156441">
              <w:rPr>
                <w:rFonts w:ascii="Times New Roman" w:hAnsi="Times New Roman" w:cs="Times New Roman"/>
                <w:sz w:val="28"/>
                <w:szCs w:val="28"/>
              </w:rPr>
              <w:t>Основна група: хворі на ХОЗЛ та ГХ</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55</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37,93</w:t>
            </w:r>
          </w:p>
        </w:tc>
      </w:tr>
      <w:tr w:rsidR="00156441" w:rsidRPr="00156441" w:rsidTr="001C36B2">
        <w:tc>
          <w:tcPr>
            <w:tcW w:w="4870" w:type="dxa"/>
          </w:tcPr>
          <w:p w:rsidR="00007631" w:rsidRPr="00156441" w:rsidRDefault="00007631" w:rsidP="001C36B2">
            <w:pPr>
              <w:contextualSpacing/>
              <w:rPr>
                <w:rFonts w:ascii="Times New Roman" w:hAnsi="Times New Roman" w:cs="Times New Roman"/>
                <w:sz w:val="28"/>
                <w:szCs w:val="28"/>
              </w:rPr>
            </w:pPr>
            <w:r w:rsidRPr="00156441">
              <w:rPr>
                <w:rFonts w:ascii="Times New Roman" w:hAnsi="Times New Roman" w:cs="Times New Roman"/>
                <w:sz w:val="28"/>
                <w:szCs w:val="28"/>
              </w:rPr>
              <w:t>Група порівняння: хворі на ХОЗЛ</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45</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31,03</w:t>
            </w:r>
          </w:p>
        </w:tc>
      </w:tr>
      <w:tr w:rsidR="00156441" w:rsidRPr="00156441" w:rsidTr="001C36B2">
        <w:trPr>
          <w:trHeight w:val="247"/>
        </w:trPr>
        <w:tc>
          <w:tcPr>
            <w:tcW w:w="4870" w:type="dxa"/>
          </w:tcPr>
          <w:p w:rsidR="00007631" w:rsidRPr="00156441" w:rsidRDefault="00007631" w:rsidP="001C36B2">
            <w:pPr>
              <w:contextualSpacing/>
              <w:rPr>
                <w:rFonts w:ascii="Times New Roman" w:hAnsi="Times New Roman" w:cs="Times New Roman"/>
                <w:sz w:val="28"/>
                <w:szCs w:val="28"/>
              </w:rPr>
            </w:pPr>
            <w:r w:rsidRPr="00156441">
              <w:rPr>
                <w:rFonts w:ascii="Times New Roman" w:hAnsi="Times New Roman" w:cs="Times New Roman"/>
                <w:sz w:val="28"/>
                <w:szCs w:val="28"/>
              </w:rPr>
              <w:t>Контрольна група: умовно здорові</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45</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31,04</w:t>
            </w:r>
          </w:p>
        </w:tc>
      </w:tr>
      <w:tr w:rsidR="00156441" w:rsidRPr="00156441" w:rsidTr="001C36B2">
        <w:trPr>
          <w:trHeight w:val="105"/>
        </w:trPr>
        <w:tc>
          <w:tcPr>
            <w:tcW w:w="4870" w:type="dxa"/>
          </w:tcPr>
          <w:p w:rsidR="00007631" w:rsidRPr="00156441" w:rsidRDefault="00007631" w:rsidP="001C36B2">
            <w:pPr>
              <w:contextualSpacing/>
              <w:rPr>
                <w:rFonts w:ascii="Times New Roman" w:hAnsi="Times New Roman" w:cs="Times New Roman"/>
                <w:sz w:val="28"/>
                <w:szCs w:val="28"/>
              </w:rPr>
            </w:pPr>
            <w:r w:rsidRPr="00156441">
              <w:rPr>
                <w:rFonts w:ascii="Times New Roman" w:hAnsi="Times New Roman" w:cs="Times New Roman"/>
                <w:sz w:val="28"/>
                <w:szCs w:val="28"/>
              </w:rPr>
              <w:t>УСЬОГО</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145</w:t>
            </w:r>
          </w:p>
        </w:tc>
        <w:tc>
          <w:tcPr>
            <w:tcW w:w="2523" w:type="dxa"/>
          </w:tcPr>
          <w:p w:rsidR="00007631" w:rsidRPr="00156441" w:rsidRDefault="00007631" w:rsidP="001C36B2">
            <w:pPr>
              <w:contextualSpacing/>
              <w:jc w:val="center"/>
              <w:rPr>
                <w:rFonts w:ascii="Times New Roman" w:hAnsi="Times New Roman" w:cs="Times New Roman"/>
                <w:sz w:val="28"/>
                <w:szCs w:val="28"/>
              </w:rPr>
            </w:pPr>
            <w:r w:rsidRPr="00156441">
              <w:rPr>
                <w:rFonts w:ascii="Times New Roman" w:hAnsi="Times New Roman" w:cs="Times New Roman"/>
                <w:sz w:val="28"/>
                <w:szCs w:val="28"/>
              </w:rPr>
              <w:t>100</w:t>
            </w:r>
          </w:p>
        </w:tc>
      </w:tr>
    </w:tbl>
    <w:p w:rsidR="00007631" w:rsidRPr="00156441" w:rsidRDefault="00007631" w:rsidP="00CA152C">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Усі обстежені були у віці від 39 до 68 років, що представлено у табл. 2.1.2. Середній вік хворих І групи склав 53,8±5,08 рок</w:t>
      </w:r>
      <w:r w:rsidR="0067154C" w:rsidRPr="00156441">
        <w:rPr>
          <w:rFonts w:ascii="Times New Roman" w:hAnsi="Times New Roman" w:cs="Times New Roman"/>
          <w:sz w:val="28"/>
          <w:szCs w:val="28"/>
        </w:rPr>
        <w:t>ів, ІІ групи - 56,06±3,97 років,</w:t>
      </w:r>
      <w:r w:rsidRPr="00156441">
        <w:rPr>
          <w:rFonts w:ascii="Times New Roman" w:hAnsi="Times New Roman" w:cs="Times New Roman"/>
          <w:sz w:val="28"/>
          <w:szCs w:val="28"/>
        </w:rPr>
        <w:t xml:space="preserve"> групи контролю - 53,44±6,77</w:t>
      </w:r>
      <w:r w:rsidR="0067154C" w:rsidRPr="00156441">
        <w:rPr>
          <w:rFonts w:ascii="Times New Roman" w:hAnsi="Times New Roman" w:cs="Times New Roman"/>
          <w:sz w:val="28"/>
          <w:szCs w:val="28"/>
        </w:rPr>
        <w:t>.</w:t>
      </w:r>
    </w:p>
    <w:p w:rsidR="00007631" w:rsidRPr="00156441" w:rsidRDefault="00007631" w:rsidP="00CA152C">
      <w:pPr>
        <w:spacing w:after="0" w:line="360" w:lineRule="auto"/>
        <w:ind w:firstLine="709"/>
        <w:contextualSpacing/>
        <w:jc w:val="right"/>
        <w:rPr>
          <w:rFonts w:ascii="Times New Roman" w:hAnsi="Times New Roman" w:cs="Times New Roman"/>
          <w:sz w:val="28"/>
          <w:szCs w:val="28"/>
        </w:rPr>
      </w:pPr>
      <w:r w:rsidRPr="00156441">
        <w:rPr>
          <w:rFonts w:ascii="Times New Roman" w:hAnsi="Times New Roman" w:cs="Times New Roman"/>
          <w:sz w:val="28"/>
          <w:szCs w:val="28"/>
        </w:rPr>
        <w:t>Таблиця 2.1.2</w:t>
      </w:r>
    </w:p>
    <w:p w:rsidR="00007631" w:rsidRPr="00156441" w:rsidRDefault="00007631" w:rsidP="00CA152C">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Розподіл хворих основної та порівняльної груп за віковим критерієм</w:t>
      </w:r>
    </w:p>
    <w:tbl>
      <w:tblPr>
        <w:tblStyle w:val="a5"/>
        <w:tblW w:w="0" w:type="auto"/>
        <w:jc w:val="center"/>
        <w:tblLook w:val="04A0" w:firstRow="1" w:lastRow="0" w:firstColumn="1" w:lastColumn="0" w:noHBand="0" w:noVBand="1"/>
      </w:tblPr>
      <w:tblGrid>
        <w:gridCol w:w="1310"/>
        <w:gridCol w:w="1076"/>
        <w:gridCol w:w="1075"/>
        <w:gridCol w:w="1075"/>
        <w:gridCol w:w="1075"/>
        <w:gridCol w:w="1075"/>
        <w:gridCol w:w="1075"/>
        <w:gridCol w:w="1075"/>
        <w:gridCol w:w="1075"/>
      </w:tblGrid>
      <w:tr w:rsidR="00156441" w:rsidRPr="00156441" w:rsidTr="00354B4F">
        <w:trPr>
          <w:trHeight w:val="226"/>
          <w:jc w:val="center"/>
        </w:trPr>
        <w:tc>
          <w:tcPr>
            <w:tcW w:w="0" w:type="auto"/>
            <w:vMerge w:val="restart"/>
            <w:vAlign w:val="center"/>
          </w:tcPr>
          <w:p w:rsidR="00007631" w:rsidRPr="00156441" w:rsidRDefault="00007631" w:rsidP="00184106">
            <w:pPr>
              <w:spacing w:line="276"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обстежених</w:t>
            </w:r>
          </w:p>
        </w:tc>
        <w:tc>
          <w:tcPr>
            <w:tcW w:w="567" w:type="dxa"/>
            <w:gridSpan w:val="8"/>
            <w:tcBorders>
              <w:bottom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Вік, років</w:t>
            </w:r>
          </w:p>
        </w:tc>
      </w:tr>
      <w:tr w:rsidR="00156441" w:rsidRPr="00156441" w:rsidTr="00354B4F">
        <w:trPr>
          <w:trHeight w:val="262"/>
          <w:jc w:val="center"/>
        </w:trPr>
        <w:tc>
          <w:tcPr>
            <w:tcW w:w="0" w:type="auto"/>
            <w:vMerge/>
            <w:vAlign w:val="center"/>
          </w:tcPr>
          <w:p w:rsidR="00007631" w:rsidRPr="00156441" w:rsidRDefault="00007631" w:rsidP="00184106">
            <w:pPr>
              <w:spacing w:line="276" w:lineRule="auto"/>
              <w:ind w:left="-57" w:right="-57"/>
              <w:contextualSpacing/>
              <w:jc w:val="center"/>
              <w:rPr>
                <w:rFonts w:ascii="Times New Roman" w:hAnsi="Times New Roman" w:cs="Times New Roman"/>
                <w:sz w:val="28"/>
                <w:szCs w:val="28"/>
              </w:rPr>
            </w:pPr>
          </w:p>
        </w:tc>
        <w:tc>
          <w:tcPr>
            <w:tcW w:w="567" w:type="dxa"/>
            <w:gridSpan w:val="2"/>
            <w:tcBorders>
              <w:top w:val="single" w:sz="2"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45 та менше</w:t>
            </w:r>
          </w:p>
        </w:tc>
        <w:tc>
          <w:tcPr>
            <w:tcW w:w="567" w:type="dxa"/>
            <w:gridSpan w:val="2"/>
            <w:tcBorders>
              <w:top w:val="single" w:sz="2" w:space="0" w:color="auto"/>
              <w:left w:val="single" w:sz="2"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46-50</w:t>
            </w:r>
          </w:p>
        </w:tc>
        <w:tc>
          <w:tcPr>
            <w:tcW w:w="567" w:type="dxa"/>
            <w:gridSpan w:val="2"/>
            <w:tcBorders>
              <w:top w:val="single" w:sz="2" w:space="0" w:color="auto"/>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51-55</w:t>
            </w:r>
          </w:p>
        </w:tc>
        <w:tc>
          <w:tcPr>
            <w:tcW w:w="567" w:type="dxa"/>
            <w:gridSpan w:val="2"/>
            <w:tcBorders>
              <w:top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більш</w:t>
            </w:r>
            <w:r w:rsidR="003E513A" w:rsidRPr="00156441">
              <w:rPr>
                <w:rFonts w:ascii="Times New Roman" w:hAnsi="Times New Roman" w:cs="Times New Roman"/>
                <w:sz w:val="28"/>
                <w:szCs w:val="28"/>
              </w:rPr>
              <w:t>е</w:t>
            </w:r>
            <w:r w:rsidRPr="00156441">
              <w:rPr>
                <w:rFonts w:ascii="Times New Roman" w:hAnsi="Times New Roman" w:cs="Times New Roman"/>
                <w:sz w:val="28"/>
                <w:szCs w:val="28"/>
              </w:rPr>
              <w:t xml:space="preserve"> 55</w:t>
            </w:r>
          </w:p>
        </w:tc>
      </w:tr>
      <w:tr w:rsidR="00156441" w:rsidRPr="00156441" w:rsidTr="00354B4F">
        <w:trPr>
          <w:trHeight w:val="690"/>
          <w:jc w:val="center"/>
        </w:trPr>
        <w:tc>
          <w:tcPr>
            <w:tcW w:w="0" w:type="auto"/>
            <w:vMerge/>
            <w:vAlign w:val="center"/>
          </w:tcPr>
          <w:p w:rsidR="00007631" w:rsidRPr="00156441" w:rsidRDefault="00007631" w:rsidP="00184106">
            <w:pPr>
              <w:spacing w:line="276" w:lineRule="auto"/>
              <w:ind w:left="-57" w:right="-57"/>
              <w:contextualSpacing/>
              <w:jc w:val="center"/>
              <w:rPr>
                <w:rFonts w:ascii="Times New Roman" w:hAnsi="Times New Roman" w:cs="Times New Roman"/>
                <w:sz w:val="28"/>
                <w:szCs w:val="28"/>
              </w:rPr>
            </w:pPr>
          </w:p>
        </w:tc>
        <w:tc>
          <w:tcPr>
            <w:tcW w:w="567" w:type="dxa"/>
            <w:tcBorders>
              <w:top w:val="single" w:sz="4"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Кількість (абс)</w:t>
            </w:r>
          </w:p>
        </w:tc>
        <w:tc>
          <w:tcPr>
            <w:tcW w:w="567" w:type="dxa"/>
            <w:tcBorders>
              <w:top w:val="single" w:sz="4"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w:t>
            </w:r>
          </w:p>
          <w:p w:rsidR="00007631" w:rsidRPr="00156441" w:rsidRDefault="00C70355"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w:t>
            </w:r>
            <w:r w:rsidR="00007631" w:rsidRPr="00156441">
              <w:rPr>
                <w:rFonts w:ascii="Times New Roman" w:eastAsia="Times New Roman" w:hAnsi="Times New Roman" w:cs="Times New Roman"/>
                <w:sz w:val="28"/>
                <w:szCs w:val="28"/>
                <w:lang w:eastAsia="ru-RU"/>
              </w:rPr>
              <w:t>)</w:t>
            </w:r>
          </w:p>
        </w:tc>
        <w:tc>
          <w:tcPr>
            <w:tcW w:w="567" w:type="dxa"/>
            <w:tcBorders>
              <w:top w:val="single" w:sz="4" w:space="0" w:color="auto"/>
              <w:left w:val="single" w:sz="2" w:space="0" w:color="auto"/>
              <w:right w:val="single" w:sz="4"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Кількість (абс)</w:t>
            </w:r>
          </w:p>
        </w:tc>
        <w:tc>
          <w:tcPr>
            <w:tcW w:w="567" w:type="dxa"/>
            <w:tcBorders>
              <w:top w:val="single" w:sz="4" w:space="0" w:color="auto"/>
              <w:left w:val="single" w:sz="4"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w:t>
            </w:r>
          </w:p>
          <w:p w:rsidR="00007631" w:rsidRPr="00156441" w:rsidRDefault="00C70355"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w:t>
            </w:r>
            <w:r w:rsidR="00007631" w:rsidRPr="00156441">
              <w:rPr>
                <w:rFonts w:ascii="Times New Roman" w:eastAsia="Times New Roman" w:hAnsi="Times New Roman" w:cs="Times New Roman"/>
                <w:sz w:val="28"/>
                <w:szCs w:val="28"/>
                <w:lang w:eastAsia="ru-RU"/>
              </w:rPr>
              <w:t>)</w:t>
            </w:r>
          </w:p>
        </w:tc>
        <w:tc>
          <w:tcPr>
            <w:tcW w:w="567" w:type="dxa"/>
            <w:tcBorders>
              <w:top w:val="single" w:sz="4" w:space="0" w:color="auto"/>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Кількість (абс)</w:t>
            </w:r>
          </w:p>
        </w:tc>
        <w:tc>
          <w:tcPr>
            <w:tcW w:w="567" w:type="dxa"/>
            <w:tcBorders>
              <w:top w:val="single" w:sz="4" w:space="0" w:color="auto"/>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 xml:space="preserve">Кількість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567" w:type="dxa"/>
            <w:tcBorders>
              <w:top w:val="single" w:sz="4" w:space="0" w:color="auto"/>
            </w:tcBorders>
            <w:vAlign w:val="center"/>
          </w:tcPr>
          <w:p w:rsidR="00007631" w:rsidRPr="00156441" w:rsidRDefault="00007631" w:rsidP="003E513A">
            <w:pPr>
              <w:spacing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w:t>
            </w:r>
          </w:p>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(абс)</w:t>
            </w:r>
          </w:p>
        </w:tc>
        <w:tc>
          <w:tcPr>
            <w:tcW w:w="567" w:type="dxa"/>
            <w:tcBorders>
              <w:top w:val="single" w:sz="4"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 xml:space="preserve">Кількість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r>
      <w:tr w:rsidR="00156441" w:rsidRPr="00156441" w:rsidTr="00354B4F">
        <w:trPr>
          <w:trHeight w:val="890"/>
          <w:jc w:val="center"/>
        </w:trPr>
        <w:tc>
          <w:tcPr>
            <w:tcW w:w="0" w:type="auto"/>
            <w:vAlign w:val="center"/>
          </w:tcPr>
          <w:p w:rsidR="00007631" w:rsidRPr="00156441" w:rsidRDefault="00354B4F" w:rsidP="00184106">
            <w:pPr>
              <w:spacing w:line="276" w:lineRule="auto"/>
              <w:ind w:left="-57" w:right="-57"/>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Основна група</w:t>
            </w:r>
          </w:p>
          <w:p w:rsidR="00007631" w:rsidRPr="00156441" w:rsidRDefault="00007631" w:rsidP="00184106">
            <w:pPr>
              <w:spacing w:line="276"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lang w:eastAsia="ru-RU"/>
              </w:rPr>
              <w:t>n=55</w:t>
            </w:r>
          </w:p>
        </w:tc>
        <w:tc>
          <w:tcPr>
            <w:tcW w:w="567" w:type="dxa"/>
            <w:tcBorders>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w:t>
            </w:r>
          </w:p>
        </w:tc>
        <w:tc>
          <w:tcPr>
            <w:tcW w:w="567" w:type="dxa"/>
            <w:tcBorders>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7,2</w:t>
            </w:r>
          </w:p>
        </w:tc>
        <w:tc>
          <w:tcPr>
            <w:tcW w:w="567" w:type="dxa"/>
            <w:tcBorders>
              <w:left w:val="single" w:sz="2" w:space="0" w:color="auto"/>
              <w:right w:val="single" w:sz="4"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9</w:t>
            </w:r>
          </w:p>
        </w:tc>
        <w:tc>
          <w:tcPr>
            <w:tcW w:w="567" w:type="dxa"/>
            <w:tcBorders>
              <w:left w:val="single" w:sz="4"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16,4</w:t>
            </w:r>
          </w:p>
        </w:tc>
        <w:tc>
          <w:tcPr>
            <w:tcW w:w="567" w:type="dxa"/>
            <w:tcBorders>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20</w:t>
            </w:r>
          </w:p>
        </w:tc>
        <w:tc>
          <w:tcPr>
            <w:tcW w:w="567" w:type="dxa"/>
            <w:tcBorders>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36,4</w:t>
            </w:r>
          </w:p>
        </w:tc>
        <w:tc>
          <w:tcPr>
            <w:tcW w:w="567" w:type="dxa"/>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22</w:t>
            </w:r>
          </w:p>
        </w:tc>
        <w:tc>
          <w:tcPr>
            <w:tcW w:w="567" w:type="dxa"/>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40</w:t>
            </w:r>
          </w:p>
        </w:tc>
      </w:tr>
      <w:tr w:rsidR="00156441" w:rsidRPr="00156441" w:rsidTr="00354B4F">
        <w:trPr>
          <w:trHeight w:val="1025"/>
          <w:jc w:val="center"/>
        </w:trPr>
        <w:tc>
          <w:tcPr>
            <w:tcW w:w="0" w:type="auto"/>
            <w:vAlign w:val="center"/>
          </w:tcPr>
          <w:p w:rsidR="00007631" w:rsidRPr="00156441" w:rsidRDefault="00354B4F" w:rsidP="00184106">
            <w:pPr>
              <w:spacing w:line="276" w:lineRule="auto"/>
              <w:ind w:left="-57" w:right="-57"/>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Група порівняння</w:t>
            </w:r>
          </w:p>
          <w:p w:rsidR="00007631" w:rsidRPr="00156441" w:rsidRDefault="00007631" w:rsidP="00184106">
            <w:pPr>
              <w:spacing w:line="276"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lang w:eastAsia="ru-RU"/>
              </w:rPr>
              <w:t>n=45</w:t>
            </w:r>
          </w:p>
        </w:tc>
        <w:tc>
          <w:tcPr>
            <w:tcW w:w="567" w:type="dxa"/>
            <w:tcBorders>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w:t>
            </w:r>
          </w:p>
        </w:tc>
        <w:tc>
          <w:tcPr>
            <w:tcW w:w="567" w:type="dxa"/>
            <w:tcBorders>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0</w:t>
            </w:r>
          </w:p>
        </w:tc>
        <w:tc>
          <w:tcPr>
            <w:tcW w:w="567" w:type="dxa"/>
            <w:tcBorders>
              <w:left w:val="single" w:sz="2" w:space="0" w:color="auto"/>
              <w:right w:val="single" w:sz="4"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3</w:t>
            </w:r>
          </w:p>
        </w:tc>
        <w:tc>
          <w:tcPr>
            <w:tcW w:w="567" w:type="dxa"/>
            <w:tcBorders>
              <w:left w:val="single" w:sz="4"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6,7</w:t>
            </w:r>
          </w:p>
        </w:tc>
        <w:tc>
          <w:tcPr>
            <w:tcW w:w="567" w:type="dxa"/>
            <w:tcBorders>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16</w:t>
            </w:r>
          </w:p>
        </w:tc>
        <w:tc>
          <w:tcPr>
            <w:tcW w:w="567" w:type="dxa"/>
            <w:tcBorders>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35,6</w:t>
            </w:r>
          </w:p>
        </w:tc>
        <w:tc>
          <w:tcPr>
            <w:tcW w:w="567" w:type="dxa"/>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26</w:t>
            </w:r>
          </w:p>
        </w:tc>
        <w:tc>
          <w:tcPr>
            <w:tcW w:w="567" w:type="dxa"/>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57,7</w:t>
            </w:r>
          </w:p>
        </w:tc>
      </w:tr>
      <w:tr w:rsidR="00156441" w:rsidRPr="00156441" w:rsidTr="00354B4F">
        <w:trPr>
          <w:jc w:val="center"/>
        </w:trPr>
        <w:tc>
          <w:tcPr>
            <w:tcW w:w="0" w:type="auto"/>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Усього</w:t>
            </w:r>
          </w:p>
        </w:tc>
        <w:tc>
          <w:tcPr>
            <w:tcW w:w="567" w:type="dxa"/>
            <w:tcBorders>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w:t>
            </w:r>
          </w:p>
        </w:tc>
        <w:tc>
          <w:tcPr>
            <w:tcW w:w="567" w:type="dxa"/>
            <w:tcBorders>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w:t>
            </w:r>
          </w:p>
        </w:tc>
        <w:tc>
          <w:tcPr>
            <w:tcW w:w="567" w:type="dxa"/>
            <w:tcBorders>
              <w:left w:val="single" w:sz="2" w:space="0" w:color="auto"/>
              <w:right w:val="single" w:sz="4"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12</w:t>
            </w:r>
          </w:p>
        </w:tc>
        <w:tc>
          <w:tcPr>
            <w:tcW w:w="567" w:type="dxa"/>
            <w:tcBorders>
              <w:left w:val="single" w:sz="4" w:space="0" w:color="auto"/>
              <w:righ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12</w:t>
            </w:r>
          </w:p>
        </w:tc>
        <w:tc>
          <w:tcPr>
            <w:tcW w:w="567" w:type="dxa"/>
            <w:tcBorders>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36</w:t>
            </w:r>
          </w:p>
        </w:tc>
        <w:tc>
          <w:tcPr>
            <w:tcW w:w="567" w:type="dxa"/>
            <w:tcBorders>
              <w:left w:val="single" w:sz="2" w:space="0" w:color="auto"/>
            </w:tcBorders>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36</w:t>
            </w:r>
          </w:p>
        </w:tc>
        <w:tc>
          <w:tcPr>
            <w:tcW w:w="567" w:type="dxa"/>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48</w:t>
            </w:r>
          </w:p>
        </w:tc>
        <w:tc>
          <w:tcPr>
            <w:tcW w:w="567" w:type="dxa"/>
            <w:vAlign w:val="center"/>
          </w:tcPr>
          <w:p w:rsidR="00007631" w:rsidRPr="00156441" w:rsidRDefault="00007631" w:rsidP="003E513A">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48</w:t>
            </w:r>
          </w:p>
        </w:tc>
      </w:tr>
    </w:tbl>
    <w:p w:rsidR="00007631" w:rsidRPr="00156441" w:rsidRDefault="00007631" w:rsidP="00007631">
      <w:pPr>
        <w:spacing w:after="0" w:line="360" w:lineRule="auto"/>
        <w:ind w:left="420"/>
        <w:contextualSpacing/>
        <w:jc w:val="both"/>
        <w:rPr>
          <w:rFonts w:ascii="Times New Roman" w:hAnsi="Times New Roman" w:cs="Times New Roman"/>
          <w:sz w:val="28"/>
          <w:szCs w:val="28"/>
        </w:rPr>
      </w:pPr>
    </w:p>
    <w:p w:rsidR="00007631" w:rsidRPr="00156441" w:rsidRDefault="00007631" w:rsidP="0000763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Як можна побачити з наведених даних, частота розвитку ХОЗЛ зростає відповідно </w:t>
      </w:r>
      <w:r w:rsidR="003E513A" w:rsidRPr="00156441">
        <w:rPr>
          <w:rFonts w:ascii="Times New Roman" w:hAnsi="Times New Roman" w:cs="Times New Roman"/>
          <w:sz w:val="28"/>
          <w:szCs w:val="28"/>
        </w:rPr>
        <w:t>зростанню</w:t>
      </w:r>
      <w:r w:rsidRPr="00156441">
        <w:rPr>
          <w:rFonts w:ascii="Times New Roman" w:hAnsi="Times New Roman" w:cs="Times New Roman"/>
          <w:sz w:val="28"/>
          <w:szCs w:val="28"/>
        </w:rPr>
        <w:t xml:space="preserve"> віку пацієнтів, що й є характерним для цієї патології.</w:t>
      </w:r>
    </w:p>
    <w:p w:rsidR="00007631" w:rsidRPr="00156441" w:rsidRDefault="00007631" w:rsidP="0000763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Таким чином, у віковій категорії до 45 років було виявлено 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хворих на ХОЗЛ, у категорії від 46 до 50 років</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12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хворих, 36</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пацієнтів увійшло у вікову групу 51-55 років, та найбільш</w:t>
      </w:r>
      <w:r w:rsidR="003E513A" w:rsidRPr="00156441">
        <w:rPr>
          <w:rFonts w:ascii="Times New Roman" w:hAnsi="Times New Roman" w:cs="Times New Roman"/>
          <w:sz w:val="28"/>
          <w:szCs w:val="28"/>
        </w:rPr>
        <w:t>у</w:t>
      </w:r>
      <w:r w:rsidRPr="00156441">
        <w:rPr>
          <w:rFonts w:ascii="Times New Roman" w:hAnsi="Times New Roman" w:cs="Times New Roman"/>
          <w:sz w:val="28"/>
          <w:szCs w:val="28"/>
        </w:rPr>
        <w:t xml:space="preserve"> кількість хворих на ХОЗЛ було виявлено у групі пацієнтів старших за 55 років</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48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p w:rsidR="00007631" w:rsidRDefault="00007631" w:rsidP="003E513A">
      <w:pPr>
        <w:spacing w:after="0" w:line="360" w:lineRule="auto"/>
        <w:ind w:firstLine="709"/>
        <w:contextualSpacing/>
        <w:jc w:val="both"/>
        <w:rPr>
          <w:rFonts w:ascii="Times New Roman" w:hAnsi="Times New Roman" w:cs="Times New Roman"/>
          <w:sz w:val="28"/>
          <w:szCs w:val="28"/>
          <w:lang w:val="ru-RU"/>
        </w:rPr>
      </w:pPr>
      <w:r w:rsidRPr="00156441">
        <w:rPr>
          <w:rFonts w:ascii="Times New Roman" w:hAnsi="Times New Roman" w:cs="Times New Roman"/>
          <w:sz w:val="28"/>
          <w:szCs w:val="28"/>
        </w:rPr>
        <w:t xml:space="preserve">На сучасному етапі не виявлено чітких гендерних впливів на розвиток, прогресування і наслідки ХОЗЛ. У обстеженні приймали участь як чоловіки так й жінки. Загалом у досліджені </w:t>
      </w:r>
      <w:r w:rsidR="003E513A" w:rsidRPr="00156441">
        <w:rPr>
          <w:rFonts w:ascii="Times New Roman" w:hAnsi="Times New Roman" w:cs="Times New Roman"/>
          <w:sz w:val="28"/>
          <w:szCs w:val="28"/>
        </w:rPr>
        <w:t>брали</w:t>
      </w:r>
      <w:r w:rsidRPr="00156441">
        <w:rPr>
          <w:rFonts w:ascii="Times New Roman" w:hAnsi="Times New Roman" w:cs="Times New Roman"/>
          <w:sz w:val="28"/>
          <w:szCs w:val="28"/>
        </w:rPr>
        <w:t xml:space="preserve"> участь 69</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чоловіків та 31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жінок.</w:t>
      </w:r>
      <w:r w:rsidR="003E513A" w:rsidRPr="00156441">
        <w:rPr>
          <w:rFonts w:ascii="Times New Roman" w:hAnsi="Times New Roman" w:cs="Times New Roman"/>
          <w:sz w:val="28"/>
          <w:szCs w:val="28"/>
        </w:rPr>
        <w:br/>
      </w:r>
      <w:r w:rsidRPr="00156441">
        <w:rPr>
          <w:rFonts w:ascii="Times New Roman" w:hAnsi="Times New Roman" w:cs="Times New Roman"/>
          <w:sz w:val="28"/>
          <w:szCs w:val="28"/>
        </w:rPr>
        <w:t>Результати надані у таблиці 2.1.3.</w:t>
      </w:r>
    </w:p>
    <w:p w:rsidR="00184106" w:rsidRPr="00184106" w:rsidRDefault="00184106" w:rsidP="003E513A">
      <w:pPr>
        <w:spacing w:after="0" w:line="360" w:lineRule="auto"/>
        <w:ind w:firstLine="709"/>
        <w:contextualSpacing/>
        <w:jc w:val="both"/>
        <w:rPr>
          <w:rFonts w:ascii="Times New Roman" w:hAnsi="Times New Roman" w:cs="Times New Roman"/>
          <w:sz w:val="28"/>
          <w:szCs w:val="28"/>
          <w:lang w:val="ru-RU"/>
        </w:rPr>
      </w:pPr>
    </w:p>
    <w:p w:rsidR="00783230" w:rsidRDefault="00783230" w:rsidP="00007631">
      <w:pPr>
        <w:spacing w:after="0" w:line="360" w:lineRule="auto"/>
        <w:ind w:left="420"/>
        <w:contextualSpacing/>
        <w:jc w:val="right"/>
        <w:rPr>
          <w:rFonts w:ascii="Times New Roman" w:hAnsi="Times New Roman" w:cs="Times New Roman"/>
          <w:sz w:val="28"/>
          <w:szCs w:val="28"/>
        </w:rPr>
      </w:pPr>
    </w:p>
    <w:p w:rsidR="00007631" w:rsidRPr="00156441" w:rsidRDefault="00007631" w:rsidP="00007631">
      <w:pPr>
        <w:spacing w:after="0" w:line="360" w:lineRule="auto"/>
        <w:ind w:left="420"/>
        <w:contextualSpacing/>
        <w:jc w:val="right"/>
        <w:rPr>
          <w:rFonts w:ascii="Times New Roman" w:hAnsi="Times New Roman" w:cs="Times New Roman"/>
          <w:sz w:val="28"/>
          <w:szCs w:val="28"/>
        </w:rPr>
      </w:pPr>
      <w:r w:rsidRPr="00156441">
        <w:rPr>
          <w:rFonts w:ascii="Times New Roman" w:hAnsi="Times New Roman" w:cs="Times New Roman"/>
          <w:sz w:val="28"/>
          <w:szCs w:val="28"/>
        </w:rPr>
        <w:lastRenderedPageBreak/>
        <w:t>Таблиця 2.1.3</w:t>
      </w:r>
    </w:p>
    <w:p w:rsidR="00007631" w:rsidRPr="00156441" w:rsidRDefault="00007631" w:rsidP="00007631">
      <w:pPr>
        <w:spacing w:after="0" w:line="360" w:lineRule="auto"/>
        <w:ind w:left="420"/>
        <w:contextualSpacing/>
        <w:jc w:val="center"/>
        <w:rPr>
          <w:rFonts w:ascii="Times New Roman" w:hAnsi="Times New Roman" w:cs="Times New Roman"/>
          <w:sz w:val="28"/>
          <w:szCs w:val="28"/>
        </w:rPr>
      </w:pPr>
      <w:r w:rsidRPr="00156441">
        <w:rPr>
          <w:rFonts w:ascii="Times New Roman" w:hAnsi="Times New Roman" w:cs="Times New Roman"/>
          <w:sz w:val="28"/>
          <w:szCs w:val="28"/>
        </w:rPr>
        <w:t>Розподіл хворих основної та порівняльної груп за статтю</w:t>
      </w:r>
    </w:p>
    <w:tbl>
      <w:tblPr>
        <w:tblStyle w:val="a5"/>
        <w:tblW w:w="0" w:type="auto"/>
        <w:tblInd w:w="108" w:type="dxa"/>
        <w:tblLook w:val="04A0" w:firstRow="1" w:lastRow="0" w:firstColumn="1" w:lastColumn="0" w:noHBand="0" w:noVBand="1"/>
      </w:tblPr>
      <w:tblGrid>
        <w:gridCol w:w="2920"/>
        <w:gridCol w:w="1720"/>
        <w:gridCol w:w="1721"/>
        <w:gridCol w:w="1721"/>
        <w:gridCol w:w="1721"/>
      </w:tblGrid>
      <w:tr w:rsidR="00156441" w:rsidRPr="00156441" w:rsidTr="0056592D">
        <w:trPr>
          <w:trHeight w:val="302"/>
        </w:trPr>
        <w:tc>
          <w:tcPr>
            <w:tcW w:w="2920" w:type="dxa"/>
            <w:vMerge w:val="restart"/>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обстежених</w:t>
            </w:r>
          </w:p>
        </w:tc>
        <w:tc>
          <w:tcPr>
            <w:tcW w:w="6883" w:type="dxa"/>
            <w:gridSpan w:val="4"/>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Стать</w:t>
            </w:r>
          </w:p>
        </w:tc>
      </w:tr>
      <w:tr w:rsidR="00156441" w:rsidRPr="00156441" w:rsidTr="0056592D">
        <w:trPr>
          <w:trHeight w:val="274"/>
        </w:trPr>
        <w:tc>
          <w:tcPr>
            <w:tcW w:w="2920" w:type="dxa"/>
            <w:vMerge/>
          </w:tcPr>
          <w:p w:rsidR="00007631" w:rsidRPr="00156441" w:rsidRDefault="00007631" w:rsidP="004C1468">
            <w:pPr>
              <w:spacing w:line="360" w:lineRule="auto"/>
              <w:contextualSpacing/>
              <w:jc w:val="center"/>
              <w:rPr>
                <w:rFonts w:ascii="Times New Roman" w:hAnsi="Times New Roman" w:cs="Times New Roman"/>
                <w:sz w:val="28"/>
                <w:szCs w:val="28"/>
              </w:rPr>
            </w:pPr>
          </w:p>
        </w:tc>
        <w:tc>
          <w:tcPr>
            <w:tcW w:w="3441" w:type="dxa"/>
            <w:gridSpan w:val="2"/>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Чоловіки</w:t>
            </w:r>
          </w:p>
        </w:tc>
        <w:tc>
          <w:tcPr>
            <w:tcW w:w="3442" w:type="dxa"/>
            <w:gridSpan w:val="2"/>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Жінки</w:t>
            </w:r>
          </w:p>
        </w:tc>
      </w:tr>
      <w:tr w:rsidR="00156441" w:rsidRPr="00156441" w:rsidTr="0056592D">
        <w:trPr>
          <w:trHeight w:val="197"/>
        </w:trPr>
        <w:tc>
          <w:tcPr>
            <w:tcW w:w="2920" w:type="dxa"/>
            <w:vMerge/>
          </w:tcPr>
          <w:p w:rsidR="00007631" w:rsidRPr="00156441" w:rsidRDefault="00007631" w:rsidP="004C1468">
            <w:pPr>
              <w:spacing w:line="360" w:lineRule="auto"/>
              <w:contextualSpacing/>
              <w:jc w:val="center"/>
              <w:rPr>
                <w:rFonts w:ascii="Times New Roman" w:hAnsi="Times New Roman" w:cs="Times New Roman"/>
                <w:sz w:val="28"/>
                <w:szCs w:val="28"/>
              </w:rPr>
            </w:pPr>
          </w:p>
        </w:tc>
        <w:tc>
          <w:tcPr>
            <w:tcW w:w="1720"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Кількість (абс)</w:t>
            </w:r>
          </w:p>
        </w:tc>
        <w:tc>
          <w:tcPr>
            <w:tcW w:w="1721" w:type="dxa"/>
          </w:tcPr>
          <w:p w:rsidR="00007631" w:rsidRPr="00156441" w:rsidRDefault="00007631" w:rsidP="004C1468">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w:t>
            </w:r>
          </w:p>
          <w:p w:rsidR="00007631" w:rsidRPr="00156441" w:rsidRDefault="00C70355" w:rsidP="004C1468">
            <w:pPr>
              <w:spacing w:line="360" w:lineRule="auto"/>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w:t>
            </w:r>
            <w:r w:rsidR="00007631" w:rsidRPr="00156441">
              <w:rPr>
                <w:rFonts w:ascii="Times New Roman" w:eastAsia="Times New Roman" w:hAnsi="Times New Roman" w:cs="Times New Roman"/>
                <w:sz w:val="28"/>
                <w:szCs w:val="28"/>
                <w:lang w:eastAsia="ru-RU"/>
              </w:rPr>
              <w:t>)</w:t>
            </w:r>
          </w:p>
        </w:tc>
        <w:tc>
          <w:tcPr>
            <w:tcW w:w="1721" w:type="dxa"/>
          </w:tcPr>
          <w:p w:rsidR="00007631" w:rsidRPr="00156441" w:rsidRDefault="00007631" w:rsidP="004C1468">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w:t>
            </w:r>
          </w:p>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(абс)</w:t>
            </w:r>
          </w:p>
        </w:tc>
        <w:tc>
          <w:tcPr>
            <w:tcW w:w="1721" w:type="dxa"/>
          </w:tcPr>
          <w:p w:rsidR="00007631" w:rsidRPr="00156441" w:rsidRDefault="00007631" w:rsidP="004C1468">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w:t>
            </w:r>
          </w:p>
          <w:p w:rsidR="00007631" w:rsidRPr="00156441" w:rsidRDefault="00C70355" w:rsidP="004C1468">
            <w:pPr>
              <w:spacing w:line="360" w:lineRule="auto"/>
              <w:contextualSpacing/>
              <w:jc w:val="center"/>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w:t>
            </w:r>
            <w:r w:rsidR="00007631" w:rsidRPr="00156441">
              <w:rPr>
                <w:rFonts w:ascii="Times New Roman" w:eastAsia="Times New Roman" w:hAnsi="Times New Roman" w:cs="Times New Roman"/>
                <w:sz w:val="28"/>
                <w:szCs w:val="28"/>
                <w:lang w:eastAsia="ru-RU"/>
              </w:rPr>
              <w:t>)</w:t>
            </w:r>
          </w:p>
        </w:tc>
      </w:tr>
      <w:tr w:rsidR="00156441" w:rsidRPr="00156441" w:rsidTr="0056592D">
        <w:tc>
          <w:tcPr>
            <w:tcW w:w="2920" w:type="dxa"/>
          </w:tcPr>
          <w:p w:rsidR="00007631" w:rsidRPr="00156441" w:rsidRDefault="00007631" w:rsidP="004C1468">
            <w:pPr>
              <w:contextualSpacing/>
              <w:rPr>
                <w:rFonts w:ascii="Times New Roman" w:hAnsi="Times New Roman" w:cs="Times New Roman"/>
                <w:sz w:val="28"/>
                <w:szCs w:val="28"/>
                <w:lang w:eastAsia="ru-RU"/>
              </w:rPr>
            </w:pPr>
            <w:r w:rsidRPr="00156441">
              <w:rPr>
                <w:rFonts w:ascii="Times New Roman" w:hAnsi="Times New Roman" w:cs="Times New Roman"/>
                <w:sz w:val="28"/>
                <w:szCs w:val="28"/>
                <w:lang w:eastAsia="ru-RU"/>
              </w:rPr>
              <w:t>Основна група</w:t>
            </w:r>
          </w:p>
          <w:p w:rsidR="00007631" w:rsidRPr="00156441" w:rsidRDefault="00007631" w:rsidP="004C1468">
            <w:pPr>
              <w:contextualSpacing/>
              <w:rPr>
                <w:rFonts w:ascii="Times New Roman" w:hAnsi="Times New Roman" w:cs="Times New Roman"/>
                <w:sz w:val="28"/>
                <w:szCs w:val="28"/>
              </w:rPr>
            </w:pPr>
            <w:r w:rsidRPr="00156441">
              <w:rPr>
                <w:rFonts w:ascii="Times New Roman" w:hAnsi="Times New Roman" w:cs="Times New Roman"/>
                <w:sz w:val="28"/>
                <w:szCs w:val="28"/>
                <w:lang w:eastAsia="ru-RU"/>
              </w:rPr>
              <w:t>n=55</w:t>
            </w:r>
          </w:p>
        </w:tc>
        <w:tc>
          <w:tcPr>
            <w:tcW w:w="1720"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35</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63,7</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20</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36,3</w:t>
            </w:r>
          </w:p>
        </w:tc>
      </w:tr>
      <w:tr w:rsidR="00156441" w:rsidRPr="00156441" w:rsidTr="0056592D">
        <w:tc>
          <w:tcPr>
            <w:tcW w:w="2920" w:type="dxa"/>
          </w:tcPr>
          <w:p w:rsidR="00007631" w:rsidRPr="00156441" w:rsidRDefault="00007631" w:rsidP="004C1468">
            <w:pPr>
              <w:contextualSpacing/>
              <w:rPr>
                <w:rFonts w:ascii="Times New Roman" w:hAnsi="Times New Roman" w:cs="Times New Roman"/>
                <w:sz w:val="28"/>
                <w:szCs w:val="28"/>
                <w:lang w:eastAsia="ru-RU"/>
              </w:rPr>
            </w:pPr>
            <w:r w:rsidRPr="00156441">
              <w:rPr>
                <w:rFonts w:ascii="Times New Roman" w:hAnsi="Times New Roman" w:cs="Times New Roman"/>
                <w:sz w:val="28"/>
                <w:szCs w:val="28"/>
                <w:lang w:eastAsia="ru-RU"/>
              </w:rPr>
              <w:t>Група порівняння</w:t>
            </w:r>
          </w:p>
          <w:p w:rsidR="00007631" w:rsidRPr="00156441" w:rsidRDefault="00007631" w:rsidP="004C1468">
            <w:pPr>
              <w:contextualSpacing/>
              <w:rPr>
                <w:rFonts w:ascii="Times New Roman" w:hAnsi="Times New Roman" w:cs="Times New Roman"/>
                <w:sz w:val="28"/>
                <w:szCs w:val="28"/>
              </w:rPr>
            </w:pPr>
            <w:r w:rsidRPr="00156441">
              <w:rPr>
                <w:rFonts w:ascii="Times New Roman" w:hAnsi="Times New Roman" w:cs="Times New Roman"/>
                <w:sz w:val="28"/>
                <w:szCs w:val="28"/>
                <w:lang w:eastAsia="ru-RU"/>
              </w:rPr>
              <w:t>n=45</w:t>
            </w:r>
          </w:p>
        </w:tc>
        <w:tc>
          <w:tcPr>
            <w:tcW w:w="1720"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34</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75,6</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11</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24,4</w:t>
            </w:r>
          </w:p>
        </w:tc>
      </w:tr>
      <w:tr w:rsidR="00156441" w:rsidRPr="00156441" w:rsidTr="0056592D">
        <w:tc>
          <w:tcPr>
            <w:tcW w:w="2920" w:type="dxa"/>
          </w:tcPr>
          <w:p w:rsidR="00007631" w:rsidRPr="00156441" w:rsidRDefault="00007631" w:rsidP="004C1468">
            <w:pPr>
              <w:contextualSpacing/>
              <w:rPr>
                <w:rFonts w:ascii="Times New Roman" w:hAnsi="Times New Roman" w:cs="Times New Roman"/>
                <w:sz w:val="28"/>
                <w:szCs w:val="28"/>
              </w:rPr>
            </w:pPr>
            <w:r w:rsidRPr="00156441">
              <w:rPr>
                <w:rFonts w:ascii="Times New Roman" w:hAnsi="Times New Roman" w:cs="Times New Roman"/>
                <w:sz w:val="28"/>
                <w:szCs w:val="28"/>
              </w:rPr>
              <w:t>Усього</w:t>
            </w:r>
          </w:p>
        </w:tc>
        <w:tc>
          <w:tcPr>
            <w:tcW w:w="1720"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69</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69</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31</w:t>
            </w:r>
          </w:p>
        </w:tc>
        <w:tc>
          <w:tcPr>
            <w:tcW w:w="1721" w:type="dxa"/>
          </w:tcPr>
          <w:p w:rsidR="00007631" w:rsidRPr="00156441" w:rsidRDefault="00007631" w:rsidP="004C1468">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31</w:t>
            </w:r>
          </w:p>
        </w:tc>
      </w:tr>
    </w:tbl>
    <w:p w:rsidR="00007631" w:rsidRPr="00156441" w:rsidRDefault="00007631" w:rsidP="00007631">
      <w:pPr>
        <w:spacing w:after="0" w:line="360" w:lineRule="auto"/>
        <w:ind w:left="420"/>
        <w:contextualSpacing/>
        <w:jc w:val="both"/>
        <w:rPr>
          <w:rFonts w:ascii="Times New Roman" w:hAnsi="Times New Roman" w:cs="Times New Roman"/>
          <w:sz w:val="28"/>
          <w:szCs w:val="28"/>
        </w:rPr>
      </w:pPr>
    </w:p>
    <w:p w:rsidR="00007631" w:rsidRPr="00156441" w:rsidRDefault="00007631" w:rsidP="003E513A">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У всіх обстежених виникнення ХОЗЛ було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язано, крім впливу комплексу факторів ризику, з високим рівнем забруднення повітря на робочому місці в минулому. Дані наведені у таблиці 2.1.4. Серед когорти досліджуваних хворих середній стаж праці у шкідливих умовах праці склав 24,6±6,91</w:t>
      </w:r>
      <w:r w:rsidR="003E513A" w:rsidRPr="00156441">
        <w:rPr>
          <w:rFonts w:ascii="Times New Roman" w:hAnsi="Times New Roman" w:cs="Times New Roman"/>
          <w:sz w:val="28"/>
          <w:szCs w:val="28"/>
        </w:rPr>
        <w:t xml:space="preserve"> років у основній групі та 26,7</w:t>
      </w:r>
      <w:r w:rsidRPr="00156441">
        <w:rPr>
          <w:rFonts w:ascii="Times New Roman" w:hAnsi="Times New Roman" w:cs="Times New Roman"/>
          <w:sz w:val="28"/>
          <w:szCs w:val="28"/>
        </w:rPr>
        <w:t>±8,46 у групі порівняння, тобто серед обстеженого контингенту переважали робітники зі стажем більше 15 років.</w:t>
      </w:r>
    </w:p>
    <w:p w:rsidR="00007631" w:rsidRPr="00156441" w:rsidRDefault="00007631" w:rsidP="003E513A">
      <w:pPr>
        <w:spacing w:after="0" w:line="360" w:lineRule="auto"/>
        <w:ind w:firstLine="288"/>
        <w:contextualSpacing/>
        <w:jc w:val="right"/>
        <w:rPr>
          <w:rFonts w:ascii="Times New Roman" w:hAnsi="Times New Roman" w:cs="Times New Roman"/>
          <w:sz w:val="28"/>
          <w:szCs w:val="28"/>
        </w:rPr>
      </w:pPr>
      <w:r w:rsidRPr="00156441">
        <w:rPr>
          <w:rFonts w:ascii="Times New Roman" w:hAnsi="Times New Roman" w:cs="Times New Roman"/>
          <w:sz w:val="28"/>
          <w:szCs w:val="28"/>
        </w:rPr>
        <w:t>Таблиця 2.1.4</w:t>
      </w:r>
    </w:p>
    <w:p w:rsidR="00007631" w:rsidRPr="00156441" w:rsidRDefault="00007631" w:rsidP="003E513A">
      <w:pPr>
        <w:spacing w:after="0" w:line="360" w:lineRule="auto"/>
        <w:ind w:firstLine="288"/>
        <w:contextualSpacing/>
        <w:jc w:val="center"/>
        <w:rPr>
          <w:rFonts w:ascii="Times New Roman" w:hAnsi="Times New Roman" w:cs="Times New Roman"/>
          <w:sz w:val="28"/>
          <w:szCs w:val="28"/>
        </w:rPr>
      </w:pPr>
      <w:r w:rsidRPr="00156441">
        <w:rPr>
          <w:rFonts w:ascii="Times New Roman" w:hAnsi="Times New Roman" w:cs="Times New Roman"/>
          <w:sz w:val="28"/>
          <w:szCs w:val="28"/>
        </w:rPr>
        <w:t>Стажеві характеристики роботи у шкідливих умовах праці</w:t>
      </w:r>
    </w:p>
    <w:tbl>
      <w:tblPr>
        <w:tblStyle w:val="a5"/>
        <w:tblW w:w="0" w:type="auto"/>
        <w:tblInd w:w="108" w:type="dxa"/>
        <w:tblLook w:val="04A0" w:firstRow="1" w:lastRow="0" w:firstColumn="1" w:lastColumn="0" w:noHBand="0" w:noVBand="1"/>
      </w:tblPr>
      <w:tblGrid>
        <w:gridCol w:w="1957"/>
        <w:gridCol w:w="1961"/>
        <w:gridCol w:w="1962"/>
        <w:gridCol w:w="1961"/>
        <w:gridCol w:w="1962"/>
      </w:tblGrid>
      <w:tr w:rsidR="00156441" w:rsidRPr="00156441" w:rsidTr="003E513A">
        <w:trPr>
          <w:trHeight w:val="250"/>
        </w:trPr>
        <w:tc>
          <w:tcPr>
            <w:tcW w:w="1985" w:type="dxa"/>
            <w:vMerge w:val="restart"/>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Робочий стаж,</w:t>
            </w:r>
          </w:p>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років</w:t>
            </w:r>
          </w:p>
        </w:tc>
        <w:tc>
          <w:tcPr>
            <w:tcW w:w="3969" w:type="dxa"/>
            <w:gridSpan w:val="2"/>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Основна група</w:t>
            </w:r>
          </w:p>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n=55</w:t>
            </w:r>
          </w:p>
        </w:tc>
        <w:tc>
          <w:tcPr>
            <w:tcW w:w="3969" w:type="dxa"/>
            <w:gridSpan w:val="2"/>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порівняння</w:t>
            </w:r>
          </w:p>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n=45</w:t>
            </w:r>
          </w:p>
        </w:tc>
      </w:tr>
      <w:tr w:rsidR="00156441" w:rsidRPr="00156441" w:rsidTr="003E513A">
        <w:trPr>
          <w:trHeight w:val="226"/>
        </w:trPr>
        <w:tc>
          <w:tcPr>
            <w:tcW w:w="1985" w:type="dxa"/>
            <w:vMerge/>
          </w:tcPr>
          <w:p w:rsidR="00007631" w:rsidRPr="00156441" w:rsidRDefault="00007631" w:rsidP="003E513A">
            <w:pPr>
              <w:spacing w:line="360" w:lineRule="auto"/>
              <w:contextualSpacing/>
              <w:jc w:val="center"/>
              <w:rPr>
                <w:rFonts w:ascii="Times New Roman" w:hAnsi="Times New Roman" w:cs="Times New Roman"/>
                <w:sz w:val="28"/>
                <w:szCs w:val="28"/>
              </w:rPr>
            </w:pP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Кількість (абс)</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Кількість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Кількість (абс)</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Кількість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r>
      <w:tr w:rsidR="00156441" w:rsidRPr="00156441" w:rsidTr="003E513A">
        <w:tc>
          <w:tcPr>
            <w:tcW w:w="1985" w:type="dxa"/>
            <w:vAlign w:val="center"/>
          </w:tcPr>
          <w:p w:rsidR="00007631" w:rsidRPr="00156441" w:rsidRDefault="009C6C87"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&lt;</w:t>
            </w:r>
            <w:r w:rsidR="00007631" w:rsidRPr="00156441">
              <w:rPr>
                <w:rFonts w:ascii="Times New Roman" w:eastAsia="Times New Roman" w:hAnsi="Times New Roman" w:cs="Times New Roman"/>
                <w:sz w:val="28"/>
                <w:szCs w:val="28"/>
                <w:lang w:eastAsia="ru-RU"/>
              </w:rPr>
              <w:t>15,0</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5,4</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8,9</w:t>
            </w:r>
          </w:p>
        </w:tc>
      </w:tr>
      <w:tr w:rsidR="00156441" w:rsidRPr="00156441" w:rsidTr="003E513A">
        <w:tc>
          <w:tcPr>
            <w:tcW w:w="1985" w:type="dxa"/>
            <w:vAlign w:val="center"/>
          </w:tcPr>
          <w:p w:rsidR="00007631" w:rsidRPr="00156441" w:rsidRDefault="00007631" w:rsidP="0056592D">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≥15,0 </w:t>
            </w:r>
            <w:r w:rsidR="0056592D">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 ≤20,0</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16</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29</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9</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20</w:t>
            </w:r>
          </w:p>
        </w:tc>
      </w:tr>
      <w:tr w:rsidR="00156441" w:rsidRPr="00156441" w:rsidTr="003E513A">
        <w:tc>
          <w:tcPr>
            <w:tcW w:w="1985" w:type="dxa"/>
            <w:vAlign w:val="center"/>
          </w:tcPr>
          <w:p w:rsidR="00007631" w:rsidRPr="00156441" w:rsidRDefault="00007631" w:rsidP="0056592D">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≥21,0 </w:t>
            </w:r>
            <w:r w:rsidR="0056592D">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 ≤30,0</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23</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42</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14</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31,1</w:t>
            </w:r>
          </w:p>
        </w:tc>
      </w:tr>
      <w:tr w:rsidR="00156441" w:rsidRPr="00156441" w:rsidTr="003E513A">
        <w:tc>
          <w:tcPr>
            <w:tcW w:w="1985" w:type="dxa"/>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&gt;30,0</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13</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23,6</w:t>
            </w:r>
          </w:p>
        </w:tc>
        <w:tc>
          <w:tcPr>
            <w:tcW w:w="1984"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18</w:t>
            </w:r>
          </w:p>
        </w:tc>
        <w:tc>
          <w:tcPr>
            <w:tcW w:w="1985" w:type="dxa"/>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40</w:t>
            </w:r>
          </w:p>
        </w:tc>
      </w:tr>
    </w:tbl>
    <w:p w:rsidR="00007631" w:rsidRPr="00156441" w:rsidRDefault="00007631" w:rsidP="003E513A">
      <w:pPr>
        <w:spacing w:after="0" w:line="360" w:lineRule="auto"/>
        <w:ind w:firstLine="288"/>
        <w:contextualSpacing/>
        <w:jc w:val="both"/>
        <w:rPr>
          <w:rFonts w:ascii="Times New Roman" w:hAnsi="Times New Roman" w:cs="Times New Roman"/>
          <w:sz w:val="28"/>
          <w:szCs w:val="28"/>
        </w:rPr>
      </w:pPr>
    </w:p>
    <w:p w:rsidR="00007631" w:rsidRPr="00156441" w:rsidRDefault="00007631" w:rsidP="003E513A">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Тривалість ХОЗЛ у пацієнтів І групи у середньому склала 3,41±2,41 років, ІІ групи</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 xml:space="preserve">2,95±2,54 років. Таким чином, тривалість анамнезу ХОЗЛ була дещо </w:t>
      </w:r>
      <w:r w:rsidRPr="00156441">
        <w:rPr>
          <w:rFonts w:ascii="Times New Roman" w:hAnsi="Times New Roman" w:cs="Times New Roman"/>
          <w:sz w:val="28"/>
          <w:szCs w:val="28"/>
        </w:rPr>
        <w:lastRenderedPageBreak/>
        <w:t>більшою у хворих основної групи. Однак, у сер</w:t>
      </w:r>
      <w:r w:rsidR="004C1468" w:rsidRPr="00156441">
        <w:rPr>
          <w:rFonts w:ascii="Times New Roman" w:hAnsi="Times New Roman" w:cs="Times New Roman"/>
          <w:sz w:val="28"/>
          <w:szCs w:val="28"/>
        </w:rPr>
        <w:t>едньом</w:t>
      </w:r>
      <w:r w:rsidR="003E513A" w:rsidRPr="00156441">
        <w:rPr>
          <w:rFonts w:ascii="Times New Roman" w:hAnsi="Times New Roman" w:cs="Times New Roman"/>
          <w:sz w:val="28"/>
          <w:szCs w:val="28"/>
        </w:rPr>
        <w:t>у</w:t>
      </w:r>
      <w:r w:rsidR="004C1468" w:rsidRPr="00156441">
        <w:rPr>
          <w:rFonts w:ascii="Times New Roman" w:hAnsi="Times New Roman" w:cs="Times New Roman"/>
          <w:sz w:val="28"/>
          <w:szCs w:val="28"/>
        </w:rPr>
        <w:t xml:space="preserve"> жалоби зі стороні бронхо</w:t>
      </w:r>
      <w:r w:rsidRPr="00156441">
        <w:rPr>
          <w:rFonts w:ascii="Times New Roman" w:hAnsi="Times New Roman" w:cs="Times New Roman"/>
          <w:sz w:val="28"/>
          <w:szCs w:val="28"/>
        </w:rPr>
        <w:t>легеневої системи з</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являлися раніше в</w:t>
      </w:r>
      <w:r w:rsidR="004C1468" w:rsidRPr="00156441">
        <w:rPr>
          <w:rFonts w:ascii="Times New Roman" w:hAnsi="Times New Roman" w:cs="Times New Roman"/>
          <w:sz w:val="28"/>
          <w:szCs w:val="28"/>
        </w:rPr>
        <w:t>с</w:t>
      </w:r>
      <w:r w:rsidRPr="00156441">
        <w:rPr>
          <w:rFonts w:ascii="Times New Roman" w:hAnsi="Times New Roman" w:cs="Times New Roman"/>
          <w:sz w:val="28"/>
          <w:szCs w:val="28"/>
        </w:rPr>
        <w:t>тановленого діагнозу ХОЗЛ. У першій групі в середньому за 9 [7;10] роки, у групі порівняння за 7 [5;9] роки.</w:t>
      </w:r>
    </w:p>
    <w:p w:rsidR="00007631" w:rsidRPr="00156441" w:rsidRDefault="00007631" w:rsidP="003E513A">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На гіпертонічну хворобу хворі основної групи в середньому страждали 2,23±1,52 роки. У цілому розвиток ХОЗЛ у основній групі передував розвитку гіпертонічної хвороби. У 32,7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обстежених патологія кардіоваскулярної системи розвивалась раніше або одночасно з ХОЗЛ. Результати наведені у таблиці 2.1.5.</w:t>
      </w:r>
    </w:p>
    <w:p w:rsidR="00007631" w:rsidRPr="00156441" w:rsidRDefault="00007631" w:rsidP="003E513A">
      <w:pPr>
        <w:tabs>
          <w:tab w:val="left" w:pos="4320"/>
        </w:tabs>
        <w:spacing w:after="0" w:line="360" w:lineRule="auto"/>
        <w:ind w:firstLine="709"/>
        <w:contextualSpacing/>
        <w:jc w:val="right"/>
        <w:rPr>
          <w:rFonts w:ascii="Times New Roman" w:hAnsi="Times New Roman" w:cs="Times New Roman"/>
          <w:sz w:val="28"/>
          <w:szCs w:val="28"/>
        </w:rPr>
      </w:pPr>
      <w:r w:rsidRPr="00156441">
        <w:rPr>
          <w:rFonts w:ascii="Times New Roman" w:hAnsi="Times New Roman" w:cs="Times New Roman"/>
          <w:sz w:val="28"/>
          <w:szCs w:val="28"/>
        </w:rPr>
        <w:t>Таблиця 2.1.5</w:t>
      </w:r>
    </w:p>
    <w:p w:rsidR="00007631" w:rsidRPr="00156441" w:rsidRDefault="00007631" w:rsidP="003E513A">
      <w:pPr>
        <w:tabs>
          <w:tab w:val="left" w:pos="4320"/>
        </w:tabs>
        <w:spacing w:after="0" w:line="360" w:lineRule="auto"/>
        <w:ind w:firstLine="709"/>
        <w:contextualSpacing/>
        <w:jc w:val="center"/>
        <w:rPr>
          <w:rFonts w:ascii="Times New Roman" w:hAnsi="Times New Roman" w:cs="Times New Roman"/>
          <w:sz w:val="28"/>
          <w:szCs w:val="28"/>
        </w:rPr>
      </w:pPr>
      <w:r w:rsidRPr="00156441">
        <w:rPr>
          <w:rFonts w:ascii="Times New Roman" w:hAnsi="Times New Roman" w:cs="Times New Roman"/>
          <w:sz w:val="28"/>
          <w:szCs w:val="28"/>
        </w:rPr>
        <w:t>Розподіл хворих основної та порівняльної груп по тривалості захворювання</w:t>
      </w:r>
    </w:p>
    <w:tbl>
      <w:tblPr>
        <w:tblStyle w:val="a5"/>
        <w:tblW w:w="0" w:type="auto"/>
        <w:jc w:val="center"/>
        <w:tblLook w:val="01E0" w:firstRow="1" w:lastRow="1" w:firstColumn="1" w:lastColumn="1" w:noHBand="0" w:noVBand="0"/>
      </w:tblPr>
      <w:tblGrid>
        <w:gridCol w:w="1337"/>
        <w:gridCol w:w="1442"/>
        <w:gridCol w:w="1416"/>
        <w:gridCol w:w="1442"/>
        <w:gridCol w:w="1416"/>
        <w:gridCol w:w="1442"/>
        <w:gridCol w:w="1416"/>
      </w:tblGrid>
      <w:tr w:rsidR="00156441" w:rsidRPr="00156441" w:rsidTr="004C1468">
        <w:trPr>
          <w:trHeight w:val="240"/>
          <w:jc w:val="center"/>
        </w:trPr>
        <w:tc>
          <w:tcPr>
            <w:tcW w:w="0" w:type="auto"/>
            <w:vMerge w:val="restart"/>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Віковий період,</w:t>
            </w:r>
          </w:p>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років</w:t>
            </w:r>
          </w:p>
        </w:tc>
        <w:tc>
          <w:tcPr>
            <w:tcW w:w="0" w:type="auto"/>
            <w:gridSpan w:val="4"/>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w:t>
            </w:r>
          </w:p>
        </w:tc>
        <w:tc>
          <w:tcPr>
            <w:tcW w:w="0" w:type="auto"/>
            <w:gridSpan w:val="2"/>
            <w:vMerge w:val="restart"/>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ГХ</w:t>
            </w:r>
          </w:p>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(n=55)</w:t>
            </w:r>
          </w:p>
        </w:tc>
      </w:tr>
      <w:tr w:rsidR="00156441" w:rsidRPr="00156441" w:rsidTr="003E513A">
        <w:trPr>
          <w:trHeight w:val="728"/>
          <w:jc w:val="center"/>
        </w:trPr>
        <w:tc>
          <w:tcPr>
            <w:tcW w:w="0" w:type="auto"/>
            <w:vMerge/>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p>
        </w:tc>
        <w:tc>
          <w:tcPr>
            <w:tcW w:w="2917" w:type="dxa"/>
            <w:gridSpan w:val="2"/>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Основна група,</w:t>
            </w:r>
            <w:r w:rsidR="003E513A" w:rsidRPr="00156441">
              <w:rPr>
                <w:rFonts w:ascii="Times New Roman" w:hAnsi="Times New Roman" w:cs="Times New Roman"/>
                <w:sz w:val="28"/>
                <w:szCs w:val="28"/>
              </w:rPr>
              <w:br/>
            </w:r>
            <w:r w:rsidRPr="00156441">
              <w:rPr>
                <w:rFonts w:ascii="Times New Roman" w:hAnsi="Times New Roman" w:cs="Times New Roman"/>
                <w:sz w:val="28"/>
                <w:szCs w:val="28"/>
              </w:rPr>
              <w:t>(n=55)</w:t>
            </w:r>
          </w:p>
        </w:tc>
        <w:tc>
          <w:tcPr>
            <w:tcW w:w="2918" w:type="dxa"/>
            <w:gridSpan w:val="2"/>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порівняння,</w:t>
            </w:r>
            <w:r w:rsidR="003E513A" w:rsidRPr="00156441">
              <w:rPr>
                <w:rFonts w:ascii="Times New Roman" w:hAnsi="Times New Roman" w:cs="Times New Roman"/>
                <w:sz w:val="28"/>
                <w:szCs w:val="28"/>
              </w:rPr>
              <w:br/>
            </w:r>
            <w:r w:rsidRPr="00156441">
              <w:rPr>
                <w:rFonts w:ascii="Times New Roman" w:hAnsi="Times New Roman" w:cs="Times New Roman"/>
                <w:sz w:val="28"/>
                <w:szCs w:val="28"/>
              </w:rPr>
              <w:t>(n=45)</w:t>
            </w:r>
          </w:p>
        </w:tc>
        <w:tc>
          <w:tcPr>
            <w:tcW w:w="0" w:type="auto"/>
            <w:gridSpan w:val="2"/>
            <w:vMerge/>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p>
        </w:tc>
      </w:tr>
      <w:tr w:rsidR="00156441" w:rsidRPr="00156441" w:rsidTr="004C1468">
        <w:trPr>
          <w:trHeight w:val="727"/>
          <w:jc w:val="center"/>
        </w:trPr>
        <w:tc>
          <w:tcPr>
            <w:tcW w:w="0" w:type="auto"/>
            <w:vMerge/>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p>
        </w:tc>
        <w:tc>
          <w:tcPr>
            <w:tcW w:w="0" w:type="auto"/>
            <w:shd w:val="clear" w:color="auto" w:fill="auto"/>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 (абс)</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Кількість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 (абс)</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Кількість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0" w:type="auto"/>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Кількість (абс)</w:t>
            </w:r>
          </w:p>
        </w:tc>
        <w:tc>
          <w:tcPr>
            <w:tcW w:w="0" w:type="auto"/>
            <w:vAlign w:val="center"/>
          </w:tcPr>
          <w:p w:rsidR="00007631" w:rsidRPr="00156441" w:rsidRDefault="00007631" w:rsidP="003E513A">
            <w:pPr>
              <w:spacing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Кількість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r>
      <w:tr w:rsidR="00156441" w:rsidRPr="00156441" w:rsidTr="004C1468">
        <w:trPr>
          <w:jc w:val="center"/>
        </w:trPr>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до3</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33</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60</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33</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73,3</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46</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83,6</w:t>
            </w:r>
          </w:p>
        </w:tc>
      </w:tr>
      <w:tr w:rsidR="00156441" w:rsidRPr="00156441" w:rsidTr="004C1468">
        <w:trPr>
          <w:jc w:val="center"/>
        </w:trPr>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4-7</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18</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32,7</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8</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17,8</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9</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16,4</w:t>
            </w:r>
          </w:p>
        </w:tc>
      </w:tr>
      <w:tr w:rsidR="00156441" w:rsidRPr="00156441" w:rsidTr="004C1468">
        <w:trPr>
          <w:jc w:val="center"/>
        </w:trPr>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8-10</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3</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5,5</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8,9</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w:t>
            </w:r>
          </w:p>
        </w:tc>
      </w:tr>
      <w:tr w:rsidR="00156441" w:rsidRPr="00156441" w:rsidTr="004C1468">
        <w:trPr>
          <w:jc w:val="center"/>
        </w:trPr>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більше 10</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1,8</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w:t>
            </w:r>
          </w:p>
        </w:tc>
        <w:tc>
          <w:tcPr>
            <w:tcW w:w="0" w:type="auto"/>
            <w:shd w:val="clear" w:color="auto" w:fill="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w:t>
            </w:r>
          </w:p>
        </w:tc>
        <w:tc>
          <w:tcPr>
            <w:tcW w:w="0" w:type="auto"/>
            <w:vAlign w:val="center"/>
          </w:tcPr>
          <w:p w:rsidR="00007631" w:rsidRPr="00156441" w:rsidRDefault="00007631" w:rsidP="003E513A">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w:t>
            </w:r>
          </w:p>
        </w:tc>
      </w:tr>
    </w:tbl>
    <w:p w:rsidR="00007631" w:rsidRPr="00156441" w:rsidRDefault="00007631" w:rsidP="008422D5">
      <w:pPr>
        <w:spacing w:after="0" w:line="360" w:lineRule="auto"/>
        <w:ind w:firstLine="709"/>
        <w:contextualSpacing/>
        <w:jc w:val="both"/>
        <w:rPr>
          <w:rFonts w:ascii="Times New Roman" w:hAnsi="Times New Roman" w:cs="Times New Roman"/>
          <w:sz w:val="28"/>
          <w:szCs w:val="28"/>
        </w:rPr>
      </w:pPr>
    </w:p>
    <w:p w:rsidR="00007631" w:rsidRPr="00156441" w:rsidRDefault="00007631" w:rsidP="008422D5">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Оц</w:t>
      </w:r>
      <w:r w:rsidR="004C1468" w:rsidRPr="00156441">
        <w:rPr>
          <w:rFonts w:ascii="Times New Roman" w:hAnsi="Times New Roman" w:cs="Times New Roman"/>
          <w:sz w:val="28"/>
          <w:szCs w:val="28"/>
        </w:rPr>
        <w:t xml:space="preserve">інка статусу паління </w:t>
      </w:r>
      <w:r w:rsidR="009226BB" w:rsidRPr="00156441">
        <w:rPr>
          <w:rFonts w:ascii="Times New Roman" w:hAnsi="Times New Roman" w:cs="Times New Roman"/>
          <w:sz w:val="28"/>
          <w:szCs w:val="28"/>
        </w:rPr>
        <w:t>виявила</w:t>
      </w:r>
      <w:r w:rsidR="004C1468" w:rsidRPr="00156441">
        <w:rPr>
          <w:rFonts w:ascii="Times New Roman" w:hAnsi="Times New Roman" w:cs="Times New Roman"/>
          <w:sz w:val="28"/>
          <w:szCs w:val="28"/>
        </w:rPr>
        <w:t>, щ</w:t>
      </w:r>
      <w:r w:rsidR="009226BB" w:rsidRPr="00156441">
        <w:rPr>
          <w:rFonts w:ascii="Times New Roman" w:hAnsi="Times New Roman" w:cs="Times New Roman"/>
          <w:sz w:val="28"/>
          <w:szCs w:val="28"/>
        </w:rPr>
        <w:t xml:space="preserve">о </w:t>
      </w:r>
      <w:r w:rsidRPr="00156441">
        <w:rPr>
          <w:rFonts w:ascii="Times New Roman" w:hAnsi="Times New Roman" w:cs="Times New Roman"/>
          <w:sz w:val="28"/>
          <w:szCs w:val="28"/>
        </w:rPr>
        <w:t>61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обст</w:t>
      </w:r>
      <w:r w:rsidR="009226BB" w:rsidRPr="00156441">
        <w:rPr>
          <w:rFonts w:ascii="Times New Roman" w:hAnsi="Times New Roman" w:cs="Times New Roman"/>
          <w:sz w:val="28"/>
          <w:szCs w:val="28"/>
        </w:rPr>
        <w:t>ежених осіб були курцями, а 39</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 не курили, чи вже позбавилися цієї шкідливої звички. Виявилося, що серед обстежених основної групи палять 37 (67,2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а у групі порівняння</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21 (46,6</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Інтенсивність паління серед обстежених склала понад 10 пачка/років, що дозволяє нам стверджувати про паління як достовірний фактор р</w:t>
      </w:r>
      <w:r w:rsidR="004C1468" w:rsidRPr="00156441">
        <w:rPr>
          <w:rFonts w:ascii="Times New Roman" w:hAnsi="Times New Roman" w:cs="Times New Roman"/>
          <w:sz w:val="28"/>
          <w:szCs w:val="28"/>
        </w:rPr>
        <w:t>озвитку</w:t>
      </w:r>
      <w:r w:rsidRPr="00156441">
        <w:rPr>
          <w:rFonts w:ascii="Times New Roman" w:hAnsi="Times New Roman" w:cs="Times New Roman"/>
          <w:sz w:val="28"/>
          <w:szCs w:val="28"/>
        </w:rPr>
        <w:t xml:space="preserve"> ХОЗЛ у обстежених осіб.</w:t>
      </w:r>
    </w:p>
    <w:p w:rsidR="00007631" w:rsidRPr="00156441" w:rsidRDefault="00007631" w:rsidP="008422D5">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У обстеженої к</w:t>
      </w:r>
      <w:r w:rsidR="0056592D">
        <w:rPr>
          <w:rFonts w:ascii="Times New Roman" w:hAnsi="Times New Roman" w:cs="Times New Roman"/>
          <w:sz w:val="28"/>
          <w:szCs w:val="28"/>
        </w:rPr>
        <w:t>о</w:t>
      </w:r>
      <w:r w:rsidRPr="00156441">
        <w:rPr>
          <w:rFonts w:ascii="Times New Roman" w:hAnsi="Times New Roman" w:cs="Times New Roman"/>
          <w:sz w:val="28"/>
          <w:szCs w:val="28"/>
        </w:rPr>
        <w:t>горти хворих було вивчено клінічні особливості хронічного обструктивного захворювання легень, що супроводжувалося кашлем, загостреннями, з</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являлася задишка, яка наростала, знижувалися показники ОФВ</w:t>
      </w:r>
      <w:r w:rsidRPr="00156441">
        <w:rPr>
          <w:rFonts w:ascii="Times New Roman" w:hAnsi="Times New Roman" w:cs="Times New Roman"/>
          <w:sz w:val="28"/>
          <w:szCs w:val="28"/>
          <w:vertAlign w:val="subscript"/>
        </w:rPr>
        <w:t>1</w:t>
      </w:r>
      <w:r w:rsidRPr="00156441">
        <w:rPr>
          <w:rFonts w:ascii="Times New Roman" w:hAnsi="Times New Roman" w:cs="Times New Roman"/>
          <w:sz w:val="28"/>
          <w:szCs w:val="28"/>
        </w:rPr>
        <w:t xml:space="preserve"> і </w:t>
      </w:r>
      <w:r w:rsidRPr="00156441">
        <w:rPr>
          <w:rFonts w:ascii="Times New Roman" w:hAnsi="Times New Roman" w:cs="Times New Roman"/>
          <w:sz w:val="28"/>
          <w:szCs w:val="28"/>
        </w:rPr>
        <w:lastRenderedPageBreak/>
        <w:t>ОФВ</w:t>
      </w:r>
      <w:r w:rsidRPr="00156441">
        <w:rPr>
          <w:rFonts w:ascii="Times New Roman" w:hAnsi="Times New Roman" w:cs="Times New Roman"/>
          <w:sz w:val="28"/>
          <w:szCs w:val="28"/>
          <w:vertAlign w:val="subscript"/>
        </w:rPr>
        <w:t>1</w:t>
      </w:r>
      <w:r w:rsidR="008422D5" w:rsidRPr="00156441">
        <w:rPr>
          <w:rFonts w:ascii="Times New Roman" w:hAnsi="Times New Roman" w:cs="Times New Roman"/>
          <w:sz w:val="28"/>
          <w:szCs w:val="28"/>
        </w:rPr>
        <w:t>/</w:t>
      </w:r>
      <w:r w:rsidRPr="00156441">
        <w:rPr>
          <w:rFonts w:ascii="Times New Roman" w:hAnsi="Times New Roman" w:cs="Times New Roman"/>
          <w:sz w:val="28"/>
          <w:szCs w:val="28"/>
        </w:rPr>
        <w:t>ФЖЕЛ, знижувалася толерантність до фізичного навантаження.</w:t>
      </w:r>
      <w:r w:rsidR="004C1468"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Результати аналізу клінічної картини у обстежених осіб представлені в табл. </w:t>
      </w:r>
      <w:r w:rsidR="004C1468" w:rsidRPr="00156441">
        <w:rPr>
          <w:rFonts w:ascii="Times New Roman" w:hAnsi="Times New Roman" w:cs="Times New Roman"/>
          <w:sz w:val="28"/>
          <w:szCs w:val="28"/>
        </w:rPr>
        <w:t>2.1.6</w:t>
      </w:r>
    </w:p>
    <w:p w:rsidR="00007631" w:rsidRPr="00156441" w:rsidRDefault="00007631" w:rsidP="00007631">
      <w:pPr>
        <w:spacing w:after="0" w:line="360" w:lineRule="auto"/>
        <w:ind w:left="420" w:firstLine="288"/>
        <w:contextualSpacing/>
        <w:jc w:val="right"/>
        <w:rPr>
          <w:rFonts w:ascii="Times New Roman" w:hAnsi="Times New Roman" w:cs="Times New Roman"/>
          <w:sz w:val="28"/>
          <w:szCs w:val="28"/>
        </w:rPr>
      </w:pPr>
      <w:r w:rsidRPr="00156441">
        <w:rPr>
          <w:rFonts w:ascii="Times New Roman" w:hAnsi="Times New Roman" w:cs="Times New Roman"/>
          <w:sz w:val="28"/>
          <w:szCs w:val="28"/>
        </w:rPr>
        <w:t xml:space="preserve">Таблиця </w:t>
      </w:r>
      <w:r w:rsidR="004C1468" w:rsidRPr="00156441">
        <w:rPr>
          <w:rFonts w:ascii="Times New Roman" w:hAnsi="Times New Roman" w:cs="Times New Roman"/>
          <w:sz w:val="28"/>
          <w:szCs w:val="28"/>
        </w:rPr>
        <w:t>2.1.6</w:t>
      </w:r>
    </w:p>
    <w:p w:rsidR="00007631" w:rsidRPr="00156441" w:rsidRDefault="00007631" w:rsidP="00007631">
      <w:pPr>
        <w:spacing w:line="360" w:lineRule="auto"/>
        <w:ind w:firstLine="708"/>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Клінічна характеристика хворих на ХОЗЛ</w:t>
      </w:r>
    </w:p>
    <w:tbl>
      <w:tblPr>
        <w:tblStyle w:val="11"/>
        <w:tblW w:w="5000" w:type="pct"/>
        <w:tblLook w:val="04A0" w:firstRow="1" w:lastRow="0" w:firstColumn="1" w:lastColumn="0" w:noHBand="0" w:noVBand="1"/>
      </w:tblPr>
      <w:tblGrid>
        <w:gridCol w:w="5081"/>
        <w:gridCol w:w="2414"/>
        <w:gridCol w:w="2416"/>
      </w:tblGrid>
      <w:tr w:rsidR="00156441" w:rsidRPr="00156441" w:rsidTr="004C1468">
        <w:trPr>
          <w:trHeight w:val="393"/>
        </w:trPr>
        <w:tc>
          <w:tcPr>
            <w:tcW w:w="2563" w:type="pct"/>
            <w:vAlign w:val="center"/>
          </w:tcPr>
          <w:p w:rsidR="00007631" w:rsidRPr="00156441" w:rsidRDefault="00007631" w:rsidP="008422D5">
            <w:pPr>
              <w:tabs>
                <w:tab w:val="left" w:pos="675"/>
              </w:tabs>
              <w:spacing w:line="360" w:lineRule="auto"/>
              <w:contextualSpacing/>
              <w:jc w:val="center"/>
              <w:rPr>
                <w:sz w:val="28"/>
                <w:szCs w:val="28"/>
              </w:rPr>
            </w:pPr>
            <w:r w:rsidRPr="00156441">
              <w:rPr>
                <w:sz w:val="28"/>
                <w:szCs w:val="28"/>
              </w:rPr>
              <w:t>Показники</w:t>
            </w:r>
          </w:p>
        </w:tc>
        <w:tc>
          <w:tcPr>
            <w:tcW w:w="1218" w:type="pct"/>
            <w:vAlign w:val="center"/>
          </w:tcPr>
          <w:p w:rsidR="00007631" w:rsidRPr="00156441" w:rsidRDefault="00007631" w:rsidP="008422D5">
            <w:pPr>
              <w:spacing w:line="360" w:lineRule="auto"/>
              <w:contextualSpacing/>
              <w:jc w:val="center"/>
              <w:rPr>
                <w:sz w:val="28"/>
                <w:szCs w:val="28"/>
              </w:rPr>
            </w:pPr>
            <w:r w:rsidRPr="00156441">
              <w:rPr>
                <w:sz w:val="28"/>
                <w:szCs w:val="28"/>
              </w:rPr>
              <w:t>Основна група</w:t>
            </w:r>
          </w:p>
          <w:p w:rsidR="00007631" w:rsidRPr="00156441" w:rsidRDefault="00007631" w:rsidP="008422D5">
            <w:pPr>
              <w:spacing w:line="360" w:lineRule="auto"/>
              <w:contextualSpacing/>
              <w:jc w:val="center"/>
              <w:rPr>
                <w:sz w:val="28"/>
                <w:szCs w:val="28"/>
              </w:rPr>
            </w:pPr>
            <w:r w:rsidRPr="00156441">
              <w:rPr>
                <w:sz w:val="28"/>
                <w:szCs w:val="28"/>
              </w:rPr>
              <w:t>(n=55)</w:t>
            </w:r>
          </w:p>
        </w:tc>
        <w:tc>
          <w:tcPr>
            <w:tcW w:w="1219" w:type="pct"/>
            <w:vAlign w:val="center"/>
          </w:tcPr>
          <w:p w:rsidR="00007631" w:rsidRPr="00156441" w:rsidRDefault="00007631" w:rsidP="008422D5">
            <w:pPr>
              <w:spacing w:line="360" w:lineRule="auto"/>
              <w:contextualSpacing/>
              <w:jc w:val="center"/>
              <w:rPr>
                <w:sz w:val="28"/>
                <w:szCs w:val="28"/>
              </w:rPr>
            </w:pPr>
            <w:r w:rsidRPr="00156441">
              <w:rPr>
                <w:sz w:val="28"/>
                <w:szCs w:val="28"/>
              </w:rPr>
              <w:t>Група порівняння</w:t>
            </w:r>
          </w:p>
          <w:p w:rsidR="00007631" w:rsidRPr="00156441" w:rsidRDefault="00007631" w:rsidP="008422D5">
            <w:pPr>
              <w:spacing w:line="360" w:lineRule="auto"/>
              <w:contextualSpacing/>
              <w:jc w:val="center"/>
              <w:rPr>
                <w:sz w:val="28"/>
                <w:szCs w:val="28"/>
              </w:rPr>
            </w:pPr>
            <w:r w:rsidRPr="00156441">
              <w:rPr>
                <w:sz w:val="28"/>
                <w:szCs w:val="28"/>
              </w:rPr>
              <w:t>(n=45)</w:t>
            </w:r>
          </w:p>
        </w:tc>
      </w:tr>
      <w:tr w:rsidR="00156441" w:rsidRPr="00156441" w:rsidTr="004C1468">
        <w:trPr>
          <w:trHeight w:val="233"/>
        </w:trPr>
        <w:tc>
          <w:tcPr>
            <w:tcW w:w="2563" w:type="pct"/>
            <w:vAlign w:val="center"/>
          </w:tcPr>
          <w:p w:rsidR="00007631" w:rsidRPr="00156441" w:rsidRDefault="00007631" w:rsidP="008422D5">
            <w:pPr>
              <w:tabs>
                <w:tab w:val="left" w:pos="675"/>
              </w:tabs>
              <w:spacing w:line="360" w:lineRule="auto"/>
              <w:contextualSpacing/>
              <w:jc w:val="center"/>
              <w:rPr>
                <w:sz w:val="28"/>
                <w:szCs w:val="28"/>
              </w:rPr>
            </w:pPr>
            <w:r w:rsidRPr="00156441">
              <w:rPr>
                <w:sz w:val="28"/>
                <w:szCs w:val="28"/>
              </w:rPr>
              <w:t>Кількість загострень на рік</w:t>
            </w:r>
          </w:p>
        </w:tc>
        <w:tc>
          <w:tcPr>
            <w:tcW w:w="1218" w:type="pct"/>
            <w:vAlign w:val="center"/>
          </w:tcPr>
          <w:p w:rsidR="00007631" w:rsidRPr="00156441" w:rsidRDefault="00007631" w:rsidP="008422D5">
            <w:pPr>
              <w:spacing w:line="360" w:lineRule="auto"/>
              <w:contextualSpacing/>
              <w:jc w:val="center"/>
              <w:rPr>
                <w:b/>
                <w:sz w:val="28"/>
                <w:szCs w:val="28"/>
              </w:rPr>
            </w:pPr>
            <w:r w:rsidRPr="00156441">
              <w:rPr>
                <w:sz w:val="28"/>
                <w:szCs w:val="28"/>
              </w:rPr>
              <w:t>3,27±0,8</w:t>
            </w:r>
          </w:p>
        </w:tc>
        <w:tc>
          <w:tcPr>
            <w:tcW w:w="1219" w:type="pct"/>
            <w:vAlign w:val="center"/>
          </w:tcPr>
          <w:p w:rsidR="00007631" w:rsidRPr="00156441" w:rsidRDefault="00007631" w:rsidP="008422D5">
            <w:pPr>
              <w:spacing w:line="360" w:lineRule="auto"/>
              <w:contextualSpacing/>
              <w:jc w:val="center"/>
              <w:rPr>
                <w:b/>
                <w:sz w:val="28"/>
                <w:szCs w:val="28"/>
              </w:rPr>
            </w:pPr>
            <w:r w:rsidRPr="00156441">
              <w:rPr>
                <w:sz w:val="28"/>
                <w:szCs w:val="28"/>
              </w:rPr>
              <w:t>2,9±0,61</w:t>
            </w:r>
          </w:p>
        </w:tc>
      </w:tr>
      <w:tr w:rsidR="00156441" w:rsidRPr="00156441" w:rsidTr="004C1468">
        <w:trPr>
          <w:trHeight w:val="309"/>
        </w:trPr>
        <w:tc>
          <w:tcPr>
            <w:tcW w:w="2563" w:type="pct"/>
            <w:vAlign w:val="center"/>
          </w:tcPr>
          <w:p w:rsidR="00007631" w:rsidRPr="00156441" w:rsidRDefault="00007631" w:rsidP="00783230">
            <w:pPr>
              <w:spacing w:line="360" w:lineRule="auto"/>
              <w:contextualSpacing/>
              <w:jc w:val="center"/>
              <w:rPr>
                <w:sz w:val="28"/>
                <w:szCs w:val="28"/>
              </w:rPr>
            </w:pPr>
            <w:r w:rsidRPr="00156441">
              <w:rPr>
                <w:sz w:val="28"/>
                <w:szCs w:val="28"/>
              </w:rPr>
              <w:t>Кашель:</w:t>
            </w:r>
          </w:p>
        </w:tc>
        <w:tc>
          <w:tcPr>
            <w:tcW w:w="1218" w:type="pct"/>
            <w:vAlign w:val="center"/>
          </w:tcPr>
          <w:p w:rsidR="00007631" w:rsidRPr="00156441" w:rsidRDefault="00007631" w:rsidP="008422D5">
            <w:pPr>
              <w:spacing w:line="360" w:lineRule="auto"/>
              <w:contextualSpacing/>
              <w:jc w:val="center"/>
              <w:rPr>
                <w:sz w:val="28"/>
                <w:szCs w:val="28"/>
              </w:rPr>
            </w:pPr>
          </w:p>
        </w:tc>
        <w:tc>
          <w:tcPr>
            <w:tcW w:w="1219" w:type="pct"/>
            <w:vAlign w:val="center"/>
          </w:tcPr>
          <w:p w:rsidR="00007631" w:rsidRPr="00156441" w:rsidRDefault="00007631" w:rsidP="008422D5">
            <w:pPr>
              <w:spacing w:line="360" w:lineRule="auto"/>
              <w:contextualSpacing/>
              <w:jc w:val="center"/>
              <w:rPr>
                <w:sz w:val="28"/>
                <w:szCs w:val="28"/>
              </w:rPr>
            </w:pPr>
          </w:p>
        </w:tc>
      </w:tr>
      <w:tr w:rsidR="00156441" w:rsidRPr="00156441" w:rsidTr="008422D5">
        <w:trPr>
          <w:trHeight w:val="349"/>
        </w:trPr>
        <w:tc>
          <w:tcPr>
            <w:tcW w:w="2563" w:type="pct"/>
            <w:vAlign w:val="center"/>
          </w:tcPr>
          <w:p w:rsidR="00007631" w:rsidRPr="00156441" w:rsidRDefault="00007631" w:rsidP="0056592D">
            <w:pPr>
              <w:pStyle w:val="a4"/>
              <w:numPr>
                <w:ilvl w:val="0"/>
                <w:numId w:val="8"/>
              </w:numPr>
              <w:tabs>
                <w:tab w:val="left" w:pos="1143"/>
              </w:tabs>
              <w:spacing w:line="360" w:lineRule="auto"/>
              <w:ind w:left="29" w:firstLine="709"/>
              <w:rPr>
                <w:sz w:val="28"/>
                <w:szCs w:val="28"/>
              </w:rPr>
            </w:pPr>
            <w:r w:rsidRPr="00156441">
              <w:rPr>
                <w:sz w:val="28"/>
                <w:szCs w:val="28"/>
              </w:rPr>
              <w:t>сухий</w:t>
            </w:r>
          </w:p>
        </w:tc>
        <w:tc>
          <w:tcPr>
            <w:tcW w:w="1218" w:type="pct"/>
            <w:vAlign w:val="center"/>
          </w:tcPr>
          <w:p w:rsidR="00007631" w:rsidRPr="00156441" w:rsidRDefault="008422D5" w:rsidP="008422D5">
            <w:pPr>
              <w:spacing w:line="360" w:lineRule="auto"/>
              <w:contextualSpacing/>
              <w:jc w:val="center"/>
              <w:rPr>
                <w:sz w:val="28"/>
                <w:szCs w:val="28"/>
              </w:rPr>
            </w:pPr>
            <w:r w:rsidRPr="00156441">
              <w:rPr>
                <w:sz w:val="28"/>
                <w:szCs w:val="28"/>
              </w:rPr>
              <w:t>67,2</w:t>
            </w:r>
            <w:r w:rsidR="00C70355" w:rsidRPr="00156441">
              <w:rPr>
                <w:sz w:val="28"/>
                <w:szCs w:val="28"/>
              </w:rPr>
              <w:t> %</w:t>
            </w:r>
          </w:p>
        </w:tc>
        <w:tc>
          <w:tcPr>
            <w:tcW w:w="1219" w:type="pct"/>
            <w:vAlign w:val="center"/>
          </w:tcPr>
          <w:p w:rsidR="00007631" w:rsidRPr="00156441" w:rsidRDefault="00007631" w:rsidP="008422D5">
            <w:pPr>
              <w:spacing w:line="360" w:lineRule="auto"/>
              <w:contextualSpacing/>
              <w:jc w:val="center"/>
              <w:rPr>
                <w:sz w:val="28"/>
                <w:szCs w:val="28"/>
              </w:rPr>
            </w:pPr>
            <w:r w:rsidRPr="00156441">
              <w:rPr>
                <w:sz w:val="28"/>
                <w:szCs w:val="28"/>
              </w:rPr>
              <w:t>76,7</w:t>
            </w:r>
            <w:r w:rsidR="00C70355" w:rsidRPr="00156441">
              <w:rPr>
                <w:sz w:val="28"/>
                <w:szCs w:val="28"/>
              </w:rPr>
              <w:t> %</w:t>
            </w:r>
          </w:p>
        </w:tc>
      </w:tr>
      <w:tr w:rsidR="00156441" w:rsidRPr="00156441" w:rsidTr="004C1468">
        <w:trPr>
          <w:trHeight w:val="321"/>
        </w:trPr>
        <w:tc>
          <w:tcPr>
            <w:tcW w:w="2563" w:type="pct"/>
            <w:vAlign w:val="center"/>
          </w:tcPr>
          <w:p w:rsidR="00007631" w:rsidRPr="00156441" w:rsidRDefault="009226BB" w:rsidP="0056592D">
            <w:pPr>
              <w:pStyle w:val="a4"/>
              <w:numPr>
                <w:ilvl w:val="0"/>
                <w:numId w:val="8"/>
              </w:numPr>
              <w:tabs>
                <w:tab w:val="left" w:pos="1143"/>
              </w:tabs>
              <w:spacing w:line="360" w:lineRule="auto"/>
              <w:ind w:left="29" w:firstLine="709"/>
              <w:rPr>
                <w:sz w:val="28"/>
                <w:szCs w:val="28"/>
              </w:rPr>
            </w:pPr>
            <w:r w:rsidRPr="00156441">
              <w:rPr>
                <w:sz w:val="28"/>
                <w:szCs w:val="28"/>
              </w:rPr>
              <w:t>з виді</w:t>
            </w:r>
            <w:r w:rsidR="00007631" w:rsidRPr="00156441">
              <w:rPr>
                <w:sz w:val="28"/>
                <w:szCs w:val="28"/>
              </w:rPr>
              <w:t>ленням мокрот</w:t>
            </w:r>
            <w:r w:rsidR="0056592D">
              <w:rPr>
                <w:sz w:val="28"/>
                <w:szCs w:val="28"/>
              </w:rPr>
              <w:t>и</w:t>
            </w:r>
            <w:r w:rsidR="00007631" w:rsidRPr="00156441">
              <w:rPr>
                <w:sz w:val="28"/>
                <w:szCs w:val="28"/>
              </w:rPr>
              <w:t>ння</w:t>
            </w:r>
          </w:p>
        </w:tc>
        <w:tc>
          <w:tcPr>
            <w:tcW w:w="1218" w:type="pct"/>
            <w:vAlign w:val="center"/>
          </w:tcPr>
          <w:p w:rsidR="00007631" w:rsidRPr="00156441" w:rsidRDefault="00007631" w:rsidP="008422D5">
            <w:pPr>
              <w:spacing w:line="360" w:lineRule="auto"/>
              <w:contextualSpacing/>
              <w:jc w:val="center"/>
              <w:rPr>
                <w:sz w:val="28"/>
                <w:szCs w:val="28"/>
              </w:rPr>
            </w:pPr>
            <w:r w:rsidRPr="00156441">
              <w:rPr>
                <w:sz w:val="28"/>
                <w:szCs w:val="28"/>
              </w:rPr>
              <w:t>32,8</w:t>
            </w:r>
            <w:r w:rsidR="00C70355" w:rsidRPr="00156441">
              <w:rPr>
                <w:sz w:val="28"/>
                <w:szCs w:val="28"/>
              </w:rPr>
              <w:t> %</w:t>
            </w:r>
          </w:p>
        </w:tc>
        <w:tc>
          <w:tcPr>
            <w:tcW w:w="1219" w:type="pct"/>
            <w:vAlign w:val="center"/>
          </w:tcPr>
          <w:p w:rsidR="00007631" w:rsidRPr="00156441" w:rsidRDefault="00007631" w:rsidP="008422D5">
            <w:pPr>
              <w:spacing w:line="360" w:lineRule="auto"/>
              <w:contextualSpacing/>
              <w:jc w:val="center"/>
              <w:rPr>
                <w:sz w:val="28"/>
                <w:szCs w:val="28"/>
              </w:rPr>
            </w:pPr>
            <w:r w:rsidRPr="00156441">
              <w:rPr>
                <w:sz w:val="28"/>
                <w:szCs w:val="28"/>
              </w:rPr>
              <w:t>23,3</w:t>
            </w:r>
            <w:r w:rsidR="00C70355" w:rsidRPr="00156441">
              <w:rPr>
                <w:sz w:val="28"/>
                <w:szCs w:val="28"/>
              </w:rPr>
              <w:t> %</w:t>
            </w:r>
          </w:p>
        </w:tc>
      </w:tr>
      <w:tr w:rsidR="00156441" w:rsidRPr="00156441" w:rsidTr="004C1468">
        <w:trPr>
          <w:trHeight w:val="453"/>
        </w:trPr>
        <w:tc>
          <w:tcPr>
            <w:tcW w:w="2563" w:type="pct"/>
            <w:vAlign w:val="center"/>
          </w:tcPr>
          <w:p w:rsidR="00007631" w:rsidRPr="00156441" w:rsidRDefault="009226BB" w:rsidP="0056592D">
            <w:pPr>
              <w:pStyle w:val="a4"/>
              <w:tabs>
                <w:tab w:val="left" w:pos="1143"/>
              </w:tabs>
              <w:spacing w:line="360" w:lineRule="auto"/>
              <w:ind w:left="29"/>
              <w:jc w:val="center"/>
              <w:rPr>
                <w:sz w:val="28"/>
                <w:szCs w:val="28"/>
              </w:rPr>
            </w:pPr>
            <w:r w:rsidRPr="00156441">
              <w:rPr>
                <w:sz w:val="28"/>
                <w:szCs w:val="28"/>
              </w:rPr>
              <w:t>Час вини</w:t>
            </w:r>
            <w:r w:rsidR="00007631" w:rsidRPr="00156441">
              <w:rPr>
                <w:sz w:val="28"/>
                <w:szCs w:val="28"/>
              </w:rPr>
              <w:t>кнення:</w:t>
            </w:r>
          </w:p>
        </w:tc>
        <w:tc>
          <w:tcPr>
            <w:tcW w:w="1218" w:type="pct"/>
            <w:vAlign w:val="center"/>
          </w:tcPr>
          <w:p w:rsidR="00007631" w:rsidRPr="00156441" w:rsidRDefault="00007631" w:rsidP="008422D5">
            <w:pPr>
              <w:spacing w:line="360" w:lineRule="auto"/>
              <w:contextualSpacing/>
              <w:jc w:val="center"/>
              <w:rPr>
                <w:sz w:val="28"/>
                <w:szCs w:val="28"/>
              </w:rPr>
            </w:pPr>
          </w:p>
        </w:tc>
        <w:tc>
          <w:tcPr>
            <w:tcW w:w="1219" w:type="pct"/>
            <w:vAlign w:val="center"/>
          </w:tcPr>
          <w:p w:rsidR="00007631" w:rsidRPr="00156441" w:rsidRDefault="00007631" w:rsidP="008422D5">
            <w:pPr>
              <w:spacing w:line="360" w:lineRule="auto"/>
              <w:contextualSpacing/>
              <w:jc w:val="center"/>
              <w:rPr>
                <w:sz w:val="28"/>
                <w:szCs w:val="28"/>
              </w:rPr>
            </w:pPr>
          </w:p>
        </w:tc>
      </w:tr>
      <w:tr w:rsidR="00156441" w:rsidRPr="00156441" w:rsidTr="004C1468">
        <w:trPr>
          <w:trHeight w:val="170"/>
        </w:trPr>
        <w:tc>
          <w:tcPr>
            <w:tcW w:w="2563" w:type="pct"/>
            <w:vAlign w:val="center"/>
          </w:tcPr>
          <w:p w:rsidR="00007631" w:rsidRPr="00156441" w:rsidRDefault="00007631" w:rsidP="0056592D">
            <w:pPr>
              <w:pStyle w:val="a4"/>
              <w:numPr>
                <w:ilvl w:val="0"/>
                <w:numId w:val="8"/>
              </w:numPr>
              <w:tabs>
                <w:tab w:val="left" w:pos="1143"/>
              </w:tabs>
              <w:spacing w:line="360" w:lineRule="auto"/>
              <w:ind w:left="29" w:firstLine="709"/>
              <w:rPr>
                <w:sz w:val="28"/>
                <w:szCs w:val="28"/>
              </w:rPr>
            </w:pPr>
            <w:r w:rsidRPr="00156441">
              <w:rPr>
                <w:sz w:val="28"/>
                <w:szCs w:val="28"/>
              </w:rPr>
              <w:t>вранці</w:t>
            </w:r>
          </w:p>
        </w:tc>
        <w:tc>
          <w:tcPr>
            <w:tcW w:w="1218" w:type="pct"/>
            <w:vAlign w:val="center"/>
          </w:tcPr>
          <w:p w:rsidR="00007631" w:rsidRPr="00156441" w:rsidRDefault="00007631" w:rsidP="008422D5">
            <w:pPr>
              <w:spacing w:line="360" w:lineRule="auto"/>
              <w:contextualSpacing/>
              <w:jc w:val="center"/>
              <w:rPr>
                <w:sz w:val="28"/>
                <w:szCs w:val="28"/>
              </w:rPr>
            </w:pPr>
            <w:r w:rsidRPr="00156441">
              <w:rPr>
                <w:sz w:val="28"/>
                <w:szCs w:val="28"/>
              </w:rPr>
              <w:t>25,5</w:t>
            </w:r>
            <w:r w:rsidR="00C70355" w:rsidRPr="00156441">
              <w:rPr>
                <w:sz w:val="28"/>
                <w:szCs w:val="28"/>
              </w:rPr>
              <w:t> %</w:t>
            </w:r>
          </w:p>
        </w:tc>
        <w:tc>
          <w:tcPr>
            <w:tcW w:w="1219" w:type="pct"/>
            <w:vAlign w:val="center"/>
          </w:tcPr>
          <w:p w:rsidR="00007631" w:rsidRPr="00156441" w:rsidRDefault="00007631" w:rsidP="008422D5">
            <w:pPr>
              <w:spacing w:line="360" w:lineRule="auto"/>
              <w:contextualSpacing/>
              <w:jc w:val="center"/>
              <w:rPr>
                <w:sz w:val="28"/>
                <w:szCs w:val="28"/>
              </w:rPr>
            </w:pPr>
            <w:r w:rsidRPr="00156441">
              <w:rPr>
                <w:sz w:val="28"/>
                <w:szCs w:val="28"/>
              </w:rPr>
              <w:t>61,1</w:t>
            </w:r>
            <w:r w:rsidR="00C70355" w:rsidRPr="00156441">
              <w:rPr>
                <w:sz w:val="28"/>
                <w:szCs w:val="28"/>
              </w:rPr>
              <w:t> %</w:t>
            </w:r>
          </w:p>
        </w:tc>
      </w:tr>
      <w:tr w:rsidR="00156441" w:rsidRPr="00156441" w:rsidTr="008A3555">
        <w:trPr>
          <w:trHeight w:val="492"/>
        </w:trPr>
        <w:tc>
          <w:tcPr>
            <w:tcW w:w="2563" w:type="pct"/>
            <w:vAlign w:val="center"/>
          </w:tcPr>
          <w:p w:rsidR="00007631" w:rsidRPr="00156441" w:rsidRDefault="008A3555" w:rsidP="0056592D">
            <w:pPr>
              <w:pStyle w:val="a4"/>
              <w:numPr>
                <w:ilvl w:val="0"/>
                <w:numId w:val="8"/>
              </w:numPr>
              <w:tabs>
                <w:tab w:val="left" w:pos="1143"/>
              </w:tabs>
              <w:spacing w:line="360" w:lineRule="auto"/>
              <w:ind w:left="29" w:firstLine="709"/>
              <w:rPr>
                <w:sz w:val="28"/>
                <w:szCs w:val="28"/>
              </w:rPr>
            </w:pPr>
            <w:r w:rsidRPr="00156441">
              <w:rPr>
                <w:sz w:val="28"/>
                <w:szCs w:val="28"/>
              </w:rPr>
              <w:t>протягом</w:t>
            </w:r>
            <w:r w:rsidR="00007631" w:rsidRPr="00156441">
              <w:rPr>
                <w:sz w:val="28"/>
                <w:szCs w:val="28"/>
              </w:rPr>
              <w:t xml:space="preserve"> дня</w:t>
            </w:r>
          </w:p>
        </w:tc>
        <w:tc>
          <w:tcPr>
            <w:tcW w:w="1218" w:type="pct"/>
            <w:vAlign w:val="center"/>
          </w:tcPr>
          <w:p w:rsidR="00007631" w:rsidRPr="00156441" w:rsidRDefault="00007631" w:rsidP="008422D5">
            <w:pPr>
              <w:spacing w:line="360" w:lineRule="auto"/>
              <w:contextualSpacing/>
              <w:jc w:val="center"/>
              <w:rPr>
                <w:sz w:val="28"/>
                <w:szCs w:val="28"/>
              </w:rPr>
            </w:pPr>
            <w:r w:rsidRPr="00156441">
              <w:rPr>
                <w:sz w:val="28"/>
                <w:szCs w:val="28"/>
              </w:rPr>
              <w:t>74,5</w:t>
            </w:r>
            <w:r w:rsidR="00C70355" w:rsidRPr="00156441">
              <w:rPr>
                <w:sz w:val="28"/>
                <w:szCs w:val="28"/>
              </w:rPr>
              <w:t> %</w:t>
            </w:r>
          </w:p>
        </w:tc>
        <w:tc>
          <w:tcPr>
            <w:tcW w:w="1219" w:type="pct"/>
            <w:vAlign w:val="center"/>
          </w:tcPr>
          <w:p w:rsidR="00007631" w:rsidRPr="00156441" w:rsidRDefault="00007631" w:rsidP="008422D5">
            <w:pPr>
              <w:spacing w:line="360" w:lineRule="auto"/>
              <w:contextualSpacing/>
              <w:jc w:val="center"/>
              <w:rPr>
                <w:sz w:val="28"/>
                <w:szCs w:val="28"/>
              </w:rPr>
            </w:pPr>
            <w:r w:rsidRPr="00156441">
              <w:rPr>
                <w:sz w:val="28"/>
                <w:szCs w:val="28"/>
              </w:rPr>
              <w:t>38,9</w:t>
            </w:r>
            <w:r w:rsidR="00C70355" w:rsidRPr="00156441">
              <w:rPr>
                <w:sz w:val="28"/>
                <w:szCs w:val="28"/>
              </w:rPr>
              <w:t> %</w:t>
            </w:r>
          </w:p>
        </w:tc>
      </w:tr>
      <w:tr w:rsidR="00156441" w:rsidRPr="00156441" w:rsidTr="004C1468">
        <w:trPr>
          <w:trHeight w:val="401"/>
        </w:trPr>
        <w:tc>
          <w:tcPr>
            <w:tcW w:w="2563" w:type="pct"/>
            <w:vAlign w:val="center"/>
          </w:tcPr>
          <w:p w:rsidR="00007631" w:rsidRPr="00156441" w:rsidRDefault="00007631" w:rsidP="0056592D">
            <w:pPr>
              <w:pStyle w:val="a4"/>
              <w:spacing w:line="360" w:lineRule="auto"/>
              <w:ind w:left="29"/>
              <w:jc w:val="center"/>
              <w:rPr>
                <w:sz w:val="28"/>
                <w:szCs w:val="28"/>
              </w:rPr>
            </w:pPr>
            <w:r w:rsidRPr="00156441">
              <w:rPr>
                <w:sz w:val="28"/>
                <w:szCs w:val="28"/>
              </w:rPr>
              <w:t>Задишка:</w:t>
            </w:r>
          </w:p>
        </w:tc>
        <w:tc>
          <w:tcPr>
            <w:tcW w:w="1218" w:type="pct"/>
            <w:vAlign w:val="center"/>
          </w:tcPr>
          <w:p w:rsidR="00007631" w:rsidRPr="00156441" w:rsidRDefault="00007631" w:rsidP="008422D5">
            <w:pPr>
              <w:spacing w:line="360" w:lineRule="auto"/>
              <w:contextualSpacing/>
              <w:jc w:val="center"/>
              <w:rPr>
                <w:sz w:val="28"/>
                <w:szCs w:val="28"/>
              </w:rPr>
            </w:pPr>
          </w:p>
        </w:tc>
        <w:tc>
          <w:tcPr>
            <w:tcW w:w="1219" w:type="pct"/>
            <w:vAlign w:val="center"/>
          </w:tcPr>
          <w:p w:rsidR="00007631" w:rsidRPr="00156441" w:rsidRDefault="00007631" w:rsidP="008422D5">
            <w:pPr>
              <w:spacing w:line="360" w:lineRule="auto"/>
              <w:contextualSpacing/>
              <w:jc w:val="center"/>
              <w:rPr>
                <w:sz w:val="28"/>
                <w:szCs w:val="28"/>
              </w:rPr>
            </w:pPr>
          </w:p>
        </w:tc>
      </w:tr>
      <w:tr w:rsidR="00156441" w:rsidRPr="00156441" w:rsidTr="004C1468">
        <w:trPr>
          <w:trHeight w:val="503"/>
        </w:trPr>
        <w:tc>
          <w:tcPr>
            <w:tcW w:w="2563" w:type="pct"/>
            <w:vAlign w:val="center"/>
          </w:tcPr>
          <w:p w:rsidR="00007631" w:rsidRPr="00156441" w:rsidRDefault="00007631" w:rsidP="0056592D">
            <w:pPr>
              <w:pStyle w:val="a4"/>
              <w:numPr>
                <w:ilvl w:val="0"/>
                <w:numId w:val="8"/>
              </w:numPr>
              <w:tabs>
                <w:tab w:val="left" w:pos="596"/>
              </w:tabs>
              <w:spacing w:line="360" w:lineRule="auto"/>
              <w:ind w:left="29" w:firstLine="0"/>
              <w:jc w:val="center"/>
              <w:rPr>
                <w:sz w:val="28"/>
                <w:szCs w:val="28"/>
              </w:rPr>
            </w:pPr>
            <w:r w:rsidRPr="00156441">
              <w:rPr>
                <w:sz w:val="28"/>
                <w:szCs w:val="28"/>
              </w:rPr>
              <w:t>звичайне фізичне навантаження</w:t>
            </w:r>
          </w:p>
        </w:tc>
        <w:tc>
          <w:tcPr>
            <w:tcW w:w="1218" w:type="pct"/>
            <w:vAlign w:val="center"/>
          </w:tcPr>
          <w:p w:rsidR="00007631" w:rsidRPr="00156441" w:rsidRDefault="00007631" w:rsidP="008422D5">
            <w:pPr>
              <w:spacing w:line="360" w:lineRule="auto"/>
              <w:contextualSpacing/>
              <w:jc w:val="center"/>
              <w:rPr>
                <w:sz w:val="28"/>
                <w:szCs w:val="28"/>
              </w:rPr>
            </w:pPr>
            <w:r w:rsidRPr="00156441">
              <w:rPr>
                <w:sz w:val="28"/>
                <w:szCs w:val="28"/>
              </w:rPr>
              <w:t>43,6</w:t>
            </w:r>
            <w:r w:rsidR="00C70355" w:rsidRPr="00156441">
              <w:rPr>
                <w:sz w:val="28"/>
                <w:szCs w:val="28"/>
              </w:rPr>
              <w:t> %</w:t>
            </w:r>
          </w:p>
        </w:tc>
        <w:tc>
          <w:tcPr>
            <w:tcW w:w="1219" w:type="pct"/>
            <w:vAlign w:val="center"/>
          </w:tcPr>
          <w:p w:rsidR="00007631" w:rsidRPr="00156441" w:rsidRDefault="00007631" w:rsidP="008422D5">
            <w:pPr>
              <w:spacing w:line="360" w:lineRule="auto"/>
              <w:contextualSpacing/>
              <w:jc w:val="center"/>
              <w:rPr>
                <w:sz w:val="28"/>
                <w:szCs w:val="28"/>
              </w:rPr>
            </w:pPr>
            <w:r w:rsidRPr="00156441">
              <w:rPr>
                <w:sz w:val="28"/>
                <w:szCs w:val="28"/>
              </w:rPr>
              <w:t>62,2</w:t>
            </w:r>
            <w:r w:rsidR="00C70355" w:rsidRPr="00156441">
              <w:rPr>
                <w:sz w:val="28"/>
                <w:szCs w:val="28"/>
              </w:rPr>
              <w:t> %</w:t>
            </w:r>
          </w:p>
        </w:tc>
      </w:tr>
      <w:tr w:rsidR="00156441" w:rsidRPr="00156441" w:rsidTr="004C1468">
        <w:trPr>
          <w:trHeight w:val="473"/>
        </w:trPr>
        <w:tc>
          <w:tcPr>
            <w:tcW w:w="2563" w:type="pct"/>
            <w:vAlign w:val="center"/>
          </w:tcPr>
          <w:p w:rsidR="00007631" w:rsidRPr="00156441" w:rsidRDefault="00007631" w:rsidP="0056592D">
            <w:pPr>
              <w:pStyle w:val="a4"/>
              <w:numPr>
                <w:ilvl w:val="0"/>
                <w:numId w:val="8"/>
              </w:numPr>
              <w:tabs>
                <w:tab w:val="left" w:pos="596"/>
              </w:tabs>
              <w:spacing w:line="360" w:lineRule="auto"/>
              <w:ind w:left="29" w:firstLine="0"/>
              <w:jc w:val="center"/>
              <w:rPr>
                <w:sz w:val="28"/>
                <w:szCs w:val="28"/>
              </w:rPr>
            </w:pPr>
            <w:r w:rsidRPr="00156441">
              <w:rPr>
                <w:sz w:val="28"/>
                <w:szCs w:val="28"/>
              </w:rPr>
              <w:t>незначне фізичне навантаження</w:t>
            </w:r>
          </w:p>
        </w:tc>
        <w:tc>
          <w:tcPr>
            <w:tcW w:w="1218" w:type="pct"/>
            <w:vAlign w:val="center"/>
          </w:tcPr>
          <w:p w:rsidR="00007631" w:rsidRPr="00156441" w:rsidRDefault="00007631" w:rsidP="008422D5">
            <w:pPr>
              <w:spacing w:line="360" w:lineRule="auto"/>
              <w:contextualSpacing/>
              <w:jc w:val="center"/>
              <w:rPr>
                <w:sz w:val="28"/>
                <w:szCs w:val="28"/>
              </w:rPr>
            </w:pPr>
            <w:r w:rsidRPr="00156441">
              <w:rPr>
                <w:sz w:val="28"/>
                <w:szCs w:val="28"/>
              </w:rPr>
              <w:t>56,4</w:t>
            </w:r>
            <w:r w:rsidR="00C70355" w:rsidRPr="00156441">
              <w:rPr>
                <w:sz w:val="28"/>
                <w:szCs w:val="28"/>
              </w:rPr>
              <w:t> %</w:t>
            </w:r>
          </w:p>
        </w:tc>
        <w:tc>
          <w:tcPr>
            <w:tcW w:w="1219" w:type="pct"/>
            <w:vAlign w:val="center"/>
          </w:tcPr>
          <w:p w:rsidR="00007631" w:rsidRPr="00156441" w:rsidRDefault="00007631" w:rsidP="008422D5">
            <w:pPr>
              <w:spacing w:line="360" w:lineRule="auto"/>
              <w:contextualSpacing/>
              <w:jc w:val="center"/>
              <w:rPr>
                <w:sz w:val="28"/>
                <w:szCs w:val="28"/>
              </w:rPr>
            </w:pPr>
            <w:r w:rsidRPr="00156441">
              <w:rPr>
                <w:sz w:val="28"/>
                <w:szCs w:val="28"/>
              </w:rPr>
              <w:t>37,8</w:t>
            </w:r>
            <w:r w:rsidR="00C70355" w:rsidRPr="00156441">
              <w:rPr>
                <w:sz w:val="28"/>
                <w:szCs w:val="28"/>
              </w:rPr>
              <w:t> %</w:t>
            </w:r>
          </w:p>
        </w:tc>
      </w:tr>
    </w:tbl>
    <w:p w:rsidR="00007631" w:rsidRPr="00156441" w:rsidRDefault="00007631" w:rsidP="00FE7FBD">
      <w:pPr>
        <w:spacing w:after="0" w:line="360" w:lineRule="auto"/>
        <w:ind w:firstLine="709"/>
        <w:contextualSpacing/>
        <w:jc w:val="both"/>
        <w:rPr>
          <w:rFonts w:ascii="Times New Roman" w:hAnsi="Times New Roman" w:cs="Times New Roman"/>
          <w:sz w:val="28"/>
          <w:szCs w:val="28"/>
        </w:rPr>
      </w:pPr>
    </w:p>
    <w:p w:rsidR="00007631" w:rsidRPr="00156441" w:rsidRDefault="00007631" w:rsidP="00FE7FB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Відомо, що наявність поєднаної патології </w:t>
      </w:r>
      <w:r w:rsidR="004C1468" w:rsidRPr="00156441">
        <w:rPr>
          <w:rFonts w:ascii="Times New Roman" w:hAnsi="Times New Roman" w:cs="Times New Roman"/>
          <w:sz w:val="28"/>
          <w:szCs w:val="28"/>
        </w:rPr>
        <w:t>взаємно обтяжують</w:t>
      </w:r>
      <w:r w:rsidRPr="00156441">
        <w:rPr>
          <w:rFonts w:ascii="Times New Roman" w:hAnsi="Times New Roman" w:cs="Times New Roman"/>
          <w:sz w:val="28"/>
          <w:szCs w:val="28"/>
        </w:rPr>
        <w:t xml:space="preserve"> захворювання і сприяє їх прогресуванню. </w:t>
      </w:r>
      <w:r w:rsidR="004C1468" w:rsidRPr="00156441">
        <w:rPr>
          <w:rFonts w:ascii="Times New Roman" w:hAnsi="Times New Roman" w:cs="Times New Roman"/>
          <w:sz w:val="28"/>
          <w:szCs w:val="28"/>
        </w:rPr>
        <w:t xml:space="preserve">У обстежених хворих було не більше одного загострення на рік. </w:t>
      </w:r>
      <w:r w:rsidRPr="00156441">
        <w:rPr>
          <w:rFonts w:ascii="Times New Roman" w:hAnsi="Times New Roman" w:cs="Times New Roman"/>
          <w:sz w:val="28"/>
          <w:szCs w:val="28"/>
        </w:rPr>
        <w:t>Кашель відзначався у всіх хворих, у 67,2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був сухий, переважно </w:t>
      </w:r>
      <w:r w:rsidR="00FE7FBD" w:rsidRPr="00156441">
        <w:rPr>
          <w:rFonts w:ascii="Times New Roman" w:hAnsi="Times New Roman" w:cs="Times New Roman"/>
          <w:sz w:val="28"/>
          <w:szCs w:val="28"/>
        </w:rPr>
        <w:t>протягом</w:t>
      </w:r>
      <w:r w:rsidRPr="00156441">
        <w:rPr>
          <w:rFonts w:ascii="Times New Roman" w:hAnsi="Times New Roman" w:cs="Times New Roman"/>
          <w:sz w:val="28"/>
          <w:szCs w:val="28"/>
        </w:rPr>
        <w:t xml:space="preserve"> дня (74,5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У більшому відсотк</w:t>
      </w:r>
      <w:r w:rsidR="00FE7FBD" w:rsidRPr="00156441">
        <w:rPr>
          <w:rFonts w:ascii="Times New Roman" w:hAnsi="Times New Roman" w:cs="Times New Roman"/>
          <w:sz w:val="28"/>
          <w:szCs w:val="28"/>
        </w:rPr>
        <w:t>у</w:t>
      </w:r>
      <w:r w:rsidRPr="00156441">
        <w:rPr>
          <w:rFonts w:ascii="Times New Roman" w:hAnsi="Times New Roman" w:cs="Times New Roman"/>
          <w:sz w:val="28"/>
          <w:szCs w:val="28"/>
        </w:rPr>
        <w:t xml:space="preserve"> випадків (56,4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задишка виникала вже при незначному фізичному навантаженні.</w:t>
      </w:r>
    </w:p>
    <w:p w:rsidR="00007631" w:rsidRPr="00156441" w:rsidRDefault="00007631" w:rsidP="00FE7FB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Тоді, як при у хворих з ізольованим перебігом ХОЗЛ </w:t>
      </w:r>
      <w:r w:rsidR="004C1468" w:rsidRPr="00156441">
        <w:rPr>
          <w:rFonts w:ascii="Times New Roman" w:hAnsi="Times New Roman" w:cs="Times New Roman"/>
          <w:sz w:val="28"/>
          <w:szCs w:val="28"/>
        </w:rPr>
        <w:t>у</w:t>
      </w:r>
      <w:r w:rsidRPr="00156441">
        <w:rPr>
          <w:rFonts w:ascii="Times New Roman" w:hAnsi="Times New Roman" w:cs="Times New Roman"/>
          <w:sz w:val="28"/>
          <w:szCs w:val="28"/>
        </w:rPr>
        <w:t xml:space="preserve"> 76,7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випадків кашель був не продуктивний та частіше виникав в </w:t>
      </w:r>
      <w:r w:rsidR="0056592D">
        <w:rPr>
          <w:rFonts w:ascii="Times New Roman" w:hAnsi="Times New Roman" w:cs="Times New Roman"/>
          <w:sz w:val="28"/>
          <w:szCs w:val="28"/>
        </w:rPr>
        <w:t>ранкові</w:t>
      </w:r>
      <w:r w:rsidRPr="00156441">
        <w:rPr>
          <w:rFonts w:ascii="Times New Roman" w:hAnsi="Times New Roman" w:cs="Times New Roman"/>
          <w:sz w:val="28"/>
          <w:szCs w:val="28"/>
        </w:rPr>
        <w:t xml:space="preserve"> часи (61,1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У 62,2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обстежених групи порівняння задишка виникала за умов звичайного фізичного навантаження.</w:t>
      </w:r>
    </w:p>
    <w:p w:rsidR="00007631" w:rsidRPr="00156441" w:rsidRDefault="0068569E" w:rsidP="001647C1">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Зіставлення</w:t>
      </w:r>
      <w:r w:rsidR="00007631" w:rsidRPr="00156441">
        <w:rPr>
          <w:rFonts w:ascii="Times New Roman" w:hAnsi="Times New Roman" w:cs="Times New Roman"/>
          <w:sz w:val="28"/>
          <w:szCs w:val="28"/>
        </w:rPr>
        <w:t xml:space="preserve"> груп хворих без ГХ та з супутньою гіпертонічною</w:t>
      </w:r>
      <w:r w:rsidR="00163C1D" w:rsidRPr="00156441">
        <w:rPr>
          <w:rFonts w:ascii="Times New Roman" w:hAnsi="Times New Roman" w:cs="Times New Roman"/>
          <w:sz w:val="28"/>
          <w:szCs w:val="28"/>
        </w:rPr>
        <w:t xml:space="preserve"> хворобою підтвердило думку, що</w:t>
      </w:r>
      <w:r w:rsidR="00007631" w:rsidRPr="00156441">
        <w:rPr>
          <w:rFonts w:ascii="Times New Roman" w:hAnsi="Times New Roman" w:cs="Times New Roman"/>
          <w:sz w:val="28"/>
          <w:szCs w:val="28"/>
        </w:rPr>
        <w:t xml:space="preserve"> поєднана патологія супроводжується більш вираженими клінічними проявами, що можна пояснити наявністю загальних патогенетичних </w:t>
      </w:r>
      <w:r w:rsidR="00007631" w:rsidRPr="00156441">
        <w:rPr>
          <w:rFonts w:ascii="Times New Roman" w:hAnsi="Times New Roman" w:cs="Times New Roman"/>
          <w:sz w:val="28"/>
          <w:szCs w:val="28"/>
        </w:rPr>
        <w:lastRenderedPageBreak/>
        <w:t>ланок обох захворювань, наявністю асоційованих факторів, що відіграють важливу роль в перебігу і прогресуванні як ХОЗЛ, так і ГХ.</w:t>
      </w:r>
    </w:p>
    <w:p w:rsidR="00007631" w:rsidRPr="00156441" w:rsidRDefault="00007631" w:rsidP="00007631">
      <w:pPr>
        <w:spacing w:after="0" w:line="360" w:lineRule="auto"/>
        <w:ind w:firstLine="420"/>
        <w:contextualSpacing/>
        <w:jc w:val="both"/>
        <w:rPr>
          <w:rFonts w:ascii="Times New Roman" w:hAnsi="Times New Roman" w:cs="Times New Roman"/>
          <w:sz w:val="28"/>
          <w:szCs w:val="28"/>
        </w:rPr>
      </w:pPr>
      <w:r w:rsidRPr="00156441">
        <w:rPr>
          <w:rFonts w:ascii="Times New Roman" w:hAnsi="Times New Roman" w:cs="Times New Roman"/>
          <w:sz w:val="28"/>
          <w:szCs w:val="28"/>
        </w:rPr>
        <w:t>Для вивчен</w:t>
      </w:r>
      <w:r w:rsidR="00391112" w:rsidRPr="00156441">
        <w:rPr>
          <w:rFonts w:ascii="Times New Roman" w:hAnsi="Times New Roman" w:cs="Times New Roman"/>
          <w:sz w:val="28"/>
          <w:szCs w:val="28"/>
        </w:rPr>
        <w:t>ня функціонального стану бронхо</w:t>
      </w:r>
      <w:r w:rsidRPr="00156441">
        <w:rPr>
          <w:rFonts w:ascii="Times New Roman" w:hAnsi="Times New Roman" w:cs="Times New Roman"/>
          <w:sz w:val="28"/>
          <w:szCs w:val="28"/>
        </w:rPr>
        <w:t xml:space="preserve">легеневої системи усім хворим було проведено спірографічне дослідження. Результати надані у таблиці </w:t>
      </w:r>
      <w:r w:rsidR="00391112" w:rsidRPr="00156441">
        <w:rPr>
          <w:rFonts w:ascii="Times New Roman" w:hAnsi="Times New Roman" w:cs="Times New Roman"/>
          <w:sz w:val="28"/>
          <w:szCs w:val="28"/>
        </w:rPr>
        <w:t>2.1.7</w:t>
      </w:r>
    </w:p>
    <w:p w:rsidR="00520E5A" w:rsidRDefault="00520E5A" w:rsidP="00007631">
      <w:pPr>
        <w:spacing w:after="0" w:line="360" w:lineRule="auto"/>
        <w:ind w:left="420" w:firstLine="288"/>
        <w:contextualSpacing/>
        <w:jc w:val="right"/>
        <w:rPr>
          <w:rFonts w:ascii="Times New Roman" w:hAnsi="Times New Roman" w:cs="Times New Roman"/>
          <w:sz w:val="28"/>
          <w:szCs w:val="28"/>
        </w:rPr>
      </w:pPr>
    </w:p>
    <w:p w:rsidR="00007631" w:rsidRPr="00156441" w:rsidRDefault="00007631" w:rsidP="00007631">
      <w:pPr>
        <w:spacing w:after="0" w:line="360" w:lineRule="auto"/>
        <w:ind w:left="420" w:firstLine="288"/>
        <w:contextualSpacing/>
        <w:jc w:val="right"/>
        <w:rPr>
          <w:rFonts w:ascii="Times New Roman" w:hAnsi="Times New Roman" w:cs="Times New Roman"/>
          <w:sz w:val="28"/>
          <w:szCs w:val="28"/>
        </w:rPr>
      </w:pPr>
      <w:r w:rsidRPr="00156441">
        <w:rPr>
          <w:rFonts w:ascii="Times New Roman" w:hAnsi="Times New Roman" w:cs="Times New Roman"/>
          <w:sz w:val="28"/>
          <w:szCs w:val="28"/>
        </w:rPr>
        <w:t xml:space="preserve">Таблиця </w:t>
      </w:r>
      <w:r w:rsidR="00391112" w:rsidRPr="00156441">
        <w:rPr>
          <w:rFonts w:ascii="Times New Roman" w:hAnsi="Times New Roman" w:cs="Times New Roman"/>
          <w:sz w:val="28"/>
          <w:szCs w:val="28"/>
        </w:rPr>
        <w:t>2.1.7</w:t>
      </w:r>
    </w:p>
    <w:p w:rsidR="00007631" w:rsidRPr="00156441" w:rsidRDefault="00007631" w:rsidP="00007631">
      <w:pPr>
        <w:spacing w:after="0" w:line="360" w:lineRule="auto"/>
        <w:ind w:left="420" w:firstLine="288"/>
        <w:contextualSpacing/>
        <w:jc w:val="center"/>
        <w:rPr>
          <w:rFonts w:ascii="Times New Roman" w:hAnsi="Times New Roman" w:cs="Times New Roman"/>
          <w:sz w:val="28"/>
          <w:szCs w:val="28"/>
        </w:rPr>
      </w:pPr>
      <w:r w:rsidRPr="00156441">
        <w:rPr>
          <w:rFonts w:ascii="Times New Roman" w:hAnsi="Times New Roman" w:cs="Times New Roman"/>
          <w:sz w:val="28"/>
          <w:szCs w:val="28"/>
        </w:rPr>
        <w:t>Дані спірографічного обстеження хворих</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6"/>
        <w:gridCol w:w="3306"/>
        <w:gridCol w:w="3306"/>
      </w:tblGrid>
      <w:tr w:rsidR="00156441" w:rsidRPr="00156441" w:rsidTr="00520E5A">
        <w:trPr>
          <w:trHeight w:val="774"/>
        </w:trPr>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Показник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007631" w:rsidRPr="00156441" w:rsidRDefault="00007631" w:rsidP="001647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(n=55)</w:t>
            </w:r>
          </w:p>
        </w:tc>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w:t>
            </w:r>
          </w:p>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520E5A">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ОФВ</w:t>
            </w:r>
            <w:r w:rsidRPr="00156441">
              <w:rPr>
                <w:rFonts w:ascii="Times New Roman" w:eastAsia="Times New Roman" w:hAnsi="Times New Roman" w:cs="Times New Roman"/>
                <w:sz w:val="28"/>
                <w:szCs w:val="28"/>
                <w:vertAlign w:val="subscript"/>
                <w:lang w:eastAsia="ru-RU"/>
              </w:rPr>
              <w:t>1</w:t>
            </w:r>
            <w:r w:rsidRPr="00156441">
              <w:rPr>
                <w:rFonts w:ascii="Times New Roman" w:eastAsia="Times New Roman" w:hAnsi="Times New Roman" w:cs="Times New Roman"/>
                <w:sz w:val="28"/>
                <w:szCs w:val="28"/>
                <w:lang w:eastAsia="ru-RU"/>
              </w:rPr>
              <w:t xml:space="preserve">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56,8</w:t>
            </w:r>
            <w:r w:rsidRPr="00156441">
              <w:rPr>
                <w:rFonts w:ascii="Times New Roman" w:eastAsia="SimSun" w:hAnsi="Times New Roman" w:cs="Times New Roman"/>
                <w:kern w:val="3"/>
                <w:sz w:val="28"/>
                <w:szCs w:val="28"/>
              </w:rPr>
              <w:t>±3,73</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62,2±3,56</w:t>
            </w:r>
          </w:p>
        </w:tc>
      </w:tr>
      <w:tr w:rsidR="00156441" w:rsidRPr="00156441" w:rsidTr="00520E5A">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ФЖЄЛ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64,4</w:t>
            </w:r>
            <w:r w:rsidRPr="00156441">
              <w:rPr>
                <w:rFonts w:ascii="Times New Roman" w:eastAsia="SimSun" w:hAnsi="Times New Roman" w:cs="Times New Roman"/>
                <w:kern w:val="3"/>
                <w:sz w:val="28"/>
                <w:szCs w:val="28"/>
              </w:rPr>
              <w:t>±3,61</w:t>
            </w:r>
          </w:p>
        </w:tc>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67,1</w:t>
            </w:r>
            <w:r w:rsidRPr="00156441">
              <w:rPr>
                <w:rFonts w:ascii="Times New Roman" w:eastAsia="SimSun" w:hAnsi="Times New Roman" w:cs="Times New Roman"/>
                <w:kern w:val="3"/>
                <w:sz w:val="28"/>
                <w:szCs w:val="28"/>
              </w:rPr>
              <w:t>±2,57</w:t>
            </w:r>
          </w:p>
        </w:tc>
      </w:tr>
      <w:tr w:rsidR="00156441" w:rsidRPr="00156441" w:rsidTr="00520E5A">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ОФВ</w:t>
            </w:r>
            <w:r w:rsidRPr="00156441">
              <w:rPr>
                <w:rFonts w:ascii="Times New Roman" w:eastAsia="Times New Roman" w:hAnsi="Times New Roman" w:cs="Times New Roman"/>
                <w:sz w:val="28"/>
                <w:szCs w:val="28"/>
                <w:vertAlign w:val="subscript"/>
                <w:lang w:eastAsia="ru-RU"/>
              </w:rPr>
              <w:t>1</w:t>
            </w:r>
            <w:r w:rsidRPr="00156441">
              <w:rPr>
                <w:rFonts w:ascii="Times New Roman" w:eastAsia="Times New Roman" w:hAnsi="Times New Roman" w:cs="Times New Roman"/>
                <w:sz w:val="28"/>
                <w:szCs w:val="28"/>
                <w:lang w:eastAsia="ru-RU"/>
              </w:rPr>
              <w:t xml:space="preserve">/ФЖЄЛ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69,4</w:t>
            </w:r>
            <w:r w:rsidRPr="00156441">
              <w:rPr>
                <w:rFonts w:ascii="Times New Roman" w:eastAsia="SimSun" w:hAnsi="Times New Roman" w:cs="Times New Roman"/>
                <w:kern w:val="3"/>
                <w:sz w:val="28"/>
                <w:szCs w:val="28"/>
              </w:rPr>
              <w:t>±3,56</w:t>
            </w:r>
          </w:p>
        </w:tc>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74,4</w:t>
            </w:r>
            <w:r w:rsidRPr="00156441">
              <w:rPr>
                <w:rFonts w:ascii="Times New Roman" w:eastAsia="SimSun" w:hAnsi="Times New Roman" w:cs="Times New Roman"/>
                <w:kern w:val="3"/>
                <w:sz w:val="28"/>
                <w:szCs w:val="28"/>
              </w:rPr>
              <w:t>±3,41</w:t>
            </w:r>
          </w:p>
        </w:tc>
      </w:tr>
      <w:tr w:rsidR="00156441" w:rsidRPr="00156441" w:rsidTr="00520E5A">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ЖЄЛ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62,3±3,65</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65,4±2,32</w:t>
            </w:r>
          </w:p>
        </w:tc>
      </w:tr>
      <w:tr w:rsidR="00156441" w:rsidRPr="00156441" w:rsidTr="00520E5A">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МОШ</w:t>
            </w:r>
            <w:r w:rsidRPr="00156441">
              <w:rPr>
                <w:rFonts w:ascii="Times New Roman" w:eastAsia="Times New Roman" w:hAnsi="Times New Roman" w:cs="Times New Roman"/>
                <w:sz w:val="28"/>
                <w:szCs w:val="28"/>
                <w:vertAlign w:val="subscript"/>
                <w:lang w:eastAsia="ru-RU"/>
              </w:rPr>
              <w:t>25</w:t>
            </w:r>
            <w:r w:rsidR="00C70355" w:rsidRPr="00156441">
              <w:rPr>
                <w:rFonts w:ascii="Times New Roman" w:eastAsia="Times New Roman" w:hAnsi="Times New Roman" w:cs="Times New Roman"/>
                <w:sz w:val="28"/>
                <w:szCs w:val="28"/>
                <w:vertAlign w:val="subscript"/>
                <w:lang w:eastAsia="ru-RU"/>
              </w:rPr>
              <w:t> %</w:t>
            </w:r>
            <w:r w:rsidRPr="00156441">
              <w:rPr>
                <w:rFonts w:ascii="Times New Roman" w:eastAsia="Times New Roman" w:hAnsi="Times New Roman" w:cs="Times New Roman"/>
                <w:sz w:val="28"/>
                <w:szCs w:val="28"/>
                <w:lang w:eastAsia="ru-RU"/>
              </w:rPr>
              <w:t xml:space="preserve">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50,7±5,0</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53,1±4,12</w:t>
            </w:r>
          </w:p>
        </w:tc>
      </w:tr>
      <w:tr w:rsidR="00156441" w:rsidRPr="00156441" w:rsidTr="00520E5A">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МОШ</w:t>
            </w:r>
            <w:r w:rsidRPr="00156441">
              <w:rPr>
                <w:rFonts w:ascii="Times New Roman" w:eastAsia="Times New Roman" w:hAnsi="Times New Roman" w:cs="Times New Roman"/>
                <w:sz w:val="28"/>
                <w:szCs w:val="28"/>
                <w:vertAlign w:val="subscript"/>
                <w:lang w:eastAsia="ru-RU"/>
              </w:rPr>
              <w:t>50</w:t>
            </w:r>
            <w:r w:rsidR="00C70355" w:rsidRPr="00156441">
              <w:rPr>
                <w:rFonts w:ascii="Times New Roman" w:eastAsia="Times New Roman" w:hAnsi="Times New Roman" w:cs="Times New Roman"/>
                <w:sz w:val="28"/>
                <w:szCs w:val="28"/>
                <w:vertAlign w:val="subscript"/>
                <w:lang w:eastAsia="ru-RU"/>
              </w:rPr>
              <w:t> %</w:t>
            </w:r>
            <w:r w:rsidRPr="00156441">
              <w:rPr>
                <w:rFonts w:ascii="Times New Roman" w:eastAsia="Times New Roman" w:hAnsi="Times New Roman" w:cs="Times New Roman"/>
                <w:sz w:val="28"/>
                <w:szCs w:val="28"/>
                <w:lang w:eastAsia="ru-RU"/>
              </w:rPr>
              <w:t xml:space="preserve">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31,4±5,9</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40,5±8,4</w:t>
            </w:r>
          </w:p>
        </w:tc>
      </w:tr>
      <w:tr w:rsidR="00156441" w:rsidRPr="00156441" w:rsidTr="00520E5A">
        <w:tc>
          <w:tcPr>
            <w:tcW w:w="3306" w:type="dxa"/>
            <w:vAlign w:val="center"/>
          </w:tcPr>
          <w:p w:rsidR="00007631" w:rsidRPr="00156441" w:rsidRDefault="00007631" w:rsidP="004C14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МОШ</w:t>
            </w:r>
            <w:r w:rsidRPr="00156441">
              <w:rPr>
                <w:rFonts w:ascii="Times New Roman" w:eastAsia="Times New Roman" w:hAnsi="Times New Roman" w:cs="Times New Roman"/>
                <w:sz w:val="28"/>
                <w:szCs w:val="28"/>
                <w:vertAlign w:val="subscript"/>
                <w:lang w:eastAsia="ru-RU"/>
              </w:rPr>
              <w:t>75</w:t>
            </w:r>
            <w:r w:rsidR="00C70355" w:rsidRPr="00156441">
              <w:rPr>
                <w:rFonts w:ascii="Times New Roman" w:eastAsia="Times New Roman" w:hAnsi="Times New Roman" w:cs="Times New Roman"/>
                <w:sz w:val="28"/>
                <w:szCs w:val="28"/>
                <w:vertAlign w:val="subscript"/>
                <w:lang w:eastAsia="ru-RU"/>
              </w:rPr>
              <w:t> %</w:t>
            </w:r>
            <w:r w:rsidRPr="00156441">
              <w:rPr>
                <w:rFonts w:ascii="Times New Roman" w:eastAsia="Times New Roman" w:hAnsi="Times New Roman" w:cs="Times New Roman"/>
                <w:sz w:val="28"/>
                <w:szCs w:val="28"/>
                <w:lang w:eastAsia="ru-RU"/>
              </w:rPr>
              <w:t xml:space="preserve"> </w:t>
            </w:r>
            <w:r w:rsidR="00C7035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37,6±6,7</w:t>
            </w:r>
          </w:p>
        </w:tc>
        <w:tc>
          <w:tcPr>
            <w:tcW w:w="3306" w:type="dxa"/>
            <w:vAlign w:val="center"/>
          </w:tcPr>
          <w:p w:rsidR="00007631" w:rsidRPr="00156441" w:rsidRDefault="00007631" w:rsidP="004C1468">
            <w:pPr>
              <w:suppressLineNumbers/>
              <w:suppressAutoHyphens/>
              <w:autoSpaceDN w:val="0"/>
              <w:spacing w:after="0" w:line="360" w:lineRule="auto"/>
              <w:contextualSpacing/>
              <w:jc w:val="center"/>
              <w:textAlignment w:val="baseline"/>
              <w:rPr>
                <w:rFonts w:ascii="Times New Roman" w:eastAsia="SimSun" w:hAnsi="Times New Roman" w:cs="Times New Roman"/>
                <w:kern w:val="3"/>
                <w:sz w:val="28"/>
                <w:szCs w:val="28"/>
              </w:rPr>
            </w:pPr>
            <w:r w:rsidRPr="00156441">
              <w:rPr>
                <w:rFonts w:ascii="Times New Roman" w:eastAsia="SimSun" w:hAnsi="Times New Roman" w:cs="Times New Roman"/>
                <w:kern w:val="3"/>
                <w:sz w:val="28"/>
                <w:szCs w:val="28"/>
              </w:rPr>
              <w:t>41,3±7,6</w:t>
            </w:r>
          </w:p>
        </w:tc>
      </w:tr>
    </w:tbl>
    <w:p w:rsidR="00007631" w:rsidRPr="00156441" w:rsidRDefault="00007631" w:rsidP="00007631">
      <w:pPr>
        <w:spacing w:after="0" w:line="360" w:lineRule="auto"/>
        <w:ind w:left="420" w:firstLine="288"/>
        <w:contextualSpacing/>
        <w:jc w:val="both"/>
        <w:rPr>
          <w:rFonts w:ascii="Times New Roman" w:hAnsi="Times New Roman" w:cs="Times New Roman"/>
          <w:sz w:val="28"/>
          <w:szCs w:val="28"/>
        </w:rPr>
      </w:pPr>
    </w:p>
    <w:p w:rsidR="00007631" w:rsidRPr="00156441" w:rsidRDefault="00007631" w:rsidP="001647C1">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Доповнили клінічну картину захворювання дані сп</w:t>
      </w:r>
      <w:r w:rsidR="0056592D">
        <w:rPr>
          <w:rFonts w:ascii="Times New Roman" w:hAnsi="Times New Roman" w:cs="Times New Roman"/>
          <w:sz w:val="28"/>
          <w:szCs w:val="28"/>
        </w:rPr>
        <w:t>і</w:t>
      </w:r>
      <w:r w:rsidRPr="00156441">
        <w:rPr>
          <w:rFonts w:ascii="Times New Roman" w:hAnsi="Times New Roman" w:cs="Times New Roman"/>
          <w:sz w:val="28"/>
          <w:szCs w:val="28"/>
        </w:rPr>
        <w:t>рограф</w:t>
      </w:r>
      <w:r w:rsidR="00391112" w:rsidRPr="00156441">
        <w:rPr>
          <w:rFonts w:ascii="Times New Roman" w:hAnsi="Times New Roman" w:cs="Times New Roman"/>
          <w:sz w:val="28"/>
          <w:szCs w:val="28"/>
        </w:rPr>
        <w:t>ічного</w:t>
      </w:r>
      <w:r w:rsidRPr="00156441">
        <w:rPr>
          <w:rFonts w:ascii="Times New Roman" w:hAnsi="Times New Roman" w:cs="Times New Roman"/>
          <w:sz w:val="28"/>
          <w:szCs w:val="28"/>
        </w:rPr>
        <w:t xml:space="preserve"> дослідження, що дозволили виділити особливості зміни швидкісних показників видиху.</w:t>
      </w:r>
    </w:p>
    <w:p w:rsidR="00007631" w:rsidRPr="00156441" w:rsidRDefault="00163C1D" w:rsidP="00115C3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Так, було виявле</w:t>
      </w:r>
      <w:r w:rsidR="00007631" w:rsidRPr="00156441">
        <w:rPr>
          <w:rFonts w:ascii="Times New Roman" w:hAnsi="Times New Roman" w:cs="Times New Roman"/>
          <w:sz w:val="28"/>
          <w:szCs w:val="28"/>
        </w:rPr>
        <w:t>но зниження ОФВ</w:t>
      </w:r>
      <w:r w:rsidR="00007631" w:rsidRPr="00156441">
        <w:rPr>
          <w:rFonts w:ascii="Times New Roman" w:hAnsi="Times New Roman" w:cs="Times New Roman"/>
          <w:sz w:val="28"/>
          <w:szCs w:val="28"/>
          <w:vertAlign w:val="subscript"/>
        </w:rPr>
        <w:t xml:space="preserve">1 </w:t>
      </w:r>
      <w:r w:rsidR="00007631" w:rsidRPr="00156441">
        <w:rPr>
          <w:rFonts w:ascii="Times New Roman" w:hAnsi="Times New Roman" w:cs="Times New Roman"/>
          <w:sz w:val="28"/>
          <w:szCs w:val="28"/>
        </w:rPr>
        <w:t>у хворих на ізольоване ХОЗЛ у порівнянні з групою контролю</w:t>
      </w:r>
      <w:r w:rsidR="00391112" w:rsidRPr="00156441">
        <w:rPr>
          <w:rFonts w:ascii="Times New Roman" w:hAnsi="Times New Roman" w:cs="Times New Roman"/>
          <w:sz w:val="28"/>
          <w:szCs w:val="28"/>
        </w:rPr>
        <w:t xml:space="preserve"> </w:t>
      </w:r>
      <w:r w:rsidR="00007631" w:rsidRPr="00156441">
        <w:rPr>
          <w:rFonts w:ascii="Times New Roman" w:hAnsi="Times New Roman" w:cs="Times New Roman"/>
          <w:sz w:val="28"/>
          <w:szCs w:val="28"/>
        </w:rPr>
        <w:t>(56,8±3,73</w:t>
      </w:r>
      <w:r w:rsidR="00C70355" w:rsidRPr="00156441">
        <w:rPr>
          <w:rFonts w:ascii="Times New Roman" w:hAnsi="Times New Roman" w:cs="Times New Roman"/>
          <w:sz w:val="28"/>
          <w:szCs w:val="28"/>
        </w:rPr>
        <w:t> %</w:t>
      </w:r>
      <w:r w:rsidR="00007631" w:rsidRPr="00156441">
        <w:rPr>
          <w:rFonts w:ascii="Times New Roman" w:hAnsi="Times New Roman" w:cs="Times New Roman"/>
          <w:sz w:val="28"/>
          <w:szCs w:val="28"/>
        </w:rPr>
        <w:t xml:space="preserve"> проти 62,2±3,56</w:t>
      </w:r>
      <w:r w:rsidR="00C70355" w:rsidRPr="00156441">
        <w:rPr>
          <w:rFonts w:ascii="Times New Roman" w:hAnsi="Times New Roman" w:cs="Times New Roman"/>
          <w:sz w:val="28"/>
          <w:szCs w:val="28"/>
        </w:rPr>
        <w:t> %</w:t>
      </w:r>
      <w:r w:rsidR="00007631" w:rsidRPr="00156441">
        <w:rPr>
          <w:rFonts w:ascii="Times New Roman" w:hAnsi="Times New Roman" w:cs="Times New Roman"/>
          <w:sz w:val="28"/>
          <w:szCs w:val="28"/>
        </w:rPr>
        <w:t>). У співвідношен</w:t>
      </w:r>
      <w:r w:rsidR="00115C3D" w:rsidRPr="00156441">
        <w:rPr>
          <w:rFonts w:ascii="Times New Roman" w:hAnsi="Times New Roman" w:cs="Times New Roman"/>
          <w:sz w:val="28"/>
          <w:szCs w:val="28"/>
        </w:rPr>
        <w:t>н</w:t>
      </w:r>
      <w:r w:rsidR="00007631" w:rsidRPr="00156441">
        <w:rPr>
          <w:rFonts w:ascii="Times New Roman" w:hAnsi="Times New Roman" w:cs="Times New Roman"/>
          <w:sz w:val="28"/>
          <w:szCs w:val="28"/>
        </w:rPr>
        <w:t>і ОФВ</w:t>
      </w:r>
      <w:r w:rsidR="00007631" w:rsidRPr="00156441">
        <w:rPr>
          <w:rFonts w:ascii="Times New Roman" w:hAnsi="Times New Roman" w:cs="Times New Roman"/>
          <w:sz w:val="28"/>
          <w:szCs w:val="28"/>
          <w:vertAlign w:val="subscript"/>
        </w:rPr>
        <w:t xml:space="preserve">1 </w:t>
      </w:r>
      <w:r w:rsidR="00007631" w:rsidRPr="00156441">
        <w:rPr>
          <w:rFonts w:ascii="Times New Roman" w:hAnsi="Times New Roman" w:cs="Times New Roman"/>
          <w:sz w:val="28"/>
          <w:szCs w:val="28"/>
        </w:rPr>
        <w:t>до ФЖЄЛ були</w:t>
      </w:r>
      <w:r w:rsidRPr="00156441">
        <w:rPr>
          <w:rFonts w:ascii="Times New Roman" w:hAnsi="Times New Roman" w:cs="Times New Roman"/>
          <w:sz w:val="28"/>
          <w:szCs w:val="28"/>
        </w:rPr>
        <w:t xml:space="preserve"> нижчі показники у основній гру</w:t>
      </w:r>
      <w:r w:rsidR="00007631" w:rsidRPr="00156441">
        <w:rPr>
          <w:rFonts w:ascii="Times New Roman" w:hAnsi="Times New Roman" w:cs="Times New Roman"/>
          <w:sz w:val="28"/>
          <w:szCs w:val="28"/>
        </w:rPr>
        <w:t>пі (69,4±3,56</w:t>
      </w:r>
      <w:r w:rsidR="00C70355" w:rsidRPr="00156441">
        <w:rPr>
          <w:rFonts w:ascii="Times New Roman" w:hAnsi="Times New Roman" w:cs="Times New Roman"/>
          <w:sz w:val="28"/>
          <w:szCs w:val="28"/>
        </w:rPr>
        <w:t> %</w:t>
      </w:r>
      <w:r w:rsidR="00115C3D" w:rsidRPr="00156441">
        <w:rPr>
          <w:rFonts w:ascii="Times New Roman" w:hAnsi="Times New Roman" w:cs="Times New Roman"/>
          <w:sz w:val="28"/>
          <w:szCs w:val="28"/>
        </w:rPr>
        <w:t>) відносно</w:t>
      </w:r>
      <w:r w:rsidR="00007631" w:rsidRPr="00156441">
        <w:rPr>
          <w:rFonts w:ascii="Times New Roman" w:hAnsi="Times New Roman" w:cs="Times New Roman"/>
          <w:sz w:val="28"/>
          <w:szCs w:val="28"/>
        </w:rPr>
        <w:t xml:space="preserve"> гру</w:t>
      </w:r>
      <w:r w:rsidR="00115C3D" w:rsidRPr="00156441">
        <w:rPr>
          <w:rFonts w:ascii="Times New Roman" w:hAnsi="Times New Roman" w:cs="Times New Roman"/>
          <w:sz w:val="28"/>
          <w:szCs w:val="28"/>
        </w:rPr>
        <w:t>пи порівн</w:t>
      </w:r>
      <w:r w:rsidRPr="00156441">
        <w:rPr>
          <w:rFonts w:ascii="Times New Roman" w:hAnsi="Times New Roman" w:cs="Times New Roman"/>
          <w:sz w:val="28"/>
          <w:szCs w:val="28"/>
        </w:rPr>
        <w:t>ян</w:t>
      </w:r>
      <w:r w:rsidR="00115C3D" w:rsidRPr="00156441">
        <w:rPr>
          <w:rFonts w:ascii="Times New Roman" w:hAnsi="Times New Roman" w:cs="Times New Roman"/>
          <w:sz w:val="28"/>
          <w:szCs w:val="28"/>
        </w:rPr>
        <w:t>ня. Було виявлено тако</w:t>
      </w:r>
      <w:r w:rsidR="00007631" w:rsidRPr="00156441">
        <w:rPr>
          <w:rFonts w:ascii="Times New Roman" w:hAnsi="Times New Roman" w:cs="Times New Roman"/>
          <w:sz w:val="28"/>
          <w:szCs w:val="28"/>
        </w:rPr>
        <w:t>ж зменшення показників МОШ</w:t>
      </w:r>
      <w:r w:rsidR="00007631" w:rsidRPr="00156441">
        <w:rPr>
          <w:rFonts w:ascii="Times New Roman" w:hAnsi="Times New Roman" w:cs="Times New Roman"/>
          <w:sz w:val="28"/>
          <w:szCs w:val="28"/>
          <w:vertAlign w:val="subscript"/>
        </w:rPr>
        <w:t>25</w:t>
      </w:r>
      <w:r w:rsidR="00007631" w:rsidRPr="00156441">
        <w:rPr>
          <w:rFonts w:ascii="Times New Roman" w:hAnsi="Times New Roman" w:cs="Times New Roman"/>
          <w:sz w:val="28"/>
          <w:szCs w:val="28"/>
        </w:rPr>
        <w:t>, МОШ</w:t>
      </w:r>
      <w:r w:rsidR="00007631" w:rsidRPr="00156441">
        <w:rPr>
          <w:rFonts w:ascii="Times New Roman" w:hAnsi="Times New Roman" w:cs="Times New Roman"/>
          <w:sz w:val="28"/>
          <w:szCs w:val="28"/>
          <w:vertAlign w:val="subscript"/>
        </w:rPr>
        <w:t>50</w:t>
      </w:r>
      <w:r w:rsidR="00007631" w:rsidRPr="00156441">
        <w:rPr>
          <w:rFonts w:ascii="Times New Roman" w:hAnsi="Times New Roman" w:cs="Times New Roman"/>
          <w:sz w:val="28"/>
          <w:szCs w:val="28"/>
        </w:rPr>
        <w:t>, МОШ</w:t>
      </w:r>
      <w:r w:rsidR="00007631" w:rsidRPr="00156441">
        <w:rPr>
          <w:rFonts w:ascii="Times New Roman" w:hAnsi="Times New Roman" w:cs="Times New Roman"/>
          <w:sz w:val="28"/>
          <w:szCs w:val="28"/>
          <w:vertAlign w:val="subscript"/>
        </w:rPr>
        <w:t xml:space="preserve">75 </w:t>
      </w:r>
      <w:r w:rsidR="00007631" w:rsidRPr="00156441">
        <w:rPr>
          <w:rFonts w:ascii="Times New Roman" w:hAnsi="Times New Roman" w:cs="Times New Roman"/>
          <w:sz w:val="28"/>
          <w:szCs w:val="28"/>
        </w:rPr>
        <w:t xml:space="preserve">у основній групі </w:t>
      </w:r>
      <w:r w:rsidR="00FA6E72" w:rsidRPr="00156441">
        <w:rPr>
          <w:rFonts w:ascii="Times New Roman" w:hAnsi="Times New Roman" w:cs="Times New Roman"/>
          <w:sz w:val="28"/>
          <w:szCs w:val="28"/>
        </w:rPr>
        <w:t>відносно до</w:t>
      </w:r>
      <w:r w:rsidR="00115C3D" w:rsidRPr="00156441">
        <w:rPr>
          <w:rFonts w:ascii="Times New Roman" w:hAnsi="Times New Roman" w:cs="Times New Roman"/>
          <w:sz w:val="28"/>
          <w:szCs w:val="28"/>
        </w:rPr>
        <w:t xml:space="preserve"> </w:t>
      </w:r>
      <w:r w:rsidR="00FA6E72" w:rsidRPr="00156441">
        <w:rPr>
          <w:rFonts w:ascii="Times New Roman" w:hAnsi="Times New Roman" w:cs="Times New Roman"/>
          <w:sz w:val="28"/>
          <w:szCs w:val="28"/>
        </w:rPr>
        <w:t>групи</w:t>
      </w:r>
      <w:r w:rsidR="00007631" w:rsidRPr="00156441">
        <w:rPr>
          <w:rFonts w:ascii="Times New Roman" w:hAnsi="Times New Roman" w:cs="Times New Roman"/>
          <w:sz w:val="28"/>
          <w:szCs w:val="28"/>
        </w:rPr>
        <w:t xml:space="preserve"> порівняння (50,7±5,0, 31,4±5,9, 37,6±6,7 та 53,1±4,12, 40,5±8,4, 41,3±7,6 відповідно)</w:t>
      </w:r>
      <w:r w:rsidR="00007631" w:rsidRPr="00156441">
        <w:rPr>
          <w:rFonts w:ascii="Times New Roman" w:hAnsi="Times New Roman" w:cs="Times New Roman"/>
          <w:sz w:val="28"/>
          <w:szCs w:val="28"/>
          <w:vertAlign w:val="subscript"/>
        </w:rPr>
        <w:t xml:space="preserve">. </w:t>
      </w:r>
      <w:r w:rsidR="00007631" w:rsidRPr="00156441">
        <w:rPr>
          <w:rFonts w:ascii="Times New Roman" w:hAnsi="Times New Roman" w:cs="Times New Roman"/>
          <w:sz w:val="28"/>
          <w:szCs w:val="28"/>
        </w:rPr>
        <w:t>У всіх хворих після використання тестів з бронходилятат</w:t>
      </w:r>
      <w:r w:rsidR="0056592D">
        <w:rPr>
          <w:rFonts w:ascii="Times New Roman" w:hAnsi="Times New Roman" w:cs="Times New Roman"/>
          <w:sz w:val="28"/>
          <w:szCs w:val="28"/>
        </w:rPr>
        <w:t>о</w:t>
      </w:r>
      <w:r w:rsidR="00007631" w:rsidRPr="00156441">
        <w:rPr>
          <w:rFonts w:ascii="Times New Roman" w:hAnsi="Times New Roman" w:cs="Times New Roman"/>
          <w:sz w:val="28"/>
          <w:szCs w:val="28"/>
        </w:rPr>
        <w:t>рами було виявлено незворотну обструкцію, тобто збільшення ОФВ</w:t>
      </w:r>
      <w:r w:rsidR="00007631" w:rsidRPr="00156441">
        <w:rPr>
          <w:rFonts w:ascii="Times New Roman" w:hAnsi="Times New Roman" w:cs="Times New Roman"/>
          <w:sz w:val="28"/>
          <w:szCs w:val="28"/>
          <w:vertAlign w:val="subscript"/>
        </w:rPr>
        <w:t xml:space="preserve">1 </w:t>
      </w:r>
      <w:r w:rsidR="00007631" w:rsidRPr="00156441">
        <w:rPr>
          <w:rFonts w:ascii="Times New Roman" w:hAnsi="Times New Roman" w:cs="Times New Roman"/>
          <w:sz w:val="28"/>
          <w:szCs w:val="28"/>
        </w:rPr>
        <w:t>було менш ніж 15</w:t>
      </w:r>
      <w:r w:rsidR="00C70355" w:rsidRPr="00156441">
        <w:rPr>
          <w:rFonts w:ascii="Times New Roman" w:hAnsi="Times New Roman" w:cs="Times New Roman"/>
          <w:sz w:val="28"/>
          <w:szCs w:val="28"/>
        </w:rPr>
        <w:t> %</w:t>
      </w:r>
      <w:r w:rsidR="00007631" w:rsidRPr="00156441">
        <w:rPr>
          <w:rFonts w:ascii="Times New Roman" w:hAnsi="Times New Roman" w:cs="Times New Roman"/>
          <w:sz w:val="28"/>
          <w:szCs w:val="28"/>
        </w:rPr>
        <w:t xml:space="preserve"> від вихідної величини.</w:t>
      </w:r>
    </w:p>
    <w:p w:rsidR="00007631" w:rsidRPr="00156441" w:rsidRDefault="00007631" w:rsidP="00115C3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При проведенні рентгенографічного дослідження органів грудної клітки у хворих обох груп</w:t>
      </w:r>
      <w:r w:rsidR="00391112" w:rsidRPr="00156441">
        <w:rPr>
          <w:rFonts w:ascii="Times New Roman" w:hAnsi="Times New Roman" w:cs="Times New Roman"/>
          <w:sz w:val="28"/>
          <w:szCs w:val="28"/>
        </w:rPr>
        <w:t xml:space="preserve"> біли виявлені пневмофіброз та е</w:t>
      </w:r>
      <w:r w:rsidRPr="00156441">
        <w:rPr>
          <w:rFonts w:ascii="Times New Roman" w:hAnsi="Times New Roman" w:cs="Times New Roman"/>
          <w:sz w:val="28"/>
          <w:szCs w:val="28"/>
        </w:rPr>
        <w:t>мфізема легень.</w:t>
      </w:r>
    </w:p>
    <w:p w:rsidR="00007631" w:rsidRPr="00156441" w:rsidRDefault="00007631" w:rsidP="00115C3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У основній групі хворих був </w:t>
      </w:r>
      <w:r w:rsidR="00FA6E72" w:rsidRPr="00156441">
        <w:rPr>
          <w:rFonts w:ascii="Times New Roman" w:hAnsi="Times New Roman" w:cs="Times New Roman"/>
          <w:sz w:val="28"/>
          <w:szCs w:val="28"/>
        </w:rPr>
        <w:t>вста</w:t>
      </w:r>
      <w:r w:rsidRPr="00156441">
        <w:rPr>
          <w:rFonts w:ascii="Times New Roman" w:hAnsi="Times New Roman" w:cs="Times New Roman"/>
          <w:sz w:val="28"/>
          <w:szCs w:val="28"/>
        </w:rPr>
        <w:t>новлений діагноз гіпертонічна хвороба</w:t>
      </w:r>
      <w:r w:rsidR="00CC5488" w:rsidRPr="00156441">
        <w:rPr>
          <w:rFonts w:ascii="Times New Roman" w:hAnsi="Times New Roman" w:cs="Times New Roman"/>
          <w:sz w:val="28"/>
          <w:szCs w:val="28"/>
        </w:rPr>
        <w:t xml:space="preserve"> II стадії</w:t>
      </w:r>
      <w:r w:rsidRPr="00156441">
        <w:rPr>
          <w:rFonts w:ascii="Times New Roman" w:hAnsi="Times New Roman" w:cs="Times New Roman"/>
          <w:sz w:val="28"/>
          <w:szCs w:val="28"/>
        </w:rPr>
        <w:t>, на підставі анамнезу, попередньої медичної</w:t>
      </w:r>
      <w:r w:rsidR="00CC5488" w:rsidRPr="00156441">
        <w:rPr>
          <w:rFonts w:ascii="Times New Roman" w:hAnsi="Times New Roman" w:cs="Times New Roman"/>
          <w:sz w:val="28"/>
          <w:szCs w:val="28"/>
        </w:rPr>
        <w:t xml:space="preserve"> документації і висновків суміжних фахівців. </w:t>
      </w:r>
      <w:r w:rsidRPr="00156441">
        <w:rPr>
          <w:rFonts w:ascii="Times New Roman" w:hAnsi="Times New Roman" w:cs="Times New Roman"/>
          <w:sz w:val="28"/>
          <w:szCs w:val="28"/>
        </w:rPr>
        <w:t>В цілому середні показники систолічного та діастолічного тиску у першій групі склали 138,27±10,6 мм</w:t>
      </w:r>
      <w:r w:rsidR="00FA6E72" w:rsidRPr="00156441">
        <w:rPr>
          <w:rFonts w:ascii="Times New Roman" w:hAnsi="Times New Roman" w:cs="Times New Roman"/>
          <w:sz w:val="28"/>
          <w:szCs w:val="28"/>
        </w:rPr>
        <w:t>.</w:t>
      </w:r>
      <w:r w:rsidRPr="00156441">
        <w:rPr>
          <w:rFonts w:ascii="Times New Roman" w:hAnsi="Times New Roman" w:cs="Times New Roman"/>
          <w:sz w:val="28"/>
          <w:szCs w:val="28"/>
        </w:rPr>
        <w:t>рт.ст. і 84,09±6,6 мм</w:t>
      </w:r>
      <w:r w:rsidR="00FA6E72" w:rsidRPr="00156441">
        <w:rPr>
          <w:rFonts w:ascii="Times New Roman" w:hAnsi="Times New Roman" w:cs="Times New Roman"/>
          <w:sz w:val="28"/>
          <w:szCs w:val="28"/>
        </w:rPr>
        <w:t>.</w:t>
      </w:r>
      <w:r w:rsidRPr="00156441">
        <w:rPr>
          <w:rFonts w:ascii="Times New Roman" w:hAnsi="Times New Roman" w:cs="Times New Roman"/>
          <w:sz w:val="28"/>
          <w:szCs w:val="28"/>
        </w:rPr>
        <w:t xml:space="preserve">рт.ст. та у другій групі </w:t>
      </w:r>
      <w:r w:rsidR="00115C3D" w:rsidRPr="00156441">
        <w:rPr>
          <w:rFonts w:ascii="Times New Roman" w:hAnsi="Times New Roman" w:cs="Times New Roman"/>
          <w:sz w:val="28"/>
          <w:szCs w:val="28"/>
        </w:rPr>
        <w:t>—</w:t>
      </w:r>
      <w:r w:rsidRPr="00156441">
        <w:rPr>
          <w:rFonts w:ascii="Times New Roman" w:hAnsi="Times New Roman" w:cs="Times New Roman"/>
          <w:sz w:val="28"/>
          <w:szCs w:val="28"/>
        </w:rPr>
        <w:t xml:space="preserve"> 125,11±5,98 мм</w:t>
      </w:r>
      <w:r w:rsidR="00FA6E72" w:rsidRPr="00156441">
        <w:rPr>
          <w:rFonts w:ascii="Times New Roman" w:hAnsi="Times New Roman" w:cs="Times New Roman"/>
          <w:sz w:val="28"/>
          <w:szCs w:val="28"/>
        </w:rPr>
        <w:t>.</w:t>
      </w:r>
      <w:r w:rsidRPr="00156441">
        <w:rPr>
          <w:rFonts w:ascii="Times New Roman" w:hAnsi="Times New Roman" w:cs="Times New Roman"/>
          <w:sz w:val="28"/>
          <w:szCs w:val="28"/>
        </w:rPr>
        <w:t>рт.ст. і 79,88±2,91 мм</w:t>
      </w:r>
      <w:r w:rsidR="00FA6E72" w:rsidRPr="00156441">
        <w:rPr>
          <w:rFonts w:ascii="Times New Roman" w:hAnsi="Times New Roman" w:cs="Times New Roman"/>
          <w:sz w:val="28"/>
          <w:szCs w:val="28"/>
        </w:rPr>
        <w:t>.</w:t>
      </w:r>
      <w:r w:rsidRPr="00156441">
        <w:rPr>
          <w:rFonts w:ascii="Times New Roman" w:hAnsi="Times New Roman" w:cs="Times New Roman"/>
          <w:sz w:val="28"/>
          <w:szCs w:val="28"/>
        </w:rPr>
        <w:t>рт.ст. Найчастіше у процесі обстеження хворих бул</w:t>
      </w:r>
      <w:r w:rsidR="00115C3D" w:rsidRPr="00156441">
        <w:rPr>
          <w:rFonts w:ascii="Times New Roman" w:hAnsi="Times New Roman" w:cs="Times New Roman"/>
          <w:sz w:val="28"/>
          <w:szCs w:val="28"/>
        </w:rPr>
        <w:t>о виявлено такі ускладнення, як</w:t>
      </w:r>
      <w:r w:rsidRPr="00156441">
        <w:rPr>
          <w:rFonts w:ascii="Times New Roman" w:hAnsi="Times New Roman" w:cs="Times New Roman"/>
          <w:sz w:val="28"/>
          <w:szCs w:val="28"/>
        </w:rPr>
        <w:t xml:space="preserve"> гіпертонічна ангіопатія сітківки ока</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81,8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та у 49,1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була наявна гіпертонічна дисциркуляторна енцефалопатія.</w:t>
      </w:r>
    </w:p>
    <w:p w:rsidR="00007631" w:rsidRPr="00156441" w:rsidRDefault="00007631" w:rsidP="00115C3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Узагальнюючи вищевикладене можна дійти висновку, що приєднання ГХ викликає ще більший зрив адаптаційних можливостей, спровокованих системною дією ХОЗЛ, та поглиблює патогенетичні процеси. Таким чином, наявність ГХ у хворих на ХОЗЛ ускладнює перебіг основної патології, що виражається у погіршенні суб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єктивного стану пацієнтів, наростанням клінічної симптоматики та погіршення спірографічних показників.</w:t>
      </w:r>
    </w:p>
    <w:p w:rsidR="00007631" w:rsidRPr="00156441" w:rsidRDefault="00007631" w:rsidP="00007631">
      <w:pPr>
        <w:spacing w:after="0" w:line="360" w:lineRule="auto"/>
        <w:contextualSpacing/>
        <w:jc w:val="both"/>
        <w:rPr>
          <w:rFonts w:ascii="Times New Roman" w:hAnsi="Times New Roman" w:cs="Times New Roman"/>
          <w:sz w:val="28"/>
          <w:szCs w:val="28"/>
        </w:rPr>
      </w:pPr>
    </w:p>
    <w:p w:rsidR="00007631" w:rsidRPr="00E80394" w:rsidRDefault="00007631" w:rsidP="00007631">
      <w:pPr>
        <w:spacing w:after="0" w:line="360" w:lineRule="auto"/>
        <w:ind w:left="420" w:firstLine="288"/>
        <w:contextualSpacing/>
        <w:jc w:val="center"/>
        <w:rPr>
          <w:rFonts w:ascii="Times New Roman" w:hAnsi="Times New Roman" w:cs="Times New Roman"/>
          <w:b/>
          <w:sz w:val="28"/>
          <w:szCs w:val="28"/>
        </w:rPr>
      </w:pPr>
      <w:bookmarkStart w:id="9" w:name="Pidrozd_2_2_Metod_dosl"/>
      <w:r w:rsidRPr="00E80394">
        <w:rPr>
          <w:rFonts w:ascii="Times New Roman" w:hAnsi="Times New Roman" w:cs="Times New Roman"/>
          <w:b/>
          <w:sz w:val="28"/>
          <w:szCs w:val="28"/>
        </w:rPr>
        <w:t>2.2. Методи дослідження</w:t>
      </w:r>
    </w:p>
    <w:bookmarkEnd w:id="9"/>
    <w:p w:rsidR="00007631" w:rsidRPr="00156441" w:rsidRDefault="00007631" w:rsidP="00007631">
      <w:pPr>
        <w:spacing w:after="0" w:line="360" w:lineRule="auto"/>
        <w:ind w:left="420" w:firstLine="288"/>
        <w:contextualSpacing/>
        <w:jc w:val="both"/>
        <w:rPr>
          <w:rFonts w:ascii="Times New Roman" w:hAnsi="Times New Roman" w:cs="Times New Roman"/>
          <w:sz w:val="28"/>
          <w:szCs w:val="28"/>
        </w:rPr>
      </w:pPr>
    </w:p>
    <w:p w:rsidR="00007631" w:rsidRPr="00156441" w:rsidRDefault="00007631" w:rsidP="00115C3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Дослідження виконувалися з інформованої згоди пацієнтів та відповідають етичним нормам відповідно діючого в Україні законодавства</w:t>
      </w:r>
      <w:r w:rsidR="00115C3D" w:rsidRPr="00156441">
        <w:rPr>
          <w:rFonts w:ascii="Times New Roman" w:hAnsi="Times New Roman" w:cs="Times New Roman"/>
          <w:sz w:val="28"/>
          <w:szCs w:val="28"/>
        </w:rPr>
        <w:t>:</w:t>
      </w:r>
      <w:r w:rsidRPr="00156441">
        <w:rPr>
          <w:rFonts w:ascii="Times New Roman" w:hAnsi="Times New Roman" w:cs="Times New Roman"/>
          <w:sz w:val="28"/>
          <w:szCs w:val="28"/>
        </w:rPr>
        <w:t xml:space="preserve"> Закону України «Про лікарські засоби», 1996, ст. 7, 8, 12, принципів ІСН GСP (2008 р.), наказу МОЗ України № 690 від 23.09.2009 «Про затвердження Правил проведення клінічних випробувань та експертизи матеріалів клінічних випробувань і Типового положення про комісію з питань етики»,</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зі змінами</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і доповненнями.</w:t>
      </w:r>
    </w:p>
    <w:p w:rsidR="00007631" w:rsidRPr="00156441" w:rsidRDefault="00007631" w:rsidP="00115C3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Всім х</w:t>
      </w:r>
      <w:r w:rsidR="00115C3D" w:rsidRPr="00156441">
        <w:rPr>
          <w:rFonts w:ascii="Times New Roman" w:hAnsi="Times New Roman" w:cs="Times New Roman"/>
          <w:sz w:val="28"/>
          <w:szCs w:val="28"/>
        </w:rPr>
        <w:t>ворим були проведені стандартні</w:t>
      </w:r>
      <w:r w:rsidRPr="00156441">
        <w:rPr>
          <w:rFonts w:ascii="Times New Roman" w:hAnsi="Times New Roman" w:cs="Times New Roman"/>
          <w:sz w:val="28"/>
          <w:szCs w:val="28"/>
        </w:rPr>
        <w:t xml:space="preserve"> методи дослідження</w:t>
      </w:r>
      <w:r w:rsidR="00115C3D" w:rsidRPr="00156441">
        <w:rPr>
          <w:rFonts w:ascii="Times New Roman" w:hAnsi="Times New Roman" w:cs="Times New Roman"/>
          <w:sz w:val="28"/>
          <w:szCs w:val="28"/>
        </w:rPr>
        <w:t xml:space="preserve">, регламентовані протоколами надання </w:t>
      </w:r>
      <w:r w:rsidRPr="00156441">
        <w:rPr>
          <w:rFonts w:ascii="Times New Roman" w:hAnsi="Times New Roman" w:cs="Times New Roman"/>
          <w:sz w:val="28"/>
          <w:szCs w:val="28"/>
        </w:rPr>
        <w:t>медичних послуг, що затверджені МОЗ України, щодо обстеження хворих на хронічне обструктивне захворювання легень (визначення анамнезу хвороби, даних умов праці, оцінка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єктивної та суб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єктивної симптоматики), лабораторні (загальний аналіз крові та біохімічний аналіз крові </w:t>
      </w:r>
      <w:r w:rsidRPr="00156441">
        <w:rPr>
          <w:rFonts w:ascii="Times New Roman" w:hAnsi="Times New Roman" w:cs="Times New Roman"/>
          <w:sz w:val="28"/>
          <w:szCs w:val="28"/>
        </w:rPr>
        <w:lastRenderedPageBreak/>
        <w:t>(Креатинфосфокіназа, α-Амілаза, Лужна фосфатаза, МВ-ізоформа креатинфосфокінази, γ-Глутамілтранспептидаза, Лактатдегідрогеназа, Аспартатамінотрансфераза, Аланінамінотрансфераза), рентгенографію органів грудної клітки одноразово, функціональні (спірографія, електрокардіографія в 12 стандартних відведеннях).</w:t>
      </w:r>
    </w:p>
    <w:p w:rsidR="00007631" w:rsidRPr="00156441" w:rsidRDefault="00007631" w:rsidP="00007631">
      <w:pPr>
        <w:spacing w:after="0" w:line="360" w:lineRule="auto"/>
        <w:ind w:firstLine="420"/>
        <w:contextualSpacing/>
        <w:jc w:val="both"/>
        <w:rPr>
          <w:rFonts w:ascii="Times New Roman" w:hAnsi="Times New Roman" w:cs="Times New Roman"/>
          <w:sz w:val="28"/>
          <w:szCs w:val="28"/>
        </w:rPr>
      </w:pPr>
      <w:r w:rsidRPr="00156441">
        <w:rPr>
          <w:rFonts w:ascii="Times New Roman" w:hAnsi="Times New Roman" w:cs="Times New Roman"/>
          <w:sz w:val="28"/>
          <w:szCs w:val="28"/>
        </w:rPr>
        <w:t>Функцію зовнішнього дихання визначали за допомогою спірографічного комплексу СПІРОКОМ. Визначали загальноприйняті показники: ЖЕЛ — життєва ємкі</w:t>
      </w:r>
      <w:r w:rsidR="00F06381" w:rsidRPr="00156441">
        <w:rPr>
          <w:rFonts w:ascii="Times New Roman" w:hAnsi="Times New Roman" w:cs="Times New Roman"/>
          <w:sz w:val="28"/>
          <w:szCs w:val="28"/>
        </w:rPr>
        <w:t>сть</w:t>
      </w:r>
      <w:r w:rsidR="005008D6" w:rsidRPr="00156441">
        <w:rPr>
          <w:rFonts w:ascii="Times New Roman" w:hAnsi="Times New Roman" w:cs="Times New Roman"/>
          <w:sz w:val="28"/>
          <w:szCs w:val="28"/>
        </w:rPr>
        <w:t xml:space="preserve"> легень; ФЖЄ</w:t>
      </w:r>
      <w:r w:rsidR="00F06381" w:rsidRPr="00156441">
        <w:rPr>
          <w:rFonts w:ascii="Times New Roman" w:hAnsi="Times New Roman" w:cs="Times New Roman"/>
          <w:sz w:val="28"/>
          <w:szCs w:val="28"/>
        </w:rPr>
        <w:t>Л форсована життєва ємкість; ОФВ</w:t>
      </w:r>
      <w:r w:rsidR="00F06381" w:rsidRPr="00156441">
        <w:rPr>
          <w:rFonts w:ascii="Times New Roman" w:hAnsi="Times New Roman" w:cs="Times New Roman"/>
          <w:sz w:val="28"/>
          <w:szCs w:val="28"/>
          <w:vertAlign w:val="subscript"/>
        </w:rPr>
        <w:t>1</w:t>
      </w:r>
      <w:r w:rsidRPr="00156441">
        <w:rPr>
          <w:rFonts w:ascii="Times New Roman" w:hAnsi="Times New Roman" w:cs="Times New Roman"/>
          <w:sz w:val="28"/>
          <w:szCs w:val="28"/>
        </w:rPr>
        <w:t>—</w:t>
      </w:r>
      <w:r w:rsidR="00F06381" w:rsidRPr="00156441">
        <w:rPr>
          <w:rFonts w:ascii="Times New Roman" w:hAnsi="Times New Roman" w:cs="Times New Roman"/>
          <w:sz w:val="28"/>
          <w:szCs w:val="28"/>
        </w:rPr>
        <w:t>обсяг форсованого видиху за першу сек.; ОФВ</w:t>
      </w:r>
      <w:r w:rsidR="00F06381" w:rsidRPr="00156441">
        <w:rPr>
          <w:rFonts w:ascii="Times New Roman" w:hAnsi="Times New Roman" w:cs="Times New Roman"/>
          <w:sz w:val="28"/>
          <w:szCs w:val="28"/>
          <w:vertAlign w:val="subscript"/>
        </w:rPr>
        <w:t>1</w:t>
      </w:r>
      <w:r w:rsidR="005008D6" w:rsidRPr="00156441">
        <w:rPr>
          <w:rFonts w:ascii="Times New Roman" w:hAnsi="Times New Roman" w:cs="Times New Roman"/>
          <w:sz w:val="28"/>
          <w:szCs w:val="28"/>
        </w:rPr>
        <w:t>/ФЖЄ</w:t>
      </w:r>
      <w:r w:rsidRPr="00156441">
        <w:rPr>
          <w:rFonts w:ascii="Times New Roman" w:hAnsi="Times New Roman" w:cs="Times New Roman"/>
          <w:sz w:val="28"/>
          <w:szCs w:val="28"/>
        </w:rPr>
        <w:t xml:space="preserve">Л — </w:t>
      </w:r>
      <w:r w:rsidR="005008D6" w:rsidRPr="00156441">
        <w:rPr>
          <w:rFonts w:ascii="Times New Roman" w:hAnsi="Times New Roman" w:cs="Times New Roman"/>
          <w:sz w:val="28"/>
          <w:szCs w:val="28"/>
        </w:rPr>
        <w:t>модифікований</w:t>
      </w:r>
      <w:r w:rsidR="00F06381" w:rsidRPr="00156441">
        <w:rPr>
          <w:rFonts w:ascii="Times New Roman" w:hAnsi="Times New Roman" w:cs="Times New Roman"/>
          <w:sz w:val="28"/>
          <w:szCs w:val="28"/>
        </w:rPr>
        <w:t xml:space="preserve"> тест Тифно; МОС</w:t>
      </w:r>
      <w:r w:rsidR="00F06381" w:rsidRPr="00156441">
        <w:rPr>
          <w:rFonts w:ascii="Times New Roman" w:hAnsi="Times New Roman" w:cs="Times New Roman"/>
          <w:sz w:val="28"/>
          <w:szCs w:val="28"/>
          <w:vertAlign w:val="subscript"/>
        </w:rPr>
        <w:t>25</w:t>
      </w:r>
      <w:r w:rsidR="00F06381" w:rsidRPr="00156441">
        <w:rPr>
          <w:rFonts w:ascii="Times New Roman" w:hAnsi="Times New Roman" w:cs="Times New Roman"/>
          <w:sz w:val="28"/>
          <w:szCs w:val="28"/>
        </w:rPr>
        <w:t>, МОС</w:t>
      </w:r>
      <w:r w:rsidR="00F06381" w:rsidRPr="00156441">
        <w:rPr>
          <w:rFonts w:ascii="Times New Roman" w:hAnsi="Times New Roman" w:cs="Times New Roman"/>
          <w:sz w:val="28"/>
          <w:szCs w:val="28"/>
          <w:vertAlign w:val="subscript"/>
        </w:rPr>
        <w:t>50</w:t>
      </w:r>
      <w:r w:rsidR="00F06381" w:rsidRPr="00156441">
        <w:rPr>
          <w:rFonts w:ascii="Times New Roman" w:hAnsi="Times New Roman" w:cs="Times New Roman"/>
          <w:sz w:val="28"/>
          <w:szCs w:val="28"/>
        </w:rPr>
        <w:t>, МОС</w:t>
      </w:r>
      <w:r w:rsidR="00F06381" w:rsidRPr="00156441">
        <w:rPr>
          <w:rFonts w:ascii="Times New Roman" w:hAnsi="Times New Roman" w:cs="Times New Roman"/>
          <w:sz w:val="28"/>
          <w:szCs w:val="28"/>
          <w:vertAlign w:val="subscript"/>
        </w:rPr>
        <w:t>75</w:t>
      </w:r>
      <w:r w:rsidRPr="00156441">
        <w:rPr>
          <w:rFonts w:ascii="Times New Roman" w:hAnsi="Times New Roman" w:cs="Times New Roman"/>
          <w:sz w:val="28"/>
          <w:szCs w:val="28"/>
        </w:rPr>
        <w:t>, — швидкість повітряного потоку на рівні мілких, середніх та великих бронхів. Отримані фактичні величини співставляли з належними та визначали процент відхилення від належних величин.</w:t>
      </w:r>
    </w:p>
    <w:p w:rsidR="00007631" w:rsidRPr="00156441" w:rsidRDefault="00007631" w:rsidP="00115C3D">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Для диференційної діагностики та виключення наявності інших патоло</w:t>
      </w:r>
      <w:r w:rsidR="009F5852" w:rsidRPr="00156441">
        <w:rPr>
          <w:rFonts w:ascii="Times New Roman" w:hAnsi="Times New Roman" w:cs="Times New Roman"/>
          <w:sz w:val="28"/>
          <w:szCs w:val="28"/>
        </w:rPr>
        <w:t>гічних станів зі сторони бронхо</w:t>
      </w:r>
      <w:r w:rsidRPr="00156441">
        <w:rPr>
          <w:rFonts w:ascii="Times New Roman" w:hAnsi="Times New Roman" w:cs="Times New Roman"/>
          <w:sz w:val="28"/>
          <w:szCs w:val="28"/>
        </w:rPr>
        <w:t>легеневої патології хворим проводилось рентгенографічне дослідження ОГК на рентгенапарат</w:t>
      </w:r>
      <w:r w:rsidR="009F5852" w:rsidRPr="00156441">
        <w:rPr>
          <w:rFonts w:ascii="Times New Roman" w:hAnsi="Times New Roman" w:cs="Times New Roman"/>
          <w:sz w:val="28"/>
          <w:szCs w:val="28"/>
        </w:rPr>
        <w:t>і</w:t>
      </w:r>
      <w:r w:rsidRPr="00156441">
        <w:rPr>
          <w:rFonts w:ascii="Times New Roman" w:hAnsi="Times New Roman" w:cs="Times New Roman"/>
          <w:sz w:val="28"/>
          <w:szCs w:val="28"/>
        </w:rPr>
        <w:t xml:space="preserve"> РУМ</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20М ури.</w:t>
      </w:r>
    </w:p>
    <w:p w:rsidR="00007631" w:rsidRPr="00156441" w:rsidRDefault="00007631" w:rsidP="005008D6">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Ехокардіографічні показники</w:t>
      </w:r>
      <w:r w:rsidR="00562414" w:rsidRPr="00156441">
        <w:rPr>
          <w:rFonts w:ascii="Times New Roman" w:hAnsi="Times New Roman" w:cs="Times New Roman"/>
          <w:sz w:val="28"/>
          <w:szCs w:val="28"/>
        </w:rPr>
        <w:t xml:space="preserve"> серця визначалися за допомогою</w:t>
      </w:r>
      <w:r w:rsidRPr="00156441">
        <w:rPr>
          <w:rFonts w:ascii="Times New Roman" w:hAnsi="Times New Roman" w:cs="Times New Roman"/>
          <w:sz w:val="28"/>
          <w:szCs w:val="28"/>
        </w:rPr>
        <w:t xml:space="preserve"> доплерехокардіографа “Siemens Sonoline</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 xml:space="preserve">SL450” для визначення структурно-функціональних змін </w:t>
      </w:r>
      <w:r w:rsidR="009F5852" w:rsidRPr="00156441">
        <w:rPr>
          <w:rFonts w:ascii="Times New Roman" w:hAnsi="Times New Roman" w:cs="Times New Roman"/>
          <w:sz w:val="28"/>
          <w:szCs w:val="28"/>
        </w:rPr>
        <w:t>з боку</w:t>
      </w:r>
      <w:r w:rsidRPr="00156441">
        <w:rPr>
          <w:rFonts w:ascii="Times New Roman" w:hAnsi="Times New Roman" w:cs="Times New Roman"/>
          <w:sz w:val="28"/>
          <w:szCs w:val="28"/>
        </w:rPr>
        <w:t xml:space="preserve"> серця. Для визначення ремоделювання лівого шлуночку ви</w:t>
      </w:r>
      <w:r w:rsidR="009C1748" w:rsidRPr="00156441">
        <w:rPr>
          <w:rFonts w:ascii="Times New Roman" w:hAnsi="Times New Roman" w:cs="Times New Roman"/>
          <w:sz w:val="28"/>
          <w:szCs w:val="28"/>
        </w:rPr>
        <w:t>значались наступні показники: ТМШ</w:t>
      </w:r>
      <w:r w:rsidRPr="00156441">
        <w:rPr>
          <w:rFonts w:ascii="Times New Roman" w:hAnsi="Times New Roman" w:cs="Times New Roman"/>
          <w:sz w:val="28"/>
          <w:szCs w:val="28"/>
        </w:rPr>
        <w:t xml:space="preserve">П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товщина міжшлуночкової перегородки в діастолу, КДР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кінцевий діастолічний розмір лівого шлуночка, </w:t>
      </w:r>
      <w:r w:rsidR="009C1748" w:rsidRPr="00156441">
        <w:rPr>
          <w:rFonts w:ascii="Times New Roman" w:hAnsi="Times New Roman" w:cs="Times New Roman"/>
          <w:sz w:val="28"/>
          <w:szCs w:val="28"/>
        </w:rPr>
        <w:t>Т</w:t>
      </w:r>
      <w:r w:rsidRPr="00156441">
        <w:rPr>
          <w:rFonts w:ascii="Times New Roman" w:hAnsi="Times New Roman" w:cs="Times New Roman"/>
          <w:sz w:val="28"/>
          <w:szCs w:val="28"/>
        </w:rPr>
        <w:t xml:space="preserve">ЗСЛШ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товщина задньої стінки лівого шлуночка в діастолу, ВТСЛШ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відносна товщина стінки лівого шлуночка, ІММЛШ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індекс маси міокарда лівого шлуночка, ММЛШ (г)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маса міокарда лівого</w:t>
      </w:r>
      <w:r w:rsidR="009C1748" w:rsidRPr="00156441">
        <w:rPr>
          <w:rFonts w:ascii="Times New Roman" w:hAnsi="Times New Roman" w:cs="Times New Roman"/>
          <w:sz w:val="28"/>
          <w:szCs w:val="28"/>
        </w:rPr>
        <w:t xml:space="preserve"> шлуночка, зріст, вага. Розраховувались</w:t>
      </w:r>
      <w:r w:rsidRPr="00156441">
        <w:rPr>
          <w:rFonts w:ascii="Times New Roman" w:hAnsi="Times New Roman" w:cs="Times New Roman"/>
          <w:sz w:val="28"/>
          <w:szCs w:val="28"/>
        </w:rPr>
        <w:t xml:space="preserve"> за формулами: ІММЛШ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ММЛШ (г)</w:t>
      </w:r>
      <w:r w:rsidR="009C6C87"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rPr>
        <w:t>площа поверхні тіла (м</w:t>
      </w:r>
      <w:r w:rsidRPr="00156441">
        <w:rPr>
          <w:rFonts w:ascii="Times New Roman" w:hAnsi="Times New Roman" w:cs="Times New Roman"/>
          <w:sz w:val="28"/>
          <w:szCs w:val="28"/>
          <w:vertAlign w:val="superscript"/>
        </w:rPr>
        <w:t>2</w:t>
      </w:r>
      <w:r w:rsidR="009C1748" w:rsidRPr="00156441">
        <w:rPr>
          <w:rFonts w:ascii="Times New Roman" w:hAnsi="Times New Roman" w:cs="Times New Roman"/>
          <w:sz w:val="28"/>
          <w:szCs w:val="28"/>
        </w:rPr>
        <w:t xml:space="preserve">), ВТСЛШ </w:t>
      </w:r>
      <w:r w:rsidR="004E702C" w:rsidRPr="00156441">
        <w:rPr>
          <w:rFonts w:ascii="Times New Roman" w:hAnsi="Times New Roman" w:cs="Times New Roman"/>
          <w:sz w:val="28"/>
          <w:szCs w:val="28"/>
        </w:rPr>
        <w:t>=</w:t>
      </w:r>
      <w:r w:rsidR="009C1748" w:rsidRPr="00156441">
        <w:rPr>
          <w:rFonts w:ascii="Times New Roman" w:hAnsi="Times New Roman" w:cs="Times New Roman"/>
          <w:sz w:val="28"/>
          <w:szCs w:val="28"/>
        </w:rPr>
        <w:t>(ТМШП + ТЗСЛШ</w:t>
      </w:r>
      <w:r w:rsidRPr="00156441">
        <w:rPr>
          <w:rFonts w:ascii="Times New Roman" w:hAnsi="Times New Roman" w:cs="Times New Roman"/>
          <w:sz w:val="28"/>
          <w:szCs w:val="28"/>
        </w:rPr>
        <w:t>)/ КДРЛШ. Для визначення типу ремоде</w:t>
      </w:r>
      <w:r w:rsidR="009C1748" w:rsidRPr="00156441">
        <w:rPr>
          <w:rFonts w:ascii="Times New Roman" w:hAnsi="Times New Roman" w:cs="Times New Roman"/>
          <w:sz w:val="28"/>
          <w:szCs w:val="28"/>
        </w:rPr>
        <w:t>лювання брались такі значення: н</w:t>
      </w:r>
      <w:r w:rsidRPr="00156441">
        <w:rPr>
          <w:rFonts w:ascii="Times New Roman" w:hAnsi="Times New Roman" w:cs="Times New Roman"/>
          <w:sz w:val="28"/>
          <w:szCs w:val="28"/>
        </w:rPr>
        <w:t>ормальна геометрія (</w:t>
      </w:r>
      <w:r w:rsidR="009C1748" w:rsidRPr="00156441">
        <w:rPr>
          <w:rFonts w:ascii="Times New Roman" w:hAnsi="Times New Roman" w:cs="Times New Roman"/>
          <w:sz w:val="28"/>
          <w:szCs w:val="28"/>
        </w:rPr>
        <w:t>ВТСЛШ</w:t>
      </w:r>
      <w:r w:rsidRPr="00156441">
        <w:rPr>
          <w:rFonts w:ascii="Times New Roman" w:hAnsi="Times New Roman" w:cs="Times New Roman"/>
          <w:sz w:val="28"/>
          <w:szCs w:val="28"/>
        </w:rPr>
        <w:t>&lt;0,45; нормальн</w:t>
      </w:r>
      <w:r w:rsidR="009C1748" w:rsidRPr="00156441">
        <w:rPr>
          <w:rFonts w:ascii="Times New Roman" w:hAnsi="Times New Roman" w:cs="Times New Roman"/>
          <w:sz w:val="28"/>
          <w:szCs w:val="28"/>
        </w:rPr>
        <w:t>ий ІММЛШ), концентричне ремоделю</w:t>
      </w:r>
      <w:r w:rsidRPr="00156441">
        <w:rPr>
          <w:rFonts w:ascii="Times New Roman" w:hAnsi="Times New Roman" w:cs="Times New Roman"/>
          <w:sz w:val="28"/>
          <w:szCs w:val="28"/>
        </w:rPr>
        <w:t>вання (</w:t>
      </w:r>
      <w:r w:rsidR="009C1748" w:rsidRPr="00156441">
        <w:rPr>
          <w:rFonts w:ascii="Times New Roman" w:hAnsi="Times New Roman" w:cs="Times New Roman"/>
          <w:sz w:val="28"/>
          <w:szCs w:val="28"/>
        </w:rPr>
        <w:t>ВТСЛШ&gt;</w:t>
      </w:r>
      <w:r w:rsidRPr="00156441">
        <w:rPr>
          <w:rFonts w:ascii="Times New Roman" w:hAnsi="Times New Roman" w:cs="Times New Roman"/>
          <w:sz w:val="28"/>
          <w:szCs w:val="28"/>
        </w:rPr>
        <w:t>0,45; нормальний ІММЛШ), ексцентрична гіпертрофія (</w:t>
      </w:r>
      <w:r w:rsidR="009C1748" w:rsidRPr="00156441">
        <w:rPr>
          <w:rFonts w:ascii="Times New Roman" w:hAnsi="Times New Roman" w:cs="Times New Roman"/>
          <w:sz w:val="28"/>
          <w:szCs w:val="28"/>
        </w:rPr>
        <w:t>ВТСЛШ</w:t>
      </w:r>
      <w:r w:rsidR="00562414" w:rsidRPr="00156441">
        <w:rPr>
          <w:rFonts w:ascii="Times New Roman" w:hAnsi="Times New Roman" w:cs="Times New Roman"/>
          <w:sz w:val="28"/>
          <w:szCs w:val="28"/>
        </w:rPr>
        <w:t>&lt;0,45; ІММЛШ більше норми),</w:t>
      </w:r>
      <w:r w:rsidRPr="00156441">
        <w:rPr>
          <w:rFonts w:ascii="Times New Roman" w:hAnsi="Times New Roman" w:cs="Times New Roman"/>
          <w:sz w:val="28"/>
          <w:szCs w:val="28"/>
        </w:rPr>
        <w:t xml:space="preserve"> концентрична гіпертрофія (</w:t>
      </w:r>
      <w:r w:rsidR="009C1748" w:rsidRPr="00156441">
        <w:rPr>
          <w:rFonts w:ascii="Times New Roman" w:hAnsi="Times New Roman" w:cs="Times New Roman"/>
          <w:sz w:val="28"/>
          <w:szCs w:val="28"/>
        </w:rPr>
        <w:t>ВТСЛШ &gt;</w:t>
      </w:r>
      <w:r w:rsidRPr="00156441">
        <w:rPr>
          <w:rFonts w:ascii="Times New Roman" w:hAnsi="Times New Roman" w:cs="Times New Roman"/>
          <w:sz w:val="28"/>
          <w:szCs w:val="28"/>
        </w:rPr>
        <w:t>0,45; ІММЛШ більше норми).</w:t>
      </w:r>
      <w:r w:rsidR="009C1748" w:rsidRPr="00156441">
        <w:rPr>
          <w:rFonts w:ascii="Times New Roman" w:hAnsi="Times New Roman" w:cs="Times New Roman"/>
          <w:sz w:val="28"/>
          <w:szCs w:val="28"/>
        </w:rPr>
        <w:t xml:space="preserve"> ВТСЛШ розраховувалась за формулою: ВТСЛШ=(ТМШП+ТЗСЛШ)/КДРЛШ</w:t>
      </w:r>
    </w:p>
    <w:p w:rsidR="00007631" w:rsidRPr="00156441" w:rsidRDefault="00007631" w:rsidP="00562414">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Для визначення систолічної функції визначалась фракція викиду лівого шлуночка. Систолічна функція вважалась збережено. За умов ФВ</w:t>
      </w:r>
      <w:r w:rsidR="001E0F2F" w:rsidRPr="00156441">
        <w:rPr>
          <w:rFonts w:ascii="Times New Roman" w:hAnsi="Times New Roman" w:cs="Times New Roman"/>
          <w:sz w:val="28"/>
          <w:szCs w:val="28"/>
        </w:rPr>
        <w:t>&gt;</w:t>
      </w:r>
      <w:r w:rsidRPr="00156441">
        <w:rPr>
          <w:rFonts w:ascii="Times New Roman" w:hAnsi="Times New Roman" w:cs="Times New Roman"/>
          <w:sz w:val="28"/>
          <w:szCs w:val="28"/>
        </w:rPr>
        <w:t>45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Для визначення діастолічної функції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ранню фазу заповнення ЛШ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Е та передсердний компонент діастолічного заповнення ЛШ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А. В якості основних критерії</w:t>
      </w:r>
      <w:r w:rsidR="00352C3C" w:rsidRPr="00156441">
        <w:rPr>
          <w:rFonts w:ascii="Times New Roman" w:hAnsi="Times New Roman" w:cs="Times New Roman"/>
          <w:sz w:val="28"/>
          <w:szCs w:val="28"/>
        </w:rPr>
        <w:t>в використовувалось ставлення Е/</w:t>
      </w:r>
      <w:r w:rsidRPr="00156441">
        <w:rPr>
          <w:rFonts w:ascii="Times New Roman" w:hAnsi="Times New Roman" w:cs="Times New Roman"/>
          <w:sz w:val="28"/>
          <w:szCs w:val="28"/>
        </w:rPr>
        <w:t>А. Для визначення типу діастолічної дисфункції (ДД) використовувались наступні значення: Е/А</w:t>
      </w:r>
      <w:r w:rsidR="009C6C87" w:rsidRPr="00156441">
        <w:rPr>
          <w:rFonts w:ascii="Times New Roman" w:hAnsi="Times New Roman" w:cs="Times New Roman"/>
          <w:sz w:val="28"/>
          <w:szCs w:val="28"/>
        </w:rPr>
        <w:t>&lt;</w:t>
      </w:r>
      <w:r w:rsidRPr="00156441">
        <w:rPr>
          <w:rFonts w:ascii="Times New Roman" w:hAnsi="Times New Roman" w:cs="Times New Roman"/>
          <w:sz w:val="28"/>
          <w:szCs w:val="28"/>
        </w:rPr>
        <w:t xml:space="preserve">0,8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порушення релаксації, Е/А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0,8</w:t>
      </w:r>
      <w:r w:rsidR="00352C3C" w:rsidRPr="00156441">
        <w:rPr>
          <w:rFonts w:ascii="Times New Roman" w:hAnsi="Times New Roman" w:cs="Times New Roman"/>
          <w:sz w:val="28"/>
          <w:szCs w:val="28"/>
        </w:rPr>
        <w:t>–</w:t>
      </w:r>
      <w:r w:rsidRPr="00156441">
        <w:rPr>
          <w:rFonts w:ascii="Times New Roman" w:hAnsi="Times New Roman" w:cs="Times New Roman"/>
          <w:sz w:val="28"/>
          <w:szCs w:val="28"/>
        </w:rPr>
        <w:t xml:space="preserve">2,1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п</w:t>
      </w:r>
      <w:r w:rsidR="00352C3C" w:rsidRPr="00156441">
        <w:rPr>
          <w:rFonts w:ascii="Times New Roman" w:hAnsi="Times New Roman" w:cs="Times New Roman"/>
          <w:sz w:val="28"/>
          <w:szCs w:val="28"/>
        </w:rPr>
        <w:t>севдонормальний тип та Е/А &gt;2,1</w:t>
      </w:r>
      <w:r w:rsidRPr="00156441">
        <w:rPr>
          <w:rFonts w:ascii="Times New Roman" w:hAnsi="Times New Roman" w:cs="Times New Roman"/>
          <w:sz w:val="28"/>
          <w:szCs w:val="28"/>
        </w:rPr>
        <w:t xml:space="preserve"> </w:t>
      </w:r>
      <w:r w:rsidR="00562414" w:rsidRPr="00156441">
        <w:rPr>
          <w:rFonts w:ascii="Times New Roman" w:hAnsi="Times New Roman" w:cs="Times New Roman"/>
          <w:sz w:val="28"/>
          <w:szCs w:val="28"/>
        </w:rPr>
        <w:t>—</w:t>
      </w:r>
      <w:r w:rsidRPr="00156441">
        <w:rPr>
          <w:rFonts w:ascii="Times New Roman" w:hAnsi="Times New Roman" w:cs="Times New Roman"/>
          <w:sz w:val="28"/>
          <w:szCs w:val="28"/>
        </w:rPr>
        <w:t xml:space="preserve"> рестр</w:t>
      </w:r>
      <w:r w:rsidR="00352C3C" w:rsidRPr="00156441">
        <w:rPr>
          <w:rFonts w:ascii="Times New Roman" w:hAnsi="Times New Roman" w:cs="Times New Roman"/>
          <w:sz w:val="28"/>
          <w:szCs w:val="28"/>
        </w:rPr>
        <w:t>и</w:t>
      </w:r>
      <w:r w:rsidRPr="00156441">
        <w:rPr>
          <w:rFonts w:ascii="Times New Roman" w:hAnsi="Times New Roman" w:cs="Times New Roman"/>
          <w:sz w:val="28"/>
          <w:szCs w:val="28"/>
        </w:rPr>
        <w:t>ктивний тип.</w:t>
      </w:r>
    </w:p>
    <w:p w:rsidR="00007631" w:rsidRPr="00156441" w:rsidRDefault="00007631" w:rsidP="00352C3C">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Для виявлення систолічної дисфункції правого шлуночку вико</w:t>
      </w:r>
      <w:r w:rsidR="00352C3C" w:rsidRPr="00156441">
        <w:rPr>
          <w:rFonts w:ascii="Times New Roman" w:hAnsi="Times New Roman" w:cs="Times New Roman"/>
          <w:sz w:val="28"/>
          <w:szCs w:val="28"/>
        </w:rPr>
        <w:t>ристовувалися такі показники: КДП —</w:t>
      </w:r>
      <w:r w:rsidRPr="00156441">
        <w:rPr>
          <w:rFonts w:ascii="Times New Roman" w:hAnsi="Times New Roman" w:cs="Times New Roman"/>
          <w:sz w:val="28"/>
          <w:szCs w:val="28"/>
        </w:rPr>
        <w:t xml:space="preserve"> </w:t>
      </w:r>
      <w:r w:rsidR="00352C3C" w:rsidRPr="00156441">
        <w:rPr>
          <w:rFonts w:ascii="Times New Roman" w:hAnsi="Times New Roman" w:cs="Times New Roman"/>
          <w:sz w:val="28"/>
          <w:szCs w:val="28"/>
        </w:rPr>
        <w:t>кінцева діастолічна площа, КСП —</w:t>
      </w:r>
      <w:r w:rsidRPr="00156441">
        <w:rPr>
          <w:rFonts w:ascii="Times New Roman" w:hAnsi="Times New Roman" w:cs="Times New Roman"/>
          <w:sz w:val="28"/>
          <w:szCs w:val="28"/>
        </w:rPr>
        <w:t xml:space="preserve"> </w:t>
      </w:r>
      <w:r w:rsidR="00352C3C" w:rsidRPr="00156441">
        <w:rPr>
          <w:rFonts w:ascii="Times New Roman" w:hAnsi="Times New Roman" w:cs="Times New Roman"/>
          <w:sz w:val="28"/>
          <w:szCs w:val="28"/>
        </w:rPr>
        <w:t>кінцева систолічна площа, ФЗПС —</w:t>
      </w:r>
      <w:r w:rsidRPr="00156441">
        <w:rPr>
          <w:rFonts w:ascii="Times New Roman" w:hAnsi="Times New Roman" w:cs="Times New Roman"/>
          <w:sz w:val="28"/>
          <w:szCs w:val="28"/>
        </w:rPr>
        <w:t xml:space="preserve"> фракція зміни площі перерізу правого шлуночка. Розрахунок проводився за формулою: ФЗПС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 xml:space="preserve">)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(КДП - КСП)/ КДП. За умов, </w:t>
      </w:r>
      <w:r w:rsidR="00352C3C" w:rsidRPr="00156441">
        <w:rPr>
          <w:rFonts w:ascii="Times New Roman" w:hAnsi="Times New Roman" w:cs="Times New Roman"/>
          <w:sz w:val="28"/>
          <w:szCs w:val="28"/>
        </w:rPr>
        <w:t>якщо ФЗПС</w:t>
      </w:r>
      <w:r w:rsidR="009C6C87" w:rsidRPr="00156441">
        <w:rPr>
          <w:rFonts w:ascii="Times New Roman" w:hAnsi="Times New Roman" w:cs="Times New Roman"/>
          <w:sz w:val="28"/>
          <w:szCs w:val="28"/>
        </w:rPr>
        <w:t>&lt;</w:t>
      </w:r>
      <w:r w:rsidR="00352C3C" w:rsidRPr="00156441">
        <w:rPr>
          <w:rFonts w:ascii="Times New Roman" w:hAnsi="Times New Roman" w:cs="Times New Roman"/>
          <w:sz w:val="28"/>
          <w:szCs w:val="28"/>
        </w:rPr>
        <w:t>30</w:t>
      </w:r>
      <w:r w:rsidR="00C70355" w:rsidRPr="00156441">
        <w:rPr>
          <w:rFonts w:ascii="Times New Roman" w:hAnsi="Times New Roman" w:cs="Times New Roman"/>
          <w:sz w:val="28"/>
          <w:szCs w:val="28"/>
        </w:rPr>
        <w:t> %</w:t>
      </w:r>
      <w:r w:rsidR="00352C3C" w:rsidRPr="00156441">
        <w:rPr>
          <w:rFonts w:ascii="Times New Roman" w:hAnsi="Times New Roman" w:cs="Times New Roman"/>
          <w:sz w:val="28"/>
          <w:szCs w:val="28"/>
        </w:rPr>
        <w:t xml:space="preserve"> встановлювалась </w:t>
      </w:r>
      <w:r w:rsidRPr="00156441">
        <w:rPr>
          <w:rFonts w:ascii="Times New Roman" w:hAnsi="Times New Roman" w:cs="Times New Roman"/>
          <w:sz w:val="28"/>
          <w:szCs w:val="28"/>
        </w:rPr>
        <w:t>систолічна дисфункція правого шлуночка.</w:t>
      </w:r>
    </w:p>
    <w:p w:rsidR="00007631" w:rsidRPr="00156441" w:rsidRDefault="00007631" w:rsidP="00352C3C">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Для </w:t>
      </w:r>
      <w:r w:rsidR="00352C3C" w:rsidRPr="00156441">
        <w:rPr>
          <w:rFonts w:ascii="Times New Roman" w:hAnsi="Times New Roman" w:cs="Times New Roman"/>
          <w:sz w:val="28"/>
          <w:szCs w:val="28"/>
        </w:rPr>
        <w:t>визначення діастолічної функції</w:t>
      </w:r>
      <w:r w:rsidRPr="00156441">
        <w:rPr>
          <w:rFonts w:ascii="Times New Roman" w:hAnsi="Times New Roman" w:cs="Times New Roman"/>
          <w:sz w:val="28"/>
          <w:szCs w:val="28"/>
        </w:rPr>
        <w:t xml:space="preserve"> ПШ визначались пікова швидкість кровотоку через трикуспідальний клапан під час раннього діастолічного наповнення,</w:t>
      </w:r>
      <w:r w:rsidR="00352C3C" w:rsidRPr="00156441">
        <w:rPr>
          <w:rFonts w:ascii="Times New Roman" w:hAnsi="Times New Roman" w:cs="Times New Roman"/>
          <w:sz w:val="28"/>
          <w:szCs w:val="28"/>
        </w:rPr>
        <w:t xml:space="preserve"> що відповідає хвилі Е, та</w:t>
      </w:r>
      <w:r w:rsidRPr="00156441">
        <w:rPr>
          <w:rFonts w:ascii="Times New Roman" w:hAnsi="Times New Roman" w:cs="Times New Roman"/>
          <w:sz w:val="28"/>
          <w:szCs w:val="28"/>
        </w:rPr>
        <w:t xml:space="preserve"> швидкість кровотоку</w:t>
      </w:r>
      <w:r w:rsidR="00352C3C" w:rsidRPr="00156441">
        <w:rPr>
          <w:rFonts w:ascii="Times New Roman" w:hAnsi="Times New Roman" w:cs="Times New Roman"/>
          <w:sz w:val="28"/>
          <w:szCs w:val="28"/>
        </w:rPr>
        <w:t xml:space="preserve"> під час скорочення передсердь —</w:t>
      </w:r>
      <w:r w:rsidRPr="00156441">
        <w:rPr>
          <w:rFonts w:ascii="Times New Roman" w:hAnsi="Times New Roman" w:cs="Times New Roman"/>
          <w:sz w:val="28"/>
          <w:szCs w:val="28"/>
        </w:rPr>
        <w:t xml:space="preserve"> хвиля А. З отриманих даних розрахов</w:t>
      </w:r>
      <w:r w:rsidR="00E23702" w:rsidRPr="00156441">
        <w:rPr>
          <w:rFonts w:ascii="Times New Roman" w:hAnsi="Times New Roman" w:cs="Times New Roman"/>
          <w:sz w:val="28"/>
          <w:szCs w:val="28"/>
        </w:rPr>
        <w:t>увалось співвідношення Е/</w:t>
      </w:r>
      <w:r w:rsidRPr="00156441">
        <w:rPr>
          <w:rFonts w:ascii="Times New Roman" w:hAnsi="Times New Roman" w:cs="Times New Roman"/>
          <w:sz w:val="28"/>
          <w:szCs w:val="28"/>
        </w:rPr>
        <w:t>А. За нормальне значення приймалось співвідношення Е/А приблизно 1,5 (0,8</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2,1).</w:t>
      </w:r>
    </w:p>
    <w:p w:rsidR="00007631" w:rsidRPr="00156441" w:rsidRDefault="00007631" w:rsidP="00352C3C">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Також усім хворим вимірювали </w:t>
      </w:r>
      <w:r w:rsidR="00E23702" w:rsidRPr="00156441">
        <w:rPr>
          <w:rFonts w:ascii="Times New Roman" w:hAnsi="Times New Roman" w:cs="Times New Roman"/>
          <w:sz w:val="28"/>
          <w:szCs w:val="28"/>
        </w:rPr>
        <w:t>артеріальний тиск</w:t>
      </w:r>
      <w:r w:rsidRPr="00156441">
        <w:rPr>
          <w:rFonts w:ascii="Times New Roman" w:hAnsi="Times New Roman" w:cs="Times New Roman"/>
          <w:sz w:val="28"/>
          <w:szCs w:val="28"/>
        </w:rPr>
        <w:t xml:space="preserve"> на обох руках та </w:t>
      </w:r>
      <w:r w:rsidR="00E23702" w:rsidRPr="00156441">
        <w:rPr>
          <w:rFonts w:ascii="Times New Roman" w:hAnsi="Times New Roman" w:cs="Times New Roman"/>
          <w:sz w:val="28"/>
          <w:szCs w:val="28"/>
        </w:rPr>
        <w:t>проводили електрокардіографію</w:t>
      </w:r>
      <w:r w:rsidRPr="00156441">
        <w:rPr>
          <w:rFonts w:ascii="Times New Roman" w:hAnsi="Times New Roman" w:cs="Times New Roman"/>
          <w:sz w:val="28"/>
          <w:szCs w:val="28"/>
        </w:rPr>
        <w:t xml:space="preserve"> у 12 стандартних відведеннях. Отримані фактичні величини зіставляли з належними та визначали відсоток відхилення від належних величин.</w:t>
      </w:r>
    </w:p>
    <w:p w:rsidR="00FA6E72" w:rsidRPr="00156441" w:rsidRDefault="00FA6E72" w:rsidP="00352C3C">
      <w:pPr>
        <w:spacing w:after="0" w:line="360" w:lineRule="auto"/>
        <w:ind w:firstLine="709"/>
        <w:contextualSpacing/>
        <w:jc w:val="both"/>
        <w:rPr>
          <w:rFonts w:ascii="Times New Roman" w:hAnsi="Times New Roman" w:cs="Times New Roman"/>
          <w:sz w:val="28"/>
          <w:szCs w:val="28"/>
        </w:rPr>
      </w:pPr>
    </w:p>
    <w:p w:rsidR="00007631" w:rsidRPr="00156441" w:rsidRDefault="00007631" w:rsidP="00352C3C">
      <w:pPr>
        <w:spacing w:after="0" w:line="360" w:lineRule="auto"/>
        <w:ind w:firstLine="709"/>
        <w:contextualSpacing/>
        <w:jc w:val="center"/>
        <w:rPr>
          <w:rFonts w:ascii="Times New Roman" w:hAnsi="Times New Roman" w:cs="Times New Roman"/>
          <w:sz w:val="28"/>
          <w:szCs w:val="28"/>
        </w:rPr>
      </w:pPr>
      <w:r w:rsidRPr="00156441">
        <w:rPr>
          <w:rFonts w:ascii="Times New Roman" w:hAnsi="Times New Roman" w:cs="Times New Roman"/>
          <w:sz w:val="28"/>
          <w:szCs w:val="28"/>
        </w:rPr>
        <w:t>Лабораторні дослідження.</w:t>
      </w:r>
    </w:p>
    <w:p w:rsidR="00007631" w:rsidRPr="00156441" w:rsidRDefault="00007631" w:rsidP="00352C3C">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Вміст метаболічних показників та активності індикаторних ферментів, заліза, магнію, фосфору та кальцію досліджували на біохімічний аналізатор «LabLine-80» фірми «Labline Diagnostics» (Австрія) з використанням наборів реагентів фірми «Cone-Lab» та «Roche» (Швеція).</w:t>
      </w:r>
    </w:p>
    <w:p w:rsidR="00007631" w:rsidRPr="00156441" w:rsidRDefault="00007631" w:rsidP="00352C3C">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Вміст дофаміну, норадреналіну, адреналіну у сироватці крові визначали спектрофлюориметричним методом після хроматографічного виділення на </w:t>
      </w:r>
      <w:r w:rsidRPr="00156441">
        <w:rPr>
          <w:rFonts w:ascii="Times New Roman" w:hAnsi="Times New Roman" w:cs="Times New Roman"/>
          <w:sz w:val="28"/>
          <w:szCs w:val="28"/>
        </w:rPr>
        <w:lastRenderedPageBreak/>
        <w:t>колонках з катіонобмінною смолою (Dowex 50Wx4, (200-400) mesh, натрієва форма, параметри колонки d=4 мм, h=75 мм). Швидкість протікання розчинів через колонки не перевищувала 1 мл/хв. Для елюїрування адреналіну та норадреналіну використовували 1 н водну соляну кислоту. Дофамин елюїрували соляною кислотою в етанолі. Кількісний вміст визначали за власною люмінісценцією на спектрофюориметрі «Hitachi MPF-4A». Для аналізу використовували н</w:t>
      </w:r>
      <w:r w:rsidR="00352C3C" w:rsidRPr="00156441">
        <w:rPr>
          <w:rFonts w:ascii="Times New Roman" w:hAnsi="Times New Roman" w:cs="Times New Roman"/>
          <w:sz w:val="28"/>
          <w:szCs w:val="28"/>
        </w:rPr>
        <w:t>аступні довжини хвилі: дофамін —</w:t>
      </w:r>
      <w:r w:rsidRPr="00156441">
        <w:rPr>
          <w:rFonts w:ascii="Times New Roman" w:hAnsi="Times New Roman" w:cs="Times New Roman"/>
          <w:sz w:val="28"/>
          <w:szCs w:val="28"/>
        </w:rPr>
        <w:t xml:space="preserve"> довжина хвилі збудження 330 нм, довжина хвилі люмінесценції</w:t>
      </w:r>
      <w:r w:rsidR="00352C3C" w:rsidRPr="00156441">
        <w:rPr>
          <w:rFonts w:ascii="Times New Roman" w:hAnsi="Times New Roman" w:cs="Times New Roman"/>
          <w:sz w:val="28"/>
          <w:szCs w:val="28"/>
        </w:rPr>
        <w:t xml:space="preserve"> — 375 нм; норадреналін — 395/485 нм; адреналін — </w:t>
      </w:r>
      <w:r w:rsidRPr="00156441">
        <w:rPr>
          <w:rFonts w:ascii="Times New Roman" w:hAnsi="Times New Roman" w:cs="Times New Roman"/>
          <w:sz w:val="28"/>
          <w:szCs w:val="28"/>
        </w:rPr>
        <w:t>554/490 нм відповідно. Як стандарти були використані наступні препарати: адреналін-гідрохлорид, дофамін-гідрохлорид, норадреналін-гідрохлорид «Reanal» (Угорщина).</w:t>
      </w:r>
    </w:p>
    <w:p w:rsidR="00007631" w:rsidRPr="00156441" w:rsidRDefault="00007631" w:rsidP="0000763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Визна</w:t>
      </w:r>
      <w:r w:rsidR="00352C3C" w:rsidRPr="00156441">
        <w:rPr>
          <w:rFonts w:ascii="Times New Roman" w:hAnsi="Times New Roman" w:cs="Times New Roman"/>
          <w:sz w:val="28"/>
          <w:szCs w:val="28"/>
        </w:rPr>
        <w:t>чення ферментативної активності</w:t>
      </w:r>
      <w:r w:rsidRPr="00156441">
        <w:rPr>
          <w:rFonts w:ascii="Times New Roman" w:hAnsi="Times New Roman" w:cs="Times New Roman"/>
          <w:sz w:val="28"/>
          <w:szCs w:val="28"/>
        </w:rPr>
        <w:t xml:space="preserve"> NO-синтаз та кількість метаболітів NO у сироватці крові визначали за допомогою реакції Гріса, що протікає одночасно з відновленням нітратів у нітрити в присутності хлорида ванадію[22]. Після депротеїнізації сироватки у лунки 96-лунного планшету розливали по 100мкл супернатанта, після чого додавали 100 мкл VCl</w:t>
      </w:r>
      <w:r w:rsidRPr="00156441">
        <w:rPr>
          <w:rFonts w:ascii="Times New Roman" w:hAnsi="Times New Roman" w:cs="Times New Roman"/>
          <w:sz w:val="28"/>
          <w:szCs w:val="28"/>
          <w:vertAlign w:val="subscript"/>
        </w:rPr>
        <w:t>3</w:t>
      </w:r>
      <w:r w:rsidR="009C6C87" w:rsidRPr="00156441">
        <w:rPr>
          <w:rFonts w:ascii="Times New Roman" w:hAnsi="Times New Roman" w:cs="Times New Roman"/>
          <w:sz w:val="28"/>
          <w:szCs w:val="28"/>
          <w:vertAlign w:val="subscript"/>
        </w:rPr>
        <w:t xml:space="preserve"> </w:t>
      </w:r>
      <w:r w:rsidRPr="00156441">
        <w:rPr>
          <w:rFonts w:ascii="Times New Roman" w:hAnsi="Times New Roman" w:cs="Times New Roman"/>
          <w:sz w:val="28"/>
          <w:szCs w:val="28"/>
        </w:rPr>
        <w:t xml:space="preserve">та 100 мкл реактиву Гріса. Суміш інкубувалась </w:t>
      </w:r>
      <w:r w:rsidR="00352C3C" w:rsidRPr="00156441">
        <w:rPr>
          <w:rFonts w:ascii="Times New Roman" w:hAnsi="Times New Roman" w:cs="Times New Roman"/>
          <w:sz w:val="28"/>
          <w:szCs w:val="28"/>
        </w:rPr>
        <w:t>протягом</w:t>
      </w:r>
      <w:r w:rsidRPr="00156441">
        <w:rPr>
          <w:rFonts w:ascii="Times New Roman" w:hAnsi="Times New Roman" w:cs="Times New Roman"/>
          <w:sz w:val="28"/>
          <w:szCs w:val="28"/>
        </w:rPr>
        <w:t xml:space="preserve"> 30 хвилин при температурі 37°С. На спектрофлюорометрі при довжині хвилі 540 нм вимірялась оптична щільність розчинів. По калібрувальній кривій знаходили кількість нітратів (NO</w:t>
      </w:r>
      <w:r w:rsidRPr="00156441">
        <w:rPr>
          <w:rFonts w:ascii="Times New Roman" w:hAnsi="Times New Roman" w:cs="Times New Roman"/>
          <w:sz w:val="28"/>
          <w:szCs w:val="28"/>
          <w:vertAlign w:val="subscript"/>
        </w:rPr>
        <w:t>2</w:t>
      </w:r>
      <w:r w:rsidRPr="00156441">
        <w:rPr>
          <w:rFonts w:ascii="Times New Roman" w:hAnsi="Times New Roman" w:cs="Times New Roman"/>
          <w:sz w:val="28"/>
          <w:szCs w:val="28"/>
        </w:rPr>
        <w:t>) у мкмолях побудованій зі стандартним розчином NaNO</w:t>
      </w:r>
      <w:r w:rsidRPr="00156441">
        <w:rPr>
          <w:rFonts w:ascii="Times New Roman" w:hAnsi="Times New Roman" w:cs="Times New Roman"/>
          <w:sz w:val="28"/>
          <w:szCs w:val="28"/>
          <w:vertAlign w:val="subscript"/>
        </w:rPr>
        <w:t>2</w:t>
      </w:r>
      <w:r w:rsidRPr="00156441">
        <w:rPr>
          <w:rFonts w:ascii="Times New Roman" w:hAnsi="Times New Roman" w:cs="Times New Roman"/>
          <w:sz w:val="28"/>
          <w:szCs w:val="28"/>
        </w:rPr>
        <w:t>. Лінійність зберігалась в діапазоні концентрації нітрит-іона від 5 до 230 мкМ. Це сумарні метаболіти NO. Для визначення нітрітів сироватку інкубують з реактивом Гірса без додавання VCl</w:t>
      </w:r>
      <w:r w:rsidRPr="00156441">
        <w:rPr>
          <w:rFonts w:ascii="Times New Roman" w:hAnsi="Times New Roman" w:cs="Times New Roman"/>
          <w:sz w:val="28"/>
          <w:szCs w:val="28"/>
          <w:vertAlign w:val="subscript"/>
        </w:rPr>
        <w:t>3</w:t>
      </w:r>
      <w:r w:rsidRPr="00156441">
        <w:rPr>
          <w:rFonts w:ascii="Times New Roman" w:hAnsi="Times New Roman" w:cs="Times New Roman"/>
          <w:sz w:val="28"/>
          <w:szCs w:val="28"/>
        </w:rPr>
        <w:t>. Їх концентрація знаходилась шляхом вирахування кількості нітратів із сумарної кількості метаболітів. Для визначення активність NO-синтаз до інкубаційних середовищ №1 та №2 з наявністю контрольної проби (для кожної сироватки власна) додавали 0,3 мл сироватки та 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трихлороцтової кислота після чого центрифугували 10 хв. при 1500 об/хв. Додавали розчин VCl</w:t>
      </w:r>
      <w:r w:rsidRPr="00156441">
        <w:rPr>
          <w:rFonts w:ascii="Times New Roman" w:hAnsi="Times New Roman" w:cs="Times New Roman"/>
          <w:sz w:val="28"/>
          <w:szCs w:val="28"/>
          <w:vertAlign w:val="subscript"/>
        </w:rPr>
        <w:t xml:space="preserve">3 </w:t>
      </w:r>
      <w:r w:rsidRPr="00156441">
        <w:rPr>
          <w:rFonts w:ascii="Times New Roman" w:hAnsi="Times New Roman" w:cs="Times New Roman"/>
          <w:sz w:val="28"/>
          <w:szCs w:val="28"/>
        </w:rPr>
        <w:t>та реактив Гірса. Оптичну щільність виміряли при довжині хвилі 540 нм. Розрахунок проводили за формулами: Сумарна активність NO-синтаз (NOS</w:t>
      </w:r>
      <w:r w:rsidRPr="00156441">
        <w:rPr>
          <w:rFonts w:ascii="Times New Roman" w:hAnsi="Times New Roman" w:cs="Times New Roman"/>
          <w:sz w:val="28"/>
          <w:szCs w:val="28"/>
          <w:vertAlign w:val="subscript"/>
        </w:rPr>
        <w:t>сумм</w:t>
      </w:r>
      <w:r w:rsidRPr="00156441">
        <w:rPr>
          <w:rFonts w:ascii="Times New Roman" w:hAnsi="Times New Roman" w:cs="Times New Roman"/>
          <w:sz w:val="28"/>
          <w:szCs w:val="28"/>
        </w:rPr>
        <w:t xml:space="preserve">)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[нітритів]дослід 1 - [нітритів] контрольна </w:t>
      </w:r>
      <w:r w:rsidRPr="00156441">
        <w:rPr>
          <w:rFonts w:ascii="Times New Roman" w:hAnsi="Times New Roman" w:cs="Times New Roman"/>
          <w:sz w:val="28"/>
          <w:szCs w:val="28"/>
        </w:rPr>
        <w:lastRenderedPageBreak/>
        <w:t>проба/білок (г/л) *15; iNOS=[нітритів]дослід 2 - [нітритів] контрольна проба/білок (г/л) *15; eNOS=NOS</w:t>
      </w:r>
      <w:r w:rsidRPr="00156441">
        <w:rPr>
          <w:rFonts w:ascii="Times New Roman" w:hAnsi="Times New Roman" w:cs="Times New Roman"/>
          <w:sz w:val="28"/>
          <w:szCs w:val="28"/>
          <w:vertAlign w:val="subscript"/>
        </w:rPr>
        <w:t>сумм</w:t>
      </w:r>
      <w:r w:rsidR="009C6C87" w:rsidRPr="00156441">
        <w:rPr>
          <w:rFonts w:ascii="Times New Roman" w:hAnsi="Times New Roman" w:cs="Times New Roman"/>
          <w:sz w:val="28"/>
          <w:szCs w:val="28"/>
          <w:vertAlign w:val="subscript"/>
        </w:rPr>
        <w:t xml:space="preserve"> — </w:t>
      </w:r>
      <w:r w:rsidRPr="00156441">
        <w:rPr>
          <w:rFonts w:ascii="Times New Roman" w:hAnsi="Times New Roman" w:cs="Times New Roman"/>
          <w:sz w:val="28"/>
          <w:szCs w:val="28"/>
        </w:rPr>
        <w:t>iNOS.</w:t>
      </w:r>
    </w:p>
    <w:p w:rsidR="00007631" w:rsidRPr="00156441" w:rsidRDefault="00007631" w:rsidP="0000763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Визначення рівню S-нітрозотіолу у сироватці крові прозводилось спектрофотометричним методом, основаним на вимірюванні вмісту 5,5-дітіобіс(2-нітробензойної) кислоти </w:t>
      </w:r>
      <w:r w:rsidR="00352C3C" w:rsidRPr="00156441">
        <w:rPr>
          <w:rFonts w:ascii="Times New Roman" w:hAnsi="Times New Roman" w:cs="Times New Roman"/>
          <w:sz w:val="28"/>
          <w:szCs w:val="28"/>
        </w:rPr>
        <w:t>—</w:t>
      </w:r>
      <w:r w:rsidRPr="00156441">
        <w:rPr>
          <w:rFonts w:ascii="Times New Roman" w:hAnsi="Times New Roman" w:cs="Times New Roman"/>
          <w:sz w:val="28"/>
          <w:szCs w:val="28"/>
        </w:rPr>
        <w:t xml:space="preserve"> продуктами окислення толових груп 5-тіо-2-нітробензойної кислоти оксидом азоту.</w:t>
      </w:r>
    </w:p>
    <w:p w:rsidR="00007631" w:rsidRPr="00156441" w:rsidRDefault="00007631" w:rsidP="0000763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Визнач</w:t>
      </w:r>
      <w:r w:rsidR="00352C3C" w:rsidRPr="00156441">
        <w:rPr>
          <w:rFonts w:ascii="Times New Roman" w:hAnsi="Times New Roman" w:cs="Times New Roman"/>
          <w:sz w:val="28"/>
          <w:szCs w:val="28"/>
        </w:rPr>
        <w:t>ення рівня вазоактивного інтести</w:t>
      </w:r>
      <w:r w:rsidRPr="00156441">
        <w:rPr>
          <w:rFonts w:ascii="Times New Roman" w:hAnsi="Times New Roman" w:cs="Times New Roman"/>
          <w:sz w:val="28"/>
          <w:szCs w:val="28"/>
        </w:rPr>
        <w:t>нального поліпептиду (ВІП) в сироватці крові пацієнтів проводили імуноферментним методом з використанням комерційної тест-системи фірми RayBio</w:t>
      </w:r>
      <w:r w:rsidR="00352C3C" w:rsidRPr="00156441">
        <w:rPr>
          <w:rFonts w:ascii="Times New Roman" w:hAnsi="Times New Roman" w:cs="Times New Roman"/>
          <w:sz w:val="28"/>
          <w:szCs w:val="28"/>
        </w:rPr>
        <w:t xml:space="preserve"> (Італія) на ім</w:t>
      </w:r>
      <w:r w:rsidRPr="00156441">
        <w:rPr>
          <w:rFonts w:ascii="Times New Roman" w:hAnsi="Times New Roman" w:cs="Times New Roman"/>
          <w:sz w:val="28"/>
          <w:szCs w:val="28"/>
        </w:rPr>
        <w:t>муноферментном</w:t>
      </w:r>
      <w:r w:rsidR="00352C3C" w:rsidRPr="00156441">
        <w:rPr>
          <w:rFonts w:ascii="Times New Roman" w:hAnsi="Times New Roman" w:cs="Times New Roman"/>
          <w:sz w:val="28"/>
          <w:szCs w:val="28"/>
        </w:rPr>
        <w:t>у</w:t>
      </w:r>
      <w:r w:rsidRPr="00156441">
        <w:rPr>
          <w:rFonts w:ascii="Times New Roman" w:hAnsi="Times New Roman" w:cs="Times New Roman"/>
          <w:sz w:val="28"/>
          <w:szCs w:val="28"/>
        </w:rPr>
        <w:t xml:space="preserve"> аналізаторі «Labline-90» (Австрія). Хід визначення. У всі лунки мікропланшетів, який входить до складу набору, додавали по 100 мкл ВІП-антитіл. Мікропланшет інкубували 1,5 години при кімнатній температурі на шейкері. Потім лунки 4 рази промивали спеціальним промивним буфером і до відповідних лунок додавали по 100 мкл стандартів, контролів та досліджуваних проб. Мікропланшет знову інкубували на шейкері 2,5 години при кімнатній температурі. Потім мікропланшет промивали спеціальним буфером 4 рази і в усі лунки додавали по 100 мкл розчину HRP-стрептоведіна. Проби знову інкубували 45 хв. при кімнатній температурі і знову промивали спеціальним буфером 4 рази. Потім в кожну лунку додавали по 100 мкл ТМБ субстрату і інкубували 30 хв. при кімнатній температурі в темряві. Реакцію зупиняли додаванням в кожну лунку по 50 мкл стоп-реагенту і через 5 хв. визначали оптичну щільність проб при довжині хвилі 450 нм. Рівень VIP визначали за калібрувальним графіком, який будували паралельно з визначенням в пробах, використовуючи стандарти, що знаходяться в наборі. Кількість ВІП висловлювали в нанограммах в літрі сироватки (нг/л).</w:t>
      </w:r>
    </w:p>
    <w:p w:rsidR="00007631" w:rsidRPr="00156441" w:rsidRDefault="00007631" w:rsidP="0000763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Визначення рівня альдостерону в сироватці крові пацієнтів проводили імуноферментним методом з використанням комерційної тест-системи фірми BioVendor (Чехія) на імуноферментном аналізаторі «Labline-90» (Австрія).</w:t>
      </w:r>
    </w:p>
    <w:p w:rsidR="00007631" w:rsidRPr="00156441" w:rsidRDefault="00007631" w:rsidP="00007631">
      <w:pPr>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Хід визначення. В спеціальні лунки мікропланшетів, який входить до складу набору, додавали по 50 мкл калібраторів, контролів і підготовлених проб. У кожну лунку додавали по 100 мкл розчину альдостерон-HRP кон</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югату, і мікропланшет </w:t>
      </w:r>
      <w:r w:rsidRPr="00156441">
        <w:rPr>
          <w:rFonts w:ascii="Times New Roman" w:hAnsi="Times New Roman" w:cs="Times New Roman"/>
          <w:sz w:val="28"/>
          <w:szCs w:val="28"/>
        </w:rPr>
        <w:lastRenderedPageBreak/>
        <w:t>інкубували 1 годину при кімнатній температурі на шейкері. Потім все лунки 4 рази промивали спеціальним промивним буфером і в кожну лунку додавали по 100 мкл ТМБ субстрату. Мікропланшет інкубували 20 хв. на шейкері при кімнатній температурі. Реакцію зупиняли додаванням в кожну лунку по 50 мкл стоп розчину і через 20 хв. визначали оптичну щільність проб при довжині хвилі 450 нм. Рівень альдостерону визначали за калібрувальним графіком, який будували паралельно з визначенням в пробах, використовуючи стандарти, що знаходяться в наборі. Кількість альдостерону висловлювали в наномолях в літрі сироватки (нмоль</w:t>
      </w:r>
      <w:r w:rsidR="006F22D0" w:rsidRPr="00156441">
        <w:rPr>
          <w:rFonts w:ascii="Times New Roman" w:hAnsi="Times New Roman" w:cs="Times New Roman"/>
          <w:sz w:val="28"/>
          <w:szCs w:val="28"/>
        </w:rPr>
        <w:t>/</w:t>
      </w:r>
      <w:r w:rsidRPr="00156441">
        <w:rPr>
          <w:rFonts w:ascii="Times New Roman" w:hAnsi="Times New Roman" w:cs="Times New Roman"/>
          <w:sz w:val="28"/>
          <w:szCs w:val="28"/>
        </w:rPr>
        <w:t>л).</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Визначення рівня вазопресину в сироватці крові пацієнтів проводили імуноферментним методом з використанням комерційної тест-системи фірми BioVision incorporated (США) на імуноферментном аналізаторі «Labline-90» (Австрія). Хід визначення. Перед початком аналізу мікропланшет, який входить до складу набору, промивали 2 рази спеціальним промивним буфером. У відповідні лунки додавали по 50 мкл стандартів і досліджуваних проб і в кожну лунку додавали по 100 мкл, і в кожну лунку додавали по 50 мкл робочого розчину біотин-антитіл. Проби інкубували 45 хв. при t°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37°C. Потім всі лунки 3 рази промивали спеціальним промивним буфером і в кожну лунку додавали по 100 мкл робочого розчину SABC. Мікропланшет інкубували 30 хв. при t°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37°C. Всі лунки знову 5 рази промивали спеціальним буфером і в кожну лунку додавали по 90 мкл ТМБ субстрату. Мікропланшет інкубували 30 хв. на шейкері при t°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37°C. Реакцію зупиняли додаванням в кожну лунку по 50 мкл стоп розчину і через 20 хв. визначали оптичну щільність проб при довжині хвилі 450 нм. Рівень вазопресину визначали за калібрувальним графіком, який будували паралельно з визначенням в пробах, використовуючи стандарти, що знаходяться в наборі. Кількість вазопресину висловлювали в пікограм в літрі сироватки (пг/л).</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Визначення рівня фактора росту ендотелію судин А (</w:t>
      </w:r>
      <w:r w:rsidR="00FA6E72" w:rsidRPr="00156441">
        <w:rPr>
          <w:rFonts w:ascii="Times New Roman" w:hAnsi="Times New Roman" w:cs="Times New Roman"/>
          <w:sz w:val="28"/>
          <w:szCs w:val="28"/>
        </w:rPr>
        <w:t>ВЕФР</w:t>
      </w:r>
      <w:r w:rsidRPr="00156441">
        <w:rPr>
          <w:rFonts w:ascii="Times New Roman" w:hAnsi="Times New Roman" w:cs="Times New Roman"/>
          <w:sz w:val="28"/>
          <w:szCs w:val="28"/>
        </w:rPr>
        <w:t xml:space="preserve">-A) (васкулоендотеліального фактора росту, відомого також як sFlt-1) в сироватці крові пацієнтів проводили імуноферментним методом з використанням комерційної тест-системи фірми "IBL INTERNATIONAL GMBH" (Німеччина) на імуноферментном аналізаторі « Labline-90 »(Австрія). Хід визначення. В спеціальні </w:t>
      </w:r>
      <w:r w:rsidRPr="00156441">
        <w:rPr>
          <w:rFonts w:ascii="Times New Roman" w:hAnsi="Times New Roman" w:cs="Times New Roman"/>
          <w:sz w:val="28"/>
          <w:szCs w:val="28"/>
        </w:rPr>
        <w:lastRenderedPageBreak/>
        <w:t>лунки мікропланшетів, який входить до складу набору, додавали по 100 мкл стандартів і досліджуваних проб. У кожну лунку додавали по 100 мкл розчину Біотин-кон</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югату, і мікропланшет інкубували 1 годину при кімнатній температурі на шейкері. Потім все лунки 3 рази промивали спеціальним промивним буфером і в кожну лунку додавали по 100 мкл розчину комплексу HRP-стрептоведін. Проби інкубували 45 хв. при кімнатній температурі на шейкері. Потім все лунки 3 рази промивали спеціальним промивним буфером і в кожну лунку додавали по 100 мкл ТМБ субстрату. Мікропланшет інкубували 20 хв. на шейкері при кімнатній температурі. Реакцію зупиняли додаванням в кожну лунку по 50 мкл стоп розчину і через 10 хв. визначали оптичну щільність проб при довжині хвилі 450 нм. Рівень </w:t>
      </w:r>
      <w:r w:rsidR="00FA6E72" w:rsidRPr="00156441">
        <w:rPr>
          <w:rFonts w:ascii="Times New Roman" w:hAnsi="Times New Roman" w:cs="Times New Roman"/>
          <w:sz w:val="28"/>
          <w:szCs w:val="28"/>
        </w:rPr>
        <w:t>ВЕФР</w:t>
      </w:r>
      <w:r w:rsidRPr="00156441">
        <w:rPr>
          <w:rFonts w:ascii="Times New Roman" w:hAnsi="Times New Roman" w:cs="Times New Roman"/>
          <w:sz w:val="28"/>
          <w:szCs w:val="28"/>
        </w:rPr>
        <w:t xml:space="preserve">-A визначали за калібрувальним графіком, який будували паралельно з визначенням в пробах, використовуючи стандарти, що знаходяться в наборі. Кількість </w:t>
      </w:r>
      <w:r w:rsidR="00FA6E72" w:rsidRPr="00156441">
        <w:rPr>
          <w:rFonts w:ascii="Times New Roman" w:hAnsi="Times New Roman" w:cs="Times New Roman"/>
          <w:sz w:val="28"/>
          <w:szCs w:val="28"/>
        </w:rPr>
        <w:t>ВЕФР</w:t>
      </w:r>
      <w:r w:rsidRPr="00156441">
        <w:rPr>
          <w:rFonts w:ascii="Times New Roman" w:hAnsi="Times New Roman" w:cs="Times New Roman"/>
          <w:sz w:val="28"/>
          <w:szCs w:val="28"/>
        </w:rPr>
        <w:t>-A висловлювали в нанограммах в мілілітрі сироватки (нг</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мл).</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Визначення рівня реніну в ЕДТА плазмі пацієнтів проводили імуноферментним методом з використанням комерційної тест-системи фірми Вектор БЕСТ (Росія) на імуноферментном аналізаторі «Labline-90» (Австрія).</w:t>
      </w:r>
    </w:p>
    <w:p w:rsidR="00007631" w:rsidRPr="00156441" w:rsidRDefault="00007631" w:rsidP="00007631">
      <w:pPr>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Хід визначення. У кожну лунку мікропланшетів, який входить до складу набору, додавали по 150 мкл буфера для аналізу і в відповідні лунки додавали по 50 мкл калібраторів, контролів і зразків. Мікропланшет інкубували 90 хв. при кімнатній температурі на шейкері. Потім мікропланшет промивали спеціальним буфером 4 рази і в усі лунки додавали по 100 мкл розчину ферментного кон</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югату. Мікропланшет інкубували 90 хв. при кімнатній температурі на шейкері і знову 4 рази промивали спеціальним буфером. Потім в кожну лунку додавали по 100 мкл ТМБ субстрату, і мікропланшет інкубували 15 хв. при кімнатній температурі. Реакцію зупиняли додаванням в кожну лунку по 100 мкл стоп розчину і через 10 хв. визначали оптичну щільність проб при довжині хвилі 450 нм. Рівень реніну визначали за калібрувальним графіком, який будували паралельно з визначенням в пробах, використовуючи стандарти, що знаходяться в наборі. Кількість реніну висловлювали в нанограммах в мілілітрі плазми (нг</w:t>
      </w:r>
      <w:r w:rsidR="009C6C87"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rPr>
        <w:t>мл).</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 xml:space="preserve">Визначення активності ангіотензин перетворюючого ферменту (АПФ) в сироватці крові пацієнтів проводили спектрофотометричним методом з використанням комерційної тест-системи фірми "Trinity Biotech" (Німеччина) на біохімічному аналізаторі «Labline-80» (Австрія). Принцип методу заснований на окисленні синтетичного субстрату трипептид FAPGG до гліцілгліціна і FAP в присутності АПФ. Швидкість зміни інтенсивності фарбування при 340 нм прямо пропорційна концентрації АПФ в пробі. Хід визначення. В лунки чистого планшета вносили по 100 мкл реагентів для визначення АПФ. У відповідні лунки додавали по 10 мкл зразків і Калибратор АПФ. Проби інкубували 5 хв. при t°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37°C. Визначали оптичну щільність проб і калібратори при довжині хвилі 340 нм (А1). Проби знову інкубували 5 хв. при t°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37°C і знову визначали оптичну щільність при довжині хвилі 340 нм (А2).</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Активність АПФ в пробах розраховували за формулою:</w:t>
      </w:r>
    </w:p>
    <w:p w:rsidR="00007631" w:rsidRPr="00156441" w:rsidRDefault="00007631" w:rsidP="00007631">
      <w:pPr>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АПФ</w:t>
      </w:r>
      <w:r w:rsidR="006F22D0" w:rsidRPr="00156441">
        <w:rPr>
          <w:rFonts w:ascii="Times New Roman" w:hAnsi="Times New Roman" w:cs="Times New Roman"/>
          <w:sz w:val="28"/>
          <w:szCs w:val="28"/>
        </w:rPr>
        <w:t xml:space="preserve"> (Е/</w:t>
      </w:r>
      <w:r w:rsidRPr="00156441">
        <w:rPr>
          <w:rFonts w:ascii="Times New Roman" w:hAnsi="Times New Roman" w:cs="Times New Roman"/>
          <w:sz w:val="28"/>
          <w:szCs w:val="28"/>
        </w:rPr>
        <w:t xml:space="preserve">л)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ΔA проби</w:t>
      </w:r>
      <w:r w:rsidR="009C6C87"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rPr>
        <w:t>ΔA стандарту х С стандарту</w:t>
      </w:r>
    </w:p>
    <w:p w:rsidR="00007631" w:rsidRPr="00156441" w:rsidRDefault="00007631" w:rsidP="00007631">
      <w:pPr>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де:</w:t>
      </w:r>
    </w:p>
    <w:p w:rsidR="00007631" w:rsidRPr="00156441" w:rsidRDefault="00007631" w:rsidP="00007631">
      <w:pPr>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С</w:t>
      </w:r>
      <w:r w:rsidR="006F22D0" w:rsidRPr="00156441">
        <w:rPr>
          <w:rFonts w:ascii="Times New Roman" w:hAnsi="Times New Roman" w:cs="Times New Roman"/>
          <w:sz w:val="28"/>
          <w:szCs w:val="28"/>
        </w:rPr>
        <w:t xml:space="preserve"> стандарту — </w:t>
      </w:r>
      <w:r w:rsidRPr="00156441">
        <w:rPr>
          <w:rFonts w:ascii="Times New Roman" w:hAnsi="Times New Roman" w:cs="Times New Roman"/>
          <w:sz w:val="28"/>
          <w:szCs w:val="28"/>
        </w:rPr>
        <w:t>активність АПФ в стандарті (Е</w:t>
      </w:r>
      <w:r w:rsidR="006F22D0" w:rsidRPr="00156441">
        <w:rPr>
          <w:rFonts w:ascii="Times New Roman" w:hAnsi="Times New Roman" w:cs="Times New Roman"/>
          <w:sz w:val="28"/>
          <w:szCs w:val="28"/>
        </w:rPr>
        <w:t>/</w:t>
      </w:r>
      <w:r w:rsidRPr="00156441">
        <w:rPr>
          <w:rFonts w:ascii="Times New Roman" w:hAnsi="Times New Roman" w:cs="Times New Roman"/>
          <w:sz w:val="28"/>
          <w:szCs w:val="28"/>
        </w:rPr>
        <w:t>л);</w:t>
      </w:r>
    </w:p>
    <w:p w:rsidR="00007631" w:rsidRPr="00156441" w:rsidRDefault="006F22D0" w:rsidP="00007631">
      <w:pPr>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ΔA проби —</w:t>
      </w:r>
      <w:r w:rsidR="00007631" w:rsidRPr="00156441">
        <w:rPr>
          <w:rFonts w:ascii="Times New Roman" w:hAnsi="Times New Roman" w:cs="Times New Roman"/>
          <w:sz w:val="28"/>
          <w:szCs w:val="28"/>
        </w:rPr>
        <w:t xml:space="preserve"> (А1 А2) проби</w:t>
      </w:r>
    </w:p>
    <w:p w:rsidR="00007631" w:rsidRPr="00156441" w:rsidRDefault="006F22D0" w:rsidP="00007631">
      <w:pPr>
        <w:spacing w:after="0"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t>ΔA стандарту —</w:t>
      </w:r>
      <w:r w:rsidR="00007631" w:rsidRPr="00156441">
        <w:rPr>
          <w:rFonts w:ascii="Times New Roman" w:hAnsi="Times New Roman" w:cs="Times New Roman"/>
          <w:sz w:val="28"/>
          <w:szCs w:val="28"/>
        </w:rPr>
        <w:t xml:space="preserve"> (А1 А2) стандарту.</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Активність ангіотензин перетворюючого ферменту виражали в наномолях в мілілі</w:t>
      </w:r>
      <w:r w:rsidR="006F22D0" w:rsidRPr="00156441">
        <w:rPr>
          <w:rFonts w:ascii="Times New Roman" w:hAnsi="Times New Roman" w:cs="Times New Roman"/>
          <w:sz w:val="28"/>
          <w:szCs w:val="28"/>
        </w:rPr>
        <w:t>трі сироватки за хвилину (нмоль/мл*</w:t>
      </w:r>
      <w:r w:rsidRPr="00156441">
        <w:rPr>
          <w:rFonts w:ascii="Times New Roman" w:hAnsi="Times New Roman" w:cs="Times New Roman"/>
          <w:sz w:val="28"/>
          <w:szCs w:val="28"/>
        </w:rPr>
        <w:t>хв.).</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Визначення активності карбоксипептидази-N (кінази 1) (КПN) в сироватці крові пацієнтів проводили спектрофотометричним методом з використанням Нінгідринова реактиву. Хід визначення. У чисті центрифужні пробірки додавали по 1 мл 3,5 мМ розчину CoSO4, приготованого на 100 мМ Т</w:t>
      </w:r>
      <w:r w:rsidR="006F22D0" w:rsidRPr="00156441">
        <w:rPr>
          <w:rFonts w:ascii="Times New Roman" w:hAnsi="Times New Roman" w:cs="Times New Roman"/>
          <w:sz w:val="28"/>
          <w:szCs w:val="28"/>
        </w:rPr>
        <w:t>ріс-HCl буфері (pH </w:t>
      </w:r>
      <w:r w:rsidRPr="00156441">
        <w:rPr>
          <w:rFonts w:ascii="Times New Roman" w:hAnsi="Times New Roman" w:cs="Times New Roman"/>
          <w:sz w:val="28"/>
          <w:szCs w:val="28"/>
        </w:rPr>
        <w:t>7,6) і по 2 мл препарату ферменту. До кожної дослідній пробі ставили контрольну, в якій містилося по 1 мл 100 мМ Тріс-HCl, pH 7,6 і по 2 мл препарату ферменту. Всі пробірки преінкубіровалі 8 хв при 370C. Потім в досвідчені проби додавали 0,5 мл гіппуріл-аргініну, приготованого на 100 мМ Тріс-HCl буфері (pH</w:t>
      </w:r>
      <w:r w:rsidR="006F22D0" w:rsidRPr="00156441">
        <w:rPr>
          <w:rFonts w:ascii="Times New Roman" w:hAnsi="Times New Roman" w:cs="Times New Roman"/>
          <w:sz w:val="28"/>
          <w:szCs w:val="28"/>
        </w:rPr>
        <w:t> </w:t>
      </w:r>
      <w:r w:rsidRPr="00156441">
        <w:rPr>
          <w:rFonts w:ascii="Times New Roman" w:hAnsi="Times New Roman" w:cs="Times New Roman"/>
          <w:sz w:val="28"/>
          <w:szCs w:val="28"/>
        </w:rPr>
        <w:t xml:space="preserve">7,6). Всі проби інкубували 120 хв при 370C. </w:t>
      </w:r>
      <w:r w:rsidR="006F22D0" w:rsidRPr="00156441">
        <w:rPr>
          <w:rFonts w:ascii="Times New Roman" w:hAnsi="Times New Roman" w:cs="Times New Roman"/>
          <w:sz w:val="28"/>
          <w:szCs w:val="28"/>
        </w:rPr>
        <w:t>Реакцію зупиняли додаванням 1,5 </w:t>
      </w:r>
      <w:r w:rsidRPr="00156441">
        <w:rPr>
          <w:rFonts w:ascii="Times New Roman" w:hAnsi="Times New Roman" w:cs="Times New Roman"/>
          <w:sz w:val="28"/>
          <w:szCs w:val="28"/>
        </w:rPr>
        <w:t>мл 10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трихлороцтової кислоти. Проби ц</w:t>
      </w:r>
      <w:r w:rsidR="006F22D0" w:rsidRPr="00156441">
        <w:rPr>
          <w:rFonts w:ascii="Times New Roman" w:hAnsi="Times New Roman" w:cs="Times New Roman"/>
          <w:sz w:val="28"/>
          <w:szCs w:val="28"/>
        </w:rPr>
        <w:t>ентрифугували 20 хв</w:t>
      </w:r>
      <w:r w:rsidR="00FA6E72" w:rsidRPr="00156441">
        <w:rPr>
          <w:rFonts w:ascii="Times New Roman" w:hAnsi="Times New Roman" w:cs="Times New Roman"/>
          <w:sz w:val="28"/>
          <w:szCs w:val="28"/>
        </w:rPr>
        <w:t>.</w:t>
      </w:r>
      <w:r w:rsidR="006F22D0" w:rsidRPr="00156441">
        <w:rPr>
          <w:rFonts w:ascii="Times New Roman" w:hAnsi="Times New Roman" w:cs="Times New Roman"/>
          <w:sz w:val="28"/>
          <w:szCs w:val="28"/>
        </w:rPr>
        <w:t xml:space="preserve"> при 4000 об/</w:t>
      </w:r>
      <w:r w:rsidR="00FA6E72" w:rsidRPr="00156441">
        <w:rPr>
          <w:rFonts w:ascii="Times New Roman" w:hAnsi="Times New Roman" w:cs="Times New Roman"/>
          <w:sz w:val="28"/>
          <w:szCs w:val="28"/>
        </w:rPr>
        <w:t>хв.</w:t>
      </w:r>
      <w:r w:rsidRPr="00156441">
        <w:rPr>
          <w:rFonts w:ascii="Times New Roman" w:hAnsi="Times New Roman" w:cs="Times New Roman"/>
          <w:sz w:val="28"/>
          <w:szCs w:val="28"/>
        </w:rPr>
        <w:t xml:space="preserve">; відбирали </w:t>
      </w:r>
      <w:r w:rsidRPr="00156441">
        <w:rPr>
          <w:rFonts w:ascii="Times New Roman" w:hAnsi="Times New Roman" w:cs="Times New Roman"/>
          <w:sz w:val="28"/>
          <w:szCs w:val="28"/>
        </w:rPr>
        <w:lastRenderedPageBreak/>
        <w:t>2,5 мл надосадової рідини і в кожну пробірку доливали 3 мл Нінгідринова реактиву. Далі проби струшували, витримували 12 хв на киплячій водяній бані і вимірювали оптичну щільність на СФ-46 при довжині хвилі 595 нм проти дист. води. Активність КПN визначали як різницю оптичної щільності досвідчених і контрольних проб і висловлювали в мікромолі аргініну, що утвори</w:t>
      </w:r>
      <w:r w:rsidR="006F22D0" w:rsidRPr="00156441">
        <w:rPr>
          <w:rFonts w:ascii="Times New Roman" w:hAnsi="Times New Roman" w:cs="Times New Roman"/>
          <w:sz w:val="28"/>
          <w:szCs w:val="28"/>
        </w:rPr>
        <w:t>вся за1 хв інкубації (мкмольГАК/мл*</w:t>
      </w:r>
      <w:r w:rsidRPr="00156441">
        <w:rPr>
          <w:rFonts w:ascii="Times New Roman" w:hAnsi="Times New Roman" w:cs="Times New Roman"/>
          <w:sz w:val="28"/>
          <w:szCs w:val="28"/>
        </w:rPr>
        <w:t>хв.).</w:t>
      </w:r>
    </w:p>
    <w:p w:rsidR="00007631" w:rsidRPr="00156441" w:rsidRDefault="00007631" w:rsidP="006F22D0">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Визначення активності калікреїну і калікреїногену в сироватці крові пацієнтів проводили за методом Т.</w:t>
      </w:r>
      <w:r w:rsidR="00F44EE4" w:rsidRPr="00156441">
        <w:rPr>
          <w:rFonts w:ascii="Times New Roman" w:hAnsi="Times New Roman" w:cs="Times New Roman"/>
          <w:sz w:val="28"/>
          <w:szCs w:val="28"/>
        </w:rPr>
        <w:t xml:space="preserve"> С. </w:t>
      </w:r>
      <w:r w:rsidRPr="00156441">
        <w:rPr>
          <w:rFonts w:ascii="Times New Roman" w:hAnsi="Times New Roman" w:cs="Times New Roman"/>
          <w:sz w:val="28"/>
          <w:szCs w:val="28"/>
        </w:rPr>
        <w:t>Пасхін і А.</w:t>
      </w:r>
      <w:r w:rsidR="006F22D0" w:rsidRPr="00156441">
        <w:rPr>
          <w:rFonts w:ascii="Times New Roman" w:hAnsi="Times New Roman" w:cs="Times New Roman"/>
          <w:sz w:val="28"/>
          <w:szCs w:val="28"/>
        </w:rPr>
        <w:t xml:space="preserve"> </w:t>
      </w:r>
      <w:r w:rsidRPr="00156441">
        <w:rPr>
          <w:rFonts w:ascii="Times New Roman" w:hAnsi="Times New Roman" w:cs="Times New Roman"/>
          <w:sz w:val="28"/>
          <w:szCs w:val="28"/>
        </w:rPr>
        <w:t>В. Крінскі з використанням спектрофотометрії в ультрафіолетовому діапазоні. Хід визначення. Си</w:t>
      </w:r>
      <w:r w:rsidR="00D25272" w:rsidRPr="00156441">
        <w:rPr>
          <w:rFonts w:ascii="Times New Roman" w:hAnsi="Times New Roman" w:cs="Times New Roman"/>
          <w:sz w:val="28"/>
          <w:szCs w:val="28"/>
        </w:rPr>
        <w:t>роватку розводили в 4 рази 0,02 </w:t>
      </w:r>
      <w:r w:rsidRPr="00156441">
        <w:rPr>
          <w:rFonts w:ascii="Times New Roman" w:hAnsi="Times New Roman" w:cs="Times New Roman"/>
          <w:sz w:val="28"/>
          <w:szCs w:val="28"/>
        </w:rPr>
        <w:t>М фосфатним буфером (рН 7,0). 1 мл проби переносили на колонку з полістиролу обсягом 3 × 0,8 см, заповнену DEAE-сефадексом А-50. Потім ферменти елюювали 5,0 мл 0,02 М фосфатного буфера (рН 7,0), що містить 0,05 М NaCl, зі швидкістю 1 мл</w:t>
      </w:r>
      <w:r w:rsidR="009C6C87" w:rsidRPr="00156441">
        <w:rPr>
          <w:rFonts w:ascii="Times New Roman" w:hAnsi="Times New Roman" w:cs="Times New Roman"/>
          <w:sz w:val="28"/>
          <w:szCs w:val="28"/>
        </w:rPr>
        <w:t>/</w:t>
      </w:r>
      <w:r w:rsidRPr="00156441">
        <w:rPr>
          <w:rFonts w:ascii="Times New Roman" w:hAnsi="Times New Roman" w:cs="Times New Roman"/>
          <w:sz w:val="28"/>
          <w:szCs w:val="28"/>
        </w:rPr>
        <w:t>хв.</w:t>
      </w:r>
    </w:p>
    <w:p w:rsidR="00007631" w:rsidRPr="00156441" w:rsidRDefault="00007631" w:rsidP="00D25272">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Для визначення активності калікреїну до 1 мл елюата додавали 1 мл 0,1 М фосфатного буфера (рН 8,0) і 1 мл 1,5 мМ розчину БАЕЕ (бензоїл-аргініновая ефіру, Reanal, Угорщина). Відразу після додавання вимірювали оптичну щільність при довжині хвилі 253 нм і через 15 хв. її приріст в тій же пробі.</w:t>
      </w:r>
    </w:p>
    <w:p w:rsidR="00007631" w:rsidRPr="00156441" w:rsidRDefault="00007631" w:rsidP="00D25272">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Для визначення активності калікреїногену до 1 мл елюата додавали 0,8 мл 0,1 М фосфатного буфера (рН 8,0) і 0,1 мл 0,1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розчину трипсин-інгібітора з сої (ICN, США) в 0,1 М фосфатному буфері (рН 8,0). Проби інкубували 15 хв. при кімнатній температурі і вносили 1 мл 1,5 мМ розчину БАЕЕ. Вимірювали оптичну щільність при довжині хвилі 253 нм. Активність калікреїну і калікреїн</w:t>
      </w:r>
      <w:r w:rsidR="00D25272" w:rsidRPr="00156441">
        <w:rPr>
          <w:rFonts w:ascii="Times New Roman" w:hAnsi="Times New Roman" w:cs="Times New Roman"/>
          <w:sz w:val="28"/>
          <w:szCs w:val="28"/>
        </w:rPr>
        <w:t>огену висловлювали в Е/</w:t>
      </w:r>
      <w:r w:rsidRPr="00156441">
        <w:rPr>
          <w:rFonts w:ascii="Times New Roman" w:hAnsi="Times New Roman" w:cs="Times New Roman"/>
          <w:sz w:val="28"/>
          <w:szCs w:val="28"/>
        </w:rPr>
        <w:t>л сироватки.</w:t>
      </w:r>
    </w:p>
    <w:p w:rsidR="00007631" w:rsidRPr="00156441" w:rsidRDefault="00007631" w:rsidP="0000763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єктом біохімічних та імунологічних досл</w:t>
      </w:r>
      <w:r w:rsidR="00D25272" w:rsidRPr="00156441">
        <w:rPr>
          <w:rFonts w:ascii="Times New Roman" w:hAnsi="Times New Roman" w:cs="Times New Roman"/>
          <w:sz w:val="28"/>
          <w:szCs w:val="28"/>
        </w:rPr>
        <w:t xml:space="preserve">іджень була периферійна кров, </w:t>
      </w:r>
      <w:r w:rsidRPr="00156441">
        <w:rPr>
          <w:rFonts w:ascii="Times New Roman" w:hAnsi="Times New Roman" w:cs="Times New Roman"/>
          <w:sz w:val="28"/>
          <w:szCs w:val="28"/>
        </w:rPr>
        <w:t>забір якої відбувався з ліктьової вени у кількості 10 мл зранку натщесерце 1 раз протягом виконання роботи.</w:t>
      </w:r>
    </w:p>
    <w:p w:rsidR="00184106" w:rsidRPr="00FA23AF" w:rsidRDefault="00184106" w:rsidP="00184106">
      <w:pPr>
        <w:spacing w:after="0" w:line="360" w:lineRule="auto"/>
        <w:contextualSpacing/>
        <w:rPr>
          <w:rFonts w:ascii="Times New Roman" w:hAnsi="Times New Roman" w:cs="Times New Roman"/>
          <w:sz w:val="28"/>
          <w:szCs w:val="28"/>
        </w:rPr>
      </w:pPr>
    </w:p>
    <w:p w:rsidR="00FA6E72" w:rsidRPr="009D2378" w:rsidRDefault="00007631" w:rsidP="000F7C61">
      <w:pPr>
        <w:spacing w:after="0" w:line="360" w:lineRule="auto"/>
        <w:ind w:left="420" w:firstLine="288"/>
        <w:contextualSpacing/>
        <w:jc w:val="center"/>
        <w:rPr>
          <w:rFonts w:ascii="Times New Roman" w:hAnsi="Times New Roman" w:cs="Times New Roman"/>
          <w:sz w:val="28"/>
          <w:szCs w:val="28"/>
          <w:lang w:val="ru-RU"/>
        </w:rPr>
      </w:pPr>
      <w:r w:rsidRPr="00156441">
        <w:rPr>
          <w:rFonts w:ascii="Times New Roman" w:hAnsi="Times New Roman" w:cs="Times New Roman"/>
          <w:sz w:val="28"/>
          <w:szCs w:val="28"/>
        </w:rPr>
        <w:t>Методи статистичної обробки матеріалу</w:t>
      </w:r>
    </w:p>
    <w:p w:rsidR="0075196F" w:rsidRPr="00156441" w:rsidRDefault="00007631" w:rsidP="0075196F">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Статистичний аналіз результатів експериментальних досліджень проводили з використанням комп</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ютерного пакету прикладних програм для обробки </w:t>
      </w:r>
      <w:r w:rsidRPr="00156441">
        <w:rPr>
          <w:rFonts w:ascii="Times New Roman" w:hAnsi="Times New Roman" w:cs="Times New Roman"/>
          <w:sz w:val="28"/>
          <w:szCs w:val="28"/>
        </w:rPr>
        <w:lastRenderedPageBreak/>
        <w:t>статистичної інформації Statistica 6.1 (StatSoft, Inc., США). Первинну статистичну обробку даних починали з перевірки припущення про відповідність розподілу вибірок закону нормального розподілу за допомогою критерію Шапіро-Вилка. У разі нормального розподілу результати описували параметрич</w:t>
      </w:r>
      <w:r w:rsidR="00D25272" w:rsidRPr="00156441">
        <w:rPr>
          <w:rFonts w:ascii="Times New Roman" w:hAnsi="Times New Roman" w:cs="Times New Roman"/>
          <w:sz w:val="28"/>
          <w:szCs w:val="28"/>
        </w:rPr>
        <w:t>ними характеристиками —</w:t>
      </w:r>
      <w:r w:rsidRPr="00156441">
        <w:rPr>
          <w:rFonts w:ascii="Times New Roman" w:hAnsi="Times New Roman" w:cs="Times New Roman"/>
          <w:sz w:val="28"/>
          <w:szCs w:val="28"/>
        </w:rPr>
        <w:t xml:space="preserve"> середнім значенням показника, що вивчається (М)</w:t>
      </w:r>
      <w:r w:rsidR="00D25272" w:rsidRPr="00156441">
        <w:rPr>
          <w:rFonts w:ascii="Times New Roman" w:hAnsi="Times New Roman" w:cs="Times New Roman"/>
          <w:sz w:val="28"/>
          <w:szCs w:val="28"/>
        </w:rPr>
        <w:t>,</w:t>
      </w:r>
      <w:r w:rsidRPr="00156441">
        <w:rPr>
          <w:rFonts w:ascii="Times New Roman" w:hAnsi="Times New Roman" w:cs="Times New Roman"/>
          <w:sz w:val="28"/>
          <w:szCs w:val="28"/>
        </w:rPr>
        <w:t xml:space="preserve"> і середнім квадратичним відхиленням (s); в разі відсутності нормального розподілу</w:t>
      </w:r>
      <w:r w:rsidR="00D25272" w:rsidRPr="00156441">
        <w:rPr>
          <w:rFonts w:ascii="Times New Roman" w:hAnsi="Times New Roman" w:cs="Times New Roman"/>
          <w:sz w:val="28"/>
          <w:szCs w:val="28"/>
        </w:rPr>
        <w:t> — непараметричними характеристиками —</w:t>
      </w:r>
      <w:r w:rsidRPr="00156441">
        <w:rPr>
          <w:rFonts w:ascii="Times New Roman" w:hAnsi="Times New Roman" w:cs="Times New Roman"/>
          <w:sz w:val="28"/>
          <w:szCs w:val="28"/>
        </w:rPr>
        <w:t xml:space="preserve"> медианой вибірки (Ме) і інтерквартільним розмахом [зна</w:t>
      </w:r>
      <w:r w:rsidR="00D25272" w:rsidRPr="00156441">
        <w:rPr>
          <w:rFonts w:ascii="Times New Roman" w:hAnsi="Times New Roman" w:cs="Times New Roman"/>
          <w:sz w:val="28"/>
          <w:szCs w:val="28"/>
        </w:rPr>
        <w:t>ченнями 25-го і 75-го процентилю</w:t>
      </w:r>
      <w:r w:rsidRPr="00156441">
        <w:rPr>
          <w:rFonts w:ascii="Times New Roman" w:hAnsi="Times New Roman" w:cs="Times New Roman"/>
          <w:sz w:val="28"/>
          <w:szCs w:val="28"/>
        </w:rPr>
        <w:t xml:space="preserve">]. Для порівняння двох нормальних розподілів застосовували t-критерій Стьюдента. Якщо хоча б одне з розподілів не було нормальним, то для порівняння незалежних вибірок застосовували рангові критерій Манна-Уїтні. </w:t>
      </w:r>
      <w:r w:rsidR="00520E5A" w:rsidRPr="00634BC7">
        <w:rPr>
          <w:rFonts w:ascii="Times New Roman" w:eastAsia="TimesNewRomanPSMT" w:hAnsi="Times New Roman"/>
          <w:sz w:val="28"/>
          <w:szCs w:val="28"/>
        </w:rPr>
        <w:t xml:space="preserve">Аналіз взаємозв’язків </w:t>
      </w:r>
      <w:r w:rsidR="00520E5A">
        <w:rPr>
          <w:rFonts w:ascii="Times New Roman" w:eastAsia="TimesNewRomanPSMT" w:hAnsi="Times New Roman"/>
          <w:sz w:val="28"/>
          <w:szCs w:val="28"/>
        </w:rPr>
        <w:t xml:space="preserve">між показниками, що вивчалися, було </w:t>
      </w:r>
      <w:r w:rsidR="00520E5A" w:rsidRPr="00634BC7">
        <w:rPr>
          <w:rFonts w:ascii="Times New Roman" w:eastAsia="TimesNewRomanPSMT" w:hAnsi="Times New Roman"/>
          <w:sz w:val="28"/>
          <w:szCs w:val="28"/>
        </w:rPr>
        <w:t>проведено</w:t>
      </w:r>
      <w:r w:rsidR="00520E5A">
        <w:rPr>
          <w:rFonts w:ascii="Times New Roman" w:eastAsia="TimesNewRomanPSMT" w:hAnsi="Times New Roman"/>
          <w:sz w:val="28"/>
          <w:szCs w:val="28"/>
        </w:rPr>
        <w:t>, використовуючи кореляцію</w:t>
      </w:r>
      <w:r w:rsidR="00520E5A" w:rsidRPr="00634BC7">
        <w:rPr>
          <w:rFonts w:ascii="Times New Roman" w:eastAsia="TimesNewRomanPSMT" w:hAnsi="Times New Roman"/>
          <w:sz w:val="28"/>
          <w:szCs w:val="28"/>
        </w:rPr>
        <w:t xml:space="preserve"> Спірмена</w:t>
      </w:r>
      <w:r w:rsidR="00520E5A">
        <w:rPr>
          <w:rFonts w:ascii="Times New Roman" w:eastAsia="TimesNewRomanPSMT" w:hAnsi="Times New Roman"/>
          <w:sz w:val="28"/>
          <w:szCs w:val="28"/>
        </w:rPr>
        <w:t> </w:t>
      </w:r>
      <w:r w:rsidR="00520E5A" w:rsidRPr="00634BC7">
        <w:rPr>
          <w:rFonts w:ascii="Times New Roman" w:eastAsia="TimesNewRomanPSMT" w:hAnsi="Times New Roman"/>
          <w:sz w:val="28"/>
          <w:szCs w:val="28"/>
        </w:rPr>
        <w:t>(</w:t>
      </w:r>
      <w:r w:rsidR="00520E5A" w:rsidRPr="00634BC7">
        <w:rPr>
          <w:rFonts w:ascii="Times New Roman" w:eastAsia="TimesNewRomanPSMT" w:hAnsi="Times New Roman"/>
          <w:sz w:val="28"/>
          <w:szCs w:val="28"/>
          <w:lang w:val="en-US"/>
        </w:rPr>
        <w:t>r</w:t>
      </w:r>
      <w:r w:rsidR="00520E5A" w:rsidRPr="00634BC7">
        <w:rPr>
          <w:rFonts w:ascii="Times New Roman" w:eastAsia="TimesNewRomanPSMT" w:hAnsi="Times New Roman"/>
          <w:sz w:val="28"/>
          <w:szCs w:val="28"/>
        </w:rPr>
        <w:t xml:space="preserve">). </w:t>
      </w:r>
      <w:r w:rsidR="00520E5A" w:rsidRPr="00634BC7">
        <w:rPr>
          <w:rFonts w:ascii="Times New Roman" w:hAnsi="Times New Roman"/>
          <w:sz w:val="28"/>
          <w:szCs w:val="28"/>
        </w:rPr>
        <w:t xml:space="preserve">Критичний рівень значущості при перевірці статистичних гіпотез приймали при </w:t>
      </w:r>
      <w:r w:rsidR="00520E5A" w:rsidRPr="00634BC7">
        <w:rPr>
          <w:rFonts w:ascii="Times New Roman" w:hAnsi="Times New Roman"/>
          <w:sz w:val="28"/>
          <w:szCs w:val="28"/>
          <w:lang w:val="en-US"/>
        </w:rPr>
        <w:t>p</w:t>
      </w:r>
      <w:r w:rsidR="00520E5A" w:rsidRPr="00634BC7">
        <w:rPr>
          <w:rFonts w:ascii="Times New Roman" w:hAnsi="Times New Roman"/>
          <w:sz w:val="28"/>
          <w:szCs w:val="28"/>
        </w:rPr>
        <w:t>&lt;0,05</w:t>
      </w:r>
    </w:p>
    <w:p w:rsidR="0075196F" w:rsidRPr="00156441" w:rsidRDefault="0075196F">
      <w:pPr>
        <w:rPr>
          <w:rFonts w:ascii="Times New Roman" w:hAnsi="Times New Roman" w:cs="Times New Roman"/>
          <w:sz w:val="28"/>
          <w:szCs w:val="28"/>
        </w:rPr>
      </w:pPr>
      <w:r w:rsidRPr="00156441">
        <w:rPr>
          <w:rFonts w:ascii="Times New Roman" w:hAnsi="Times New Roman" w:cs="Times New Roman"/>
          <w:sz w:val="28"/>
          <w:szCs w:val="28"/>
        </w:rPr>
        <w:br w:type="page"/>
      </w:r>
    </w:p>
    <w:p w:rsidR="00343268" w:rsidRPr="00156441" w:rsidRDefault="00343268" w:rsidP="00D1740C">
      <w:pPr>
        <w:spacing w:after="0" w:line="360" w:lineRule="auto"/>
        <w:contextualSpacing/>
        <w:jc w:val="center"/>
        <w:rPr>
          <w:rFonts w:ascii="Times New Roman" w:eastAsia="Times New Roman" w:hAnsi="Times New Roman" w:cs="Times New Roman"/>
          <w:b/>
          <w:sz w:val="28"/>
          <w:szCs w:val="28"/>
        </w:rPr>
      </w:pPr>
      <w:bookmarkStart w:id="10" w:name="Rozd_3_Vlasni"/>
      <w:r w:rsidRPr="00156441">
        <w:rPr>
          <w:rFonts w:ascii="Times New Roman" w:eastAsia="Times New Roman" w:hAnsi="Times New Roman" w:cs="Times New Roman"/>
          <w:b/>
          <w:sz w:val="28"/>
          <w:szCs w:val="28"/>
        </w:rPr>
        <w:lastRenderedPageBreak/>
        <w:t xml:space="preserve">РОЗДІЛ </w:t>
      </w:r>
      <w:r w:rsidR="00A05646" w:rsidRPr="00156441">
        <w:rPr>
          <w:rFonts w:ascii="Times New Roman" w:eastAsia="Times New Roman" w:hAnsi="Times New Roman" w:cs="Times New Roman"/>
          <w:b/>
          <w:sz w:val="28"/>
          <w:szCs w:val="28"/>
        </w:rPr>
        <w:t>3</w:t>
      </w:r>
    </w:p>
    <w:bookmarkEnd w:id="10"/>
    <w:p w:rsidR="00343268" w:rsidRPr="00156441" w:rsidRDefault="00343268" w:rsidP="00D1740C">
      <w:pPr>
        <w:spacing w:after="0" w:line="360" w:lineRule="auto"/>
        <w:contextualSpacing/>
        <w:jc w:val="center"/>
        <w:rPr>
          <w:rFonts w:ascii="Times New Roman" w:eastAsia="Times New Roman" w:hAnsi="Times New Roman" w:cs="Times New Roman"/>
          <w:b/>
          <w:sz w:val="28"/>
          <w:szCs w:val="28"/>
        </w:rPr>
      </w:pPr>
      <w:r w:rsidRPr="00156441">
        <w:rPr>
          <w:rFonts w:ascii="Times New Roman" w:eastAsia="Times New Roman" w:hAnsi="Times New Roman" w:cs="Times New Roman"/>
          <w:b/>
          <w:sz w:val="28"/>
          <w:szCs w:val="28"/>
        </w:rPr>
        <w:t>ВЛАСНІ ДОСЛІДЖЕННЯ</w:t>
      </w:r>
    </w:p>
    <w:p w:rsidR="00343268" w:rsidRPr="00156441" w:rsidRDefault="00343268" w:rsidP="00D1740C">
      <w:pPr>
        <w:spacing w:after="0" w:line="240" w:lineRule="auto"/>
        <w:contextualSpacing/>
        <w:jc w:val="center"/>
        <w:rPr>
          <w:rFonts w:ascii="Times New Roman" w:eastAsia="Times New Roman" w:hAnsi="Times New Roman" w:cs="Times New Roman"/>
          <w:sz w:val="28"/>
          <w:szCs w:val="28"/>
          <w:lang w:eastAsia="ru-RU"/>
        </w:rPr>
      </w:pPr>
    </w:p>
    <w:p w:rsidR="00343268" w:rsidRPr="00156441" w:rsidRDefault="00A05646" w:rsidP="00D1740C">
      <w:pPr>
        <w:spacing w:after="0" w:line="360" w:lineRule="auto"/>
        <w:contextualSpacing/>
        <w:jc w:val="center"/>
        <w:rPr>
          <w:rFonts w:ascii="Times New Roman" w:eastAsia="Times New Roman" w:hAnsi="Times New Roman" w:cs="Times New Roman"/>
          <w:b/>
          <w:sz w:val="28"/>
          <w:szCs w:val="28"/>
          <w:lang w:eastAsia="ru-RU"/>
        </w:rPr>
      </w:pPr>
      <w:bookmarkStart w:id="11" w:name="Pidrozd_3_1"/>
      <w:r w:rsidRPr="00156441">
        <w:rPr>
          <w:rFonts w:ascii="Times New Roman" w:eastAsia="Times New Roman" w:hAnsi="Times New Roman" w:cs="Times New Roman"/>
          <w:b/>
          <w:sz w:val="28"/>
          <w:szCs w:val="28"/>
          <w:lang w:eastAsia="ru-RU"/>
        </w:rPr>
        <w:t>3</w:t>
      </w:r>
      <w:r w:rsidR="00343268" w:rsidRPr="00156441">
        <w:rPr>
          <w:rFonts w:ascii="Times New Roman" w:eastAsia="Times New Roman" w:hAnsi="Times New Roman" w:cs="Times New Roman"/>
          <w:b/>
          <w:sz w:val="28"/>
          <w:szCs w:val="28"/>
          <w:lang w:eastAsia="ru-RU"/>
        </w:rPr>
        <w:t>.1. Зміни рівня в</w:t>
      </w:r>
      <w:r w:rsidR="00A7727E">
        <w:rPr>
          <w:rFonts w:ascii="Times New Roman" w:eastAsia="Times New Roman" w:hAnsi="Times New Roman" w:cs="Times New Roman"/>
          <w:b/>
          <w:sz w:val="28"/>
          <w:szCs w:val="28"/>
          <w:lang w:eastAsia="ru-RU"/>
        </w:rPr>
        <w:t xml:space="preserve">азоактивного інтестинального </w:t>
      </w:r>
      <w:r w:rsidR="00343268" w:rsidRPr="00156441">
        <w:rPr>
          <w:rFonts w:ascii="Times New Roman" w:eastAsia="Times New Roman" w:hAnsi="Times New Roman" w:cs="Times New Roman"/>
          <w:b/>
          <w:sz w:val="28"/>
          <w:szCs w:val="28"/>
          <w:lang w:eastAsia="ru-RU"/>
        </w:rPr>
        <w:t>пептиду та васкулоендотеліального фактора росту</w:t>
      </w:r>
    </w:p>
    <w:bookmarkEnd w:id="11"/>
    <w:p w:rsidR="00343268" w:rsidRPr="00156441" w:rsidRDefault="00343268" w:rsidP="00343268">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Нейропептиди, наприклад вазоактивний інтестинальний пептид, мають здебільшого локальний ефект,зокрема, приймають участь у регуляції кровообігу серця, легень, шлунково-кишкового тракту та ін. Ця сигнальна молекула продукується у багатьох структурах легень </w:t>
      </w:r>
      <w:r w:rsidR="0075196F"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 ГМК бронхів та їх судинах, у легеневих артеріях та слизової оболонки дихальних шляхів. ВІП сприяє бронходилятації та вазодилятації артерій великого кругу кровообігу, та також має імуномодулючу дію. Тож, вважаючи важ</w:t>
      </w:r>
      <w:r w:rsidR="0075196F" w:rsidRPr="00156441">
        <w:rPr>
          <w:rFonts w:ascii="Times New Roman" w:eastAsia="Times New Roman" w:hAnsi="Times New Roman" w:cs="Times New Roman"/>
          <w:sz w:val="28"/>
          <w:szCs w:val="28"/>
          <w:lang w:eastAsia="ru-RU"/>
        </w:rPr>
        <w:t>ливість цієї сигнальної молекули</w:t>
      </w:r>
      <w:r w:rsidRPr="00156441">
        <w:rPr>
          <w:rFonts w:ascii="Times New Roman" w:eastAsia="Times New Roman" w:hAnsi="Times New Roman" w:cs="Times New Roman"/>
          <w:sz w:val="28"/>
          <w:szCs w:val="28"/>
          <w:lang w:eastAsia="ru-RU"/>
        </w:rPr>
        <w:t>, що підтримує адекватний органний кровоо</w:t>
      </w:r>
      <w:r w:rsidR="0075196F" w:rsidRPr="00156441">
        <w:rPr>
          <w:rFonts w:ascii="Times New Roman" w:eastAsia="Times New Roman" w:hAnsi="Times New Roman" w:cs="Times New Roman"/>
          <w:sz w:val="28"/>
          <w:szCs w:val="28"/>
          <w:lang w:eastAsia="ru-RU"/>
        </w:rPr>
        <w:t>біг та артеріальний тиск шляхом</w:t>
      </w:r>
      <w:r w:rsidRPr="00156441">
        <w:rPr>
          <w:rFonts w:ascii="Times New Roman" w:eastAsia="Times New Roman" w:hAnsi="Times New Roman" w:cs="Times New Roman"/>
          <w:sz w:val="28"/>
          <w:szCs w:val="28"/>
          <w:lang w:eastAsia="ru-RU"/>
        </w:rPr>
        <w:t xml:space="preserve"> регулювання судинного тонусу як на локальному, так й на системному рівні, потребує детальнішого дослідження у хворих на розглянуту поєднану патологію. </w:t>
      </w:r>
    </w:p>
    <w:p w:rsidR="00343268" w:rsidRPr="00156441" w:rsidRDefault="00343268" w:rsidP="00343268">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При зіставленні з контролем </w:t>
      </w:r>
      <w:r w:rsidR="0075196F" w:rsidRPr="00156441">
        <w:rPr>
          <w:rFonts w:ascii="Times New Roman" w:eastAsia="Times New Roman" w:hAnsi="Times New Roman" w:cs="Times New Roman"/>
          <w:sz w:val="28"/>
          <w:szCs w:val="28"/>
          <w:lang w:eastAsia="ru-RU"/>
        </w:rPr>
        <w:t>та групою порівняння виявилось</w:t>
      </w:r>
      <w:r w:rsidRPr="00156441">
        <w:rPr>
          <w:rFonts w:ascii="Times New Roman" w:eastAsia="Times New Roman" w:hAnsi="Times New Roman" w:cs="Times New Roman"/>
          <w:sz w:val="28"/>
          <w:szCs w:val="28"/>
          <w:lang w:eastAsia="ru-RU"/>
        </w:rPr>
        <w:t xml:space="preserve"> зниження (р&lt;0,001) у плазмі крові хворих основної групи вмісту вазоактивного інтестинального пептиду у середньому в 2,0 рази</w:t>
      </w:r>
      <w:r w:rsidR="00A05646" w:rsidRPr="00156441">
        <w:rPr>
          <w:rFonts w:ascii="Times New Roman" w:eastAsia="Times New Roman" w:hAnsi="Times New Roman" w:cs="Times New Roman"/>
          <w:sz w:val="28"/>
          <w:szCs w:val="28"/>
          <w:lang w:eastAsia="ru-RU"/>
        </w:rPr>
        <w:t xml:space="preserve"> (табл. 3</w:t>
      </w:r>
      <w:r w:rsidR="004D3135" w:rsidRPr="00156441">
        <w:rPr>
          <w:rFonts w:ascii="Times New Roman" w:eastAsia="Times New Roman" w:hAnsi="Times New Roman" w:cs="Times New Roman"/>
          <w:sz w:val="28"/>
          <w:szCs w:val="28"/>
          <w:lang w:eastAsia="ru-RU"/>
        </w:rPr>
        <w:t>.1.1</w:t>
      </w:r>
      <w:r w:rsidRPr="00156441">
        <w:rPr>
          <w:rFonts w:ascii="Times New Roman" w:eastAsia="Times New Roman" w:hAnsi="Times New Roman" w:cs="Times New Roman"/>
          <w:sz w:val="28"/>
          <w:szCs w:val="28"/>
          <w:lang w:eastAsia="ru-RU"/>
        </w:rPr>
        <w:t xml:space="preserve">, </w:t>
      </w:r>
      <w:r w:rsidR="00FA6E72" w:rsidRPr="00156441">
        <w:rPr>
          <w:rFonts w:ascii="Times New Roman" w:eastAsia="Times New Roman" w:hAnsi="Times New Roman" w:cs="Times New Roman"/>
          <w:sz w:val="28"/>
          <w:szCs w:val="28"/>
          <w:lang w:eastAsia="ru-RU"/>
        </w:rPr>
        <w:t>рис. 1</w:t>
      </w:r>
      <w:r w:rsidRPr="00156441">
        <w:rPr>
          <w:rFonts w:ascii="Times New Roman" w:eastAsia="Times New Roman" w:hAnsi="Times New Roman" w:cs="Times New Roman"/>
          <w:sz w:val="28"/>
          <w:szCs w:val="28"/>
          <w:lang w:eastAsia="ru-RU"/>
        </w:rPr>
        <w:t>). Лише у 5 пацієнтів (9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цієї групи вміст ВIП перетинався з діапазоном значень контролю та групи порівняння. Рівень ВIП у випадку ізольованого перебігу ХОЗЛ практично не відрізнявся від контролю (р=0,500).</w:t>
      </w:r>
    </w:p>
    <w:p w:rsidR="006549C4" w:rsidRDefault="006549C4" w:rsidP="00343268">
      <w:pPr>
        <w:shd w:val="clear" w:color="auto" w:fill="FFFFFF"/>
        <w:spacing w:after="0" w:line="360" w:lineRule="auto"/>
        <w:contextualSpacing/>
        <w:jc w:val="right"/>
        <w:rPr>
          <w:rFonts w:ascii="Times New Roman" w:eastAsia="Times New Roman" w:hAnsi="Times New Roman" w:cs="Times New Roman"/>
          <w:sz w:val="28"/>
          <w:szCs w:val="28"/>
          <w:lang w:eastAsia="ru-RU"/>
        </w:rPr>
      </w:pPr>
    </w:p>
    <w:p w:rsidR="00343268" w:rsidRPr="00156441" w:rsidRDefault="00A05646" w:rsidP="00343268">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Таблиця 3</w:t>
      </w:r>
      <w:r w:rsidR="00343268" w:rsidRPr="00156441">
        <w:rPr>
          <w:rFonts w:ascii="Times New Roman" w:eastAsia="Times New Roman" w:hAnsi="Times New Roman" w:cs="Times New Roman"/>
          <w:sz w:val="28"/>
          <w:szCs w:val="28"/>
          <w:lang w:eastAsia="ru-RU"/>
        </w:rPr>
        <w:t>.1.1</w:t>
      </w:r>
    </w:p>
    <w:p w:rsidR="00343268" w:rsidRPr="00156441" w:rsidRDefault="00343268" w:rsidP="00343268">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 xml:space="preserve">Вміст </w:t>
      </w:r>
      <w:r w:rsidRPr="00156441">
        <w:rPr>
          <w:rFonts w:ascii="Times New Roman" w:eastAsia="Times New Roman" w:hAnsi="Times New Roman" w:cs="Times New Roman"/>
          <w:sz w:val="28"/>
          <w:szCs w:val="28"/>
          <w:lang w:eastAsia="ru-RU"/>
        </w:rPr>
        <w:t xml:space="preserve">вазоактивного інтестинального пептиду та васкулоендотеліального фактора росту </w:t>
      </w:r>
      <w:r w:rsidRPr="00156441">
        <w:rPr>
          <w:rFonts w:ascii="Times New Roman" w:eastAsia="Times New Roman" w:hAnsi="Times New Roman" w:cs="Times New Roman"/>
          <w:bCs/>
          <w:sz w:val="28"/>
          <w:szCs w:val="28"/>
          <w:lang w:eastAsia="ru-RU"/>
        </w:rPr>
        <w:t>у крові хворих 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410"/>
        <w:gridCol w:w="2409"/>
        <w:gridCol w:w="1985"/>
      </w:tblGrid>
      <w:tr w:rsidR="00156441" w:rsidRPr="00156441" w:rsidTr="006549C4">
        <w:trPr>
          <w:trHeight w:val="934"/>
        </w:trPr>
        <w:tc>
          <w:tcPr>
            <w:tcW w:w="3114" w:type="dxa"/>
            <w:tcBorders>
              <w:top w:val="single" w:sz="4" w:space="0" w:color="auto"/>
              <w:left w:val="single" w:sz="4" w:space="0" w:color="auto"/>
              <w:bottom w:val="single" w:sz="4" w:space="0" w:color="auto"/>
              <w:right w:val="single" w:sz="4" w:space="0" w:color="auto"/>
            </w:tcBorders>
            <w:shd w:val="clear" w:color="auto" w:fill="auto"/>
          </w:tcPr>
          <w:p w:rsidR="00343268" w:rsidRPr="00156441" w:rsidRDefault="00343268" w:rsidP="00626B0D">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43268" w:rsidRPr="00156441" w:rsidRDefault="00343268" w:rsidP="00343268">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343268" w:rsidRPr="00156441" w:rsidRDefault="004D3135" w:rsidP="006549C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r w:rsidR="00343268" w:rsidRPr="00156441">
              <w:rPr>
                <w:rFonts w:ascii="Times New Roman" w:eastAsia="Times New Roman" w:hAnsi="Times New Roman" w:cs="Times New Roman"/>
                <w:sz w:val="28"/>
                <w:szCs w:val="28"/>
                <w:lang w:eastAsia="ru-RU"/>
              </w:rPr>
              <w:t>)</w:t>
            </w:r>
            <w:r w:rsidR="006549C4">
              <w:rPr>
                <w:rFonts w:ascii="Times New Roman" w:eastAsia="Times New Roman" w:hAnsi="Times New Roman" w:cs="Times New Roman"/>
                <w:sz w:val="28"/>
                <w:szCs w:val="28"/>
                <w:lang w:eastAsia="ru-RU"/>
              </w:rPr>
              <w:t xml:space="preserve">, </w:t>
            </w:r>
            <w:r w:rsidR="00343268" w:rsidRPr="00156441">
              <w:rPr>
                <w:rFonts w:ascii="Times New Roman" w:eastAsia="Times New Roman" w:hAnsi="Times New Roman" w:cs="Times New Roman"/>
                <w:sz w:val="28"/>
                <w:szCs w:val="28"/>
                <w:lang w:eastAsia="ru-RU"/>
              </w:rPr>
              <w:t>n=55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43268" w:rsidRPr="00156441" w:rsidRDefault="00343268" w:rsidP="006549C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w:t>
            </w:r>
            <w:r w:rsidR="0075196F"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порівняння (ХОЗЛ)</w:t>
            </w:r>
            <w:r w:rsidR="006549C4">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n=45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3268" w:rsidRPr="00156441" w:rsidRDefault="004D3135"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6549C4">
        <w:tc>
          <w:tcPr>
            <w:tcW w:w="3114" w:type="dxa"/>
            <w:tcBorders>
              <w:top w:val="single" w:sz="4" w:space="0" w:color="auto"/>
              <w:left w:val="single" w:sz="4" w:space="0" w:color="auto"/>
              <w:bottom w:val="single" w:sz="4" w:space="0" w:color="auto"/>
              <w:right w:val="single" w:sz="4" w:space="0" w:color="auto"/>
            </w:tcBorders>
            <w:shd w:val="clear" w:color="auto" w:fill="auto"/>
          </w:tcPr>
          <w:p w:rsidR="00343268" w:rsidRPr="00156441" w:rsidRDefault="00343268" w:rsidP="00626B0D">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Вазоактивний інтестинальний пептид, нг/л</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13,1 [9,92; 15,9]</w:t>
            </w:r>
          </w:p>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26,4</w:t>
            </w:r>
            <w:r w:rsidR="004D3135"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[21,3; 29,0]</w:t>
            </w:r>
          </w:p>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p=0,500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25,8 [22,2</w:t>
            </w:r>
            <w:r w:rsidR="004D3135"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30,8]</w:t>
            </w:r>
          </w:p>
        </w:tc>
      </w:tr>
      <w:tr w:rsidR="006549C4" w:rsidRPr="00156441" w:rsidTr="006549C4">
        <w:tc>
          <w:tcPr>
            <w:tcW w:w="9918" w:type="dxa"/>
            <w:gridSpan w:val="4"/>
            <w:tcBorders>
              <w:top w:val="single" w:sz="4" w:space="0" w:color="auto"/>
              <w:left w:val="single" w:sz="4" w:space="0" w:color="auto"/>
              <w:bottom w:val="single" w:sz="4" w:space="0" w:color="auto"/>
              <w:right w:val="single" w:sz="4" w:space="0" w:color="auto"/>
            </w:tcBorders>
            <w:shd w:val="clear" w:color="auto" w:fill="auto"/>
          </w:tcPr>
          <w:p w:rsidR="006549C4" w:rsidRPr="006549C4" w:rsidRDefault="006549C4" w:rsidP="006549C4">
            <w:pPr>
              <w:spacing w:after="0" w:line="360" w:lineRule="auto"/>
              <w:contextualSpacing/>
              <w:jc w:val="right"/>
              <w:rPr>
                <w:rFonts w:ascii="Times New Roman" w:eastAsia="Times New Roman" w:hAnsi="Times New Roman" w:cs="Times New Roman"/>
                <w:i/>
                <w:sz w:val="28"/>
                <w:szCs w:val="28"/>
                <w:lang w:eastAsia="ru-RU"/>
              </w:rPr>
            </w:pPr>
            <w:r w:rsidRPr="006549C4">
              <w:rPr>
                <w:rFonts w:ascii="Times New Roman" w:eastAsia="Times New Roman" w:hAnsi="Times New Roman" w:cs="Times New Roman"/>
                <w:i/>
                <w:sz w:val="28"/>
                <w:szCs w:val="28"/>
                <w:lang w:eastAsia="ru-RU"/>
              </w:rPr>
              <w:lastRenderedPageBreak/>
              <w:t>Продовження таблиці 3.1.1</w:t>
            </w:r>
          </w:p>
        </w:tc>
      </w:tr>
      <w:tr w:rsidR="006549C4" w:rsidRPr="00156441" w:rsidTr="006549C4">
        <w:tc>
          <w:tcPr>
            <w:tcW w:w="3114" w:type="dxa"/>
            <w:tcBorders>
              <w:top w:val="single" w:sz="4" w:space="0" w:color="auto"/>
              <w:left w:val="single" w:sz="4" w:space="0" w:color="auto"/>
              <w:bottom w:val="single" w:sz="4" w:space="0" w:color="auto"/>
              <w:right w:val="single" w:sz="4" w:space="0" w:color="auto"/>
            </w:tcBorders>
            <w:shd w:val="clear" w:color="auto" w:fill="auto"/>
          </w:tcPr>
          <w:p w:rsidR="006549C4" w:rsidRPr="00156441" w:rsidRDefault="006549C4" w:rsidP="006549C4">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549C4" w:rsidRPr="00156441" w:rsidRDefault="006549C4" w:rsidP="006549C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6549C4" w:rsidRPr="00156441" w:rsidRDefault="006549C4" w:rsidP="006549C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r>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n=55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6549C4" w:rsidRPr="00156441" w:rsidRDefault="006549C4" w:rsidP="006549C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r>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n=45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549C4" w:rsidRPr="00156441" w:rsidRDefault="006549C4" w:rsidP="006549C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6549C4" w:rsidRPr="00156441" w:rsidRDefault="006549C4" w:rsidP="006549C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6549C4">
        <w:tc>
          <w:tcPr>
            <w:tcW w:w="3114" w:type="dxa"/>
            <w:tcBorders>
              <w:top w:val="single" w:sz="4" w:space="0" w:color="auto"/>
              <w:left w:val="single" w:sz="4" w:space="0" w:color="auto"/>
              <w:bottom w:val="single" w:sz="4" w:space="0" w:color="auto"/>
              <w:right w:val="single" w:sz="4" w:space="0" w:color="auto"/>
            </w:tcBorders>
            <w:shd w:val="clear" w:color="auto" w:fill="auto"/>
          </w:tcPr>
          <w:p w:rsidR="00343268" w:rsidRPr="00156441" w:rsidRDefault="00343268" w:rsidP="00626B0D">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Васкулоендотеліальний фактор росту, мкг/мл</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79</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[75; 85]</w:t>
            </w:r>
          </w:p>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61 [56; 64]</w:t>
            </w:r>
          </w:p>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43268" w:rsidRPr="00156441" w:rsidRDefault="00343268" w:rsidP="004D3135">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44 [38; 49]</w:t>
            </w:r>
          </w:p>
        </w:tc>
      </w:tr>
    </w:tbl>
    <w:p w:rsidR="00343268" w:rsidRPr="00156441" w:rsidRDefault="00343268" w:rsidP="00343268">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 xml:space="preserve">рівень значущості по відношенню до контролю;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343268" w:rsidRPr="00156441" w:rsidRDefault="002C7E0C" w:rsidP="0075196F">
      <w:pPr>
        <w:shd w:val="clear" w:color="auto" w:fill="FFFFFF"/>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67" w:dyaOrig="39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8pt;height:198.15pt;mso-position-vertical:absolute" o:ole="">
            <v:imagedata r:id="rId8" o:title=""/>
          </v:shape>
          <o:OLEObject Type="Embed" ProgID="STATISTICA.Graph" ShapeID="_x0000_i1025" DrawAspect="Content" ObjectID="_1579001519" r:id="rId9">
            <o:FieldCodes>\s</o:FieldCodes>
          </o:OLEObject>
        </w:object>
      </w:r>
    </w:p>
    <w:p w:rsidR="00343268" w:rsidRPr="00156441" w:rsidRDefault="00FA6E72" w:rsidP="004D3135">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1</w:t>
      </w:r>
      <w:r w:rsidR="00343268" w:rsidRPr="00156441">
        <w:rPr>
          <w:rFonts w:ascii="Times New Roman" w:eastAsia="Times New Roman" w:hAnsi="Times New Roman" w:cs="Times New Roman"/>
          <w:sz w:val="28"/>
          <w:szCs w:val="28"/>
          <w:lang w:eastAsia="ru-RU"/>
        </w:rPr>
        <w:t>. Вміст вазоактивного інтестинального пептиду</w:t>
      </w:r>
      <w:r w:rsidR="00343268" w:rsidRPr="00156441">
        <w:rPr>
          <w:rFonts w:ascii="Times New Roman" w:eastAsia="Times New Roman" w:hAnsi="Times New Roman" w:cs="Times New Roman"/>
          <w:bCs/>
          <w:sz w:val="28"/>
          <w:szCs w:val="28"/>
          <w:lang w:eastAsia="ru-RU"/>
        </w:rPr>
        <w:t xml:space="preserve"> (нг</w:t>
      </w:r>
      <w:r w:rsidR="00343268" w:rsidRPr="00156441">
        <w:rPr>
          <w:rFonts w:ascii="Times New Roman" w:eastAsia="Times New Roman" w:hAnsi="Times New Roman" w:cs="Times New Roman"/>
          <w:sz w:val="28"/>
          <w:szCs w:val="28"/>
          <w:lang w:eastAsia="ru-RU"/>
        </w:rPr>
        <w:t>/л) у</w:t>
      </w:r>
      <w:r w:rsidR="00343268" w:rsidRPr="00156441">
        <w:rPr>
          <w:rFonts w:ascii="Times New Roman" w:eastAsia="Times New Roman" w:hAnsi="Times New Roman" w:cs="Times New Roman"/>
          <w:bCs/>
          <w:sz w:val="28"/>
          <w:szCs w:val="28"/>
          <w:lang w:eastAsia="ru-RU"/>
        </w:rPr>
        <w:t xml:space="preserve"> плазмі крові</w:t>
      </w:r>
      <w:r w:rsidR="00343268" w:rsidRPr="00156441">
        <w:rPr>
          <w:rFonts w:ascii="Times New Roman" w:eastAsia="Times New Roman" w:hAnsi="Times New Roman" w:cs="Times New Roman"/>
          <w:sz w:val="28"/>
          <w:szCs w:val="28"/>
          <w:lang w:eastAsia="ru-RU"/>
        </w:rPr>
        <w:t xml:space="preserve"> хворих з</w:t>
      </w:r>
      <w:r w:rsidR="004D3135" w:rsidRPr="00156441">
        <w:rPr>
          <w:rFonts w:ascii="Times New Roman" w:hAnsi="Times New Roman" w:cs="Times New Roman"/>
          <w:sz w:val="28"/>
          <w:szCs w:val="28"/>
        </w:rPr>
        <w:t xml:space="preserve"> </w:t>
      </w:r>
      <w:r w:rsidRPr="00156441">
        <w:rPr>
          <w:rFonts w:ascii="Times New Roman" w:eastAsia="Times New Roman" w:hAnsi="Times New Roman" w:cs="Times New Roman"/>
          <w:sz w:val="28"/>
          <w:szCs w:val="28"/>
          <w:lang w:eastAsia="ru-RU"/>
        </w:rPr>
        <w:t xml:space="preserve">поєднаним перебігом ХОЗЛ і ГХ та </w:t>
      </w:r>
      <w:r w:rsidR="004D3135" w:rsidRPr="00156441">
        <w:rPr>
          <w:rFonts w:ascii="Times New Roman" w:eastAsia="Times New Roman" w:hAnsi="Times New Roman" w:cs="Times New Roman"/>
          <w:sz w:val="28"/>
          <w:szCs w:val="28"/>
          <w:lang w:eastAsia="ru-RU"/>
        </w:rPr>
        <w:t>з</w:t>
      </w:r>
      <w:r w:rsidR="00343268" w:rsidRPr="00156441">
        <w:rPr>
          <w:rFonts w:ascii="Times New Roman" w:eastAsia="Times New Roman" w:hAnsi="Times New Roman" w:cs="Times New Roman"/>
          <w:sz w:val="28"/>
          <w:szCs w:val="28"/>
          <w:lang w:eastAsia="ru-RU"/>
        </w:rPr>
        <w:t xml:space="preserve"> ізольованим перебігом ХОЗЛ</w:t>
      </w:r>
      <w:r w:rsidR="009C6C87" w:rsidRPr="00156441">
        <w:rPr>
          <w:rFonts w:ascii="Times New Roman" w:eastAsia="Times New Roman" w:hAnsi="Times New Roman" w:cs="Times New Roman"/>
          <w:sz w:val="28"/>
          <w:szCs w:val="28"/>
          <w:lang w:eastAsia="ru-RU"/>
        </w:rPr>
        <w:t xml:space="preserve"> </w:t>
      </w:r>
      <w:r w:rsidR="00343268" w:rsidRPr="00156441">
        <w:rPr>
          <w:rFonts w:ascii="Times New Roman" w:eastAsia="Times New Roman" w:hAnsi="Times New Roman" w:cs="Times New Roman"/>
          <w:bCs/>
          <w:sz w:val="28"/>
          <w:szCs w:val="28"/>
          <w:lang w:eastAsia="ru-RU"/>
        </w:rPr>
        <w:t>по відношенню до контролю</w:t>
      </w:r>
    </w:p>
    <w:p w:rsidR="004D3135" w:rsidRPr="00156441" w:rsidRDefault="004D3135" w:rsidP="004D3135">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Основними патологічними ланками гемодинамічних п</w:t>
      </w:r>
      <w:r w:rsidR="0075196F" w:rsidRPr="00156441">
        <w:rPr>
          <w:rFonts w:ascii="Times New Roman" w:eastAsia="Times New Roman" w:hAnsi="Times New Roman" w:cs="Times New Roman"/>
          <w:bCs/>
          <w:sz w:val="28"/>
          <w:szCs w:val="28"/>
          <w:lang w:eastAsia="ru-RU"/>
        </w:rPr>
        <w:t>орушень при ХОЗЛ з ГХ в легеневі</w:t>
      </w:r>
      <w:r w:rsidR="0056592D">
        <w:rPr>
          <w:rFonts w:ascii="Times New Roman" w:eastAsia="Times New Roman" w:hAnsi="Times New Roman" w:cs="Times New Roman"/>
          <w:bCs/>
          <w:sz w:val="28"/>
          <w:szCs w:val="28"/>
          <w:lang w:eastAsia="ru-RU"/>
        </w:rPr>
        <w:t>й</w:t>
      </w:r>
      <w:r w:rsidR="0075196F" w:rsidRPr="00156441">
        <w:rPr>
          <w:rFonts w:ascii="Times New Roman" w:eastAsia="Times New Roman" w:hAnsi="Times New Roman" w:cs="Times New Roman"/>
          <w:bCs/>
          <w:sz w:val="28"/>
          <w:szCs w:val="28"/>
          <w:lang w:eastAsia="ru-RU"/>
        </w:rPr>
        <w:t xml:space="preserve"> і периферичні</w:t>
      </w:r>
      <w:r w:rsidR="0056592D">
        <w:rPr>
          <w:rFonts w:ascii="Times New Roman" w:eastAsia="Times New Roman" w:hAnsi="Times New Roman" w:cs="Times New Roman"/>
          <w:bCs/>
          <w:sz w:val="28"/>
          <w:szCs w:val="28"/>
          <w:lang w:eastAsia="ru-RU"/>
        </w:rPr>
        <w:t>й</w:t>
      </w:r>
      <w:r w:rsidR="0075196F" w:rsidRPr="00156441">
        <w:rPr>
          <w:rFonts w:ascii="Times New Roman" w:eastAsia="Times New Roman" w:hAnsi="Times New Roman" w:cs="Times New Roman"/>
          <w:bCs/>
          <w:sz w:val="28"/>
          <w:szCs w:val="28"/>
          <w:lang w:eastAsia="ru-RU"/>
        </w:rPr>
        <w:t xml:space="preserve"> судинні</w:t>
      </w:r>
      <w:r w:rsidR="0056592D">
        <w:rPr>
          <w:rFonts w:ascii="Times New Roman" w:eastAsia="Times New Roman" w:hAnsi="Times New Roman" w:cs="Times New Roman"/>
          <w:bCs/>
          <w:sz w:val="28"/>
          <w:szCs w:val="28"/>
          <w:lang w:eastAsia="ru-RU"/>
        </w:rPr>
        <w:t>й</w:t>
      </w:r>
      <w:r w:rsidRPr="00156441">
        <w:rPr>
          <w:rFonts w:ascii="Times New Roman" w:eastAsia="Times New Roman" w:hAnsi="Times New Roman" w:cs="Times New Roman"/>
          <w:bCs/>
          <w:sz w:val="28"/>
          <w:szCs w:val="28"/>
          <w:lang w:eastAsia="ru-RU"/>
        </w:rPr>
        <w:t xml:space="preserve"> мережі є периваскулярне запалення, тромбоз, аномальне зростання судинних гладком</w:t>
      </w:r>
      <w:r w:rsidR="00FC48A2"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язових клітин і накопичення позаклітинного матриксу, що призводить до ремоделювання стінки судини, перешкоджає кровообігу в легенях і в кінцевому підсумку викликає порушення кардіогемодинаміки. На нашу думку</w:t>
      </w:r>
      <w:r w:rsidR="00FC48A2"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 xml:space="preserve"> ВІП можна розглядати ключовим модулятором легеневого судинного ремоделювання і запалення. При проведенні кореляці</w:t>
      </w:r>
      <w:r w:rsidR="00FC48A2" w:rsidRPr="00156441">
        <w:rPr>
          <w:rFonts w:ascii="Times New Roman" w:eastAsia="Times New Roman" w:hAnsi="Times New Roman" w:cs="Times New Roman"/>
          <w:bCs/>
          <w:sz w:val="28"/>
          <w:szCs w:val="28"/>
          <w:lang w:eastAsia="ru-RU"/>
        </w:rPr>
        <w:t>йного аналізу, був виявлений</w:t>
      </w:r>
      <w:r w:rsidRPr="00156441">
        <w:rPr>
          <w:rFonts w:ascii="Times New Roman" w:eastAsia="Times New Roman" w:hAnsi="Times New Roman" w:cs="Times New Roman"/>
          <w:bCs/>
          <w:sz w:val="28"/>
          <w:szCs w:val="28"/>
          <w:lang w:eastAsia="ru-RU"/>
        </w:rPr>
        <w:t xml:space="preserve"> сильний прямий зв</w:t>
      </w:r>
      <w:r w:rsidR="00FC48A2"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язок між ВІП і тривалістю перебігу ХОЗЛ при наявності супутньої ГХ (</w:t>
      </w:r>
      <w:r w:rsidR="00F131EE">
        <w:rPr>
          <w:rFonts w:ascii="Times New Roman" w:eastAsia="Times New Roman" w:hAnsi="Times New Roman" w:cs="Times New Roman"/>
          <w:bCs/>
          <w:sz w:val="28"/>
          <w:szCs w:val="28"/>
          <w:lang w:eastAsia="ru-RU"/>
        </w:rPr>
        <w:t>r=</w:t>
      </w:r>
      <w:r w:rsidRPr="00156441">
        <w:rPr>
          <w:rFonts w:ascii="Times New Roman" w:eastAsia="Times New Roman" w:hAnsi="Times New Roman" w:cs="Times New Roman"/>
          <w:bCs/>
          <w:sz w:val="28"/>
          <w:szCs w:val="28"/>
          <w:lang w:eastAsia="ru-RU"/>
        </w:rPr>
        <w:t>0,35, р</w:t>
      </w:r>
      <w:r w:rsidR="009C6C87" w:rsidRPr="00156441">
        <w:rPr>
          <w:rFonts w:ascii="Times New Roman" w:eastAsia="Times New Roman" w:hAnsi="Times New Roman" w:cs="Times New Roman"/>
          <w:bCs/>
          <w:sz w:val="28"/>
          <w:szCs w:val="28"/>
          <w:lang w:eastAsia="ru-RU"/>
        </w:rPr>
        <w:t>&lt;</w:t>
      </w:r>
      <w:r w:rsidRPr="00156441">
        <w:rPr>
          <w:rFonts w:ascii="Times New Roman" w:eastAsia="Times New Roman" w:hAnsi="Times New Roman" w:cs="Times New Roman"/>
          <w:bCs/>
          <w:sz w:val="28"/>
          <w:szCs w:val="28"/>
          <w:lang w:eastAsia="ru-RU"/>
        </w:rPr>
        <w:t>0,05), що</w:t>
      </w:r>
      <w:r w:rsidR="006006E1"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 xml:space="preserve"> на </w:t>
      </w:r>
      <w:r w:rsidR="00FA6E72" w:rsidRPr="00156441">
        <w:rPr>
          <w:rFonts w:ascii="Times New Roman" w:eastAsia="Times New Roman" w:hAnsi="Times New Roman" w:cs="Times New Roman"/>
          <w:bCs/>
          <w:sz w:val="28"/>
          <w:szCs w:val="28"/>
          <w:lang w:eastAsia="ru-RU"/>
        </w:rPr>
        <w:t>нашу думку свідчить</w:t>
      </w:r>
      <w:r w:rsidRPr="00156441">
        <w:rPr>
          <w:rFonts w:ascii="Times New Roman" w:eastAsia="Times New Roman" w:hAnsi="Times New Roman" w:cs="Times New Roman"/>
          <w:bCs/>
          <w:sz w:val="28"/>
          <w:szCs w:val="28"/>
          <w:lang w:eastAsia="ru-RU"/>
        </w:rPr>
        <w:t xml:space="preserve"> про те, що ГХ сприяє більш ранньому формуванню обструкції у хворих на ХОЗЛ. ВІП діє не тільки як судинорозширювальний і бронходилататор, </w:t>
      </w:r>
      <w:r w:rsidRPr="00156441">
        <w:rPr>
          <w:rFonts w:ascii="Times New Roman" w:eastAsia="Times New Roman" w:hAnsi="Times New Roman" w:cs="Times New Roman"/>
          <w:bCs/>
          <w:sz w:val="28"/>
          <w:szCs w:val="28"/>
          <w:lang w:eastAsia="ru-RU"/>
        </w:rPr>
        <w:lastRenderedPageBreak/>
        <w:t>але і як потужний імуномодулятор, тому у ВІП є значний терапевтичний потенціал при лікуванні захворювань леген</w:t>
      </w:r>
      <w:r w:rsidR="0056592D">
        <w:rPr>
          <w:rFonts w:ascii="Times New Roman" w:eastAsia="Times New Roman" w:hAnsi="Times New Roman" w:cs="Times New Roman"/>
          <w:bCs/>
          <w:sz w:val="28"/>
          <w:szCs w:val="28"/>
          <w:lang w:eastAsia="ru-RU"/>
        </w:rPr>
        <w:t>ь</w:t>
      </w:r>
      <w:r w:rsidRPr="00156441">
        <w:rPr>
          <w:rFonts w:ascii="Times New Roman" w:eastAsia="Times New Roman" w:hAnsi="Times New Roman" w:cs="Times New Roman"/>
          <w:bCs/>
          <w:sz w:val="28"/>
          <w:szCs w:val="28"/>
          <w:lang w:eastAsia="ru-RU"/>
        </w:rPr>
        <w:t>.</w:t>
      </w:r>
    </w:p>
    <w:p w:rsidR="00343268" w:rsidRPr="00156441" w:rsidRDefault="00343268" w:rsidP="00343268">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Одержані результати дозволяють висловити думку, що зниження вмісту ВІП блокує його вазодилатуючий ефект, сприяючи розвитку гіпертензії. Зменшення рівня плазмового ВІП у хворих на ХОЗЛ у сполученні з ГХ, на відміну від хворих з ізольованим перебігом ХОЗЛ, у яких таких змін не виявляється, можливо, відіграє певну роль у патофізіологічних процесах розвитку гіпертонічної хвороби на тлі ХОЗЛ.</w:t>
      </w:r>
    </w:p>
    <w:p w:rsidR="00343268" w:rsidRPr="00156441" w:rsidRDefault="00343268" w:rsidP="00343268">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цілісному організмі, в якому все взаємопов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язане і взаємообумовлено, майже немає ізольованих реакцій. Інтенсифікація пристосувальних і компенсаторних процесів в тому чи іншому органі обов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язково сполучається з реакціями в інших органах та системах. Роль васкулоендотеліального фактору росту для організму людини залишається неоднозначною. Окремі наукові публікації свідчать як про його захисну, так і пошкоджуючи дію. Зменшення його експресії може призвести до формування емфіземи легень внаслідок</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 xml:space="preserve">розвитку легеневої ендотеліальної дисфункції, яка тягне за собою поступове зникнення альвеолярної перегородки внаслідок апоптозу та призводить до розширення повітряних просторів. В інших дослідженнях показано, що ХОЗЛ асоціюється саме з підвищеною експресією </w:t>
      </w:r>
      <w:r w:rsidR="004D3135" w:rsidRPr="00156441">
        <w:rPr>
          <w:rFonts w:ascii="Times New Roman" w:eastAsia="Times New Roman" w:hAnsi="Times New Roman" w:cs="Times New Roman"/>
          <w:sz w:val="28"/>
          <w:szCs w:val="28"/>
          <w:lang w:eastAsia="ru-RU"/>
        </w:rPr>
        <w:t>ВЕФР</w:t>
      </w:r>
      <w:r w:rsidRPr="00156441">
        <w:rPr>
          <w:rFonts w:ascii="Times New Roman" w:eastAsia="Times New Roman" w:hAnsi="Times New Roman" w:cs="Times New Roman"/>
          <w:sz w:val="28"/>
          <w:szCs w:val="28"/>
          <w:lang w:eastAsia="ru-RU"/>
        </w:rPr>
        <w:t xml:space="preserve"> в бронхах, бронхіолах і альвеолярному епітелії, а також в дихальних шляхах і клітинах гладких м</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язів судин. Багата бронхіальна судинна мережа, на відміну від майже безсудинної альвеолярної стінки, являє собою захисний механізм, який реалізується за допомогою посилення експресії протизапальних медіаторів. У підтримці стабільності ендотелію важлива роль </w:t>
      </w:r>
      <w:r w:rsidR="004D3135" w:rsidRPr="00156441">
        <w:rPr>
          <w:rFonts w:ascii="Times New Roman" w:eastAsia="Times New Roman" w:hAnsi="Times New Roman" w:cs="Times New Roman"/>
          <w:sz w:val="28"/>
          <w:szCs w:val="28"/>
          <w:lang w:eastAsia="ru-RU"/>
        </w:rPr>
        <w:t>ВЕФР.</w:t>
      </w:r>
      <w:r w:rsidRPr="00156441">
        <w:rPr>
          <w:rFonts w:ascii="Times New Roman" w:eastAsia="Times New Roman" w:hAnsi="Times New Roman" w:cs="Times New Roman"/>
          <w:sz w:val="28"/>
          <w:szCs w:val="28"/>
          <w:lang w:eastAsia="ru-RU"/>
        </w:rPr>
        <w:t xml:space="preserve"> [</w:t>
      </w:r>
      <w:r w:rsidR="006006E1" w:rsidRPr="00156441">
        <w:rPr>
          <w:rFonts w:ascii="Times New Roman" w:eastAsia="Times New Roman" w:hAnsi="Times New Roman" w:cs="Times New Roman"/>
          <w:sz w:val="28"/>
          <w:szCs w:val="28"/>
          <w:lang w:eastAsia="ru-RU"/>
        </w:rPr>
        <w:fldChar w:fldCharType="begin"/>
      </w:r>
      <w:r w:rsidR="006006E1" w:rsidRPr="00156441">
        <w:rPr>
          <w:rFonts w:ascii="Times New Roman" w:eastAsia="Times New Roman" w:hAnsi="Times New Roman" w:cs="Times New Roman"/>
          <w:sz w:val="28"/>
          <w:szCs w:val="28"/>
          <w:lang w:eastAsia="ru-RU"/>
        </w:rPr>
        <w:instrText xml:space="preserve"> REF _Ref502695274 \r \h </w:instrText>
      </w:r>
      <w:r w:rsidR="00F44EE4" w:rsidRPr="00156441">
        <w:rPr>
          <w:rFonts w:ascii="Times New Roman" w:eastAsia="Times New Roman" w:hAnsi="Times New Roman" w:cs="Times New Roman"/>
          <w:sz w:val="28"/>
          <w:szCs w:val="28"/>
          <w:lang w:eastAsia="ru-RU"/>
        </w:rPr>
        <w:instrText xml:space="preserve"> \* MERGEFORMAT </w:instrText>
      </w:r>
      <w:r w:rsidR="006006E1" w:rsidRPr="00156441">
        <w:rPr>
          <w:rFonts w:ascii="Times New Roman" w:eastAsia="Times New Roman" w:hAnsi="Times New Roman" w:cs="Times New Roman"/>
          <w:sz w:val="28"/>
          <w:szCs w:val="28"/>
          <w:lang w:eastAsia="ru-RU"/>
        </w:rPr>
      </w:r>
      <w:r w:rsidR="006006E1"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288</w:t>
      </w:r>
      <w:r w:rsidR="006006E1"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Крім того, для ВЕФР доводиться ініціальна роль в активації ангіогенезу, реалізації вазодилатуючого ефекту та прозапальної дії [</w:t>
      </w:r>
      <w:r w:rsidR="006006E1" w:rsidRPr="00156441">
        <w:rPr>
          <w:rFonts w:ascii="Times New Roman" w:eastAsia="Times New Roman" w:hAnsi="Times New Roman" w:cs="Times New Roman"/>
          <w:sz w:val="28"/>
          <w:szCs w:val="28"/>
          <w:lang w:eastAsia="ru-RU"/>
        </w:rPr>
        <w:fldChar w:fldCharType="begin"/>
      </w:r>
      <w:r w:rsidR="006006E1" w:rsidRPr="00156441">
        <w:rPr>
          <w:rFonts w:ascii="Times New Roman" w:eastAsia="Times New Roman" w:hAnsi="Times New Roman" w:cs="Times New Roman"/>
          <w:sz w:val="28"/>
          <w:szCs w:val="28"/>
          <w:lang w:eastAsia="ru-RU"/>
        </w:rPr>
        <w:instrText xml:space="preserve"> REF _Ref502695309 \r \h </w:instrText>
      </w:r>
      <w:r w:rsidR="00F44EE4" w:rsidRPr="00156441">
        <w:rPr>
          <w:rFonts w:ascii="Times New Roman" w:eastAsia="Times New Roman" w:hAnsi="Times New Roman" w:cs="Times New Roman"/>
          <w:sz w:val="28"/>
          <w:szCs w:val="28"/>
          <w:lang w:eastAsia="ru-RU"/>
        </w:rPr>
        <w:instrText xml:space="preserve"> \* MERGEFORMAT </w:instrText>
      </w:r>
      <w:r w:rsidR="006006E1" w:rsidRPr="00156441">
        <w:rPr>
          <w:rFonts w:ascii="Times New Roman" w:eastAsia="Times New Roman" w:hAnsi="Times New Roman" w:cs="Times New Roman"/>
          <w:sz w:val="28"/>
          <w:szCs w:val="28"/>
          <w:lang w:eastAsia="ru-RU"/>
        </w:rPr>
      </w:r>
      <w:r w:rsidR="006006E1"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289</w:t>
      </w:r>
      <w:r w:rsidR="006006E1"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43268" w:rsidRPr="00156441" w:rsidRDefault="00343268" w:rsidP="00343268">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У сироватці крові хворих основної групи в порівнянні з контрольною спостерігалось статистично вірогідне (р&lt;0,001) підвищення рівня </w:t>
      </w:r>
      <w:r w:rsidR="004D3135" w:rsidRPr="00156441">
        <w:rPr>
          <w:rFonts w:ascii="Times New Roman" w:eastAsia="Times New Roman" w:hAnsi="Times New Roman" w:cs="Times New Roman"/>
          <w:sz w:val="28"/>
          <w:szCs w:val="28"/>
          <w:lang w:eastAsia="ru-RU"/>
        </w:rPr>
        <w:t>ВЕФР у середньому в 1,9 рази (табл. 4.1.1</w:t>
      </w:r>
      <w:r w:rsidR="006006E1" w:rsidRPr="00156441">
        <w:rPr>
          <w:rFonts w:ascii="Times New Roman" w:eastAsia="Times New Roman" w:hAnsi="Times New Roman" w:cs="Times New Roman"/>
          <w:sz w:val="28"/>
          <w:szCs w:val="28"/>
          <w:lang w:eastAsia="ru-RU"/>
        </w:rPr>
        <w:t>). Слід відзначити, що для всіх хворих —</w:t>
      </w:r>
      <w:r w:rsidRPr="00156441">
        <w:rPr>
          <w:rFonts w:ascii="Times New Roman" w:eastAsia="Times New Roman" w:hAnsi="Times New Roman" w:cs="Times New Roman"/>
          <w:sz w:val="28"/>
          <w:szCs w:val="28"/>
          <w:lang w:eastAsia="ru-RU"/>
        </w:rPr>
        <w:t xml:space="preserve"> 55 осіб (100</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вміст ВЕФР знаходився за межами діапазону значень контрольної групи пацієнтів (рис. </w:t>
      </w:r>
      <w:r w:rsidR="00FA6E72" w:rsidRPr="00156441">
        <w:rPr>
          <w:rFonts w:ascii="Times New Roman" w:eastAsia="Times New Roman" w:hAnsi="Times New Roman" w:cs="Times New Roman"/>
          <w:sz w:val="28"/>
          <w:szCs w:val="28"/>
          <w:lang w:eastAsia="ru-RU"/>
        </w:rPr>
        <w:t>2</w:t>
      </w:r>
      <w:r w:rsidRPr="00156441">
        <w:rPr>
          <w:rFonts w:ascii="Times New Roman" w:eastAsia="Times New Roman" w:hAnsi="Times New Roman" w:cs="Times New Roman"/>
          <w:sz w:val="28"/>
          <w:szCs w:val="28"/>
          <w:lang w:eastAsia="ru-RU"/>
        </w:rPr>
        <w:t xml:space="preserve">). У хворих групи порівняння також відмічалось статистично </w:t>
      </w:r>
      <w:r w:rsidRPr="00156441">
        <w:rPr>
          <w:rFonts w:ascii="Times New Roman" w:eastAsia="Times New Roman" w:hAnsi="Times New Roman" w:cs="Times New Roman"/>
          <w:sz w:val="28"/>
          <w:szCs w:val="28"/>
          <w:lang w:eastAsia="ru-RU"/>
        </w:rPr>
        <w:lastRenderedPageBreak/>
        <w:t>значиме (р&lt;0,001) підвищення рівня ВЕФР в порівнян</w:t>
      </w:r>
      <w:r w:rsidR="004D3135" w:rsidRPr="00156441">
        <w:rPr>
          <w:rFonts w:ascii="Times New Roman" w:eastAsia="Times New Roman" w:hAnsi="Times New Roman" w:cs="Times New Roman"/>
          <w:sz w:val="28"/>
          <w:szCs w:val="28"/>
          <w:lang w:eastAsia="ru-RU"/>
        </w:rPr>
        <w:t>і з контролем, але менш виражене</w:t>
      </w:r>
      <w:r w:rsidRPr="00156441">
        <w:rPr>
          <w:rFonts w:ascii="Times New Roman" w:eastAsia="Times New Roman" w:hAnsi="Times New Roman" w:cs="Times New Roman"/>
          <w:sz w:val="28"/>
          <w:szCs w:val="28"/>
          <w:lang w:eastAsia="ru-RU"/>
        </w:rPr>
        <w:t xml:space="preserve"> (в середньому в</w:t>
      </w:r>
      <w:r w:rsidR="004D3135" w:rsidRPr="00156441">
        <w:rPr>
          <w:rFonts w:ascii="Times New Roman" w:eastAsia="Times New Roman" w:hAnsi="Times New Roman" w:cs="Times New Roman"/>
          <w:sz w:val="28"/>
          <w:szCs w:val="28"/>
          <w:lang w:eastAsia="ru-RU"/>
        </w:rPr>
        <w:t xml:space="preserve"> 1,4 рази</w:t>
      </w:r>
      <w:r w:rsidRPr="00156441">
        <w:rPr>
          <w:rFonts w:ascii="Times New Roman" w:eastAsia="Times New Roman" w:hAnsi="Times New Roman" w:cs="Times New Roman"/>
          <w:sz w:val="28"/>
          <w:szCs w:val="28"/>
          <w:lang w:eastAsia="ru-RU"/>
        </w:rPr>
        <w:t>). У 11 хворих (24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групи порівняння вміст сироваткового ВЕФР перетинався з </w:t>
      </w:r>
      <w:r w:rsidR="006006E1" w:rsidRPr="00156441">
        <w:rPr>
          <w:rFonts w:ascii="Times New Roman" w:eastAsia="Times New Roman" w:hAnsi="Times New Roman" w:cs="Times New Roman"/>
          <w:sz w:val="28"/>
          <w:szCs w:val="28"/>
          <w:lang w:eastAsia="ru-RU"/>
        </w:rPr>
        <w:t>контролем, а у 34 хворих (76</w:t>
      </w:r>
      <w:r w:rsidR="00C70355" w:rsidRPr="00156441">
        <w:rPr>
          <w:rFonts w:ascii="Times New Roman" w:eastAsia="Times New Roman" w:hAnsi="Times New Roman" w:cs="Times New Roman"/>
          <w:sz w:val="28"/>
          <w:szCs w:val="28"/>
          <w:lang w:eastAsia="ru-RU"/>
        </w:rPr>
        <w:t> %</w:t>
      </w:r>
      <w:r w:rsidR="006006E1"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виходив за його межі.</w:t>
      </w:r>
    </w:p>
    <w:p w:rsidR="00343268" w:rsidRPr="00156441" w:rsidRDefault="00343268" w:rsidP="00343268">
      <w:pPr>
        <w:widowControl w:val="0"/>
        <w:tabs>
          <w:tab w:val="left" w:pos="1080"/>
        </w:tabs>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Вміст ВЕФР у сироватці крові хворих з поєднаним перебігом ХОЗЛ і ГХ виявився вірогідно (р&lt;0,001) підвищеним у середньому в 1,3 раз</w:t>
      </w:r>
      <w:r w:rsidR="004D3135" w:rsidRPr="00156441">
        <w:rPr>
          <w:rFonts w:ascii="Times New Roman" w:eastAsia="Times New Roman" w:hAnsi="Times New Roman" w:cs="Times New Roman"/>
          <w:sz w:val="28"/>
          <w:szCs w:val="28"/>
          <w:lang w:eastAsia="ru-RU"/>
        </w:rPr>
        <w:t>и</w:t>
      </w:r>
      <w:r w:rsidRPr="00156441">
        <w:rPr>
          <w:rFonts w:ascii="Times New Roman" w:eastAsia="Times New Roman" w:hAnsi="Times New Roman" w:cs="Times New Roman"/>
          <w:sz w:val="28"/>
          <w:szCs w:val="28"/>
          <w:lang w:eastAsia="ru-RU"/>
        </w:rPr>
        <w:t xml:space="preserve"> й по відношенню до хворих з ізольованим перебігом ХОЗЛ. При цьому у 14 пацієнтів (25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основної групи значення показника входили у діапазон змін гру</w:t>
      </w:r>
      <w:r w:rsidR="006006E1" w:rsidRPr="00156441">
        <w:rPr>
          <w:rFonts w:ascii="Times New Roman" w:eastAsia="Times New Roman" w:hAnsi="Times New Roman" w:cs="Times New Roman"/>
          <w:sz w:val="28"/>
          <w:szCs w:val="28"/>
          <w:lang w:eastAsia="ru-RU"/>
        </w:rPr>
        <w:t>пи порівняння, тоді як у інших —</w:t>
      </w:r>
      <w:r w:rsidRPr="00156441">
        <w:rPr>
          <w:rFonts w:ascii="Times New Roman" w:eastAsia="Times New Roman" w:hAnsi="Times New Roman" w:cs="Times New Roman"/>
          <w:sz w:val="28"/>
          <w:szCs w:val="28"/>
          <w:lang w:eastAsia="ru-RU"/>
        </w:rPr>
        <w:t xml:space="preserve"> виходили за його межі.</w:t>
      </w:r>
    </w:p>
    <w:p w:rsidR="00343268" w:rsidRPr="00156441" w:rsidRDefault="002C7E0C" w:rsidP="007F516E">
      <w:pPr>
        <w:shd w:val="clear" w:color="auto" w:fill="FFFFFF"/>
        <w:spacing w:before="201" w:after="201" w:line="327" w:lineRule="atLeast"/>
        <w:contextualSpacing/>
        <w:jc w:val="center"/>
        <w:textAlignment w:val="baseline"/>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object w:dxaOrig="5279" w:dyaOrig="3970">
          <v:shape id="_x0000_i1026" type="#_x0000_t75" style="width:263.8pt;height:197.55pt" o:ole="">
            <v:imagedata r:id="rId10" o:title=""/>
          </v:shape>
          <o:OLEObject Type="Embed" ProgID="STATISTICA.Graph" ShapeID="_x0000_i1026" DrawAspect="Content" ObjectID="_1579001520" r:id="rId11">
            <o:FieldCodes>\s</o:FieldCodes>
          </o:OLEObject>
        </w:object>
      </w:r>
    </w:p>
    <w:p w:rsidR="00343268" w:rsidRDefault="00FA6E72" w:rsidP="00343268">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2</w:t>
      </w:r>
      <w:r w:rsidR="00343268" w:rsidRPr="00156441">
        <w:rPr>
          <w:rFonts w:ascii="Times New Roman" w:eastAsia="Times New Roman" w:hAnsi="Times New Roman" w:cs="Times New Roman"/>
          <w:sz w:val="28"/>
          <w:szCs w:val="28"/>
          <w:lang w:eastAsia="ru-RU"/>
        </w:rPr>
        <w:t xml:space="preserve">. Вміст васкулоендотеліального фактора росту </w:t>
      </w:r>
      <w:r w:rsidR="00343268" w:rsidRPr="00156441">
        <w:rPr>
          <w:rFonts w:ascii="Times New Roman" w:eastAsia="Times New Roman" w:hAnsi="Times New Roman" w:cs="Times New Roman"/>
          <w:bCs/>
          <w:sz w:val="28"/>
          <w:szCs w:val="28"/>
          <w:lang w:eastAsia="ru-RU"/>
        </w:rPr>
        <w:t>(нг</w:t>
      </w:r>
      <w:r w:rsidR="00343268" w:rsidRPr="00156441">
        <w:rPr>
          <w:rFonts w:ascii="Times New Roman" w:eastAsia="Times New Roman" w:hAnsi="Times New Roman" w:cs="Times New Roman"/>
          <w:sz w:val="28"/>
          <w:szCs w:val="28"/>
          <w:lang w:eastAsia="ru-RU"/>
        </w:rPr>
        <w:t>/л) у</w:t>
      </w:r>
      <w:r w:rsidR="00343268" w:rsidRPr="00156441">
        <w:rPr>
          <w:rFonts w:ascii="Times New Roman" w:eastAsia="Times New Roman" w:hAnsi="Times New Roman" w:cs="Times New Roman"/>
          <w:bCs/>
          <w:sz w:val="28"/>
          <w:szCs w:val="28"/>
          <w:lang w:eastAsia="ru-RU"/>
        </w:rPr>
        <w:t xml:space="preserve"> сироватці крові </w:t>
      </w:r>
      <w:r w:rsidR="004D3135" w:rsidRPr="00156441">
        <w:rPr>
          <w:rFonts w:ascii="Times New Roman" w:eastAsia="Times New Roman" w:hAnsi="Times New Roman" w:cs="Times New Roman"/>
          <w:bCs/>
          <w:sz w:val="28"/>
          <w:szCs w:val="28"/>
          <w:lang w:eastAsia="ru-RU"/>
        </w:rPr>
        <w:t xml:space="preserve">хворих з поєднаним перебігом ХОЗЛ і ГХ та </w:t>
      </w:r>
      <w:r w:rsidR="00343268" w:rsidRPr="00156441">
        <w:rPr>
          <w:rFonts w:ascii="Times New Roman" w:eastAsia="Times New Roman" w:hAnsi="Times New Roman" w:cs="Times New Roman"/>
          <w:sz w:val="28"/>
          <w:szCs w:val="28"/>
          <w:lang w:eastAsia="ru-RU"/>
        </w:rPr>
        <w:t xml:space="preserve">хворих з ізольованим перебігом ХОЗЛ та </w:t>
      </w:r>
      <w:r w:rsidR="00343268" w:rsidRPr="00156441">
        <w:rPr>
          <w:rFonts w:ascii="Times New Roman" w:eastAsia="Times New Roman" w:hAnsi="Times New Roman" w:cs="Times New Roman"/>
          <w:bCs/>
          <w:sz w:val="28"/>
          <w:szCs w:val="28"/>
          <w:lang w:eastAsia="ru-RU"/>
        </w:rPr>
        <w:t>по відношенню до контролю</w:t>
      </w:r>
    </w:p>
    <w:p w:rsidR="00F131EE" w:rsidRDefault="00F131EE" w:rsidP="00F131EE">
      <w:pPr>
        <w:spacing w:after="0" w:line="360" w:lineRule="auto"/>
        <w:ind w:firstLine="709"/>
        <w:contextualSpacing/>
        <w:jc w:val="both"/>
        <w:rPr>
          <w:rFonts w:ascii="Times New Roman" w:eastAsia="Times New Roman" w:hAnsi="Times New Roman" w:cs="Times New Roman"/>
          <w:sz w:val="28"/>
          <w:szCs w:val="28"/>
          <w:lang w:eastAsia="ru-RU"/>
        </w:rPr>
      </w:pPr>
    </w:p>
    <w:p w:rsidR="00F131EE" w:rsidRPr="00156441" w:rsidRDefault="00F131EE" w:rsidP="00F131EE">
      <w:pPr>
        <w:spacing w:after="0" w:line="360" w:lineRule="auto"/>
        <w:ind w:firstLine="709"/>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Підвищений вміст сироваткового ВЕФР у пацієнтів з ХОЗЛ у сполученні з ГХ можна розглядати як компенсаторну реакцію, спрямовану на нормалізацію гемодинаміки. На думку деяких авторів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_Ref502695309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289</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така реакція зі збільшенням продукції ВЕФР як проангіогенного фактора призводить, перш за все, до ураження стінки судин, а не до фізіологічного ангіогенезу, так як відбувається на тлі артеріальної гіпертензії. З іншого боку, такий результат може бути пов’язаний й з кисневою недостатністю у хворих на ХОЗЛ, особливо при сполученні з ГХ, яку розглядають як потужний стимул експресії ВЕФР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_Ref502695477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290</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612EB" w:rsidRPr="00156441" w:rsidRDefault="003612EB" w:rsidP="00343268">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lastRenderedPageBreak/>
        <w:t>При проведенні кореляційного аналізу було виявлен</w:t>
      </w:r>
      <w:r w:rsidR="00FA6E72" w:rsidRPr="00156441">
        <w:rPr>
          <w:rFonts w:ascii="Times New Roman" w:eastAsia="Times New Roman" w:hAnsi="Times New Roman" w:cs="Times New Roman"/>
          <w:bCs/>
          <w:sz w:val="28"/>
          <w:szCs w:val="28"/>
          <w:lang w:eastAsia="ru-RU"/>
        </w:rPr>
        <w:t>о міцний негативний зв'язок</w:t>
      </w:r>
      <w:r w:rsidRPr="00156441">
        <w:rPr>
          <w:rFonts w:ascii="Times New Roman" w:eastAsia="Times New Roman" w:hAnsi="Times New Roman" w:cs="Times New Roman"/>
          <w:bCs/>
          <w:sz w:val="28"/>
          <w:szCs w:val="28"/>
          <w:lang w:eastAsia="ru-RU"/>
        </w:rPr>
        <w:t xml:space="preserve"> між рівнем ВЕФР та задишкою (r</w:t>
      </w:r>
      <w:r w:rsidR="004E702C"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-0,26; р&lt;0,05) та кількістю загостр</w:t>
      </w:r>
      <w:r w:rsidR="00B67F48" w:rsidRPr="00156441">
        <w:rPr>
          <w:rFonts w:ascii="Times New Roman" w:eastAsia="Times New Roman" w:hAnsi="Times New Roman" w:cs="Times New Roman"/>
          <w:bCs/>
          <w:sz w:val="28"/>
          <w:szCs w:val="28"/>
          <w:lang w:eastAsia="ru-RU"/>
        </w:rPr>
        <w:t>ень на рік (r</w:t>
      </w:r>
      <w:r w:rsidR="004E702C" w:rsidRPr="00156441">
        <w:rPr>
          <w:rFonts w:ascii="Times New Roman" w:eastAsia="Times New Roman" w:hAnsi="Times New Roman" w:cs="Times New Roman"/>
          <w:bCs/>
          <w:sz w:val="28"/>
          <w:szCs w:val="28"/>
          <w:lang w:eastAsia="ru-RU"/>
        </w:rPr>
        <w:t>=</w:t>
      </w:r>
      <w:r w:rsidR="00B67F48" w:rsidRPr="00156441">
        <w:rPr>
          <w:rFonts w:ascii="Times New Roman" w:eastAsia="Times New Roman" w:hAnsi="Times New Roman" w:cs="Times New Roman"/>
          <w:bCs/>
          <w:sz w:val="28"/>
          <w:szCs w:val="28"/>
          <w:lang w:eastAsia="ru-RU"/>
        </w:rPr>
        <w:t xml:space="preserve">-0,33; р&lt;0,05). </w:t>
      </w:r>
      <w:r w:rsidRPr="00156441">
        <w:rPr>
          <w:rFonts w:ascii="Times New Roman" w:eastAsia="Times New Roman" w:hAnsi="Times New Roman" w:cs="Times New Roman"/>
          <w:bCs/>
          <w:sz w:val="28"/>
          <w:szCs w:val="28"/>
          <w:lang w:eastAsia="ru-RU"/>
        </w:rPr>
        <w:t>То ж на нашу думку, при сполуче</w:t>
      </w:r>
      <w:r w:rsidR="00B67F48" w:rsidRPr="00156441">
        <w:rPr>
          <w:rFonts w:ascii="Times New Roman" w:eastAsia="Times New Roman" w:hAnsi="Times New Roman" w:cs="Times New Roman"/>
          <w:bCs/>
          <w:sz w:val="28"/>
          <w:szCs w:val="28"/>
          <w:lang w:eastAsia="ru-RU"/>
        </w:rPr>
        <w:t>нні ХОЗГ з ГХ підвищення вмісту</w:t>
      </w:r>
      <w:r w:rsidRPr="00156441">
        <w:rPr>
          <w:rFonts w:ascii="Times New Roman" w:eastAsia="Times New Roman" w:hAnsi="Times New Roman" w:cs="Times New Roman"/>
          <w:bCs/>
          <w:sz w:val="28"/>
          <w:szCs w:val="28"/>
          <w:lang w:eastAsia="ru-RU"/>
        </w:rPr>
        <w:t xml:space="preserve"> ВЕФР, як одного з найпотужніших медіаторів регуляції судин в ангіогенезі та судинній проникності є адаптаційним механізмом до гіпоксії, спрямованим на підтримку легеневої васкулярізації у хворих на ХОЗЛ. Однак, значення рівня експресії ВЕФР у хворих на ХОЗЛ залишається суперечливим, за рахунок його парадоксальної ролі</w:t>
      </w:r>
      <w:r w:rsidR="009C6C87" w:rsidRPr="00156441">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bCs/>
          <w:sz w:val="28"/>
          <w:szCs w:val="28"/>
          <w:lang w:eastAsia="ru-RU"/>
        </w:rPr>
        <w:t>у бронхах та повітряних просторах при ХОЗЛ - із захисною функцією в альвеолах та шкідливою функцією у бронхах і бронхіолах и потребує подальшого вивчення.</w:t>
      </w:r>
    </w:p>
    <w:p w:rsidR="003612EB" w:rsidRPr="00156441" w:rsidRDefault="003612EB" w:rsidP="00343268">
      <w:pPr>
        <w:spacing w:after="0" w:line="360" w:lineRule="auto"/>
        <w:ind w:firstLine="720"/>
        <w:contextualSpacing/>
        <w:jc w:val="both"/>
        <w:rPr>
          <w:rFonts w:ascii="Times New Roman" w:eastAsia="Times New Roman" w:hAnsi="Times New Roman" w:cs="Times New Roman"/>
          <w:bCs/>
          <w:sz w:val="28"/>
          <w:szCs w:val="28"/>
          <w:lang w:eastAsia="ru-RU"/>
        </w:rPr>
      </w:pPr>
    </w:p>
    <w:p w:rsidR="00354B4F" w:rsidRPr="00156441" w:rsidRDefault="00A05646" w:rsidP="000075AE">
      <w:pPr>
        <w:spacing w:after="0" w:line="360" w:lineRule="auto"/>
        <w:ind w:firstLine="720"/>
        <w:contextualSpacing/>
        <w:jc w:val="center"/>
        <w:rPr>
          <w:rFonts w:ascii="Times New Roman" w:eastAsia="Times New Roman" w:hAnsi="Times New Roman" w:cs="Times New Roman"/>
          <w:b/>
          <w:sz w:val="28"/>
          <w:szCs w:val="28"/>
          <w:lang w:eastAsia="ru-RU"/>
        </w:rPr>
      </w:pPr>
      <w:bookmarkStart w:id="12" w:name="Pidrozd_3_2"/>
      <w:r w:rsidRPr="00156441">
        <w:rPr>
          <w:rFonts w:ascii="Times New Roman" w:eastAsia="Times New Roman" w:hAnsi="Times New Roman" w:cs="Times New Roman"/>
          <w:b/>
          <w:sz w:val="28"/>
          <w:szCs w:val="28"/>
          <w:lang w:eastAsia="ru-RU"/>
        </w:rPr>
        <w:t>3.2</w:t>
      </w:r>
      <w:r w:rsidR="00354B4F" w:rsidRPr="00156441">
        <w:rPr>
          <w:rFonts w:ascii="Times New Roman" w:eastAsia="Times New Roman" w:hAnsi="Times New Roman" w:cs="Times New Roman"/>
          <w:b/>
          <w:sz w:val="28"/>
          <w:szCs w:val="28"/>
          <w:lang w:eastAsia="ru-RU"/>
        </w:rPr>
        <w:t xml:space="preserve">. </w:t>
      </w:r>
      <w:r w:rsidR="000075AE">
        <w:rPr>
          <w:rFonts w:ascii="Times New Roman" w:eastAsia="Times New Roman" w:hAnsi="Times New Roman" w:cs="Times New Roman"/>
          <w:b/>
          <w:sz w:val="28"/>
          <w:szCs w:val="28"/>
          <w:lang w:eastAsia="ru-RU"/>
        </w:rPr>
        <w:t>Дослідження а</w:t>
      </w:r>
      <w:r w:rsidR="00354B4F" w:rsidRPr="00156441">
        <w:rPr>
          <w:rFonts w:ascii="Times New Roman" w:eastAsia="Times New Roman" w:hAnsi="Times New Roman" w:cs="Times New Roman"/>
          <w:b/>
          <w:sz w:val="28"/>
          <w:szCs w:val="28"/>
          <w:lang w:eastAsia="ru-RU"/>
        </w:rPr>
        <w:t>ктивність ренін-ангіотензинової та кілікреїн-кінінової систем</w:t>
      </w:r>
    </w:p>
    <w:bookmarkEnd w:id="12"/>
    <w:p w:rsidR="00354B4F" w:rsidRPr="00156441" w:rsidRDefault="00354B4F" w:rsidP="00354B4F">
      <w:pPr>
        <w:spacing w:after="0" w:line="360" w:lineRule="auto"/>
        <w:ind w:firstLine="720"/>
        <w:contextualSpacing/>
        <w:jc w:val="both"/>
        <w:rPr>
          <w:rFonts w:ascii="Times New Roman" w:eastAsia="Times New Roman" w:hAnsi="Times New Roman" w:cs="Times New Roman"/>
          <w:b/>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Безпосередній вплив на розвиток ендотеліальної дисфункції чинять протеолітичні системи, що регулюють перебіг рідини та адаптивні зміни м</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язового тонусу судин [</w:t>
      </w:r>
      <w:r w:rsidR="00090835" w:rsidRPr="00156441">
        <w:rPr>
          <w:rFonts w:ascii="Times New Roman" w:eastAsia="Times New Roman" w:hAnsi="Times New Roman" w:cs="Times New Roman"/>
          <w:sz w:val="28"/>
          <w:szCs w:val="28"/>
          <w:lang w:eastAsia="ru-RU"/>
        </w:rPr>
        <w:fldChar w:fldCharType="begin"/>
      </w:r>
      <w:r w:rsidR="00090835" w:rsidRPr="00156441">
        <w:rPr>
          <w:rFonts w:ascii="Times New Roman" w:eastAsia="Times New Roman" w:hAnsi="Times New Roman" w:cs="Times New Roman"/>
          <w:sz w:val="28"/>
          <w:szCs w:val="28"/>
          <w:lang w:eastAsia="ru-RU"/>
        </w:rPr>
        <w:instrText xml:space="preserve"> REF _Ref502696357 \r \h </w:instrText>
      </w:r>
      <w:r w:rsidR="00F44EE4" w:rsidRPr="00156441">
        <w:rPr>
          <w:rFonts w:ascii="Times New Roman" w:eastAsia="Times New Roman" w:hAnsi="Times New Roman" w:cs="Times New Roman"/>
          <w:sz w:val="28"/>
          <w:szCs w:val="28"/>
          <w:lang w:eastAsia="ru-RU"/>
        </w:rPr>
        <w:instrText xml:space="preserve"> \* MERGEFORMAT </w:instrText>
      </w:r>
      <w:r w:rsidR="00090835" w:rsidRPr="00156441">
        <w:rPr>
          <w:rFonts w:ascii="Times New Roman" w:eastAsia="Times New Roman" w:hAnsi="Times New Roman" w:cs="Times New Roman"/>
          <w:sz w:val="28"/>
          <w:szCs w:val="28"/>
          <w:lang w:eastAsia="ru-RU"/>
        </w:rPr>
      </w:r>
      <w:r w:rsidR="00090835"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291</w:t>
      </w:r>
      <w:r w:rsidR="00090835" w:rsidRPr="00156441">
        <w:rPr>
          <w:rFonts w:ascii="Times New Roman" w:eastAsia="Times New Roman" w:hAnsi="Times New Roman" w:cs="Times New Roman"/>
          <w:sz w:val="28"/>
          <w:szCs w:val="28"/>
          <w:lang w:eastAsia="ru-RU"/>
        </w:rPr>
        <w:fldChar w:fldCharType="end"/>
      </w:r>
      <w:r w:rsidR="00090835" w:rsidRPr="00156441">
        <w:rPr>
          <w:rFonts w:ascii="Times New Roman" w:eastAsia="Times New Roman" w:hAnsi="Times New Roman" w:cs="Times New Roman"/>
          <w:sz w:val="28"/>
          <w:szCs w:val="28"/>
          <w:lang w:eastAsia="ru-RU"/>
        </w:rPr>
        <w:t xml:space="preserve">, </w:t>
      </w:r>
      <w:r w:rsidR="00090835" w:rsidRPr="00156441">
        <w:rPr>
          <w:rFonts w:ascii="Times New Roman" w:eastAsia="Times New Roman" w:hAnsi="Times New Roman" w:cs="Times New Roman"/>
          <w:sz w:val="28"/>
          <w:szCs w:val="28"/>
          <w:lang w:eastAsia="ru-RU"/>
        </w:rPr>
        <w:fldChar w:fldCharType="begin"/>
      </w:r>
      <w:r w:rsidR="00090835" w:rsidRPr="00156441">
        <w:rPr>
          <w:rFonts w:ascii="Times New Roman" w:eastAsia="Times New Roman" w:hAnsi="Times New Roman" w:cs="Times New Roman"/>
          <w:sz w:val="28"/>
          <w:szCs w:val="28"/>
          <w:lang w:eastAsia="ru-RU"/>
        </w:rPr>
        <w:instrText xml:space="preserve"> REF _Ref502696360 \r \h </w:instrText>
      </w:r>
      <w:r w:rsidR="00F44EE4" w:rsidRPr="00156441">
        <w:rPr>
          <w:rFonts w:ascii="Times New Roman" w:eastAsia="Times New Roman" w:hAnsi="Times New Roman" w:cs="Times New Roman"/>
          <w:sz w:val="28"/>
          <w:szCs w:val="28"/>
          <w:lang w:eastAsia="ru-RU"/>
        </w:rPr>
        <w:instrText xml:space="preserve"> \* MERGEFORMAT </w:instrText>
      </w:r>
      <w:r w:rsidR="00090835" w:rsidRPr="00156441">
        <w:rPr>
          <w:rFonts w:ascii="Times New Roman" w:eastAsia="Times New Roman" w:hAnsi="Times New Roman" w:cs="Times New Roman"/>
          <w:sz w:val="28"/>
          <w:szCs w:val="28"/>
          <w:lang w:eastAsia="ru-RU"/>
        </w:rPr>
      </w:r>
      <w:r w:rsidR="00090835"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292</w:t>
      </w:r>
      <w:r w:rsidR="00090835"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До числа таких систем відносяться ренін-ангіотензинова та калікреїн-кінінова, визначення стану яких у хворих на ХОЗЛ у сполученні з ГХ було завданням даного дослідження.</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w:t>
      </w:r>
      <w:r w:rsidR="004A5F52" w:rsidRPr="00156441">
        <w:rPr>
          <w:rFonts w:ascii="Times New Roman" w:eastAsia="Times New Roman" w:hAnsi="Times New Roman" w:cs="Times New Roman"/>
          <w:sz w:val="28"/>
          <w:szCs w:val="28"/>
          <w:lang w:eastAsia="ru-RU"/>
        </w:rPr>
        <w:t>енін-ангіотензин-альдостеронова система</w:t>
      </w:r>
      <w:r w:rsidRPr="00156441">
        <w:rPr>
          <w:rFonts w:ascii="Times New Roman" w:eastAsia="Times New Roman" w:hAnsi="Times New Roman" w:cs="Times New Roman"/>
          <w:sz w:val="28"/>
          <w:szCs w:val="28"/>
          <w:lang w:eastAsia="ru-RU"/>
        </w:rPr>
        <w:t xml:space="preserve"> грає важливу роль в розвитку ЕД. Механізм участі ангіотензинперетворюючого ферменту в розвитку ЕД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язаний зі здатністю АПФ прискорювати деградацію брадикініну. Підвищення активності АПФ, розташованого на поверхні ендотеліальних клітин, каталізує розпад брадикініну з розвитком його відносного дефіциту. Відсутність адекватної стимуляції брад</w:t>
      </w:r>
      <w:r w:rsidR="00043835" w:rsidRPr="00156441">
        <w:rPr>
          <w:rFonts w:ascii="Times New Roman" w:eastAsia="Times New Roman" w:hAnsi="Times New Roman" w:cs="Times New Roman"/>
          <w:sz w:val="28"/>
          <w:szCs w:val="28"/>
          <w:lang w:eastAsia="ru-RU"/>
        </w:rPr>
        <w:t>и</w:t>
      </w:r>
      <w:r w:rsidRPr="00156441">
        <w:rPr>
          <w:rFonts w:ascii="Times New Roman" w:eastAsia="Times New Roman" w:hAnsi="Times New Roman" w:cs="Times New Roman"/>
          <w:sz w:val="28"/>
          <w:szCs w:val="28"/>
          <w:lang w:eastAsia="ru-RU"/>
        </w:rPr>
        <w:t>кінінових В1 рецепторів клітин ендотелію призводить до скорочення синтезу NО і підвищенню тонусу ГМК судин. При пошкодженні ендотелію відбуваєтьс</w:t>
      </w:r>
      <w:r w:rsidR="00043835" w:rsidRPr="00156441">
        <w:rPr>
          <w:rFonts w:ascii="Times New Roman" w:eastAsia="Times New Roman" w:hAnsi="Times New Roman" w:cs="Times New Roman"/>
          <w:sz w:val="28"/>
          <w:szCs w:val="28"/>
          <w:lang w:eastAsia="ru-RU"/>
        </w:rPr>
        <w:t>я різке порушення дисбалансу NО/</w:t>
      </w:r>
      <w:r w:rsidRPr="00156441">
        <w:rPr>
          <w:rFonts w:ascii="Times New Roman" w:eastAsia="Times New Roman" w:hAnsi="Times New Roman" w:cs="Times New Roman"/>
          <w:sz w:val="28"/>
          <w:szCs w:val="28"/>
          <w:lang w:eastAsia="ru-RU"/>
        </w:rPr>
        <w:t>АТ II в сторону зменшення першого і збільшення другого. Наслідки такого дисбалансу багатогранні і включають активацію процесів судинного ремоделювання, запальні реакції в стінці судини, полегшення розриву бляшки з подальшим тромбозом.</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lastRenderedPageBreak/>
        <w:t>Про стан ренін-ангіотензинової системи судили за активністю</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у плазмі крові реніну та АП</w:t>
      </w:r>
      <w:r w:rsidR="00043835" w:rsidRPr="00156441">
        <w:rPr>
          <w:rFonts w:ascii="Times New Roman" w:eastAsia="Times New Roman" w:hAnsi="Times New Roman" w:cs="Times New Roman"/>
          <w:sz w:val="28"/>
          <w:szCs w:val="28"/>
          <w:lang w:eastAsia="ru-RU"/>
        </w:rPr>
        <w:t>Ф, а також за вмістом гормонів —</w:t>
      </w:r>
      <w:r w:rsidRPr="00156441">
        <w:rPr>
          <w:rFonts w:ascii="Times New Roman" w:eastAsia="Times New Roman" w:hAnsi="Times New Roman" w:cs="Times New Roman"/>
          <w:sz w:val="28"/>
          <w:szCs w:val="28"/>
          <w:lang w:eastAsia="ru-RU"/>
        </w:rPr>
        <w:t xml:space="preserve"> альдостерону та вазопресину, синтез і секреція яких контролюється цією системою.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пацієнтів основної групи спостерігалось при порівняні з контролем суттєве підвищення (р&lt;0,001) у плазмі крові активност</w:t>
      </w:r>
      <w:r w:rsidR="00043835" w:rsidRPr="00156441">
        <w:rPr>
          <w:rFonts w:ascii="Times New Roman" w:eastAsia="Times New Roman" w:hAnsi="Times New Roman" w:cs="Times New Roman"/>
          <w:sz w:val="28"/>
          <w:szCs w:val="28"/>
          <w:lang w:eastAsia="ru-RU"/>
        </w:rPr>
        <w:t>і реніну в середньому в 1,8 </w:t>
      </w:r>
      <w:r w:rsidRPr="00156441">
        <w:rPr>
          <w:rFonts w:ascii="Times New Roman" w:eastAsia="Times New Roman" w:hAnsi="Times New Roman" w:cs="Times New Roman"/>
          <w:sz w:val="28"/>
          <w:szCs w:val="28"/>
          <w:lang w:eastAsia="ru-RU"/>
        </w:rPr>
        <w:t>рази</w:t>
      </w:r>
      <w:r w:rsidR="00A05646" w:rsidRPr="00156441">
        <w:rPr>
          <w:rFonts w:ascii="Times New Roman" w:eastAsia="Times New Roman" w:hAnsi="Times New Roman" w:cs="Times New Roman"/>
          <w:sz w:val="28"/>
          <w:szCs w:val="28"/>
          <w:lang w:eastAsia="ru-RU"/>
        </w:rPr>
        <w:t xml:space="preserve"> (табл. 3.2</w:t>
      </w:r>
      <w:r w:rsidRPr="00156441">
        <w:rPr>
          <w:rFonts w:ascii="Times New Roman" w:eastAsia="Times New Roman" w:hAnsi="Times New Roman" w:cs="Times New Roman"/>
          <w:sz w:val="28"/>
          <w:szCs w:val="28"/>
          <w:lang w:eastAsia="ru-RU"/>
        </w:rPr>
        <w:t xml:space="preserve">.1, </w:t>
      </w:r>
      <w:r w:rsidR="00FA6E72" w:rsidRPr="00156441">
        <w:rPr>
          <w:rFonts w:ascii="Times New Roman" w:eastAsia="Times New Roman" w:hAnsi="Times New Roman" w:cs="Times New Roman"/>
          <w:sz w:val="28"/>
          <w:szCs w:val="28"/>
          <w:lang w:eastAsia="ru-RU"/>
        </w:rPr>
        <w:t>рис. 3</w:t>
      </w:r>
      <w:r w:rsidRPr="00156441">
        <w:rPr>
          <w:rFonts w:ascii="Times New Roman" w:eastAsia="Times New Roman" w:hAnsi="Times New Roman" w:cs="Times New Roman"/>
          <w:sz w:val="28"/>
          <w:szCs w:val="28"/>
          <w:lang w:eastAsia="ru-RU"/>
        </w:rPr>
        <w:t>). Слід відзначити, що лише у 7 хво</w:t>
      </w:r>
      <w:r w:rsidR="00043835" w:rsidRPr="00156441">
        <w:rPr>
          <w:rFonts w:ascii="Times New Roman" w:eastAsia="Times New Roman" w:hAnsi="Times New Roman" w:cs="Times New Roman"/>
          <w:sz w:val="28"/>
          <w:szCs w:val="28"/>
          <w:lang w:eastAsia="ru-RU"/>
        </w:rPr>
        <w:t xml:space="preserve">рих </w:t>
      </w:r>
      <w:r w:rsidRPr="00156441">
        <w:rPr>
          <w:rFonts w:ascii="Times New Roman" w:eastAsia="Times New Roman" w:hAnsi="Times New Roman" w:cs="Times New Roman"/>
          <w:sz w:val="28"/>
          <w:szCs w:val="28"/>
          <w:lang w:eastAsia="ru-RU"/>
        </w:rPr>
        <w:t>(13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цієї групи активність ферменту знаходилась у діапазоні значень контрольної групи. При цьому у пацієнтів групи порівняння не виявлялось статистично значущих змін активності реніну по відношенню до контролю (р=0,245).</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плазмі крові хворих на ХОЗЛ у сполученні з ГХ активність реніну визначалась статистично значимо (р&lt;0,001) підвищеною в середньому в 1,6 рази по відношенню до хворих з ізольованим перебігом ХОЗЛ. Сер</w:t>
      </w:r>
      <w:r w:rsidR="00043835" w:rsidRPr="00156441">
        <w:rPr>
          <w:rFonts w:ascii="Times New Roman" w:eastAsia="Times New Roman" w:hAnsi="Times New Roman" w:cs="Times New Roman"/>
          <w:sz w:val="28"/>
          <w:szCs w:val="28"/>
          <w:lang w:eastAsia="ru-RU"/>
        </w:rPr>
        <w:t>ед 55 пацієнтів основної групи —</w:t>
      </w:r>
      <w:r w:rsidRPr="00156441">
        <w:rPr>
          <w:rFonts w:ascii="Times New Roman" w:eastAsia="Times New Roman" w:hAnsi="Times New Roman" w:cs="Times New Roman"/>
          <w:sz w:val="28"/>
          <w:szCs w:val="28"/>
          <w:lang w:eastAsia="ru-RU"/>
        </w:rPr>
        <w:t xml:space="preserve"> у 38 (69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пацієнтів значення активності ферменту не підпадали у діапазон значень групи порівняння</w:t>
      </w:r>
    </w:p>
    <w:p w:rsidR="00354B4F" w:rsidRPr="00156441" w:rsidRDefault="00A05646" w:rsidP="00354B4F">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Таблиця 3.2</w:t>
      </w:r>
      <w:r w:rsidR="00354B4F" w:rsidRPr="00156441">
        <w:rPr>
          <w:rFonts w:ascii="Times New Roman" w:eastAsia="Times New Roman" w:hAnsi="Times New Roman" w:cs="Times New Roman"/>
          <w:sz w:val="28"/>
          <w:szCs w:val="28"/>
          <w:lang w:eastAsia="ru-RU"/>
        </w:rPr>
        <w:t>.1</w:t>
      </w:r>
    </w:p>
    <w:p w:rsidR="00354B4F" w:rsidRPr="00156441" w:rsidRDefault="00354B4F" w:rsidP="00354B4F">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 xml:space="preserve">Активність реніну та </w:t>
      </w:r>
      <w:r w:rsidRPr="00156441">
        <w:rPr>
          <w:rFonts w:ascii="Times New Roman" w:eastAsia="Times New Roman" w:hAnsi="Times New Roman" w:cs="Times New Roman"/>
          <w:sz w:val="28"/>
          <w:szCs w:val="28"/>
          <w:lang w:eastAsia="ru-RU"/>
        </w:rPr>
        <w:t>ангіотензинперетворювального ферменту</w:t>
      </w:r>
      <w:r w:rsidRPr="00156441">
        <w:rPr>
          <w:rFonts w:ascii="Times New Roman" w:eastAsia="Times New Roman" w:hAnsi="Times New Roman" w:cs="Times New Roman"/>
          <w:bCs/>
          <w:sz w:val="28"/>
          <w:szCs w:val="28"/>
          <w:lang w:eastAsia="ru-RU"/>
        </w:rPr>
        <w:t xml:space="preserve"> в плазмі крові хворих 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467"/>
        <w:gridCol w:w="2468"/>
        <w:gridCol w:w="2355"/>
      </w:tblGrid>
      <w:tr w:rsidR="00156441" w:rsidRPr="00156441" w:rsidTr="00F131EE">
        <w:trPr>
          <w:trHeight w:val="934"/>
        </w:trPr>
        <w:tc>
          <w:tcPr>
            <w:tcW w:w="262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467"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354B4F" w:rsidRPr="00156441" w:rsidRDefault="00354B4F" w:rsidP="00F131EE">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r w:rsidR="00F131EE">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n=55</w:t>
            </w:r>
          </w:p>
        </w:tc>
        <w:tc>
          <w:tcPr>
            <w:tcW w:w="24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F131EE">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r w:rsidR="00F131EE">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n=45</w:t>
            </w:r>
          </w:p>
        </w:tc>
        <w:tc>
          <w:tcPr>
            <w:tcW w:w="2355"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F131EE">
        <w:tc>
          <w:tcPr>
            <w:tcW w:w="262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Ренін,</w:t>
            </w:r>
          </w:p>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нг/мл·год</w:t>
            </w:r>
          </w:p>
        </w:tc>
        <w:tc>
          <w:tcPr>
            <w:tcW w:w="2467"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2,51 [1,95; 3,00]</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4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1,57 [1,03; 2,01]</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p=0,245</w:t>
            </w:r>
          </w:p>
        </w:tc>
        <w:tc>
          <w:tcPr>
            <w:tcW w:w="2355"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1,37 [1,09; 1,76]</w:t>
            </w:r>
          </w:p>
        </w:tc>
      </w:tr>
      <w:tr w:rsidR="00156441" w:rsidRPr="00156441" w:rsidTr="00F131EE">
        <w:tc>
          <w:tcPr>
            <w:tcW w:w="262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Ангіотензин-перетворювальний фермент, нМ/мл·хв</w:t>
            </w:r>
          </w:p>
        </w:tc>
        <w:tc>
          <w:tcPr>
            <w:tcW w:w="2467"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2,51 [1,95; 3,00]</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4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1,57 [1,03; 2,01]</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p=0,036</w:t>
            </w:r>
          </w:p>
        </w:tc>
        <w:tc>
          <w:tcPr>
            <w:tcW w:w="2355"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1,37 [1,09; 1,76]</w:t>
            </w:r>
          </w:p>
        </w:tc>
      </w:tr>
    </w:tbl>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 xml:space="preserve">рівень значущості по відношенню до контролю;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354B4F" w:rsidRPr="00156441" w:rsidRDefault="002C7E0C" w:rsidP="00F131EE">
      <w:pPr>
        <w:shd w:val="clear" w:color="auto" w:fill="FFFFFF"/>
        <w:spacing w:after="0" w:line="162" w:lineRule="atLeast"/>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79" w:dyaOrig="3970">
          <v:shape id="_x0000_i1027" type="#_x0000_t75" style="width:263.8pt;height:198.15pt;mso-position-vertical:absolute" o:ole="">
            <v:imagedata r:id="rId12" o:title=""/>
          </v:shape>
          <o:OLEObject Type="Embed" ProgID="STATISTICA.Graph" ShapeID="_x0000_i1027" DrawAspect="Content" ObjectID="_1579001521" r:id="rId13">
            <o:FieldCodes>\s</o:FieldCodes>
          </o:OLEObject>
        </w:object>
      </w:r>
    </w:p>
    <w:p w:rsidR="00354B4F" w:rsidRPr="00156441" w:rsidRDefault="00354B4F" w:rsidP="00354B4F">
      <w:pPr>
        <w:shd w:val="clear" w:color="auto" w:fill="FFFFFF"/>
        <w:spacing w:after="0" w:line="162" w:lineRule="atLeast"/>
        <w:contextualSpacing/>
        <w:jc w:val="both"/>
        <w:rPr>
          <w:rFonts w:ascii="Times New Roman" w:eastAsia="Times New Roman" w:hAnsi="Times New Roman" w:cs="Times New Roman"/>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FA6E72" w:rsidRPr="00156441">
        <w:rPr>
          <w:rFonts w:ascii="Times New Roman" w:eastAsia="Times New Roman" w:hAnsi="Times New Roman" w:cs="Times New Roman"/>
          <w:sz w:val="28"/>
          <w:szCs w:val="28"/>
          <w:lang w:eastAsia="ru-RU"/>
        </w:rPr>
        <w:t>3</w:t>
      </w:r>
      <w:r w:rsidRPr="00156441">
        <w:rPr>
          <w:rFonts w:ascii="Times New Roman" w:eastAsia="Times New Roman" w:hAnsi="Times New Roman" w:cs="Times New Roman"/>
          <w:sz w:val="28"/>
          <w:szCs w:val="28"/>
          <w:lang w:eastAsia="ru-RU"/>
        </w:rPr>
        <w:t>. Активність реніну</w:t>
      </w:r>
      <w:r w:rsidRPr="00156441">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sz w:val="28"/>
          <w:szCs w:val="28"/>
          <w:lang w:eastAsia="ru-RU"/>
        </w:rPr>
        <w:t>(нг/мл·год) у</w:t>
      </w:r>
      <w:r w:rsidRPr="00156441">
        <w:rPr>
          <w:rFonts w:ascii="Times New Roman" w:eastAsia="Times New Roman" w:hAnsi="Times New Roman" w:cs="Times New Roman"/>
          <w:bCs/>
          <w:sz w:val="28"/>
          <w:szCs w:val="28"/>
          <w:lang w:eastAsia="ru-RU"/>
        </w:rPr>
        <w:t xml:space="preserve"> плазмі крові</w:t>
      </w:r>
      <w:r w:rsidRPr="00156441">
        <w:rPr>
          <w:rFonts w:ascii="Times New Roman" w:eastAsia="Times New Roman" w:hAnsi="Times New Roman" w:cs="Times New Roman"/>
          <w:sz w:val="28"/>
          <w:szCs w:val="28"/>
          <w:lang w:eastAsia="ru-RU"/>
        </w:rPr>
        <w:t xml:space="preserve"> хворих з поєднаним перебігом ХОЗЛ і ГХ та з ізольованим перебігом ХОЗЛ </w:t>
      </w:r>
      <w:r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крові субст</w:t>
      </w:r>
      <w:r w:rsidR="00043835" w:rsidRPr="00156441">
        <w:rPr>
          <w:rFonts w:ascii="Times New Roman" w:eastAsia="Times New Roman" w:hAnsi="Times New Roman" w:cs="Times New Roman"/>
          <w:sz w:val="28"/>
          <w:szCs w:val="28"/>
          <w:lang w:eastAsia="ru-RU"/>
        </w:rPr>
        <w:t>ратом реніну є ангіотензиноген —</w:t>
      </w:r>
      <w:r w:rsidRPr="00156441">
        <w:rPr>
          <w:rFonts w:ascii="Times New Roman" w:eastAsia="Times New Roman" w:hAnsi="Times New Roman" w:cs="Times New Roman"/>
          <w:sz w:val="28"/>
          <w:szCs w:val="28"/>
          <w:lang w:eastAsia="ru-RU"/>
        </w:rPr>
        <w:t xml:space="preserve"> глікопротеїн, що синтезується у печінці, який при цьому перетворюється на ангіотензин I.</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При дії АПФ (дипептидилкарбоксипептидази I, кінінази II), присутнього у мембранах кровоносних судин, особливо легень, ангіотензин I перетворюється на ангіотензин II [</w:t>
      </w:r>
      <w:r w:rsidR="00043835" w:rsidRPr="00156441">
        <w:rPr>
          <w:rFonts w:ascii="Times New Roman" w:eastAsia="Times New Roman" w:hAnsi="Times New Roman" w:cs="Times New Roman"/>
          <w:sz w:val="28"/>
          <w:szCs w:val="28"/>
          <w:lang w:eastAsia="ru-RU"/>
        </w:rPr>
        <w:fldChar w:fldCharType="begin"/>
      </w:r>
      <w:r w:rsidR="00043835" w:rsidRPr="00156441">
        <w:rPr>
          <w:rFonts w:ascii="Times New Roman" w:eastAsia="Times New Roman" w:hAnsi="Times New Roman" w:cs="Times New Roman"/>
          <w:sz w:val="28"/>
          <w:szCs w:val="28"/>
          <w:lang w:eastAsia="ru-RU"/>
        </w:rPr>
        <w:instrText xml:space="preserve"> REF _Ref502696656 \r \h </w:instrText>
      </w:r>
      <w:r w:rsidR="00F44EE4" w:rsidRPr="00156441">
        <w:rPr>
          <w:rFonts w:ascii="Times New Roman" w:eastAsia="Times New Roman" w:hAnsi="Times New Roman" w:cs="Times New Roman"/>
          <w:sz w:val="28"/>
          <w:szCs w:val="28"/>
          <w:lang w:eastAsia="ru-RU"/>
        </w:rPr>
        <w:instrText xml:space="preserve"> \* MERGEFORMAT </w:instrText>
      </w:r>
      <w:r w:rsidR="00043835" w:rsidRPr="00156441">
        <w:rPr>
          <w:rFonts w:ascii="Times New Roman" w:eastAsia="Times New Roman" w:hAnsi="Times New Roman" w:cs="Times New Roman"/>
          <w:sz w:val="28"/>
          <w:szCs w:val="28"/>
          <w:lang w:eastAsia="ru-RU"/>
        </w:rPr>
      </w:r>
      <w:r w:rsidR="00043835"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293</w:t>
      </w:r>
      <w:r w:rsidR="00043835"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54B4F"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У плазмі крові хворих основної групи висока активність реніну, ймовірно, сприяла підвищенню (р&lt;0,001) активності АПФ в середньому в 2,0 та 1,7 рази по відношенню відповідно до контрольної групи та групи порівняння (табл. </w:t>
      </w:r>
      <w:r w:rsidR="00A05646" w:rsidRPr="00156441">
        <w:rPr>
          <w:rFonts w:ascii="Times New Roman" w:eastAsia="Times New Roman" w:hAnsi="Times New Roman" w:cs="Times New Roman"/>
          <w:sz w:val="28"/>
          <w:szCs w:val="28"/>
          <w:lang w:eastAsia="ru-RU"/>
        </w:rPr>
        <w:t>3.2</w:t>
      </w:r>
      <w:r w:rsidRPr="00156441">
        <w:rPr>
          <w:rFonts w:ascii="Times New Roman" w:eastAsia="Times New Roman" w:hAnsi="Times New Roman" w:cs="Times New Roman"/>
          <w:sz w:val="28"/>
          <w:szCs w:val="28"/>
          <w:lang w:eastAsia="ru-RU"/>
        </w:rPr>
        <w:t xml:space="preserve">.1, </w:t>
      </w:r>
      <w:r w:rsidR="00FA6E72" w:rsidRPr="00156441">
        <w:rPr>
          <w:rFonts w:ascii="Times New Roman" w:eastAsia="Times New Roman" w:hAnsi="Times New Roman" w:cs="Times New Roman"/>
          <w:sz w:val="28"/>
          <w:szCs w:val="28"/>
          <w:lang w:eastAsia="ru-RU"/>
        </w:rPr>
        <w:t>рис. 4</w:t>
      </w:r>
      <w:r w:rsidRPr="00156441">
        <w:rPr>
          <w:rFonts w:ascii="Times New Roman" w:eastAsia="Times New Roman" w:hAnsi="Times New Roman" w:cs="Times New Roman"/>
          <w:sz w:val="28"/>
          <w:szCs w:val="28"/>
          <w:lang w:eastAsia="ru-RU"/>
        </w:rPr>
        <w:t>). У пацієнтів з ізольованим перебігом ХОЗЛ активність АПФ при порівнянні з контролем підвищувалась незначно (в середньому в 1,2 рази), але статистично вірогідно (р=0,036). У цій групі лише у 7 хворих (16</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значення активності ферменту виходили за межі діапазону значень контролю.</w:t>
      </w:r>
    </w:p>
    <w:p w:rsidR="002C7E0C" w:rsidRPr="00156441" w:rsidRDefault="002C7E0C" w:rsidP="002C7E0C">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Виявлене підвищення активності реніну та АПФ у плазмі крові хворих на ХОЗЛ у сполученні з ГХ, на відміну від хворих з ізольованим перебігом ХОЗЛ, опосередковано свідчить про активацію ренін-ангіотензинової системи та підвищення синтезу її головного представника ангіотензину II. Основними ефектами останнього можуть стати міцна вазоконстрикція, стимулювання синтезу та секреції наднирковими залозами альдостерону.</w:t>
      </w:r>
    </w:p>
    <w:p w:rsidR="00354B4F" w:rsidRPr="00156441" w:rsidRDefault="002C7E0C" w:rsidP="00F131EE">
      <w:pPr>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89" w:dyaOrig="3967">
          <v:shape id="_x0000_i1028" type="#_x0000_t75" style="width:264.4pt;height:197.55pt;mso-position-vertical:absolute" o:ole="">
            <v:imagedata r:id="rId14" o:title=""/>
          </v:shape>
          <o:OLEObject Type="Embed" ProgID="STATISTICA.Graph" ShapeID="_x0000_i1028" DrawAspect="Content" ObjectID="_1579001522" r:id="rId15">
            <o:FieldCodes>\s</o:FieldCodes>
          </o:OLEObject>
        </w:object>
      </w:r>
    </w:p>
    <w:p w:rsidR="00354B4F" w:rsidRDefault="00FA6E72" w:rsidP="00354B4F">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4</w:t>
      </w:r>
      <w:r w:rsidR="00354B4F" w:rsidRPr="00156441">
        <w:rPr>
          <w:rFonts w:ascii="Times New Roman" w:eastAsia="Times New Roman" w:hAnsi="Times New Roman" w:cs="Times New Roman"/>
          <w:sz w:val="28"/>
          <w:szCs w:val="28"/>
          <w:lang w:eastAsia="ru-RU"/>
        </w:rPr>
        <w:t>. Активність ангіотензинперетворювального ферменту</w:t>
      </w:r>
      <w:r w:rsidR="00354B4F" w:rsidRPr="00156441">
        <w:rPr>
          <w:rFonts w:ascii="Times New Roman" w:eastAsia="Times New Roman" w:hAnsi="Times New Roman" w:cs="Times New Roman"/>
          <w:bCs/>
          <w:sz w:val="28"/>
          <w:szCs w:val="28"/>
          <w:lang w:eastAsia="ru-RU"/>
        </w:rPr>
        <w:t xml:space="preserve"> </w:t>
      </w:r>
      <w:r w:rsidR="00354B4F" w:rsidRPr="00156441">
        <w:rPr>
          <w:rFonts w:ascii="Times New Roman" w:eastAsia="Times New Roman" w:hAnsi="Times New Roman" w:cs="Times New Roman"/>
          <w:sz w:val="28"/>
          <w:szCs w:val="28"/>
          <w:lang w:eastAsia="ru-RU"/>
        </w:rPr>
        <w:t>(нМ/мл·хв) у</w:t>
      </w:r>
      <w:r w:rsidR="00354B4F" w:rsidRPr="00156441">
        <w:rPr>
          <w:rFonts w:ascii="Times New Roman" w:eastAsia="Times New Roman" w:hAnsi="Times New Roman" w:cs="Times New Roman"/>
          <w:bCs/>
          <w:sz w:val="28"/>
          <w:szCs w:val="28"/>
          <w:lang w:eastAsia="ru-RU"/>
        </w:rPr>
        <w:t xml:space="preserve"> плазмі крові</w:t>
      </w:r>
      <w:r w:rsidR="00354B4F" w:rsidRPr="00156441">
        <w:rPr>
          <w:rFonts w:ascii="Times New Roman" w:eastAsia="Times New Roman" w:hAnsi="Times New Roman" w:cs="Times New Roman"/>
          <w:sz w:val="28"/>
          <w:szCs w:val="28"/>
          <w:lang w:eastAsia="ru-RU"/>
        </w:rPr>
        <w:t xml:space="preserve"> хворих з поєднаним перебігом ХОЗЛ і ГХ та ізольованим перебігом ХОЗЛ та </w:t>
      </w:r>
      <w:r w:rsidR="00354B4F"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плазмі крові хворих на ХОЗЛ у сполученні з ГХ реєструвалось статистично значиме (р&lt;0,001) по відношенню до умовно здорових осіб та</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 xml:space="preserve">хворих з ізольованим перебігом ХОЗЛ підвищення вмісту альдостерону в середньому в 2,2 і 1,9 рази відповідно (табл. </w:t>
      </w:r>
      <w:r w:rsidR="00A05646" w:rsidRPr="00156441">
        <w:rPr>
          <w:rFonts w:ascii="Times New Roman" w:eastAsia="Times New Roman" w:hAnsi="Times New Roman" w:cs="Times New Roman"/>
          <w:sz w:val="28"/>
          <w:szCs w:val="28"/>
          <w:lang w:eastAsia="ru-RU"/>
        </w:rPr>
        <w:t>3.2</w:t>
      </w:r>
      <w:r w:rsidRPr="00156441">
        <w:rPr>
          <w:rFonts w:ascii="Times New Roman" w:eastAsia="Times New Roman" w:hAnsi="Times New Roman" w:cs="Times New Roman"/>
          <w:sz w:val="28"/>
          <w:szCs w:val="28"/>
          <w:lang w:eastAsia="ru-RU"/>
        </w:rPr>
        <w:t xml:space="preserve">.2, рис. </w:t>
      </w:r>
      <w:r w:rsidR="00FA6E72" w:rsidRPr="00156441">
        <w:rPr>
          <w:rFonts w:ascii="Times New Roman" w:eastAsia="Times New Roman" w:hAnsi="Times New Roman" w:cs="Times New Roman"/>
          <w:sz w:val="28"/>
          <w:szCs w:val="28"/>
          <w:lang w:eastAsia="ru-RU"/>
        </w:rPr>
        <w:t>5</w:t>
      </w:r>
      <w:r w:rsidRPr="00156441">
        <w:rPr>
          <w:rFonts w:ascii="Times New Roman" w:eastAsia="Times New Roman" w:hAnsi="Times New Roman" w:cs="Times New Roman"/>
          <w:sz w:val="28"/>
          <w:szCs w:val="28"/>
          <w:lang w:eastAsia="ru-RU"/>
        </w:rPr>
        <w:t>). Для 55 пацієнтів основної групи у 14 (25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значення рівня альдостерону співпадали з діапазоном значень контролю, а у 25 (45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з діапазоном значень групи порівняння. У хворих на ХОЗЛ без сполучення з ГХ не виявлено при порівнянні з контролем вірогідних змін з боку рівня альдостерону у плазмі крові (р=0,158).</w:t>
      </w:r>
    </w:p>
    <w:p w:rsidR="00354B4F" w:rsidRPr="00156441" w:rsidRDefault="00354B4F" w:rsidP="00354B4F">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Таблиця </w:t>
      </w:r>
      <w:r w:rsidR="00A05646" w:rsidRPr="00156441">
        <w:rPr>
          <w:rFonts w:ascii="Times New Roman" w:eastAsia="Times New Roman" w:hAnsi="Times New Roman" w:cs="Times New Roman"/>
          <w:sz w:val="28"/>
          <w:szCs w:val="28"/>
          <w:lang w:eastAsia="ru-RU"/>
        </w:rPr>
        <w:t>3.2</w:t>
      </w:r>
      <w:r w:rsidRPr="00156441">
        <w:rPr>
          <w:rFonts w:ascii="Times New Roman" w:eastAsia="Times New Roman" w:hAnsi="Times New Roman" w:cs="Times New Roman"/>
          <w:sz w:val="28"/>
          <w:szCs w:val="28"/>
          <w:lang w:eastAsia="ru-RU"/>
        </w:rPr>
        <w:t>.2</w:t>
      </w:r>
    </w:p>
    <w:p w:rsidR="00354B4F" w:rsidRPr="00156441" w:rsidRDefault="00354B4F" w:rsidP="00354B4F">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Вміст альдостерону та вазопресину в плазмі крові хворих 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442"/>
        <w:gridCol w:w="2361"/>
        <w:gridCol w:w="2568"/>
      </w:tblGrid>
      <w:tr w:rsidR="00156441" w:rsidRPr="00156441" w:rsidTr="002C7E0C">
        <w:trPr>
          <w:trHeight w:val="934"/>
        </w:trPr>
        <w:tc>
          <w:tcPr>
            <w:tcW w:w="2547"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442"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n=55</w:t>
            </w: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2C7E0C">
        <w:tc>
          <w:tcPr>
            <w:tcW w:w="2547"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Альдостерон, нМ/л</w:t>
            </w:r>
          </w:p>
        </w:tc>
        <w:tc>
          <w:tcPr>
            <w:tcW w:w="2442"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0,96 [0,69; 1,12]</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0,48 [0,33; 0,68]</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p=0,158</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0,44 [0,29; 0,57]</w:t>
            </w:r>
          </w:p>
        </w:tc>
      </w:tr>
      <w:tr w:rsidR="00156441" w:rsidRPr="00156441" w:rsidTr="002C7E0C">
        <w:tc>
          <w:tcPr>
            <w:tcW w:w="2547"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Вазопресин, пг/мл</w:t>
            </w:r>
          </w:p>
        </w:tc>
        <w:tc>
          <w:tcPr>
            <w:tcW w:w="2442"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4,0 [3,2; 4,7]</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3,2 [2,9; 3,8]</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p=0,001</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2,7 [2,2; 3,2]</w:t>
            </w:r>
          </w:p>
        </w:tc>
      </w:tr>
    </w:tbl>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lastRenderedPageBreak/>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 xml:space="preserve">рівень значущості по відношенню до контролю;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Суттєве збільшення рівня секреції альдостерону у хворих на ХОЗЛ з ГХ може призвести до затримці солі та рідини, підвищення абсорбції хлориду натрію у проксимальному відділі ниркових канальців [</w:t>
      </w:r>
      <w:r w:rsidR="00043835" w:rsidRPr="00156441">
        <w:rPr>
          <w:rFonts w:ascii="Times New Roman" w:eastAsia="Times New Roman" w:hAnsi="Times New Roman" w:cs="Times New Roman"/>
          <w:sz w:val="28"/>
          <w:szCs w:val="28"/>
          <w:lang w:eastAsia="ru-RU"/>
        </w:rPr>
        <w:fldChar w:fldCharType="begin"/>
      </w:r>
      <w:r w:rsidR="00043835" w:rsidRPr="00156441">
        <w:rPr>
          <w:rFonts w:ascii="Times New Roman" w:eastAsia="Times New Roman" w:hAnsi="Times New Roman" w:cs="Times New Roman"/>
          <w:sz w:val="28"/>
          <w:szCs w:val="28"/>
          <w:lang w:eastAsia="ru-RU"/>
        </w:rPr>
        <w:instrText xml:space="preserve"> REF _Ref502696928 \r \h </w:instrText>
      </w:r>
      <w:r w:rsidR="00F44EE4" w:rsidRPr="00156441">
        <w:rPr>
          <w:rFonts w:ascii="Times New Roman" w:eastAsia="Times New Roman" w:hAnsi="Times New Roman" w:cs="Times New Roman"/>
          <w:sz w:val="28"/>
          <w:szCs w:val="28"/>
          <w:lang w:eastAsia="ru-RU"/>
        </w:rPr>
        <w:instrText xml:space="preserve"> \* MERGEFORMAT </w:instrText>
      </w:r>
      <w:r w:rsidR="00043835" w:rsidRPr="00156441">
        <w:rPr>
          <w:rFonts w:ascii="Times New Roman" w:eastAsia="Times New Roman" w:hAnsi="Times New Roman" w:cs="Times New Roman"/>
          <w:sz w:val="28"/>
          <w:szCs w:val="28"/>
          <w:lang w:eastAsia="ru-RU"/>
        </w:rPr>
      </w:r>
      <w:r w:rsidR="00043835"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294</w:t>
      </w:r>
      <w:r w:rsidR="00043835"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54B4F" w:rsidRPr="00156441" w:rsidRDefault="002C7E0C" w:rsidP="00F131EE">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79" w:dyaOrig="3970">
          <v:shape id="_x0000_i1029" type="#_x0000_t75" style="width:263.8pt;height:197.55pt" o:ole="">
            <v:imagedata r:id="rId16" o:title=""/>
          </v:shape>
          <o:OLEObject Type="Embed" ProgID="STATISTICA.Graph" ShapeID="_x0000_i1029" DrawAspect="Content" ObjectID="_1579001523" r:id="rId17">
            <o:FieldCodes>\s</o:FieldCodes>
          </o:OLEObject>
        </w:object>
      </w:r>
    </w:p>
    <w:p w:rsidR="00354B4F" w:rsidRPr="00156441" w:rsidRDefault="00FA6E72" w:rsidP="00354B4F">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5</w:t>
      </w:r>
      <w:r w:rsidR="00354B4F" w:rsidRPr="00156441">
        <w:rPr>
          <w:rFonts w:ascii="Times New Roman" w:eastAsia="Times New Roman" w:hAnsi="Times New Roman" w:cs="Times New Roman"/>
          <w:sz w:val="28"/>
          <w:szCs w:val="28"/>
          <w:lang w:eastAsia="ru-RU"/>
        </w:rPr>
        <w:t>. Вміст альдостерону</w:t>
      </w:r>
      <w:r w:rsidR="00354B4F" w:rsidRPr="00156441">
        <w:rPr>
          <w:rFonts w:ascii="Times New Roman" w:eastAsia="Times New Roman" w:hAnsi="Times New Roman" w:cs="Times New Roman"/>
          <w:bCs/>
          <w:sz w:val="28"/>
          <w:szCs w:val="28"/>
          <w:lang w:eastAsia="ru-RU"/>
        </w:rPr>
        <w:t xml:space="preserve"> </w:t>
      </w:r>
      <w:r w:rsidR="00354B4F" w:rsidRPr="00156441">
        <w:rPr>
          <w:rFonts w:ascii="Times New Roman" w:eastAsia="Times New Roman" w:hAnsi="Times New Roman" w:cs="Times New Roman"/>
          <w:sz w:val="28"/>
          <w:szCs w:val="28"/>
          <w:lang w:eastAsia="ru-RU"/>
        </w:rPr>
        <w:t>(нМ/л) у</w:t>
      </w:r>
      <w:r w:rsidR="00354B4F" w:rsidRPr="00156441">
        <w:rPr>
          <w:rFonts w:ascii="Times New Roman" w:eastAsia="Times New Roman" w:hAnsi="Times New Roman" w:cs="Times New Roman"/>
          <w:bCs/>
          <w:sz w:val="28"/>
          <w:szCs w:val="28"/>
          <w:lang w:eastAsia="ru-RU"/>
        </w:rPr>
        <w:t xml:space="preserve"> плазмі крові</w:t>
      </w:r>
      <w:r w:rsidR="00354B4F" w:rsidRPr="00156441">
        <w:rPr>
          <w:rFonts w:ascii="Times New Roman" w:hAnsi="Times New Roman" w:cs="Times New Roman"/>
          <w:sz w:val="28"/>
          <w:szCs w:val="28"/>
        </w:rPr>
        <w:t xml:space="preserve"> </w:t>
      </w:r>
      <w:r w:rsidR="00354B4F" w:rsidRPr="00156441">
        <w:rPr>
          <w:rFonts w:ascii="Times New Roman" w:eastAsia="Times New Roman" w:hAnsi="Times New Roman" w:cs="Times New Roman"/>
          <w:bCs/>
          <w:sz w:val="28"/>
          <w:szCs w:val="28"/>
          <w:lang w:eastAsia="ru-RU"/>
        </w:rPr>
        <w:t>хворих з поєднаним перебігом ХОЗЛ і ГХ та</w:t>
      </w:r>
      <w:r w:rsidR="00354B4F" w:rsidRPr="00156441">
        <w:rPr>
          <w:rFonts w:ascii="Times New Roman" w:eastAsia="Times New Roman" w:hAnsi="Times New Roman" w:cs="Times New Roman"/>
          <w:sz w:val="28"/>
          <w:szCs w:val="28"/>
          <w:lang w:eastAsia="ru-RU"/>
        </w:rPr>
        <w:t xml:space="preserve"> хворих з ізольованим перебігом ХОЗЛ </w:t>
      </w:r>
      <w:r w:rsidR="00354B4F"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bCs/>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На тлі підвищення вмісту альдостерону у пацієнтів основної групи спостерігалось вірогідне </w:t>
      </w:r>
      <w:r w:rsidRPr="00156441">
        <w:rPr>
          <w:rFonts w:ascii="Times New Roman" w:eastAsia="Times New Roman" w:hAnsi="Times New Roman" w:cs="Times New Roman"/>
          <w:sz w:val="28"/>
          <w:szCs w:val="28"/>
          <w:lang w:eastAsia="ru-RU"/>
        </w:rPr>
        <w:t xml:space="preserve">(р&lt;0,001) </w:t>
      </w:r>
      <w:r w:rsidRPr="00156441">
        <w:rPr>
          <w:rFonts w:ascii="Times New Roman" w:eastAsia="Times New Roman" w:hAnsi="Times New Roman" w:cs="Times New Roman"/>
          <w:bCs/>
          <w:sz w:val="28"/>
          <w:szCs w:val="28"/>
          <w:lang w:eastAsia="ru-RU"/>
        </w:rPr>
        <w:t>по відношенню до контролю та групи порівняння збільшення у плазмі крові рівня вазопресину в середньому в 1,4 т</w:t>
      </w:r>
      <w:r w:rsidR="00A05646" w:rsidRPr="00156441">
        <w:rPr>
          <w:rFonts w:ascii="Times New Roman" w:eastAsia="Times New Roman" w:hAnsi="Times New Roman" w:cs="Times New Roman"/>
          <w:bCs/>
          <w:sz w:val="28"/>
          <w:szCs w:val="28"/>
          <w:lang w:eastAsia="ru-RU"/>
        </w:rPr>
        <w:t>а 1,2 рази відповідно (табл. 3.2</w:t>
      </w:r>
      <w:r w:rsidRPr="00156441">
        <w:rPr>
          <w:rFonts w:ascii="Times New Roman" w:eastAsia="Times New Roman" w:hAnsi="Times New Roman" w:cs="Times New Roman"/>
          <w:bCs/>
          <w:sz w:val="28"/>
          <w:szCs w:val="28"/>
          <w:lang w:eastAsia="ru-RU"/>
        </w:rPr>
        <w:t>.2, рис.</w:t>
      </w:r>
      <w:r w:rsidR="00FA6E72" w:rsidRPr="00156441">
        <w:rPr>
          <w:rFonts w:ascii="Times New Roman" w:eastAsia="Times New Roman" w:hAnsi="Times New Roman" w:cs="Times New Roman"/>
          <w:bCs/>
          <w:sz w:val="28"/>
          <w:szCs w:val="28"/>
          <w:lang w:eastAsia="ru-RU"/>
        </w:rPr>
        <w:t xml:space="preserve"> 6</w:t>
      </w:r>
      <w:r w:rsidRPr="00156441">
        <w:rPr>
          <w:rFonts w:ascii="Times New Roman" w:eastAsia="Times New Roman" w:hAnsi="Times New Roman" w:cs="Times New Roman"/>
          <w:bCs/>
          <w:sz w:val="28"/>
          <w:szCs w:val="28"/>
          <w:lang w:eastAsia="ru-RU"/>
        </w:rPr>
        <w:t>). У 23 осіб (42</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цієї групи рівень гормону перетинався зі значеннями контролю, а у 39 осіб (71</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bCs/>
          <w:sz w:val="28"/>
          <w:szCs w:val="28"/>
          <w:lang w:eastAsia="ru-RU"/>
        </w:rPr>
        <w:t>зі значеннями групи порівняння. У хворих з ізольованим перебігом ХОЗЛ вміст вазопресину також визначався підвищеним (р=0,001) при порівнянні з к</w:t>
      </w:r>
      <w:r w:rsidR="00043835" w:rsidRPr="00156441">
        <w:rPr>
          <w:rFonts w:ascii="Times New Roman" w:eastAsia="Times New Roman" w:hAnsi="Times New Roman" w:cs="Times New Roman"/>
          <w:bCs/>
          <w:sz w:val="28"/>
          <w:szCs w:val="28"/>
          <w:lang w:eastAsia="ru-RU"/>
        </w:rPr>
        <w:t>онтролем у середньому в 1,2 </w:t>
      </w:r>
      <w:r w:rsidRPr="00156441">
        <w:rPr>
          <w:rFonts w:ascii="Times New Roman" w:eastAsia="Times New Roman" w:hAnsi="Times New Roman" w:cs="Times New Roman"/>
          <w:bCs/>
          <w:sz w:val="28"/>
          <w:szCs w:val="28"/>
          <w:lang w:eastAsia="ru-RU"/>
        </w:rPr>
        <w:t>рази.</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Отже, виявлена активація ренін-ангіотензинової системи у хворих на ХОЗЛ у сполученні з ГХ сприяє підвищеній секреції альдостерону та вазопресину з наступним виникненням гіпонатріємії та затримкою води. Крім того, підвищення </w:t>
      </w:r>
      <w:r w:rsidRPr="00156441">
        <w:rPr>
          <w:rFonts w:ascii="Times New Roman" w:eastAsia="Times New Roman" w:hAnsi="Times New Roman" w:cs="Times New Roman"/>
          <w:sz w:val="28"/>
          <w:szCs w:val="28"/>
          <w:lang w:eastAsia="ru-RU"/>
        </w:rPr>
        <w:lastRenderedPageBreak/>
        <w:t>синтезу та секреції вазопресину є вагомим фактором впливу на судини через його виразний вазоконстрикторний ефект.</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2C7E0C" w:rsidP="00F131EE">
      <w:pPr>
        <w:spacing w:after="0" w:line="360" w:lineRule="auto"/>
        <w:ind w:firstLine="720"/>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89" w:dyaOrig="3967">
          <v:shape id="_x0000_i1030" type="#_x0000_t75" style="width:264.4pt;height:197.55pt" o:ole="">
            <v:imagedata r:id="rId18" o:title=""/>
          </v:shape>
          <o:OLEObject Type="Embed" ProgID="STATISTICA.Graph" ShapeID="_x0000_i1030" DrawAspect="Content" ObjectID="_1579001524" r:id="rId19">
            <o:FieldCodes>\s</o:FieldCodes>
          </o:OLEObject>
        </w:object>
      </w:r>
    </w:p>
    <w:p w:rsidR="00354B4F" w:rsidRPr="00156441" w:rsidRDefault="00354B4F" w:rsidP="00354B4F">
      <w:pPr>
        <w:shd w:val="clear" w:color="auto" w:fill="FFFFFF"/>
        <w:spacing w:after="0" w:line="162" w:lineRule="atLeast"/>
        <w:contextualSpacing/>
        <w:jc w:val="both"/>
        <w:rPr>
          <w:rFonts w:ascii="Times New Roman" w:eastAsia="Times New Roman" w:hAnsi="Times New Roman" w:cs="Times New Roman"/>
          <w:sz w:val="28"/>
          <w:szCs w:val="28"/>
          <w:lang w:eastAsia="ru-RU"/>
        </w:rPr>
      </w:pPr>
    </w:p>
    <w:p w:rsidR="00354B4F" w:rsidRPr="00156441" w:rsidRDefault="00FA6E72" w:rsidP="00354B4F">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6</w:t>
      </w:r>
      <w:r w:rsidR="00354B4F" w:rsidRPr="00156441">
        <w:rPr>
          <w:rFonts w:ascii="Times New Roman" w:eastAsia="Times New Roman" w:hAnsi="Times New Roman" w:cs="Times New Roman"/>
          <w:sz w:val="28"/>
          <w:szCs w:val="28"/>
          <w:lang w:eastAsia="ru-RU"/>
        </w:rPr>
        <w:t>. Вміст вазопресину</w:t>
      </w:r>
      <w:r w:rsidR="00354B4F" w:rsidRPr="00156441">
        <w:rPr>
          <w:rFonts w:ascii="Times New Roman" w:eastAsia="Times New Roman" w:hAnsi="Times New Roman" w:cs="Times New Roman"/>
          <w:bCs/>
          <w:sz w:val="28"/>
          <w:szCs w:val="28"/>
          <w:lang w:eastAsia="ru-RU"/>
        </w:rPr>
        <w:t xml:space="preserve"> </w:t>
      </w:r>
      <w:r w:rsidR="00354B4F" w:rsidRPr="00156441">
        <w:rPr>
          <w:rFonts w:ascii="Times New Roman" w:eastAsia="Times New Roman" w:hAnsi="Times New Roman" w:cs="Times New Roman"/>
          <w:sz w:val="28"/>
          <w:szCs w:val="28"/>
          <w:lang w:eastAsia="ru-RU"/>
        </w:rPr>
        <w:t>(пг/мл) у</w:t>
      </w:r>
      <w:r w:rsidR="00354B4F" w:rsidRPr="00156441">
        <w:rPr>
          <w:rFonts w:ascii="Times New Roman" w:eastAsia="Times New Roman" w:hAnsi="Times New Roman" w:cs="Times New Roman"/>
          <w:bCs/>
          <w:sz w:val="28"/>
          <w:szCs w:val="28"/>
          <w:lang w:eastAsia="ru-RU"/>
        </w:rPr>
        <w:t xml:space="preserve"> плазмі крові</w:t>
      </w:r>
      <w:r w:rsidR="00354B4F" w:rsidRPr="00156441">
        <w:rPr>
          <w:rFonts w:ascii="Times New Roman" w:hAnsi="Times New Roman" w:cs="Times New Roman"/>
          <w:sz w:val="28"/>
          <w:szCs w:val="28"/>
        </w:rPr>
        <w:t xml:space="preserve"> </w:t>
      </w:r>
      <w:r w:rsidR="00354B4F" w:rsidRPr="00156441">
        <w:rPr>
          <w:rFonts w:ascii="Times New Roman" w:eastAsia="Times New Roman" w:hAnsi="Times New Roman" w:cs="Times New Roman"/>
          <w:bCs/>
          <w:sz w:val="28"/>
          <w:szCs w:val="28"/>
          <w:lang w:eastAsia="ru-RU"/>
        </w:rPr>
        <w:t>хворих з поєднаним перебігом ХОЗЛ і ГХ та</w:t>
      </w:r>
      <w:r w:rsidR="00354B4F" w:rsidRPr="00156441">
        <w:rPr>
          <w:rFonts w:ascii="Times New Roman" w:eastAsia="Times New Roman" w:hAnsi="Times New Roman" w:cs="Times New Roman"/>
          <w:sz w:val="28"/>
          <w:szCs w:val="28"/>
          <w:lang w:eastAsia="ru-RU"/>
        </w:rPr>
        <w:t xml:space="preserve"> хворих з ізольованим перебігом ХОЗЛ </w:t>
      </w:r>
      <w:r w:rsidR="00354B4F"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bCs/>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загальному плані активація ренін-ангіотензинової системи так чи інакше сприятиме підвищенню тонусу судин, збільшенню як системної, так й легеневої гіпертензії.</w:t>
      </w:r>
    </w:p>
    <w:p w:rsidR="00354B4F" w:rsidRPr="00156441" w:rsidRDefault="00354B4F" w:rsidP="00354B4F">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Про стан калікреїн-кінінової системи у хворих на ХОЗЛ, поєднану з ГХ, судили, перш за все, за активністю протеолітичного ферменту калікреїну та вмістом його</w:t>
      </w:r>
      <w:r w:rsidR="009C6C87" w:rsidRPr="00156441">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bCs/>
          <w:sz w:val="28"/>
          <w:szCs w:val="28"/>
          <w:lang w:eastAsia="ru-RU"/>
        </w:rPr>
        <w:t>попередника</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bCs/>
          <w:sz w:val="28"/>
          <w:szCs w:val="28"/>
          <w:lang w:eastAsia="ru-RU"/>
        </w:rPr>
        <w:t>калікреїногену, а також активністю ферменту руйнування брадикініну</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bCs/>
          <w:sz w:val="28"/>
          <w:szCs w:val="28"/>
          <w:lang w:eastAsia="ru-RU"/>
        </w:rPr>
        <w:t>карбоксипептидази N (аргінін-карбоксипептидази, кінінази I).</w:t>
      </w:r>
    </w:p>
    <w:p w:rsidR="00354B4F"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У пацієнтів з ХОЗЛ у сполученні з ГХ у плазмі крові виявлялось вірогідне </w:t>
      </w:r>
      <w:r w:rsidRPr="00156441">
        <w:rPr>
          <w:rFonts w:ascii="Times New Roman" w:eastAsia="Times New Roman" w:hAnsi="Times New Roman" w:cs="Times New Roman"/>
          <w:sz w:val="28"/>
          <w:szCs w:val="28"/>
          <w:lang w:eastAsia="ru-RU"/>
        </w:rPr>
        <w:t xml:space="preserve">(р&lt;0,001) </w:t>
      </w:r>
      <w:r w:rsidRPr="00156441">
        <w:rPr>
          <w:rFonts w:ascii="Times New Roman" w:eastAsia="Times New Roman" w:hAnsi="Times New Roman" w:cs="Times New Roman"/>
          <w:bCs/>
          <w:sz w:val="28"/>
          <w:szCs w:val="28"/>
          <w:lang w:eastAsia="ru-RU"/>
        </w:rPr>
        <w:t xml:space="preserve">при порівнянні з контролем підвищення рівня калікреїногену </w:t>
      </w:r>
      <w:r w:rsidR="00A05646" w:rsidRPr="00156441">
        <w:rPr>
          <w:rFonts w:ascii="Times New Roman" w:eastAsia="Times New Roman" w:hAnsi="Times New Roman" w:cs="Times New Roman"/>
          <w:bCs/>
          <w:sz w:val="28"/>
          <w:szCs w:val="28"/>
          <w:lang w:eastAsia="ru-RU"/>
        </w:rPr>
        <w:t>в середньому в 1,9 рази (табл. 3.2</w:t>
      </w:r>
      <w:r w:rsidRPr="00156441">
        <w:rPr>
          <w:rFonts w:ascii="Times New Roman" w:eastAsia="Times New Roman" w:hAnsi="Times New Roman" w:cs="Times New Roman"/>
          <w:bCs/>
          <w:sz w:val="28"/>
          <w:szCs w:val="28"/>
          <w:lang w:eastAsia="ru-RU"/>
        </w:rPr>
        <w:t>.3, рис</w:t>
      </w:r>
      <w:r w:rsidR="00FA6E72" w:rsidRPr="00156441">
        <w:rPr>
          <w:rFonts w:ascii="Times New Roman" w:eastAsia="Times New Roman" w:hAnsi="Times New Roman" w:cs="Times New Roman"/>
          <w:bCs/>
          <w:sz w:val="28"/>
          <w:szCs w:val="28"/>
          <w:lang w:eastAsia="ru-RU"/>
        </w:rPr>
        <w:t>. 7</w:t>
      </w:r>
      <w:r w:rsidRPr="00156441">
        <w:rPr>
          <w:rFonts w:ascii="Times New Roman" w:eastAsia="Times New Roman" w:hAnsi="Times New Roman" w:cs="Times New Roman"/>
          <w:bCs/>
          <w:sz w:val="28"/>
          <w:szCs w:val="28"/>
          <w:lang w:eastAsia="ru-RU"/>
        </w:rPr>
        <w:t>). У 29 хворих (53</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xml:space="preserve">) цієї групи значення цього показника відрізнялись від значень контрольної вибірки. Аналогічна тенденція щодо зміни вмісту калікреїногену спостерігалась й у хворих групи </w:t>
      </w:r>
      <w:r w:rsidRPr="00156441">
        <w:rPr>
          <w:rFonts w:ascii="Times New Roman" w:eastAsia="Times New Roman" w:hAnsi="Times New Roman" w:cs="Times New Roman"/>
          <w:bCs/>
          <w:sz w:val="28"/>
          <w:szCs w:val="28"/>
          <w:lang w:eastAsia="ru-RU"/>
        </w:rPr>
        <w:lastRenderedPageBreak/>
        <w:t>порівняння</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bCs/>
          <w:sz w:val="28"/>
          <w:szCs w:val="28"/>
          <w:lang w:eastAsia="ru-RU"/>
        </w:rPr>
        <w:t xml:space="preserve">в середньому в 1,6 рази </w:t>
      </w:r>
      <w:r w:rsidRPr="00156441">
        <w:rPr>
          <w:rFonts w:ascii="Times New Roman" w:eastAsia="Times New Roman" w:hAnsi="Times New Roman" w:cs="Times New Roman"/>
          <w:sz w:val="28"/>
          <w:szCs w:val="28"/>
          <w:lang w:eastAsia="ru-RU"/>
        </w:rPr>
        <w:t>(р&lt;0,001); у 20 осіб (44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значення показника виходили за діапазон значень контролю. При зіставленні рівня калікреїногену у хворих основної групи та групи порівняння вірогідних відмінностей не виявлено (р=0,174).</w:t>
      </w:r>
    </w:p>
    <w:p w:rsidR="00333B2D" w:rsidRPr="00156441" w:rsidRDefault="00333B2D"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Таблиця </w:t>
      </w:r>
      <w:r w:rsidR="00A05646" w:rsidRPr="00156441">
        <w:rPr>
          <w:rFonts w:ascii="Times New Roman" w:eastAsia="Times New Roman" w:hAnsi="Times New Roman" w:cs="Times New Roman"/>
          <w:sz w:val="28"/>
          <w:szCs w:val="28"/>
          <w:lang w:eastAsia="ru-RU"/>
        </w:rPr>
        <w:t>3.2</w:t>
      </w:r>
      <w:r w:rsidRPr="00156441">
        <w:rPr>
          <w:rFonts w:ascii="Times New Roman" w:eastAsia="Times New Roman" w:hAnsi="Times New Roman" w:cs="Times New Roman"/>
          <w:sz w:val="28"/>
          <w:szCs w:val="28"/>
          <w:lang w:eastAsia="ru-RU"/>
        </w:rPr>
        <w:t>.3</w:t>
      </w:r>
    </w:p>
    <w:p w:rsidR="00354B4F" w:rsidRPr="00156441" w:rsidRDefault="00354B4F" w:rsidP="00354B4F">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Вміст калікреїногену, активність калікреїну та карбоксипептидази N в плазмі крові хворих 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544"/>
        <w:gridCol w:w="2701"/>
        <w:gridCol w:w="1843"/>
      </w:tblGrid>
      <w:tr w:rsidR="00156441" w:rsidRPr="00156441" w:rsidTr="00E17CE4">
        <w:trPr>
          <w:trHeight w:val="934"/>
        </w:trPr>
        <w:tc>
          <w:tcPr>
            <w:tcW w:w="2830"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544"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354B4F" w:rsidRPr="00156441" w:rsidRDefault="00354B4F" w:rsidP="00F131EE">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(ХОЗЛ+ГБ)</w:t>
            </w:r>
            <w:r w:rsidR="00F131EE">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n=55</w:t>
            </w:r>
          </w:p>
        </w:tc>
        <w:tc>
          <w:tcPr>
            <w:tcW w:w="270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F131EE">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r w:rsidR="00F131EE">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n=45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E17CE4">
        <w:tc>
          <w:tcPr>
            <w:tcW w:w="2830"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Калікреїноген,</w:t>
            </w:r>
          </w:p>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МО/мл</w:t>
            </w:r>
          </w:p>
        </w:tc>
        <w:tc>
          <w:tcPr>
            <w:tcW w:w="2544"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417 [214; 549]</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 xml:space="preserve">p&lt;0,001; </w:t>
            </w: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p=0,174</w:t>
            </w:r>
          </w:p>
        </w:tc>
        <w:tc>
          <w:tcPr>
            <w:tcW w:w="270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380 [220; 449]</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220</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[154; 266]</w:t>
            </w:r>
          </w:p>
        </w:tc>
      </w:tr>
      <w:tr w:rsidR="00156441" w:rsidRPr="00156441" w:rsidTr="00E17CE4">
        <w:tc>
          <w:tcPr>
            <w:tcW w:w="2830"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Калікреїн,</w:t>
            </w:r>
          </w:p>
          <w:p w:rsidR="00354B4F" w:rsidRPr="00156441" w:rsidRDefault="00354B4F" w:rsidP="00A05646">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МО/мл</w:t>
            </w:r>
          </w:p>
        </w:tc>
        <w:tc>
          <w:tcPr>
            <w:tcW w:w="2544"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4,0 [3,2; 4,7]</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70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3,2 [2,9; 3,8]</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p=0,001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2,7</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[2,2; 3,2]</w:t>
            </w:r>
          </w:p>
        </w:tc>
      </w:tr>
      <w:tr w:rsidR="00156441" w:rsidRPr="00156441" w:rsidTr="00E17CE4">
        <w:tc>
          <w:tcPr>
            <w:tcW w:w="2830"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E17CE4">
            <w:pPr>
              <w:spacing w:after="0" w:line="360" w:lineRule="auto"/>
              <w:ind w:left="-57" w:right="-57"/>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Карбоксипептидаза N,</w:t>
            </w:r>
          </w:p>
          <w:p w:rsidR="00354B4F" w:rsidRPr="00156441" w:rsidRDefault="00354B4F" w:rsidP="00E17CE4">
            <w:pPr>
              <w:spacing w:after="0" w:line="360" w:lineRule="auto"/>
              <w:ind w:left="-57" w:righ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мкМ ГАК/мл·хв</w:t>
            </w:r>
          </w:p>
        </w:tc>
        <w:tc>
          <w:tcPr>
            <w:tcW w:w="2544"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1,83 [1,29; 2,21]</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70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1,24 [0,81; 1,65]</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p=0,269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1,12</w:t>
            </w:r>
          </w:p>
          <w:p w:rsidR="00354B4F" w:rsidRPr="00156441" w:rsidRDefault="00354B4F" w:rsidP="00A0564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[0,74; 1,51]</w:t>
            </w:r>
          </w:p>
        </w:tc>
      </w:tr>
    </w:tbl>
    <w:p w:rsidR="00354B4F"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 xml:space="preserve">рівень значущості по відношенню до контролю;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333B2D" w:rsidRPr="00156441" w:rsidRDefault="00333B2D"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2D26C1">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плазмі крові основної групи визначалось суттєве по відношенню до контролю підвищення (р&lt;0,001) активності калікреїну</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 xml:space="preserve">в середньому в 2,3 рази; при цьому практично у всіх осіб даної групи значення показника не перетинались з діапазоном значень контролю </w:t>
      </w:r>
      <w:r w:rsidRPr="00156441">
        <w:rPr>
          <w:rFonts w:ascii="Times New Roman" w:eastAsia="Times New Roman" w:hAnsi="Times New Roman" w:cs="Times New Roman"/>
          <w:bCs/>
          <w:sz w:val="28"/>
          <w:szCs w:val="28"/>
          <w:lang w:eastAsia="ru-RU"/>
        </w:rPr>
        <w:t xml:space="preserve">(табл. </w:t>
      </w:r>
      <w:r w:rsidR="00A05646" w:rsidRPr="00156441">
        <w:rPr>
          <w:rFonts w:ascii="Times New Roman" w:eastAsia="Times New Roman" w:hAnsi="Times New Roman" w:cs="Times New Roman"/>
          <w:bCs/>
          <w:sz w:val="28"/>
          <w:szCs w:val="28"/>
          <w:lang w:eastAsia="ru-RU"/>
        </w:rPr>
        <w:t>3.2</w:t>
      </w:r>
      <w:r w:rsidRPr="00156441">
        <w:rPr>
          <w:rFonts w:ascii="Times New Roman" w:eastAsia="Times New Roman" w:hAnsi="Times New Roman" w:cs="Times New Roman"/>
          <w:bCs/>
          <w:sz w:val="28"/>
          <w:szCs w:val="28"/>
          <w:lang w:eastAsia="ru-RU"/>
        </w:rPr>
        <w:t xml:space="preserve">.3, рис. </w:t>
      </w:r>
      <w:r w:rsidR="00FA6E72" w:rsidRPr="00156441">
        <w:rPr>
          <w:rFonts w:ascii="Times New Roman" w:eastAsia="Times New Roman" w:hAnsi="Times New Roman" w:cs="Times New Roman"/>
          <w:bCs/>
          <w:sz w:val="28"/>
          <w:szCs w:val="28"/>
          <w:lang w:eastAsia="ru-RU"/>
        </w:rPr>
        <w:t>8</w:t>
      </w:r>
      <w:r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sz w:val="28"/>
          <w:szCs w:val="28"/>
          <w:lang w:eastAsia="ru-RU"/>
        </w:rPr>
        <w:t>. Порівняння розподілу показника в основній групі та групі порівняння між собою також виявило статистично значимі відмінності (р&lt;0,001), збільшення становило при цьому</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в 1,6 рази; у даному випадку у 26 хворих (43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на ХОЗЛ з ГХ рівні активності калікреїну співпадали з контролем. У хворих з ізольованим перебігом ХОЗЛ активність калікреїну підвищувалась по відношенню до контролю в середньому в 1,4 рази, при цьому у 22 осіб (49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значення були за межами діапазону умовно-здорових осіб.</w:t>
      </w:r>
    </w:p>
    <w:p w:rsidR="00354B4F" w:rsidRPr="00156441" w:rsidRDefault="008E20E1" w:rsidP="002D26C1">
      <w:pPr>
        <w:shd w:val="clear" w:color="auto" w:fill="FFFFFF"/>
        <w:spacing w:after="0" w:line="162" w:lineRule="atLeast"/>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88" w:dyaOrig="3699">
          <v:shape id="_x0000_i1140" type="#_x0000_t75" style="width:264.4pt;height:184.9pt" o:ole="">
            <v:imagedata r:id="rId20" o:title=""/>
          </v:shape>
          <o:OLEObject Type="Embed" ProgID="STATISTICA.Graph" ShapeID="_x0000_i1140" DrawAspect="Content" ObjectID="_1579001525" r:id="rId21">
            <o:FieldCodes>\s</o:FieldCodes>
          </o:OLEObject>
        </w:object>
      </w:r>
    </w:p>
    <w:p w:rsidR="00354B4F" w:rsidRPr="00156441" w:rsidRDefault="00FA6E72" w:rsidP="00354B4F">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4.7</w:t>
      </w:r>
      <w:r w:rsidR="00354B4F" w:rsidRPr="00156441">
        <w:rPr>
          <w:rFonts w:ascii="Times New Roman" w:eastAsia="Times New Roman" w:hAnsi="Times New Roman" w:cs="Times New Roman"/>
          <w:sz w:val="28"/>
          <w:szCs w:val="28"/>
          <w:lang w:eastAsia="ru-RU"/>
        </w:rPr>
        <w:t>. Активність калікреїногену</w:t>
      </w:r>
      <w:r w:rsidR="00354B4F" w:rsidRPr="00156441">
        <w:rPr>
          <w:rFonts w:ascii="Times New Roman" w:eastAsia="Times New Roman" w:hAnsi="Times New Roman" w:cs="Times New Roman"/>
          <w:bCs/>
          <w:sz w:val="28"/>
          <w:szCs w:val="28"/>
          <w:lang w:eastAsia="ru-RU"/>
        </w:rPr>
        <w:t xml:space="preserve"> </w:t>
      </w:r>
      <w:r w:rsidR="00354B4F" w:rsidRPr="00156441">
        <w:rPr>
          <w:rFonts w:ascii="Times New Roman" w:eastAsia="Times New Roman" w:hAnsi="Times New Roman" w:cs="Times New Roman"/>
          <w:sz w:val="28"/>
          <w:szCs w:val="28"/>
          <w:lang w:eastAsia="ru-RU"/>
        </w:rPr>
        <w:t>(МО/мл) у</w:t>
      </w:r>
      <w:r w:rsidR="00354B4F" w:rsidRPr="00156441">
        <w:rPr>
          <w:rFonts w:ascii="Times New Roman" w:eastAsia="Times New Roman" w:hAnsi="Times New Roman" w:cs="Times New Roman"/>
          <w:bCs/>
          <w:sz w:val="28"/>
          <w:szCs w:val="28"/>
          <w:lang w:eastAsia="ru-RU"/>
        </w:rPr>
        <w:t xml:space="preserve"> плазмі крові</w:t>
      </w:r>
      <w:r w:rsidR="00354B4F" w:rsidRPr="00156441">
        <w:rPr>
          <w:rFonts w:ascii="Times New Roman" w:eastAsia="Times New Roman" w:hAnsi="Times New Roman" w:cs="Times New Roman"/>
          <w:sz w:val="28"/>
          <w:szCs w:val="28"/>
          <w:lang w:eastAsia="ru-RU"/>
        </w:rPr>
        <w:t xml:space="preserve"> хворих </w:t>
      </w:r>
      <w:r w:rsidR="0069372A" w:rsidRPr="00156441">
        <w:rPr>
          <w:rFonts w:ascii="Times New Roman" w:eastAsia="Times New Roman" w:hAnsi="Times New Roman" w:cs="Times New Roman"/>
          <w:sz w:val="28"/>
          <w:szCs w:val="28"/>
          <w:lang w:eastAsia="ru-RU"/>
        </w:rPr>
        <w:t>з поєднаним перебігом ХОЗЛ і ГХ</w:t>
      </w:r>
      <w:r w:rsidR="00354B4F" w:rsidRPr="00156441">
        <w:rPr>
          <w:rFonts w:ascii="Times New Roman" w:eastAsia="Times New Roman" w:hAnsi="Times New Roman" w:cs="Times New Roman"/>
          <w:sz w:val="28"/>
          <w:szCs w:val="28"/>
          <w:lang w:eastAsia="ru-RU"/>
        </w:rPr>
        <w:t xml:space="preserve"> та хворих з ізольованим перебігом ХОЗЛ </w:t>
      </w:r>
      <w:r w:rsidR="00354B4F"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bCs/>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 xml:space="preserve">У хворих на ХОЗЛ з ГХ виявлено при порівнянні з контролем та хворими з ізольованим перебігом захворювання вірогідне </w:t>
      </w:r>
      <w:r w:rsidRPr="00156441">
        <w:rPr>
          <w:rFonts w:ascii="Times New Roman" w:eastAsia="Times New Roman" w:hAnsi="Times New Roman" w:cs="Times New Roman"/>
          <w:sz w:val="28"/>
          <w:szCs w:val="28"/>
          <w:lang w:eastAsia="ru-RU"/>
        </w:rPr>
        <w:t>(р&lt;0,001) підвищення у плазмі крові активності к</w:t>
      </w:r>
      <w:r w:rsidRPr="00156441">
        <w:rPr>
          <w:rFonts w:ascii="Times New Roman" w:eastAsia="Times New Roman" w:hAnsi="Times New Roman" w:cs="Times New Roman"/>
          <w:bCs/>
          <w:sz w:val="28"/>
          <w:szCs w:val="28"/>
          <w:lang w:eastAsia="ru-RU"/>
        </w:rPr>
        <w:t xml:space="preserve">арбоксипептидази N в середньому в 1,6 та 1,4 рази (табл. </w:t>
      </w:r>
      <w:r w:rsidR="00A05646" w:rsidRPr="00156441">
        <w:rPr>
          <w:rFonts w:ascii="Times New Roman" w:eastAsia="Times New Roman" w:hAnsi="Times New Roman" w:cs="Times New Roman"/>
          <w:bCs/>
          <w:sz w:val="28"/>
          <w:szCs w:val="28"/>
          <w:lang w:eastAsia="ru-RU"/>
        </w:rPr>
        <w:t>3.2</w:t>
      </w:r>
      <w:r w:rsidRPr="00156441">
        <w:rPr>
          <w:rFonts w:ascii="Times New Roman" w:eastAsia="Times New Roman" w:hAnsi="Times New Roman" w:cs="Times New Roman"/>
          <w:bCs/>
          <w:sz w:val="28"/>
          <w:szCs w:val="28"/>
          <w:lang w:eastAsia="ru-RU"/>
        </w:rPr>
        <w:t xml:space="preserve">.3, рис. </w:t>
      </w:r>
      <w:r w:rsidR="00FA6E72" w:rsidRPr="00156441">
        <w:rPr>
          <w:rFonts w:ascii="Times New Roman" w:eastAsia="Times New Roman" w:hAnsi="Times New Roman" w:cs="Times New Roman"/>
          <w:bCs/>
          <w:sz w:val="28"/>
          <w:szCs w:val="28"/>
          <w:lang w:eastAsia="ru-RU"/>
        </w:rPr>
        <w:t>9</w:t>
      </w:r>
      <w:r w:rsidRPr="00156441">
        <w:rPr>
          <w:rFonts w:ascii="Times New Roman" w:eastAsia="Times New Roman" w:hAnsi="Times New Roman" w:cs="Times New Roman"/>
          <w:bCs/>
          <w:sz w:val="28"/>
          <w:szCs w:val="28"/>
          <w:lang w:eastAsia="ru-RU"/>
        </w:rPr>
        <w:t>). При аналізі вибірки значень активності цього ферменту в основній групі у 32 випадках (58</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спостерігалось знаходження у діапазоні значень контрольної вибірки та у 40 випадках (73</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bCs/>
          <w:sz w:val="28"/>
          <w:szCs w:val="28"/>
          <w:lang w:eastAsia="ru-RU"/>
        </w:rPr>
        <w:t>вибірки групи порівняння. У пацієнтів з ізольованим перебігом ХОЗЛ не спостерігалось статистично значимих відмінностей активності</w:t>
      </w:r>
      <w:r w:rsidRPr="00156441">
        <w:rPr>
          <w:rFonts w:ascii="Times New Roman" w:eastAsia="Times New Roman" w:hAnsi="Times New Roman" w:cs="Times New Roman"/>
          <w:sz w:val="28"/>
          <w:szCs w:val="28"/>
          <w:lang w:eastAsia="ru-RU"/>
        </w:rPr>
        <w:t xml:space="preserve"> к</w:t>
      </w:r>
      <w:r w:rsidRPr="00156441">
        <w:rPr>
          <w:rFonts w:ascii="Times New Roman" w:eastAsia="Times New Roman" w:hAnsi="Times New Roman" w:cs="Times New Roman"/>
          <w:bCs/>
          <w:sz w:val="28"/>
          <w:szCs w:val="28"/>
          <w:lang w:eastAsia="ru-RU"/>
        </w:rPr>
        <w:t xml:space="preserve">арбоксипептидази N </w:t>
      </w:r>
      <w:r w:rsidR="008E20E1">
        <w:rPr>
          <w:rFonts w:ascii="Times New Roman" w:eastAsia="Times New Roman" w:hAnsi="Times New Roman" w:cs="Times New Roman"/>
          <w:bCs/>
          <w:sz w:val="28"/>
          <w:szCs w:val="28"/>
          <w:lang w:eastAsia="ru-RU"/>
        </w:rPr>
        <w:t>відносно</w:t>
      </w:r>
      <w:r w:rsidRPr="00156441">
        <w:rPr>
          <w:rFonts w:ascii="Times New Roman" w:eastAsia="Times New Roman" w:hAnsi="Times New Roman" w:cs="Times New Roman"/>
          <w:bCs/>
          <w:sz w:val="28"/>
          <w:szCs w:val="28"/>
          <w:lang w:eastAsia="ru-RU"/>
        </w:rPr>
        <w:t xml:space="preserve"> </w:t>
      </w:r>
      <w:r w:rsidR="008E20E1">
        <w:rPr>
          <w:rFonts w:ascii="Times New Roman" w:eastAsia="Times New Roman" w:hAnsi="Times New Roman" w:cs="Times New Roman"/>
          <w:bCs/>
          <w:sz w:val="28"/>
          <w:szCs w:val="28"/>
          <w:lang w:eastAsia="ru-RU"/>
        </w:rPr>
        <w:t>контрою</w:t>
      </w:r>
      <w:r w:rsidRPr="00156441">
        <w:rPr>
          <w:rFonts w:ascii="Times New Roman" w:eastAsia="Times New Roman" w:hAnsi="Times New Roman" w:cs="Times New Roman"/>
          <w:bCs/>
          <w:sz w:val="28"/>
          <w:szCs w:val="28"/>
          <w:lang w:eastAsia="ru-RU"/>
        </w:rPr>
        <w:t xml:space="preserve"> (р=0,269).</w:t>
      </w:r>
    </w:p>
    <w:p w:rsidR="00354B4F" w:rsidRPr="00156441" w:rsidRDefault="008E20E1" w:rsidP="002D26C1">
      <w:pPr>
        <w:shd w:val="clear" w:color="auto" w:fill="FFFFFF"/>
        <w:spacing w:after="0" w:line="162" w:lineRule="atLeast"/>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76" w:dyaOrig="3687">
          <v:shape id="_x0000_i1142" type="#_x0000_t75" style="width:263.8pt;height:184.3pt" o:ole="">
            <v:imagedata r:id="rId22" o:title=""/>
          </v:shape>
          <o:OLEObject Type="Embed" ProgID="STATISTICA.Graph" ShapeID="_x0000_i1142" DrawAspect="Content" ObjectID="_1579001526" r:id="rId23">
            <o:FieldCodes>\s</o:FieldCodes>
          </o:OLEObject>
        </w:object>
      </w:r>
    </w:p>
    <w:p w:rsidR="00354B4F" w:rsidRPr="00156441" w:rsidRDefault="00FA6E72" w:rsidP="00354B4F">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8</w:t>
      </w:r>
      <w:r w:rsidR="00354B4F" w:rsidRPr="00156441">
        <w:rPr>
          <w:rFonts w:ascii="Times New Roman" w:eastAsia="Times New Roman" w:hAnsi="Times New Roman" w:cs="Times New Roman"/>
          <w:sz w:val="28"/>
          <w:szCs w:val="28"/>
          <w:lang w:eastAsia="ru-RU"/>
        </w:rPr>
        <w:t>. Активність калікреїну</w:t>
      </w:r>
      <w:r w:rsidR="00354B4F" w:rsidRPr="00156441">
        <w:rPr>
          <w:rFonts w:ascii="Times New Roman" w:eastAsia="Times New Roman" w:hAnsi="Times New Roman" w:cs="Times New Roman"/>
          <w:bCs/>
          <w:sz w:val="28"/>
          <w:szCs w:val="28"/>
          <w:lang w:eastAsia="ru-RU"/>
        </w:rPr>
        <w:t xml:space="preserve"> </w:t>
      </w:r>
      <w:r w:rsidR="00354B4F" w:rsidRPr="00156441">
        <w:rPr>
          <w:rFonts w:ascii="Times New Roman" w:eastAsia="Times New Roman" w:hAnsi="Times New Roman" w:cs="Times New Roman"/>
          <w:sz w:val="28"/>
          <w:szCs w:val="28"/>
          <w:lang w:eastAsia="ru-RU"/>
        </w:rPr>
        <w:t>(МО/мл) у</w:t>
      </w:r>
      <w:r w:rsidR="00354B4F" w:rsidRPr="00156441">
        <w:rPr>
          <w:rFonts w:ascii="Times New Roman" w:eastAsia="Times New Roman" w:hAnsi="Times New Roman" w:cs="Times New Roman"/>
          <w:bCs/>
          <w:sz w:val="28"/>
          <w:szCs w:val="28"/>
          <w:lang w:eastAsia="ru-RU"/>
        </w:rPr>
        <w:t xml:space="preserve"> плазмі крові</w:t>
      </w:r>
      <w:r w:rsidR="00354B4F" w:rsidRPr="00156441">
        <w:rPr>
          <w:rFonts w:ascii="Times New Roman" w:eastAsia="Times New Roman" w:hAnsi="Times New Roman" w:cs="Times New Roman"/>
          <w:sz w:val="28"/>
          <w:szCs w:val="28"/>
          <w:lang w:eastAsia="ru-RU"/>
        </w:rPr>
        <w:t xml:space="preserve"> хворих з поєднаним перебігом ХОЗЛ і ГХ та хворих з ізольованим перебігом ХОЗЛ </w:t>
      </w:r>
      <w:r w:rsidR="008E20E1">
        <w:rPr>
          <w:rFonts w:ascii="Times New Roman" w:eastAsia="Times New Roman" w:hAnsi="Times New Roman" w:cs="Times New Roman"/>
          <w:bCs/>
          <w:sz w:val="28"/>
          <w:szCs w:val="28"/>
          <w:lang w:eastAsia="ru-RU"/>
        </w:rPr>
        <w:t>відносно</w:t>
      </w:r>
      <w:r w:rsidR="00354B4F" w:rsidRPr="00156441">
        <w:rPr>
          <w:rFonts w:ascii="Times New Roman" w:eastAsia="Times New Roman" w:hAnsi="Times New Roman" w:cs="Times New Roman"/>
          <w:bCs/>
          <w:sz w:val="28"/>
          <w:szCs w:val="28"/>
          <w:lang w:eastAsia="ru-RU"/>
        </w:rPr>
        <w:t xml:space="preserve"> контролю</w:t>
      </w:r>
    </w:p>
    <w:p w:rsidR="00354B4F" w:rsidRPr="00156441" w:rsidRDefault="003A4503"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89" w:dyaOrig="3967">
          <v:shape id="_x0000_i1033" type="#_x0000_t75" style="width:264.4pt;height:197.55pt" o:ole="">
            <v:imagedata r:id="rId24" o:title=""/>
          </v:shape>
          <o:OLEObject Type="Embed" ProgID="STATISTICA.Graph" ShapeID="_x0000_i1033" DrawAspect="Content" ObjectID="_1579001527" r:id="rId25">
            <o:FieldCodes>\s</o:FieldCodes>
          </o:OLEObject>
        </w:object>
      </w:r>
    </w:p>
    <w:p w:rsidR="00354B4F"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FA6E72" w:rsidRPr="00156441">
        <w:rPr>
          <w:rFonts w:ascii="Times New Roman" w:eastAsia="Times New Roman" w:hAnsi="Times New Roman" w:cs="Times New Roman"/>
          <w:sz w:val="28"/>
          <w:szCs w:val="28"/>
          <w:lang w:eastAsia="ru-RU"/>
        </w:rPr>
        <w:t>9</w:t>
      </w:r>
      <w:r w:rsidRPr="00156441">
        <w:rPr>
          <w:rFonts w:ascii="Times New Roman" w:eastAsia="Times New Roman" w:hAnsi="Times New Roman" w:cs="Times New Roman"/>
          <w:sz w:val="28"/>
          <w:szCs w:val="28"/>
          <w:lang w:eastAsia="ru-RU"/>
        </w:rPr>
        <w:t>. Активність к</w:t>
      </w:r>
      <w:r w:rsidRPr="00156441">
        <w:rPr>
          <w:rFonts w:ascii="Times New Roman" w:eastAsia="Times New Roman" w:hAnsi="Times New Roman" w:cs="Times New Roman"/>
          <w:bCs/>
          <w:sz w:val="28"/>
          <w:szCs w:val="28"/>
          <w:lang w:eastAsia="ru-RU"/>
        </w:rPr>
        <w:t>арбоксипептидази N (</w:t>
      </w:r>
      <w:r w:rsidRPr="00156441">
        <w:rPr>
          <w:rFonts w:ascii="Times New Roman" w:eastAsia="Times New Roman" w:hAnsi="Times New Roman" w:cs="Times New Roman"/>
          <w:sz w:val="28"/>
          <w:szCs w:val="28"/>
          <w:lang w:eastAsia="ru-RU"/>
        </w:rPr>
        <w:t>мкМ ГАК/мл·хв) у плазмі крові хворих з поєднаним перебігом ХОЗЛ і ГХ та хворих з ізольованим перебігом ХОЗЛ по відношенню до контролю</w:t>
      </w:r>
    </w:p>
    <w:p w:rsidR="00333B2D" w:rsidRPr="00156441" w:rsidRDefault="00333B2D"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Одержані результати свідчать про більш виражене підвищення у пацієнтів з ХОЗЛ у сполученні з ГХ активності калікреїн-кінінової системи, ніж у пацієнтів з ізольованим перебігом ХОЗЛ, що</w:t>
      </w:r>
      <w:r w:rsidRPr="00156441">
        <w:rPr>
          <w:rFonts w:ascii="Times New Roman" w:eastAsia="Times New Roman" w:hAnsi="Times New Roman" w:cs="Times New Roman"/>
          <w:sz w:val="28"/>
          <w:szCs w:val="28"/>
          <w:bdr w:val="none" w:sz="0" w:space="0" w:color="auto" w:frame="1"/>
          <w:lang w:eastAsia="ru-RU"/>
        </w:rPr>
        <w:t xml:space="preserve"> </w:t>
      </w:r>
      <w:r w:rsidRPr="00156441">
        <w:rPr>
          <w:rFonts w:ascii="Times New Roman" w:eastAsia="Times New Roman" w:hAnsi="Times New Roman" w:cs="Times New Roman"/>
          <w:sz w:val="28"/>
          <w:szCs w:val="28"/>
          <w:lang w:eastAsia="ru-RU"/>
        </w:rPr>
        <w:t>може сприяти надмірному утворенню брадикініну та призводити до зниження судинного тонусу, збільшення проникності судинної стінки, уповільнення кровотоку, розвитку спазму артеріовенозних анастомозів і дисфункції церебральної мікроциркуляції [</w:t>
      </w:r>
      <w:r w:rsidR="0069372A" w:rsidRPr="00156441">
        <w:rPr>
          <w:rFonts w:ascii="Times New Roman" w:eastAsia="Times New Roman" w:hAnsi="Times New Roman" w:cs="Times New Roman"/>
          <w:sz w:val="28"/>
          <w:szCs w:val="28"/>
          <w:lang w:eastAsia="ru-RU"/>
        </w:rPr>
        <w:fldChar w:fldCharType="begin"/>
      </w:r>
      <w:r w:rsidR="0069372A" w:rsidRPr="00156441">
        <w:rPr>
          <w:rFonts w:ascii="Times New Roman" w:eastAsia="Times New Roman" w:hAnsi="Times New Roman" w:cs="Times New Roman"/>
          <w:sz w:val="28"/>
          <w:szCs w:val="28"/>
          <w:lang w:eastAsia="ru-RU"/>
        </w:rPr>
        <w:instrText xml:space="preserve"> REF _Ref502697114 \r \h </w:instrText>
      </w:r>
      <w:r w:rsidR="00F44EE4" w:rsidRPr="00156441">
        <w:rPr>
          <w:rFonts w:ascii="Times New Roman" w:eastAsia="Times New Roman" w:hAnsi="Times New Roman" w:cs="Times New Roman"/>
          <w:sz w:val="28"/>
          <w:szCs w:val="28"/>
          <w:lang w:eastAsia="ru-RU"/>
        </w:rPr>
        <w:instrText xml:space="preserve"> \* MERGEFORMAT </w:instrText>
      </w:r>
      <w:r w:rsidR="0069372A" w:rsidRPr="00156441">
        <w:rPr>
          <w:rFonts w:ascii="Times New Roman" w:eastAsia="Times New Roman" w:hAnsi="Times New Roman" w:cs="Times New Roman"/>
          <w:sz w:val="28"/>
          <w:szCs w:val="28"/>
          <w:lang w:eastAsia="ru-RU"/>
        </w:rPr>
      </w:r>
      <w:r w:rsidR="0069372A"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295</w:t>
      </w:r>
      <w:r w:rsidR="0069372A"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Але у цій категорії хворих спостерігається також суттєве підвищення активності кініназ</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карбоксипептидази N та АПФ, що призводить до виснаження адаптаційного потенціалу калікреїн-кінінової системи, зниженню ефектів брадикініну, а внаслідок цього до дефіциту вазодилатуючих факторів і розвитку ендотеліальної дисфункції [</w:t>
      </w:r>
      <w:r w:rsidR="0069372A" w:rsidRPr="00156441">
        <w:rPr>
          <w:rFonts w:ascii="Times New Roman" w:eastAsia="Times New Roman" w:hAnsi="Times New Roman" w:cs="Times New Roman"/>
          <w:sz w:val="28"/>
          <w:szCs w:val="28"/>
          <w:lang w:eastAsia="ru-RU"/>
        </w:rPr>
        <w:fldChar w:fldCharType="begin"/>
      </w:r>
      <w:r w:rsidR="0069372A" w:rsidRPr="00156441">
        <w:rPr>
          <w:rFonts w:ascii="Times New Roman" w:eastAsia="Times New Roman" w:hAnsi="Times New Roman" w:cs="Times New Roman"/>
          <w:sz w:val="28"/>
          <w:szCs w:val="28"/>
          <w:lang w:eastAsia="ru-RU"/>
        </w:rPr>
        <w:instrText xml:space="preserve"> REF _Ref502697138 \r \h </w:instrText>
      </w:r>
      <w:r w:rsidR="00F44EE4" w:rsidRPr="00156441">
        <w:rPr>
          <w:rFonts w:ascii="Times New Roman" w:eastAsia="Times New Roman" w:hAnsi="Times New Roman" w:cs="Times New Roman"/>
          <w:sz w:val="28"/>
          <w:szCs w:val="28"/>
          <w:lang w:eastAsia="ru-RU"/>
        </w:rPr>
        <w:instrText xml:space="preserve"> \* MERGEFORMAT </w:instrText>
      </w:r>
      <w:r w:rsidR="0069372A" w:rsidRPr="00156441">
        <w:rPr>
          <w:rFonts w:ascii="Times New Roman" w:eastAsia="Times New Roman" w:hAnsi="Times New Roman" w:cs="Times New Roman"/>
          <w:sz w:val="28"/>
          <w:szCs w:val="28"/>
          <w:lang w:eastAsia="ru-RU"/>
        </w:rPr>
      </w:r>
      <w:r w:rsidR="0069372A"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296</w:t>
      </w:r>
      <w:r w:rsidR="0069372A"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A4503" w:rsidRPr="00156441" w:rsidRDefault="003A4503" w:rsidP="00354B4F">
      <w:pPr>
        <w:spacing w:after="0" w:line="360" w:lineRule="auto"/>
        <w:contextualSpacing/>
        <w:jc w:val="both"/>
        <w:rPr>
          <w:rFonts w:ascii="Times New Roman" w:eastAsia="Times New Roman" w:hAnsi="Times New Roman" w:cs="Times New Roman"/>
          <w:sz w:val="28"/>
          <w:szCs w:val="28"/>
          <w:lang w:eastAsia="ru-RU"/>
        </w:rPr>
      </w:pPr>
    </w:p>
    <w:p w:rsidR="00D162F4" w:rsidRDefault="00A05646" w:rsidP="00D162F4">
      <w:pPr>
        <w:spacing w:after="0" w:line="360" w:lineRule="auto"/>
        <w:ind w:firstLine="720"/>
        <w:contextualSpacing/>
        <w:jc w:val="center"/>
        <w:rPr>
          <w:rFonts w:ascii="Times New Roman" w:eastAsia="Times New Roman" w:hAnsi="Times New Roman" w:cs="Times New Roman"/>
          <w:b/>
          <w:sz w:val="28"/>
          <w:szCs w:val="28"/>
          <w:lang w:eastAsia="ru-RU"/>
        </w:rPr>
      </w:pPr>
      <w:bookmarkStart w:id="13" w:name="Pidrozd_3_3"/>
      <w:r w:rsidRPr="00156441">
        <w:rPr>
          <w:rFonts w:ascii="Times New Roman" w:eastAsia="Times New Roman" w:hAnsi="Times New Roman" w:cs="Times New Roman"/>
          <w:b/>
          <w:sz w:val="28"/>
          <w:szCs w:val="28"/>
          <w:lang w:eastAsia="ru-RU"/>
        </w:rPr>
        <w:t>3</w:t>
      </w:r>
      <w:r w:rsidR="00D162F4" w:rsidRPr="00156441">
        <w:rPr>
          <w:rFonts w:ascii="Times New Roman" w:eastAsia="Times New Roman" w:hAnsi="Times New Roman" w:cs="Times New Roman"/>
          <w:b/>
          <w:sz w:val="28"/>
          <w:szCs w:val="28"/>
          <w:lang w:eastAsia="ru-RU"/>
        </w:rPr>
        <w:t>.</w:t>
      </w:r>
      <w:r w:rsidR="00354B4F" w:rsidRPr="00156441">
        <w:rPr>
          <w:rFonts w:ascii="Times New Roman" w:eastAsia="Times New Roman" w:hAnsi="Times New Roman" w:cs="Times New Roman"/>
          <w:b/>
          <w:sz w:val="28"/>
          <w:szCs w:val="28"/>
          <w:lang w:eastAsia="ru-RU"/>
        </w:rPr>
        <w:t>3</w:t>
      </w:r>
      <w:r w:rsidR="00D162F4" w:rsidRPr="00156441">
        <w:rPr>
          <w:rFonts w:ascii="Times New Roman" w:eastAsia="Times New Roman" w:hAnsi="Times New Roman" w:cs="Times New Roman"/>
          <w:b/>
          <w:sz w:val="28"/>
          <w:szCs w:val="28"/>
          <w:lang w:eastAsia="ru-RU"/>
        </w:rPr>
        <w:t xml:space="preserve">. </w:t>
      </w:r>
      <w:r w:rsidR="000075AE">
        <w:rPr>
          <w:rFonts w:ascii="Times New Roman" w:eastAsia="Times New Roman" w:hAnsi="Times New Roman" w:cs="Times New Roman"/>
          <w:b/>
          <w:sz w:val="28"/>
          <w:szCs w:val="28"/>
          <w:lang w:eastAsia="ru-RU"/>
        </w:rPr>
        <w:t>Оцінка активності</w:t>
      </w:r>
      <w:r w:rsidR="00D162F4" w:rsidRPr="00156441">
        <w:rPr>
          <w:rFonts w:ascii="Times New Roman" w:eastAsia="Times New Roman" w:hAnsi="Times New Roman" w:cs="Times New Roman"/>
          <w:b/>
          <w:sz w:val="28"/>
          <w:szCs w:val="28"/>
          <w:lang w:eastAsia="ru-RU"/>
        </w:rPr>
        <w:t xml:space="preserve"> симпатоадреналової системи</w:t>
      </w:r>
    </w:p>
    <w:bookmarkEnd w:id="13"/>
    <w:p w:rsidR="00D162F4" w:rsidRPr="00156441" w:rsidRDefault="00D162F4"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Можна припускати, що першорядну роль у формуванні ендотеліальної дисфункції, порушенні ендотелійзалежної вазодилатації грає </w:t>
      </w:r>
      <w:r w:rsidR="002D26C1" w:rsidRPr="00156441">
        <w:rPr>
          <w:rFonts w:ascii="Times New Roman" w:eastAsia="Times New Roman" w:hAnsi="Times New Roman" w:cs="Times New Roman"/>
          <w:sz w:val="28"/>
          <w:szCs w:val="28"/>
          <w:lang w:eastAsia="ru-RU"/>
        </w:rPr>
        <w:t>активація</w:t>
      </w:r>
      <w:r w:rsidRPr="00156441">
        <w:rPr>
          <w:rFonts w:ascii="Times New Roman" w:eastAsia="Times New Roman" w:hAnsi="Times New Roman" w:cs="Times New Roman"/>
          <w:sz w:val="28"/>
          <w:szCs w:val="28"/>
          <w:lang w:eastAsia="ru-RU"/>
        </w:rPr>
        <w:t xml:space="preserve"> симпатоадреналової системи. Підвищена продукція стресових гормонів призводить до різкої вазоконстрикції, в першу чергу, судин нирок, що призводить </w:t>
      </w:r>
      <w:r w:rsidRPr="00156441">
        <w:rPr>
          <w:rFonts w:ascii="Times New Roman" w:eastAsia="Times New Roman" w:hAnsi="Times New Roman" w:cs="Times New Roman"/>
          <w:sz w:val="28"/>
          <w:szCs w:val="28"/>
          <w:lang w:eastAsia="ru-RU"/>
        </w:rPr>
        <w:lastRenderedPageBreak/>
        <w:t>до посилення виробництва реніну і активації ренінангіотенз</w:t>
      </w:r>
      <w:r w:rsidR="003A4503">
        <w:rPr>
          <w:rFonts w:ascii="Times New Roman" w:eastAsia="Times New Roman" w:hAnsi="Times New Roman" w:cs="Times New Roman"/>
          <w:sz w:val="28"/>
          <w:szCs w:val="28"/>
          <w:lang w:eastAsia="ru-RU"/>
        </w:rPr>
        <w:t>и</w:t>
      </w:r>
      <w:r w:rsidRPr="00156441">
        <w:rPr>
          <w:rFonts w:ascii="Times New Roman" w:eastAsia="Times New Roman" w:hAnsi="Times New Roman" w:cs="Times New Roman"/>
          <w:sz w:val="28"/>
          <w:szCs w:val="28"/>
          <w:lang w:eastAsia="ru-RU"/>
        </w:rPr>
        <w:t>нальдостеронової системи. Серед патогенетичних ланок ГХ у хворих на ХОЗЛ основним механізмом системної і легеневої ГХ на тлі ХОЗЛ є хронічна артеріальна гіпоксемія і гіперкапнія. Зниження напруги кисню в крові і тканинах стимулює хеморецептори артеріальних і венозних судин, викликаючи посилення аферентних збуджуючих впливів на центральні вегетативні нейрони, і далі підвищує еферентної симпатичну вазоконстрикторної дії на периферії. У міру посилення бронхіальної обструкції та прогресування ГХ підвищується центральна α-адренергічні і дофам</w:t>
      </w:r>
      <w:r w:rsidR="002D26C1">
        <w:rPr>
          <w:rFonts w:ascii="Times New Roman" w:eastAsia="Times New Roman" w:hAnsi="Times New Roman" w:cs="Times New Roman"/>
          <w:sz w:val="28"/>
          <w:szCs w:val="28"/>
          <w:lang w:eastAsia="ru-RU"/>
        </w:rPr>
        <w:t>і</w:t>
      </w:r>
      <w:r w:rsidRPr="00156441">
        <w:rPr>
          <w:rFonts w:ascii="Times New Roman" w:eastAsia="Times New Roman" w:hAnsi="Times New Roman" w:cs="Times New Roman"/>
          <w:sz w:val="28"/>
          <w:szCs w:val="28"/>
          <w:lang w:eastAsia="ru-RU"/>
        </w:rPr>
        <w:t>нерг</w:t>
      </w:r>
      <w:r w:rsidR="002D26C1">
        <w:rPr>
          <w:rFonts w:ascii="Times New Roman" w:eastAsia="Times New Roman" w:hAnsi="Times New Roman" w:cs="Times New Roman"/>
          <w:sz w:val="28"/>
          <w:szCs w:val="28"/>
          <w:lang w:eastAsia="ru-RU"/>
        </w:rPr>
        <w:t>і</w:t>
      </w:r>
      <w:r w:rsidRPr="00156441">
        <w:rPr>
          <w:rFonts w:ascii="Times New Roman" w:eastAsia="Times New Roman" w:hAnsi="Times New Roman" w:cs="Times New Roman"/>
          <w:sz w:val="28"/>
          <w:szCs w:val="28"/>
          <w:lang w:eastAsia="ru-RU"/>
        </w:rPr>
        <w:t>ч</w:t>
      </w:r>
      <w:r w:rsidR="002D26C1">
        <w:rPr>
          <w:rFonts w:ascii="Times New Roman" w:eastAsia="Times New Roman" w:hAnsi="Times New Roman" w:cs="Times New Roman"/>
          <w:sz w:val="28"/>
          <w:szCs w:val="28"/>
          <w:lang w:eastAsia="ru-RU"/>
        </w:rPr>
        <w:t>на</w:t>
      </w:r>
      <w:r w:rsidRPr="00156441">
        <w:rPr>
          <w:rFonts w:ascii="Times New Roman" w:eastAsia="Times New Roman" w:hAnsi="Times New Roman" w:cs="Times New Roman"/>
          <w:sz w:val="28"/>
          <w:szCs w:val="28"/>
          <w:lang w:eastAsia="ru-RU"/>
        </w:rPr>
        <w:t xml:space="preserve"> активність, яку підвищують навіть відносно короткі періоди гіпоксії.</w:t>
      </w:r>
    </w:p>
    <w:p w:rsidR="00D162F4" w:rsidRPr="00156441" w:rsidRDefault="00D162F4"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Про активність симпатоадреналової системи у групах хворих судили за вмістом у сироватці крові катехоламінів</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дофаміну, адреналіну, норадреналіну.</w:t>
      </w:r>
    </w:p>
    <w:p w:rsidR="00D162F4" w:rsidRDefault="00D162F4"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хворих з коморбідною патологією (основна група) реє</w:t>
      </w:r>
      <w:r w:rsidR="0069372A" w:rsidRPr="00156441">
        <w:rPr>
          <w:rFonts w:ascii="Times New Roman" w:eastAsia="Times New Roman" w:hAnsi="Times New Roman" w:cs="Times New Roman"/>
          <w:sz w:val="28"/>
          <w:szCs w:val="28"/>
          <w:lang w:eastAsia="ru-RU"/>
        </w:rPr>
        <w:t>струвалось підвищення (р&lt;0,001)</w:t>
      </w:r>
      <w:r w:rsidRPr="00156441">
        <w:rPr>
          <w:rFonts w:ascii="Times New Roman" w:eastAsia="Times New Roman" w:hAnsi="Times New Roman" w:cs="Times New Roman"/>
          <w:sz w:val="28"/>
          <w:szCs w:val="28"/>
          <w:lang w:eastAsia="ru-RU"/>
        </w:rPr>
        <w:t xml:space="preserve"> концентрації дофаміну в середньому в 2,3 та 1,5 рази відповідно по відношенню до контролю та групи порівняння </w:t>
      </w:r>
      <w:r w:rsidRPr="00156441">
        <w:rPr>
          <w:rFonts w:ascii="Times New Roman" w:eastAsia="Times New Roman" w:hAnsi="Times New Roman" w:cs="Times New Roman"/>
          <w:bCs/>
          <w:sz w:val="28"/>
          <w:szCs w:val="28"/>
          <w:lang w:eastAsia="ru-RU"/>
        </w:rPr>
        <w:t xml:space="preserve">(табл. </w:t>
      </w:r>
      <w:r w:rsidR="00A05646" w:rsidRPr="00156441">
        <w:rPr>
          <w:rFonts w:ascii="Times New Roman" w:eastAsia="Times New Roman" w:hAnsi="Times New Roman" w:cs="Times New Roman"/>
          <w:bCs/>
          <w:sz w:val="28"/>
          <w:szCs w:val="28"/>
          <w:lang w:eastAsia="ru-RU"/>
        </w:rPr>
        <w:t>3.3</w:t>
      </w:r>
      <w:r w:rsidRPr="00156441">
        <w:rPr>
          <w:rFonts w:ascii="Times New Roman" w:eastAsia="Times New Roman" w:hAnsi="Times New Roman" w:cs="Times New Roman"/>
          <w:bCs/>
          <w:sz w:val="28"/>
          <w:szCs w:val="28"/>
          <w:lang w:eastAsia="ru-RU"/>
        </w:rPr>
        <w:t xml:space="preserve">.1, рис. </w:t>
      </w:r>
      <w:r w:rsidR="00365F21" w:rsidRPr="00156441">
        <w:rPr>
          <w:rFonts w:ascii="Times New Roman" w:eastAsia="Times New Roman" w:hAnsi="Times New Roman" w:cs="Times New Roman"/>
          <w:bCs/>
          <w:sz w:val="28"/>
          <w:szCs w:val="28"/>
          <w:lang w:eastAsia="ru-RU"/>
        </w:rPr>
        <w:t>10</w:t>
      </w:r>
      <w:r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sz w:val="28"/>
          <w:szCs w:val="28"/>
          <w:lang w:eastAsia="ru-RU"/>
        </w:rPr>
        <w:t>. У 10 пацієнтів (18</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основної групи та 30 пацієнтів (55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групи</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порівняння значення рівня сироваткового дофаміну перетинались з діапазоном значень контролю. У випадку відсутності сполучення ХОЗЛ і ГХ збільшення вмісту дофаміну порівняно з контролем становило в середньому в 1,5 рази. У цій групі у 23 пацієнтів (51</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значення показника не входили у діапазон значень контрольної вибірки.</w:t>
      </w:r>
    </w:p>
    <w:p w:rsidR="003A4503" w:rsidRDefault="003A4503"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пацієнтів при поєднаному перебігу ХОЗЛ і ГХ спостерігалось вірогідне (р&lt;0,001) по відношенню до умовно-здорових осіб збільшення вмісту норадреналіну в середньому в 1,9 раз</w:t>
      </w:r>
      <w:r>
        <w:rPr>
          <w:rFonts w:ascii="Times New Roman" w:eastAsia="Times New Roman" w:hAnsi="Times New Roman" w:cs="Times New Roman"/>
          <w:sz w:val="28"/>
          <w:szCs w:val="28"/>
          <w:lang w:eastAsia="ru-RU"/>
        </w:rPr>
        <w:t>и</w:t>
      </w:r>
      <w:r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bCs/>
          <w:sz w:val="28"/>
          <w:szCs w:val="28"/>
          <w:lang w:eastAsia="ru-RU"/>
        </w:rPr>
        <w:t>(табл. 3.3.1, рис. 11)</w:t>
      </w:r>
      <w:r w:rsidRPr="0015644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Серед 55 хворих основної групи — у 43 хворих (78 %) значення рівня цього катехоламіну не співпадали з діапазоном значень контрольної групи.</w:t>
      </w:r>
    </w:p>
    <w:p w:rsidR="008E20E1" w:rsidRDefault="008E20E1" w:rsidP="008E20E1">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При порівнянні розподілу показника в цій групі з хворими на ХОЗЛ у відсутності ГХ також виявлено підвищення (р&lt;0,001) концентрації сироваткового норадреналіну в середньому 1,3 рази. У цьому випадку лише у 19 пацієнтів (35 %) основної групи значення показника виходили за межі діапазону значень групи порівняння. Для хворих з ізольованим перебігом ХОЗЛ також відмічалось вірогідне </w:t>
      </w:r>
      <w:r w:rsidRPr="00156441">
        <w:rPr>
          <w:rFonts w:ascii="Times New Roman" w:eastAsia="Times New Roman" w:hAnsi="Times New Roman" w:cs="Times New Roman"/>
          <w:sz w:val="28"/>
          <w:szCs w:val="28"/>
          <w:lang w:eastAsia="ru-RU"/>
        </w:rPr>
        <w:lastRenderedPageBreak/>
        <w:t>по відношенню до контролю збільшення вмісту норадреналіну, але воно було менш значним, на відміну від основної групи, — в середньому в 1,3 рази.</w:t>
      </w:r>
    </w:p>
    <w:p w:rsidR="008E20E1" w:rsidRPr="00156441" w:rsidRDefault="008E20E1"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p>
    <w:p w:rsidR="00D162F4" w:rsidRPr="00156441" w:rsidRDefault="00D162F4" w:rsidP="00D162F4">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Таблиця </w:t>
      </w:r>
      <w:r w:rsidR="00A05646" w:rsidRPr="00156441">
        <w:rPr>
          <w:rFonts w:ascii="Times New Roman" w:eastAsia="Times New Roman" w:hAnsi="Times New Roman" w:cs="Times New Roman"/>
          <w:sz w:val="28"/>
          <w:szCs w:val="28"/>
          <w:lang w:eastAsia="ru-RU"/>
        </w:rPr>
        <w:t>3.3</w:t>
      </w:r>
      <w:r w:rsidRPr="00156441">
        <w:rPr>
          <w:rFonts w:ascii="Times New Roman" w:eastAsia="Times New Roman" w:hAnsi="Times New Roman" w:cs="Times New Roman"/>
          <w:sz w:val="28"/>
          <w:szCs w:val="28"/>
          <w:lang w:eastAsia="ru-RU"/>
        </w:rPr>
        <w:t>.1</w:t>
      </w:r>
    </w:p>
    <w:p w:rsidR="00D162F4" w:rsidRPr="00156441" w:rsidRDefault="00D162F4" w:rsidP="00D162F4">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Вміст катехоламінів у сироватці крові хворих з поєднаним</w:t>
      </w:r>
    </w:p>
    <w:p w:rsidR="00D162F4" w:rsidRPr="00156441" w:rsidRDefault="00D162F4" w:rsidP="00D162F4">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668"/>
        <w:gridCol w:w="2408"/>
        <w:gridCol w:w="2408"/>
      </w:tblGrid>
      <w:tr w:rsidR="00156441" w:rsidRPr="00156441" w:rsidTr="008E20E1">
        <w:trPr>
          <w:trHeight w:val="934"/>
        </w:trPr>
        <w:tc>
          <w:tcPr>
            <w:tcW w:w="2547"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66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r w:rsidR="008E20E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n=55</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r w:rsidR="008E20E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n=45</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8E20E1">
        <w:tc>
          <w:tcPr>
            <w:tcW w:w="2547"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Дофамін, нМ/л</w:t>
            </w:r>
          </w:p>
        </w:tc>
        <w:tc>
          <w:tcPr>
            <w:tcW w:w="266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23,4 [16,5;29,6]</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14,7 [12,0; 18,5]</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9,9</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[7,7; 11,8]</w:t>
            </w:r>
          </w:p>
        </w:tc>
      </w:tr>
      <w:tr w:rsidR="00156441" w:rsidRPr="00156441" w:rsidTr="008E20E1">
        <w:tc>
          <w:tcPr>
            <w:tcW w:w="2547"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Норадреналін, нМ/л</w:t>
            </w:r>
          </w:p>
        </w:tc>
        <w:tc>
          <w:tcPr>
            <w:tcW w:w="266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72,5 [66,1;90,5]</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54,2 [38,9; 67,8]</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37,7</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[30,3; 51,1]</w:t>
            </w:r>
          </w:p>
        </w:tc>
      </w:tr>
      <w:tr w:rsidR="00156441" w:rsidRPr="00156441" w:rsidTr="008E20E1">
        <w:tc>
          <w:tcPr>
            <w:tcW w:w="2547"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Адреналін, мкМ/л</w:t>
            </w:r>
          </w:p>
        </w:tc>
        <w:tc>
          <w:tcPr>
            <w:tcW w:w="266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9,3 [7,7;10,3]</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5,9 [4,4; 7,0]</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2,8</w:t>
            </w:r>
          </w:p>
          <w:p w:rsidR="00D162F4" w:rsidRPr="00156441" w:rsidRDefault="00D162F4" w:rsidP="008E20E1">
            <w:pPr>
              <w:spacing w:after="0" w:line="360" w:lineRule="auto"/>
              <w:ind w:left="-57" w:righ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[2,1; 4,1]</w:t>
            </w:r>
          </w:p>
        </w:tc>
      </w:tr>
    </w:tbl>
    <w:p w:rsidR="00D162F4" w:rsidRPr="00156441" w:rsidRDefault="00D162F4"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 xml:space="preserve">рівень значущості по відношенню до контролю;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D162F4" w:rsidRPr="00156441" w:rsidRDefault="00D162F4"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p>
    <w:p w:rsidR="003A4503" w:rsidRPr="00156441" w:rsidRDefault="003A4503" w:rsidP="003A4503">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У сироватці крові хворих основної групи виявлено статистично вірогідне (р&lt;0,001) по відношенню до контролю та групи порівняння підвищення вмісту адреналіну в середньому в 3,1 та 1,6 рази відповідно </w:t>
      </w:r>
      <w:r w:rsidRPr="00156441">
        <w:rPr>
          <w:rFonts w:ascii="Times New Roman" w:eastAsia="Times New Roman" w:hAnsi="Times New Roman" w:cs="Times New Roman"/>
          <w:bCs/>
          <w:sz w:val="28"/>
          <w:szCs w:val="28"/>
          <w:lang w:eastAsia="ru-RU"/>
        </w:rPr>
        <w:t>(табл. 3.3.1, рис. 12).</w:t>
      </w:r>
      <w:r w:rsidRPr="00156441">
        <w:rPr>
          <w:rFonts w:ascii="Times New Roman" w:eastAsia="Times New Roman" w:hAnsi="Times New Roman" w:cs="Times New Roman"/>
          <w:sz w:val="28"/>
          <w:szCs w:val="28"/>
          <w:lang w:eastAsia="ru-RU"/>
        </w:rPr>
        <w:t xml:space="preserve"> Аналіз розподілу вмісту адреналіну у цій групі пацієнтів свідчив про відсутність перетинання з діапазоном значень контролю для всіх пацієнтів і діапазоном значень групи порівняння для 17 пацієнтів (31 %).</w:t>
      </w:r>
    </w:p>
    <w:p w:rsidR="00D162F4" w:rsidRPr="00156441" w:rsidRDefault="003A4503" w:rsidP="002D26C1">
      <w:pPr>
        <w:shd w:val="clear" w:color="auto" w:fill="FFFFFF"/>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67" w:dyaOrig="3971">
          <v:shape id="_x0000_i1155" type="#_x0000_t75" style="width:263.8pt;height:198.15pt;mso-position-vertical:absolute" o:ole="">
            <v:imagedata r:id="rId26" o:title=""/>
          </v:shape>
          <o:OLEObject Type="Embed" ProgID="STATISTICA.Graph" ShapeID="_x0000_i1155" DrawAspect="Content" ObjectID="_1579001528" r:id="rId27">
            <o:FieldCodes>\s</o:FieldCodes>
          </o:OLEObject>
        </w:object>
      </w:r>
    </w:p>
    <w:p w:rsidR="00D162F4" w:rsidRPr="00156441" w:rsidRDefault="00365F21" w:rsidP="00D162F4">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10</w:t>
      </w:r>
      <w:r w:rsidR="00D162F4" w:rsidRPr="00156441">
        <w:rPr>
          <w:rFonts w:ascii="Times New Roman" w:eastAsia="Times New Roman" w:hAnsi="Times New Roman" w:cs="Times New Roman"/>
          <w:sz w:val="28"/>
          <w:szCs w:val="28"/>
          <w:lang w:eastAsia="ru-RU"/>
        </w:rPr>
        <w:t>. Вміст дофаміну</w:t>
      </w:r>
      <w:r w:rsidR="00D162F4" w:rsidRPr="00156441">
        <w:rPr>
          <w:rFonts w:ascii="Times New Roman" w:eastAsia="Times New Roman" w:hAnsi="Times New Roman" w:cs="Times New Roman"/>
          <w:bCs/>
          <w:sz w:val="28"/>
          <w:szCs w:val="28"/>
          <w:lang w:eastAsia="ru-RU"/>
        </w:rPr>
        <w:t xml:space="preserve"> (н</w:t>
      </w:r>
      <w:r w:rsidR="00D162F4" w:rsidRPr="00156441">
        <w:rPr>
          <w:rFonts w:ascii="Times New Roman" w:eastAsia="Times New Roman" w:hAnsi="Times New Roman" w:cs="Times New Roman"/>
          <w:sz w:val="28"/>
          <w:szCs w:val="28"/>
          <w:lang w:eastAsia="ru-RU"/>
        </w:rPr>
        <w:t>М/л) у</w:t>
      </w:r>
      <w:r w:rsidR="00D162F4" w:rsidRPr="00156441">
        <w:rPr>
          <w:rFonts w:ascii="Times New Roman" w:eastAsia="Times New Roman" w:hAnsi="Times New Roman" w:cs="Times New Roman"/>
          <w:bCs/>
          <w:sz w:val="28"/>
          <w:szCs w:val="28"/>
          <w:lang w:eastAsia="ru-RU"/>
        </w:rPr>
        <w:t xml:space="preserve"> сироватці крові</w:t>
      </w:r>
      <w:r w:rsidR="00D162F4" w:rsidRPr="00156441">
        <w:rPr>
          <w:rFonts w:ascii="Times New Roman" w:hAnsi="Times New Roman" w:cs="Times New Roman"/>
          <w:sz w:val="28"/>
          <w:szCs w:val="28"/>
        </w:rPr>
        <w:t xml:space="preserve"> хворих </w:t>
      </w:r>
      <w:r w:rsidR="00D162F4" w:rsidRPr="00156441">
        <w:rPr>
          <w:rFonts w:ascii="Times New Roman" w:eastAsia="Times New Roman" w:hAnsi="Times New Roman" w:cs="Times New Roman"/>
          <w:bCs/>
          <w:sz w:val="28"/>
          <w:szCs w:val="28"/>
          <w:lang w:eastAsia="ru-RU"/>
        </w:rPr>
        <w:t>з поєднаним перебігом ХОЗЛ і ГХ і</w:t>
      </w:r>
      <w:r w:rsidR="00D162F4" w:rsidRPr="00156441">
        <w:rPr>
          <w:rFonts w:ascii="Times New Roman" w:eastAsia="Times New Roman" w:hAnsi="Times New Roman" w:cs="Times New Roman"/>
          <w:sz w:val="28"/>
          <w:szCs w:val="28"/>
          <w:lang w:eastAsia="ru-RU"/>
        </w:rPr>
        <w:t xml:space="preserve"> хворих з ізольованим перебігом ХОЗЛ та хворих </w:t>
      </w:r>
      <w:r w:rsidR="00D162F4" w:rsidRPr="00156441">
        <w:rPr>
          <w:rFonts w:ascii="Times New Roman" w:eastAsia="Times New Roman" w:hAnsi="Times New Roman" w:cs="Times New Roman"/>
          <w:bCs/>
          <w:sz w:val="28"/>
          <w:szCs w:val="28"/>
          <w:lang w:eastAsia="ru-RU"/>
        </w:rPr>
        <w:t>по відношенню до контролю</w:t>
      </w:r>
    </w:p>
    <w:p w:rsidR="00D162F4" w:rsidRPr="00156441" w:rsidRDefault="002C7E0C"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609" w:dyaOrig="4234">
          <v:shape id="_x0000_i1035" type="#_x0000_t75" style="width:280.5pt;height:212.55pt;mso-position-vertical:absolute" o:ole="">
            <v:imagedata r:id="rId28" o:title=""/>
          </v:shape>
          <o:OLEObject Type="Embed" ProgID="STATISTICA.Graph" ShapeID="_x0000_i1035" DrawAspect="Content" ObjectID="_1579001529" r:id="rId29">
            <o:FieldCodes>\s</o:FieldCodes>
          </o:OLEObject>
        </w:object>
      </w:r>
    </w:p>
    <w:p w:rsidR="00D162F4" w:rsidRPr="00156441" w:rsidRDefault="00365F21" w:rsidP="00D162F4">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Рис. 11</w:t>
      </w:r>
      <w:r w:rsidR="00D162F4" w:rsidRPr="00156441">
        <w:rPr>
          <w:rFonts w:ascii="Times New Roman" w:eastAsia="Times New Roman" w:hAnsi="Times New Roman" w:cs="Times New Roman"/>
          <w:sz w:val="28"/>
          <w:szCs w:val="28"/>
          <w:lang w:eastAsia="ru-RU"/>
        </w:rPr>
        <w:t>. Вміст норадреналіну</w:t>
      </w:r>
      <w:r w:rsidR="00D162F4" w:rsidRPr="00156441">
        <w:rPr>
          <w:rFonts w:ascii="Times New Roman" w:eastAsia="Times New Roman" w:hAnsi="Times New Roman" w:cs="Times New Roman"/>
          <w:bCs/>
          <w:sz w:val="28"/>
          <w:szCs w:val="28"/>
          <w:lang w:eastAsia="ru-RU"/>
        </w:rPr>
        <w:t xml:space="preserve"> (н</w:t>
      </w:r>
      <w:r w:rsidR="00D162F4" w:rsidRPr="00156441">
        <w:rPr>
          <w:rFonts w:ascii="Times New Roman" w:eastAsia="Times New Roman" w:hAnsi="Times New Roman" w:cs="Times New Roman"/>
          <w:sz w:val="28"/>
          <w:szCs w:val="28"/>
          <w:lang w:eastAsia="ru-RU"/>
        </w:rPr>
        <w:t>М/л) у</w:t>
      </w:r>
      <w:r w:rsidR="00D162F4" w:rsidRPr="00156441">
        <w:rPr>
          <w:rFonts w:ascii="Times New Roman" w:eastAsia="Times New Roman" w:hAnsi="Times New Roman" w:cs="Times New Roman"/>
          <w:bCs/>
          <w:sz w:val="28"/>
          <w:szCs w:val="28"/>
          <w:lang w:eastAsia="ru-RU"/>
        </w:rPr>
        <w:t xml:space="preserve"> сироватці крові</w:t>
      </w:r>
      <w:r w:rsidR="00D162F4" w:rsidRPr="00156441">
        <w:rPr>
          <w:rFonts w:ascii="Times New Roman" w:eastAsia="Times New Roman" w:hAnsi="Times New Roman" w:cs="Times New Roman"/>
          <w:sz w:val="28"/>
          <w:szCs w:val="28"/>
          <w:lang w:eastAsia="ru-RU"/>
        </w:rPr>
        <w:t xml:space="preserve"> хворих з поєднаним перебігом ХОЗЛ і ГХ та хворих з ізольованим перебігом ХОЗЛ</w:t>
      </w:r>
      <w:r w:rsidR="009C6C87" w:rsidRPr="00156441">
        <w:rPr>
          <w:rFonts w:ascii="Times New Roman" w:eastAsia="Times New Roman" w:hAnsi="Times New Roman" w:cs="Times New Roman"/>
          <w:sz w:val="28"/>
          <w:szCs w:val="28"/>
          <w:lang w:eastAsia="ru-RU"/>
        </w:rPr>
        <w:t xml:space="preserve"> </w:t>
      </w:r>
      <w:r w:rsidR="00D162F4" w:rsidRPr="00156441">
        <w:rPr>
          <w:rFonts w:ascii="Times New Roman" w:eastAsia="Times New Roman" w:hAnsi="Times New Roman" w:cs="Times New Roman"/>
          <w:bCs/>
          <w:sz w:val="28"/>
          <w:szCs w:val="28"/>
          <w:lang w:eastAsia="ru-RU"/>
        </w:rPr>
        <w:t>по відношенню до контролю</w:t>
      </w:r>
    </w:p>
    <w:p w:rsidR="00D162F4" w:rsidRPr="00156441" w:rsidRDefault="00D162F4" w:rsidP="00D162F4">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хворих з ізольованим перебігом ХОЗЛ рівень адреналіну також збільшувався (р&lt;0,001) порівняно з контролем в середньому в 1,9 рази. У даному випадку значення вмісту показника входили у межі значень контрольної вибірки у 19 пацієнтів (42</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p>
    <w:p w:rsidR="00D162F4" w:rsidRPr="00156441" w:rsidRDefault="008E20E1" w:rsidP="002D26C1">
      <w:pPr>
        <w:shd w:val="clear" w:color="auto" w:fill="FFFFFF"/>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591" w:dyaOrig="4233">
          <v:shape id="_x0000_i1157" type="#_x0000_t75" style="width:279.35pt;height:211.4pt;mso-position-vertical:absolute" o:ole="">
            <v:imagedata r:id="rId30" o:title=""/>
          </v:shape>
          <o:OLEObject Type="Embed" ProgID="STATISTICA.Graph" ShapeID="_x0000_i1157" DrawAspect="Content" ObjectID="_1579001530" r:id="rId31">
            <o:FieldCodes>\s</o:FieldCodes>
          </o:OLEObject>
        </w:object>
      </w:r>
    </w:p>
    <w:p w:rsidR="00D162F4" w:rsidRDefault="00365F21" w:rsidP="00D162F4">
      <w:pPr>
        <w:spacing w:after="0" w:line="360" w:lineRule="auto"/>
        <w:ind w:firstLine="720"/>
        <w:contextualSpacing/>
        <w:jc w:val="both"/>
        <w:rPr>
          <w:rFonts w:ascii="Times New Roman" w:eastAsia="Times New Roman" w:hAnsi="Times New Roman" w:cs="Times New Roman"/>
          <w:bCs/>
          <w:sz w:val="28"/>
          <w:szCs w:val="28"/>
          <w:lang w:eastAsia="ru-RU"/>
        </w:rPr>
      </w:pPr>
      <w:bookmarkStart w:id="14" w:name="299"/>
      <w:r w:rsidRPr="00156441">
        <w:rPr>
          <w:rFonts w:ascii="Times New Roman" w:eastAsia="Times New Roman" w:hAnsi="Times New Roman" w:cs="Times New Roman"/>
          <w:sz w:val="28"/>
          <w:szCs w:val="28"/>
          <w:lang w:eastAsia="ru-RU"/>
        </w:rPr>
        <w:t>Рис. 12</w:t>
      </w:r>
      <w:r w:rsidR="00D162F4" w:rsidRPr="00156441">
        <w:rPr>
          <w:rFonts w:ascii="Times New Roman" w:eastAsia="Times New Roman" w:hAnsi="Times New Roman" w:cs="Times New Roman"/>
          <w:sz w:val="28"/>
          <w:szCs w:val="28"/>
          <w:lang w:eastAsia="ru-RU"/>
        </w:rPr>
        <w:t>. Вміст адреналіну</w:t>
      </w:r>
      <w:r w:rsidR="00D162F4" w:rsidRPr="00156441">
        <w:rPr>
          <w:rFonts w:ascii="Times New Roman" w:eastAsia="Times New Roman" w:hAnsi="Times New Roman" w:cs="Times New Roman"/>
          <w:bCs/>
          <w:sz w:val="28"/>
          <w:szCs w:val="28"/>
          <w:lang w:eastAsia="ru-RU"/>
        </w:rPr>
        <w:t xml:space="preserve"> (</w:t>
      </w:r>
      <w:r w:rsidR="00D162F4" w:rsidRPr="00156441">
        <w:rPr>
          <w:rFonts w:ascii="Times New Roman" w:eastAsia="Times New Roman" w:hAnsi="Times New Roman" w:cs="Times New Roman"/>
          <w:sz w:val="28"/>
          <w:szCs w:val="28"/>
          <w:lang w:eastAsia="ru-RU"/>
        </w:rPr>
        <w:t>мкМ/л) у</w:t>
      </w:r>
      <w:r w:rsidR="00D162F4" w:rsidRPr="00156441">
        <w:rPr>
          <w:rFonts w:ascii="Times New Roman" w:eastAsia="Times New Roman" w:hAnsi="Times New Roman" w:cs="Times New Roman"/>
          <w:bCs/>
          <w:sz w:val="28"/>
          <w:szCs w:val="28"/>
          <w:lang w:eastAsia="ru-RU"/>
        </w:rPr>
        <w:t xml:space="preserve"> сироватці крові</w:t>
      </w:r>
      <w:r w:rsidR="00D162F4" w:rsidRPr="00156441">
        <w:rPr>
          <w:rFonts w:ascii="Times New Roman" w:hAnsi="Times New Roman" w:cs="Times New Roman"/>
          <w:sz w:val="28"/>
          <w:szCs w:val="28"/>
        </w:rPr>
        <w:t xml:space="preserve"> </w:t>
      </w:r>
      <w:r w:rsidR="00D162F4" w:rsidRPr="00156441">
        <w:rPr>
          <w:rFonts w:ascii="Times New Roman" w:eastAsia="Times New Roman" w:hAnsi="Times New Roman" w:cs="Times New Roman"/>
          <w:bCs/>
          <w:sz w:val="28"/>
          <w:szCs w:val="28"/>
          <w:lang w:eastAsia="ru-RU"/>
        </w:rPr>
        <w:t>хворих з поєднаним перебігом ХОЗЛ і ГХ та</w:t>
      </w:r>
      <w:r w:rsidR="009C6C87" w:rsidRPr="00156441">
        <w:rPr>
          <w:rFonts w:ascii="Times New Roman" w:eastAsia="Times New Roman" w:hAnsi="Times New Roman" w:cs="Times New Roman"/>
          <w:bCs/>
          <w:sz w:val="28"/>
          <w:szCs w:val="28"/>
          <w:lang w:eastAsia="ru-RU"/>
        </w:rPr>
        <w:t xml:space="preserve"> </w:t>
      </w:r>
      <w:r w:rsidR="00D162F4" w:rsidRPr="00156441">
        <w:rPr>
          <w:rFonts w:ascii="Times New Roman" w:eastAsia="Times New Roman" w:hAnsi="Times New Roman" w:cs="Times New Roman"/>
          <w:sz w:val="28"/>
          <w:szCs w:val="28"/>
          <w:lang w:eastAsia="ru-RU"/>
        </w:rPr>
        <w:t xml:space="preserve">хворих з ізольованим перебігом ХОЗЛ </w:t>
      </w:r>
      <w:r w:rsidR="00D162F4" w:rsidRPr="00156441">
        <w:rPr>
          <w:rFonts w:ascii="Times New Roman" w:eastAsia="Times New Roman" w:hAnsi="Times New Roman" w:cs="Times New Roman"/>
          <w:bCs/>
          <w:sz w:val="28"/>
          <w:szCs w:val="28"/>
          <w:lang w:eastAsia="ru-RU"/>
        </w:rPr>
        <w:t>по відношенню до контролю</w:t>
      </w:r>
    </w:p>
    <w:p w:rsidR="003A4503" w:rsidRPr="00156441" w:rsidRDefault="003A4503" w:rsidP="00D162F4">
      <w:pPr>
        <w:spacing w:after="0" w:line="360" w:lineRule="auto"/>
        <w:ind w:firstLine="720"/>
        <w:contextualSpacing/>
        <w:jc w:val="both"/>
        <w:rPr>
          <w:rFonts w:ascii="Times New Roman" w:eastAsia="Times New Roman" w:hAnsi="Times New Roman" w:cs="Times New Roman"/>
          <w:bCs/>
          <w:sz w:val="28"/>
          <w:szCs w:val="28"/>
          <w:lang w:eastAsia="ru-RU"/>
        </w:rPr>
      </w:pPr>
    </w:p>
    <w:p w:rsidR="00D162F4" w:rsidRPr="00156441" w:rsidRDefault="00D162F4" w:rsidP="00511D6B">
      <w:pPr>
        <w:spacing w:after="0" w:line="360" w:lineRule="auto"/>
        <w:ind w:firstLine="709"/>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В теперішній час показана роль гіпоксії, як основного механізму розвитку ГХ у хворих на ХОЗЛ. На фоні її розвитку, і як наслідку респіраторного ацидозу відбувається значне підвищення активності симпатичного відділу вегетативної нервової системи, що в подальшому й призводить до збільшення рівню катехоламінів. В нашому досліджені у хворих на поєднану патологію було виявлено зворотній кореляційний зв</w:t>
      </w:r>
      <w:r w:rsidR="00FC48A2"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язок середньої сили адреналіну та норадреналіну з ОФВ</w:t>
      </w:r>
      <w:r w:rsidRPr="00156441">
        <w:rPr>
          <w:rFonts w:ascii="Times New Roman" w:eastAsia="Times New Roman" w:hAnsi="Times New Roman" w:cs="Times New Roman"/>
          <w:bCs/>
          <w:sz w:val="28"/>
          <w:szCs w:val="28"/>
          <w:vertAlign w:val="subscript"/>
          <w:lang w:eastAsia="ru-RU"/>
        </w:rPr>
        <w:t xml:space="preserve">1 </w:t>
      </w:r>
      <w:r w:rsidRPr="00156441">
        <w:rPr>
          <w:rFonts w:ascii="Times New Roman" w:eastAsia="Times New Roman" w:hAnsi="Times New Roman" w:cs="Times New Roman"/>
          <w:bCs/>
          <w:sz w:val="28"/>
          <w:szCs w:val="28"/>
          <w:lang w:eastAsia="ru-RU"/>
        </w:rPr>
        <w:t>(r=-0,21 та r=-23, р&lt;0,05), з МОС</w:t>
      </w:r>
      <w:r w:rsidRPr="00156441">
        <w:rPr>
          <w:rFonts w:ascii="Times New Roman" w:eastAsia="Times New Roman" w:hAnsi="Times New Roman" w:cs="Times New Roman"/>
          <w:bCs/>
          <w:sz w:val="28"/>
          <w:szCs w:val="28"/>
          <w:vertAlign w:val="subscript"/>
          <w:lang w:eastAsia="ru-RU"/>
        </w:rPr>
        <w:t xml:space="preserve">25 </w:t>
      </w:r>
      <w:r w:rsidRPr="00156441">
        <w:rPr>
          <w:rFonts w:ascii="Times New Roman" w:eastAsia="Times New Roman" w:hAnsi="Times New Roman" w:cs="Times New Roman"/>
          <w:bCs/>
          <w:sz w:val="28"/>
          <w:szCs w:val="28"/>
          <w:lang w:eastAsia="ru-RU"/>
        </w:rPr>
        <w:t xml:space="preserve">(r=-0,36 та r=-0,26, р&lt;0,05). </w:t>
      </w:r>
    </w:p>
    <w:p w:rsidR="00D162F4" w:rsidRDefault="00D162F4" w:rsidP="00D162F4">
      <w:pPr>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bCs/>
          <w:sz w:val="28"/>
          <w:szCs w:val="28"/>
          <w:lang w:eastAsia="ru-RU"/>
        </w:rPr>
        <w:t>Отже, одержані результати свідчать про активацію симпатоадреналової системи у хворих на ХОЗЛ, особливо у випадку сполучення з ГХ. Причина підвищеної активності цієї системи може бути пов</w:t>
      </w:r>
      <w:r w:rsidR="00FC48A2" w:rsidRPr="00156441">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язана з порушенням центральної регуляції, зі збільшенням рівня ангіотензину II внаслідок виявленої вище активації ренін-ангіотензинової системи, а також з дією стресових факторів на організм хворих. У загальному плані високий рівень катехоламінів</w:t>
      </w:r>
      <w:r w:rsidRPr="00156441">
        <w:rPr>
          <w:rFonts w:ascii="Times New Roman" w:eastAsia="Times New Roman" w:hAnsi="Times New Roman" w:cs="Times New Roman"/>
          <w:sz w:val="28"/>
          <w:szCs w:val="28"/>
          <w:shd w:val="clear" w:color="auto" w:fill="FFFFFF"/>
          <w:lang w:eastAsia="ru-RU"/>
        </w:rPr>
        <w:t xml:space="preserve"> у пацієнтів з ХОЗЛ свідчить про порушення метаболічних функцій легень та ролі симпатоадреналової системи у виникненні та прогресуванні артеріальної гіпертензії та ендотеліальної дисфункції.</w:t>
      </w:r>
    </w:p>
    <w:p w:rsidR="000F7C61" w:rsidRPr="00333B2D" w:rsidRDefault="000075AE" w:rsidP="008E20E1">
      <w:pPr>
        <w:pStyle w:val="a4"/>
        <w:widowControl w:val="0"/>
        <w:numPr>
          <w:ilvl w:val="1"/>
          <w:numId w:val="19"/>
        </w:numPr>
        <w:tabs>
          <w:tab w:val="left" w:pos="1134"/>
        </w:tabs>
        <w:autoSpaceDE w:val="0"/>
        <w:autoSpaceDN w:val="0"/>
        <w:adjustRightInd w:val="0"/>
        <w:spacing w:after="0" w:line="360" w:lineRule="auto"/>
        <w:ind w:left="0" w:firstLine="709"/>
        <w:jc w:val="center"/>
        <w:rPr>
          <w:rFonts w:ascii="Times New Roman" w:eastAsia="Times New Roman" w:hAnsi="Times New Roman" w:cs="Times New Roman"/>
          <w:b/>
          <w:sz w:val="28"/>
          <w:szCs w:val="28"/>
          <w:lang w:val="ru-RU" w:eastAsia="ru-RU"/>
        </w:rPr>
      </w:pPr>
      <w:bookmarkStart w:id="15" w:name="Pidrozd_3_4"/>
      <w:r>
        <w:rPr>
          <w:rFonts w:ascii="Times New Roman" w:eastAsia="Times New Roman" w:hAnsi="Times New Roman" w:cs="Times New Roman"/>
          <w:b/>
          <w:sz w:val="28"/>
          <w:szCs w:val="28"/>
          <w:lang w:eastAsia="ru-RU"/>
        </w:rPr>
        <w:lastRenderedPageBreak/>
        <w:t>Аналіз динаміки</w:t>
      </w:r>
      <w:r w:rsidR="00354B4F" w:rsidRPr="00333B2D">
        <w:rPr>
          <w:rFonts w:ascii="Times New Roman" w:eastAsia="Times New Roman" w:hAnsi="Times New Roman" w:cs="Times New Roman"/>
          <w:b/>
          <w:sz w:val="28"/>
          <w:szCs w:val="28"/>
          <w:lang w:eastAsia="ru-RU"/>
        </w:rPr>
        <w:t xml:space="preserve"> змін показників обміну оксиду азоту</w:t>
      </w:r>
    </w:p>
    <w:bookmarkEnd w:id="15"/>
    <w:p w:rsidR="00333B2D" w:rsidRDefault="00333B2D" w:rsidP="00354B4F">
      <w:pPr>
        <w:widowControl w:val="0"/>
        <w:tabs>
          <w:tab w:val="left" w:pos="1080"/>
        </w:tabs>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widowControl w:val="0"/>
        <w:tabs>
          <w:tab w:val="left" w:pos="1080"/>
        </w:tabs>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теперішній час оксид азоту виявлено практично у всіх тканинах організму людини. Також встановлено широкий спектр його біологічної дії. Вплив NO на окремі процеси в різних тканинах неоднозначний і різноспрямований, ефекти його дії залежать від концентрації в клітинах, н</w:t>
      </w:r>
      <w:r w:rsidR="002F3011" w:rsidRPr="00156441">
        <w:rPr>
          <w:rFonts w:ascii="Times New Roman" w:eastAsia="Times New Roman" w:hAnsi="Times New Roman" w:cs="Times New Roman"/>
          <w:sz w:val="28"/>
          <w:szCs w:val="28"/>
          <w:lang w:eastAsia="ru-RU"/>
        </w:rPr>
        <w:t>а</w:t>
      </w:r>
      <w:r w:rsidRPr="00156441">
        <w:rPr>
          <w:rFonts w:ascii="Times New Roman" w:eastAsia="Times New Roman" w:hAnsi="Times New Roman" w:cs="Times New Roman"/>
          <w:sz w:val="28"/>
          <w:szCs w:val="28"/>
          <w:lang w:eastAsia="ru-RU"/>
        </w:rPr>
        <w:t>явності кисню, метаболітів оксидантного стресу і антиоксидантів, які можуть змінювати його кількість, сигнальну функцію і фізіологічну активність. Відомо, що при наяв</w:t>
      </w:r>
      <w:r w:rsidR="00511D6B" w:rsidRPr="00156441">
        <w:rPr>
          <w:rFonts w:ascii="Times New Roman" w:eastAsia="Times New Roman" w:hAnsi="Times New Roman" w:cs="Times New Roman"/>
          <w:sz w:val="28"/>
          <w:szCs w:val="28"/>
          <w:lang w:eastAsia="ru-RU"/>
        </w:rPr>
        <w:t>ност</w:t>
      </w:r>
      <w:r w:rsidRPr="00156441">
        <w:rPr>
          <w:rFonts w:ascii="Times New Roman" w:eastAsia="Times New Roman" w:hAnsi="Times New Roman" w:cs="Times New Roman"/>
          <w:sz w:val="28"/>
          <w:szCs w:val="28"/>
          <w:lang w:eastAsia="ru-RU"/>
        </w:rPr>
        <w:t>і системної гіпоксії, що є наслідком ХОЗЛ, виникає оксидативний стрес, що призводить до накопичення продуктів перекисного окислення ліпідів, вільних радикалів, які впливають на метаболічні і структурн</w:t>
      </w:r>
      <w:r w:rsidR="002F3011" w:rsidRPr="00156441">
        <w:rPr>
          <w:rFonts w:ascii="Times New Roman" w:eastAsia="Times New Roman" w:hAnsi="Times New Roman" w:cs="Times New Roman"/>
          <w:sz w:val="28"/>
          <w:szCs w:val="28"/>
          <w:lang w:eastAsia="ru-RU"/>
        </w:rPr>
        <w:t>і адаптаційні перебудови. Це свід</w:t>
      </w:r>
      <w:r w:rsidRPr="00156441">
        <w:rPr>
          <w:rFonts w:ascii="Times New Roman" w:eastAsia="Times New Roman" w:hAnsi="Times New Roman" w:cs="Times New Roman"/>
          <w:sz w:val="28"/>
          <w:szCs w:val="28"/>
          <w:lang w:eastAsia="ru-RU"/>
        </w:rPr>
        <w:t>чить про те, що система NO представляє особливий інтерес, оскільки може вносити істотний внесок в такі перебудови.</w:t>
      </w:r>
      <w:r w:rsidRPr="00156441">
        <w:rPr>
          <w:rFonts w:ascii="Times New Roman" w:hAnsi="Times New Roman" w:cs="Times New Roman"/>
          <w:sz w:val="28"/>
          <w:szCs w:val="28"/>
        </w:rPr>
        <w:t xml:space="preserve"> </w:t>
      </w:r>
      <w:r w:rsidRPr="00156441">
        <w:rPr>
          <w:rFonts w:ascii="Times New Roman" w:eastAsia="Times New Roman" w:hAnsi="Times New Roman" w:cs="Times New Roman"/>
          <w:sz w:val="28"/>
          <w:szCs w:val="28"/>
          <w:lang w:eastAsia="ru-RU"/>
        </w:rPr>
        <w:t>Залишається до кінця невирішеною проблемою з</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ясування ролі системи оксиду азоту в патогенезі багатьох респіраторних патологій і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язаних з ними захворювань. Метаболізм оксиду азоту у цих випадках здебільшого вивчається за сумарним вмістом його стабільних метаболітів у конденсатах повітря, що видихається. Такий підхід у більшій мірі відображає функціональний стан епітеліоцитів легень. Тому цікавим є з</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ясувати зміни в обміні оксиду азоту у хворих на ХОЗЛ у сполученні з ГХ за його стабільними метаболітами та ферментами синтезу у крові. Такий підхід дозволяє більш відповідально судити про стан функціональної активності судинного ендотелію, тому що саме оксид азоту крові відповідає за вазодилятацію та перешкоджає розвитку легеневої і системної гіпертензії [</w:t>
      </w:r>
      <w:r w:rsidR="00511D6B" w:rsidRPr="00156441">
        <w:rPr>
          <w:rFonts w:ascii="Times New Roman" w:eastAsia="Times New Roman" w:hAnsi="Times New Roman" w:cs="Times New Roman"/>
          <w:sz w:val="28"/>
          <w:szCs w:val="28"/>
          <w:lang w:eastAsia="ru-RU"/>
        </w:rPr>
        <w:fldChar w:fldCharType="begin"/>
      </w:r>
      <w:r w:rsidR="00511D6B" w:rsidRPr="00156441">
        <w:rPr>
          <w:rFonts w:ascii="Times New Roman" w:eastAsia="Times New Roman" w:hAnsi="Times New Roman" w:cs="Times New Roman"/>
          <w:sz w:val="28"/>
          <w:szCs w:val="28"/>
          <w:lang w:eastAsia="ru-RU"/>
        </w:rPr>
        <w:instrText xml:space="preserve"> REF _Ref502697437 \r \h </w:instrText>
      </w:r>
      <w:r w:rsidR="00F44EE4" w:rsidRPr="00156441">
        <w:rPr>
          <w:rFonts w:ascii="Times New Roman" w:eastAsia="Times New Roman" w:hAnsi="Times New Roman" w:cs="Times New Roman"/>
          <w:sz w:val="28"/>
          <w:szCs w:val="28"/>
          <w:lang w:eastAsia="ru-RU"/>
        </w:rPr>
        <w:instrText xml:space="preserve"> \* MERGEFORMAT </w:instrText>
      </w:r>
      <w:r w:rsidR="00511D6B" w:rsidRPr="00156441">
        <w:rPr>
          <w:rFonts w:ascii="Times New Roman" w:eastAsia="Times New Roman" w:hAnsi="Times New Roman" w:cs="Times New Roman"/>
          <w:sz w:val="28"/>
          <w:szCs w:val="28"/>
          <w:lang w:eastAsia="ru-RU"/>
        </w:rPr>
      </w:r>
      <w:r w:rsidR="00511D6B"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297</w:t>
      </w:r>
      <w:r w:rsidR="00511D6B"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54B4F" w:rsidRPr="00156441" w:rsidRDefault="00354B4F" w:rsidP="00354B4F">
      <w:pPr>
        <w:widowControl w:val="0"/>
        <w:tabs>
          <w:tab w:val="left" w:pos="1080"/>
        </w:tabs>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За короткий період життя оксид азоту встигає впливати на клітини-мішені, беручи участь в регуляції судинного тонусу через активацію синтезу циклічного гуанозинмонофосфату. Невикористаний в хімічних реакціях оксид азоту швидко окислюється до неактивних продуктів</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нітритів (NO</w:t>
      </w:r>
      <w:r w:rsidRPr="00156441">
        <w:rPr>
          <w:rFonts w:ascii="Times New Roman" w:eastAsia="Times New Roman" w:hAnsi="Times New Roman" w:cs="Times New Roman"/>
          <w:sz w:val="28"/>
          <w:szCs w:val="28"/>
          <w:vertAlign w:val="subscript"/>
          <w:lang w:eastAsia="ru-RU"/>
        </w:rPr>
        <w:t>2</w:t>
      </w:r>
      <w:r w:rsidRPr="00156441">
        <w:rPr>
          <w:rFonts w:ascii="Times New Roman" w:eastAsia="Times New Roman" w:hAnsi="Times New Roman" w:cs="Times New Roman"/>
          <w:sz w:val="28"/>
          <w:szCs w:val="28"/>
          <w:lang w:eastAsia="ru-RU"/>
        </w:rPr>
        <w:t>,) і нітратів (NO</w:t>
      </w:r>
      <w:r w:rsidRPr="00156441">
        <w:rPr>
          <w:rFonts w:ascii="Times New Roman" w:eastAsia="Times New Roman" w:hAnsi="Times New Roman" w:cs="Times New Roman"/>
          <w:sz w:val="28"/>
          <w:szCs w:val="28"/>
          <w:vertAlign w:val="subscript"/>
          <w:lang w:eastAsia="ru-RU"/>
        </w:rPr>
        <w:t>3</w:t>
      </w:r>
      <w:r w:rsidRPr="00156441">
        <w:rPr>
          <w:rFonts w:ascii="Times New Roman" w:eastAsia="Times New Roman" w:hAnsi="Times New Roman" w:cs="Times New Roman"/>
          <w:sz w:val="28"/>
          <w:szCs w:val="28"/>
          <w:lang w:eastAsia="ru-RU"/>
        </w:rPr>
        <w:t>), визначення концентрації яких служить непрямим методом оцінки інтенсивності синтезу оксиду азоту [</w:t>
      </w:r>
      <w:r w:rsidR="00511D6B" w:rsidRPr="00156441">
        <w:rPr>
          <w:rFonts w:ascii="Times New Roman" w:eastAsia="Times New Roman" w:hAnsi="Times New Roman" w:cs="Times New Roman"/>
          <w:sz w:val="28"/>
          <w:szCs w:val="28"/>
          <w:lang w:eastAsia="ru-RU"/>
        </w:rPr>
        <w:fldChar w:fldCharType="begin"/>
      </w:r>
      <w:r w:rsidR="00511D6B" w:rsidRPr="00156441">
        <w:rPr>
          <w:rFonts w:ascii="Times New Roman" w:eastAsia="Times New Roman" w:hAnsi="Times New Roman" w:cs="Times New Roman"/>
          <w:sz w:val="28"/>
          <w:szCs w:val="28"/>
          <w:lang w:eastAsia="ru-RU"/>
        </w:rPr>
        <w:instrText xml:space="preserve"> REF _Ref502697478 \r \h </w:instrText>
      </w:r>
      <w:r w:rsidR="00F44EE4" w:rsidRPr="00156441">
        <w:rPr>
          <w:rFonts w:ascii="Times New Roman" w:eastAsia="Times New Roman" w:hAnsi="Times New Roman" w:cs="Times New Roman"/>
          <w:sz w:val="28"/>
          <w:szCs w:val="28"/>
          <w:lang w:eastAsia="ru-RU"/>
        </w:rPr>
        <w:instrText xml:space="preserve"> \* MERGEFORMAT </w:instrText>
      </w:r>
      <w:r w:rsidR="00511D6B" w:rsidRPr="00156441">
        <w:rPr>
          <w:rFonts w:ascii="Times New Roman" w:eastAsia="Times New Roman" w:hAnsi="Times New Roman" w:cs="Times New Roman"/>
          <w:sz w:val="28"/>
          <w:szCs w:val="28"/>
          <w:lang w:eastAsia="ru-RU"/>
        </w:rPr>
      </w:r>
      <w:r w:rsidR="00511D6B"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298</w:t>
      </w:r>
      <w:r w:rsidR="00511D6B"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54B4F" w:rsidRPr="00156441" w:rsidRDefault="00354B4F" w:rsidP="00354B4F">
      <w:pPr>
        <w:widowControl w:val="0"/>
        <w:tabs>
          <w:tab w:val="left" w:pos="1080"/>
        </w:tabs>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У плазмі крові хворих основної групи в порівнянні з контрольною групою </w:t>
      </w:r>
      <w:r w:rsidRPr="00156441">
        <w:rPr>
          <w:rFonts w:ascii="Times New Roman" w:eastAsia="Times New Roman" w:hAnsi="Times New Roman" w:cs="Times New Roman"/>
          <w:sz w:val="28"/>
          <w:szCs w:val="28"/>
          <w:lang w:eastAsia="ru-RU"/>
        </w:rPr>
        <w:lastRenderedPageBreak/>
        <w:t xml:space="preserve">спостерігалось статистично вірогідне (р&lt;0,001) підвищення рівня нітритів у середньому в 2,1 рази (табл. </w:t>
      </w:r>
      <w:r w:rsidR="00A05646" w:rsidRPr="00156441">
        <w:rPr>
          <w:rFonts w:ascii="Times New Roman" w:eastAsia="Times New Roman" w:hAnsi="Times New Roman" w:cs="Times New Roman"/>
          <w:sz w:val="28"/>
          <w:szCs w:val="28"/>
          <w:lang w:eastAsia="ru-RU"/>
        </w:rPr>
        <w:t>3.4.1</w:t>
      </w:r>
      <w:r w:rsidRPr="00156441">
        <w:rPr>
          <w:rFonts w:ascii="Times New Roman" w:eastAsia="Times New Roman" w:hAnsi="Times New Roman" w:cs="Times New Roman"/>
          <w:sz w:val="28"/>
          <w:szCs w:val="28"/>
          <w:lang w:eastAsia="ru-RU"/>
        </w:rPr>
        <w:t>). Слід відзначити, що д</w:t>
      </w:r>
      <w:r w:rsidR="00511D6B" w:rsidRPr="00156441">
        <w:rPr>
          <w:rFonts w:ascii="Times New Roman" w:eastAsia="Times New Roman" w:hAnsi="Times New Roman" w:cs="Times New Roman"/>
          <w:sz w:val="28"/>
          <w:szCs w:val="28"/>
          <w:lang w:eastAsia="ru-RU"/>
        </w:rPr>
        <w:t>ля переважної більшості хворих</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52 особи (95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вміст нітритів знаходився за межами діапазону значень контрольної групи пацієнтів (рис. 4.2.1). У хворих групи порівняння також відмічалось статистично значиме (р&lt;0,001) підвищення вмісту нітритів в порівняні з контролем, але менш виражено (в середньому в 1,4 рази). У 30 хворих (67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групи порівняння вміст нітритів перетинався з контролем і лише у 15 хворих (33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 xml:space="preserve">виходив за його межі </w:t>
      </w:r>
      <w:r w:rsidR="002F3011" w:rsidRPr="00156441">
        <w:rPr>
          <w:rFonts w:ascii="Times New Roman" w:eastAsia="Times New Roman" w:hAnsi="Times New Roman" w:cs="Times New Roman"/>
          <w:sz w:val="28"/>
          <w:szCs w:val="28"/>
          <w:lang w:eastAsia="ru-RU"/>
        </w:rPr>
        <w:t>(рис. 13</w:t>
      </w:r>
      <w:r w:rsidRPr="00156441">
        <w:rPr>
          <w:rFonts w:ascii="Times New Roman" w:eastAsia="Times New Roman" w:hAnsi="Times New Roman" w:cs="Times New Roman"/>
          <w:sz w:val="28"/>
          <w:szCs w:val="28"/>
          <w:lang w:eastAsia="ru-RU"/>
        </w:rPr>
        <w:t>).</w:t>
      </w:r>
    </w:p>
    <w:p w:rsidR="00354B4F" w:rsidRPr="00156441" w:rsidRDefault="00354B4F" w:rsidP="00354B4F">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Таблиця </w:t>
      </w:r>
      <w:r w:rsidR="00A05646" w:rsidRPr="00156441">
        <w:rPr>
          <w:rFonts w:ascii="Times New Roman" w:eastAsia="Times New Roman" w:hAnsi="Times New Roman" w:cs="Times New Roman"/>
          <w:sz w:val="28"/>
          <w:szCs w:val="28"/>
          <w:lang w:eastAsia="ru-RU"/>
        </w:rPr>
        <w:t>3.4.1</w:t>
      </w:r>
    </w:p>
    <w:p w:rsidR="00354B4F" w:rsidRPr="00156441" w:rsidRDefault="00354B4F" w:rsidP="00354B4F">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Вміст стабільних метаболітів оксиду азоту в плазмі крові хворих</w:t>
      </w:r>
    </w:p>
    <w:p w:rsidR="00354B4F" w:rsidRPr="00156441" w:rsidRDefault="00354B4F" w:rsidP="00354B4F">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2410"/>
        <w:gridCol w:w="2268"/>
      </w:tblGrid>
      <w:tr w:rsidR="00156441" w:rsidRPr="00156441" w:rsidTr="008E20E1">
        <w:trPr>
          <w:trHeight w:val="934"/>
        </w:trPr>
        <w:tc>
          <w:tcPr>
            <w:tcW w:w="2689"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064C29"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r w:rsidR="002D26C1">
              <w:rPr>
                <w:rFonts w:ascii="Times New Roman" w:eastAsia="Times New Roman" w:hAnsi="Times New Roman" w:cs="Times New Roman"/>
                <w:sz w:val="28"/>
                <w:szCs w:val="28"/>
                <w:lang w:eastAsia="ru-RU"/>
              </w:rPr>
              <w:t xml:space="preserve">, </w:t>
            </w:r>
          </w:p>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64C29"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r w:rsidR="002D26C1">
              <w:rPr>
                <w:rFonts w:ascii="Times New Roman" w:eastAsia="Times New Roman" w:hAnsi="Times New Roman" w:cs="Times New Roman"/>
                <w:sz w:val="28"/>
                <w:szCs w:val="28"/>
                <w:lang w:eastAsia="ru-RU"/>
              </w:rPr>
              <w:t xml:space="preserve">, </w:t>
            </w:r>
          </w:p>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8E20E1">
        <w:tc>
          <w:tcPr>
            <w:tcW w:w="2689"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NO</w:t>
            </w:r>
            <w:r w:rsidRPr="00156441">
              <w:rPr>
                <w:rFonts w:ascii="Times New Roman" w:eastAsia="Times New Roman" w:hAnsi="Times New Roman" w:cs="Times New Roman"/>
                <w:sz w:val="28"/>
                <w:szCs w:val="28"/>
                <w:vertAlign w:val="subscript"/>
                <w:lang w:eastAsia="ru-RU"/>
              </w:rPr>
              <w:t>2</w:t>
            </w:r>
            <w:r w:rsidRPr="00156441">
              <w:rPr>
                <w:rFonts w:ascii="Times New Roman" w:eastAsia="Times New Roman" w:hAnsi="Times New Roman" w:cs="Times New Roman"/>
                <w:sz w:val="28"/>
                <w:szCs w:val="28"/>
                <w:lang w:eastAsia="ru-RU"/>
              </w:rPr>
              <w:t>, мкМ/л</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32,0 [28,5;37,1]</w:t>
            </w:r>
            <w:r w:rsidR="002D26C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vertAlign w:val="superscript"/>
                <w:lang w:eastAsia="ru-RU"/>
              </w:rPr>
              <w:t>*,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21,5 [18,4; 25,3]</w:t>
            </w:r>
            <w:r w:rsidR="002D26C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vertAlign w:val="superscript"/>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15,0 [13,4; 18,3]</w:t>
            </w:r>
          </w:p>
        </w:tc>
      </w:tr>
      <w:tr w:rsidR="00156441" w:rsidRPr="00156441" w:rsidTr="008E20E1">
        <w:tc>
          <w:tcPr>
            <w:tcW w:w="2689"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NO</w:t>
            </w:r>
            <w:r w:rsidRPr="00156441">
              <w:rPr>
                <w:rFonts w:ascii="Times New Roman" w:eastAsia="Times New Roman" w:hAnsi="Times New Roman" w:cs="Times New Roman"/>
                <w:sz w:val="28"/>
                <w:szCs w:val="28"/>
                <w:vertAlign w:val="subscript"/>
                <w:lang w:eastAsia="ru-RU"/>
              </w:rPr>
              <w:t>3</w:t>
            </w:r>
            <w:r w:rsidRPr="00156441">
              <w:rPr>
                <w:rFonts w:ascii="Times New Roman" w:eastAsia="Times New Roman" w:hAnsi="Times New Roman" w:cs="Times New Roman"/>
                <w:sz w:val="28"/>
                <w:szCs w:val="28"/>
                <w:lang w:eastAsia="ru-RU"/>
              </w:rPr>
              <w:t>, мкМ/л</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51,3 [45,5;59,2]</w:t>
            </w:r>
            <w:r w:rsidR="002D26C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vertAlign w:val="superscript"/>
                <w:lang w:eastAsia="ru-RU"/>
              </w:rPr>
              <w:t>*,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31,0 [26,4; 37,8]</w:t>
            </w:r>
            <w:r w:rsidR="002D26C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vertAlign w:val="superscript"/>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21,7 [17,5; 24,9]</w:t>
            </w:r>
          </w:p>
        </w:tc>
      </w:tr>
      <w:tr w:rsidR="00156441" w:rsidRPr="00156441" w:rsidTr="008E20E1">
        <w:tc>
          <w:tcPr>
            <w:tcW w:w="2689"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S-Нітрозотіоли, мМ/л</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0,99 [0,89;1,2]</w:t>
            </w:r>
            <w:r w:rsidR="002D26C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vertAlign w:val="superscript"/>
                <w:lang w:eastAsia="ru-RU"/>
              </w:rPr>
              <w:t>*,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0,54 [0,40; 0,71]</w:t>
            </w:r>
            <w:r w:rsidR="002D26C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vertAlign w:val="superscript"/>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54B4F" w:rsidRPr="00156441" w:rsidRDefault="00354B4F" w:rsidP="008E20E1">
            <w:pPr>
              <w:spacing w:after="0" w:line="360" w:lineRule="auto"/>
              <w:ind w:left="-57"/>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0,30 [0,22; 0,33]</w:t>
            </w:r>
          </w:p>
        </w:tc>
      </w:tr>
    </w:tbl>
    <w:p w:rsidR="00354B4F"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контролю</w:t>
      </w:r>
      <w:r w:rsidR="002D26C1">
        <w:rPr>
          <w:rFonts w:ascii="Times New Roman" w:eastAsia="Times New Roman" w:hAnsi="Times New Roman" w:cs="Times New Roman"/>
          <w:sz w:val="28"/>
          <w:szCs w:val="28"/>
          <w:lang w:eastAsia="ru-RU"/>
        </w:rPr>
        <w:t xml:space="preserve">, </w:t>
      </w:r>
      <w:r w:rsidR="002D26C1" w:rsidRPr="00156441">
        <w:rPr>
          <w:rFonts w:ascii="Times New Roman" w:eastAsia="Times New Roman" w:hAnsi="Times New Roman" w:cs="Times New Roman"/>
          <w:sz w:val="28"/>
          <w:szCs w:val="28"/>
          <w:lang w:eastAsia="ru-RU"/>
        </w:rPr>
        <w:t>p&lt;0,001</w:t>
      </w:r>
      <w:r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r w:rsidR="002D26C1">
        <w:rPr>
          <w:rFonts w:ascii="Times New Roman" w:eastAsia="Times New Roman" w:hAnsi="Times New Roman" w:cs="Times New Roman"/>
          <w:sz w:val="28"/>
          <w:szCs w:val="28"/>
          <w:lang w:eastAsia="ru-RU"/>
        </w:rPr>
        <w:t xml:space="preserve">, </w:t>
      </w:r>
      <w:r w:rsidR="002D26C1" w:rsidRPr="00156441">
        <w:rPr>
          <w:rFonts w:ascii="Times New Roman" w:eastAsia="Times New Roman" w:hAnsi="Times New Roman" w:cs="Times New Roman"/>
          <w:sz w:val="28"/>
          <w:szCs w:val="28"/>
          <w:lang w:eastAsia="ru-RU"/>
        </w:rPr>
        <w:t>p&lt;0,001</w:t>
      </w:r>
      <w:r w:rsidR="002D26C1">
        <w:rPr>
          <w:rFonts w:ascii="Times New Roman" w:eastAsia="Times New Roman" w:hAnsi="Times New Roman" w:cs="Times New Roman"/>
          <w:sz w:val="28"/>
          <w:szCs w:val="28"/>
          <w:lang w:eastAsia="ru-RU"/>
        </w:rPr>
        <w:t>.</w:t>
      </w:r>
    </w:p>
    <w:p w:rsidR="00333B2D" w:rsidRPr="00156441" w:rsidRDefault="00333B2D"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widowControl w:val="0"/>
        <w:tabs>
          <w:tab w:val="left" w:pos="1080"/>
        </w:tabs>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Вміст нітритів у плазмі крові хворих з поєднаним перебігом ХОЗЛ і ГХ виявився вірогідно (р&lt;0,001) підвищеним у середньому в 1,5 рази й по відношенню до хворих з ізольованим перебігом ХОЗЛ. При цьому у 33 пацієнтів (60</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основної групи значення показника входили у діапазон змін групи порівняння, тоді як у інших</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виходили за його межі.</w:t>
      </w:r>
    </w:p>
    <w:p w:rsidR="00354B4F" w:rsidRPr="00156441" w:rsidRDefault="00D1740C" w:rsidP="002D26C1">
      <w:pPr>
        <w:spacing w:after="0" w:line="360" w:lineRule="auto"/>
        <w:contextualSpacing/>
        <w:jc w:val="center"/>
        <w:rPr>
          <w:rFonts w:ascii="Times New Roman" w:eastAsia="Times New Roman" w:hAnsi="Times New Roman" w:cs="Times New Roman"/>
          <w:i/>
          <w:sz w:val="28"/>
          <w:szCs w:val="28"/>
          <w:lang w:eastAsia="ru-RU"/>
        </w:rPr>
      </w:pPr>
      <w:r w:rsidRPr="00156441">
        <w:rPr>
          <w:rFonts w:ascii="Times New Roman" w:eastAsia="Times New Roman" w:hAnsi="Times New Roman" w:cs="Times New Roman"/>
          <w:sz w:val="28"/>
          <w:szCs w:val="28"/>
          <w:lang w:eastAsia="ru-RU"/>
        </w:rPr>
        <w:object w:dxaOrig="5262" w:dyaOrig="3970">
          <v:shape id="_x0000_i1098" type="#_x0000_t75" style="width:263.25pt;height:198.7pt;mso-position-vertical:absolute" o:ole="">
            <v:imagedata r:id="rId32" o:title=""/>
          </v:shape>
          <o:OLEObject Type="Embed" ProgID="STATISTICA.Graph" ShapeID="_x0000_i1098" DrawAspect="Content" ObjectID="_1579001531" r:id="rId33">
            <o:FieldCodes>\s</o:FieldCodes>
          </o:OLEObject>
        </w:objec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2F3011" w:rsidRPr="00156441">
        <w:rPr>
          <w:rFonts w:ascii="Times New Roman" w:eastAsia="Times New Roman" w:hAnsi="Times New Roman" w:cs="Times New Roman"/>
          <w:sz w:val="28"/>
          <w:szCs w:val="28"/>
          <w:lang w:eastAsia="ru-RU"/>
        </w:rPr>
        <w:t>13</w:t>
      </w:r>
      <w:r w:rsidRPr="00156441">
        <w:rPr>
          <w:rFonts w:ascii="Times New Roman" w:eastAsia="Times New Roman" w:hAnsi="Times New Roman" w:cs="Times New Roman"/>
          <w:sz w:val="28"/>
          <w:szCs w:val="28"/>
          <w:lang w:eastAsia="ru-RU"/>
        </w:rPr>
        <w:t>. Вміст нітритів</w:t>
      </w:r>
      <w:r w:rsidRPr="00156441">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bCs/>
          <w:sz w:val="28"/>
          <w:szCs w:val="28"/>
          <w:lang w:eastAsia="ru-RU"/>
        </w:rPr>
        <w:t>мкМ/л</w:t>
      </w:r>
      <w:r w:rsidRPr="00156441">
        <w:rPr>
          <w:rFonts w:ascii="Times New Roman" w:eastAsia="Times New Roman" w:hAnsi="Times New Roman" w:cs="Times New Roman"/>
          <w:sz w:val="28"/>
          <w:szCs w:val="28"/>
          <w:lang w:eastAsia="ru-RU"/>
        </w:rPr>
        <w:t>) у</w:t>
      </w:r>
      <w:r w:rsidRPr="00156441">
        <w:rPr>
          <w:rFonts w:ascii="Times New Roman" w:eastAsia="Times New Roman" w:hAnsi="Times New Roman" w:cs="Times New Roman"/>
          <w:bCs/>
          <w:sz w:val="28"/>
          <w:szCs w:val="28"/>
          <w:lang w:eastAsia="ru-RU"/>
        </w:rPr>
        <w:t xml:space="preserve"> плазмі крові</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 xml:space="preserve">хворих з поєднаним перебігом ХОЗЛ і ГХ з хворих з ізольованим перебігом ХОЗЛ </w:t>
      </w:r>
      <w:r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widowControl w:val="0"/>
        <w:tabs>
          <w:tab w:val="left" w:pos="1080"/>
        </w:tabs>
        <w:autoSpaceDE w:val="0"/>
        <w:autoSpaceDN w:val="0"/>
        <w:adjustRightInd w:val="0"/>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У плазмі крові основної групи та групи порівняння спостерігалось по відношенню до контролю статистично значиме (р&lt;0,001) збільшення рівня нітратів</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 xml:space="preserve">в 2,4 і 1,5 рази відповідно (табл. </w:t>
      </w:r>
      <w:r w:rsidR="00A05646" w:rsidRPr="00156441">
        <w:rPr>
          <w:rFonts w:ascii="Times New Roman" w:eastAsia="Times New Roman" w:hAnsi="Times New Roman" w:cs="Times New Roman"/>
          <w:sz w:val="28"/>
          <w:szCs w:val="28"/>
          <w:lang w:eastAsia="ru-RU"/>
        </w:rPr>
        <w:t>3.4</w:t>
      </w:r>
      <w:r w:rsidRPr="00156441">
        <w:rPr>
          <w:rFonts w:ascii="Times New Roman" w:eastAsia="Times New Roman" w:hAnsi="Times New Roman" w:cs="Times New Roman"/>
          <w:sz w:val="28"/>
          <w:szCs w:val="28"/>
          <w:lang w:eastAsia="ru-RU"/>
        </w:rPr>
        <w:t>.1). При цьому у 20 пацієнтів (44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 ізольованим перебігом ХОЗЛ значення показник</w:t>
      </w:r>
      <w:r w:rsidR="00E5410F" w:rsidRPr="00156441">
        <w:rPr>
          <w:rFonts w:ascii="Times New Roman" w:eastAsia="Times New Roman" w:hAnsi="Times New Roman" w:cs="Times New Roman"/>
          <w:sz w:val="28"/>
          <w:szCs w:val="28"/>
          <w:lang w:eastAsia="ru-RU"/>
        </w:rPr>
        <w:t>ів</w:t>
      </w:r>
      <w:r w:rsidRPr="00156441">
        <w:rPr>
          <w:rFonts w:ascii="Times New Roman" w:eastAsia="Times New Roman" w:hAnsi="Times New Roman" w:cs="Times New Roman"/>
          <w:sz w:val="28"/>
          <w:szCs w:val="28"/>
          <w:lang w:eastAsia="ru-RU"/>
        </w:rPr>
        <w:t xml:space="preserve"> дорівнювали контрольній виборці, тоді як у групі пацієнтів з поєднаним перебігом ХОЗЛ і ГХ </w:t>
      </w:r>
      <w:r w:rsidR="00ED2F14" w:rsidRPr="00156441">
        <w:rPr>
          <w:rFonts w:ascii="Times New Roman" w:eastAsia="Times New Roman" w:hAnsi="Times New Roman" w:cs="Times New Roman"/>
          <w:sz w:val="28"/>
          <w:szCs w:val="28"/>
          <w:lang w:eastAsia="ru-RU"/>
        </w:rPr>
        <w:t>це спостерігалось лише у 3 осіб</w:t>
      </w:r>
      <w:r w:rsidRPr="00156441">
        <w:rPr>
          <w:rFonts w:ascii="Times New Roman" w:eastAsia="Times New Roman" w:hAnsi="Times New Roman" w:cs="Times New Roman"/>
          <w:sz w:val="28"/>
          <w:szCs w:val="28"/>
          <w:lang w:eastAsia="ru-RU"/>
        </w:rPr>
        <w:t xml:space="preserve"> (5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w:t>
      </w:r>
      <w:r w:rsidR="002F3011" w:rsidRPr="00156441">
        <w:rPr>
          <w:rFonts w:ascii="Times New Roman" w:eastAsia="Times New Roman" w:hAnsi="Times New Roman" w:cs="Times New Roman"/>
          <w:sz w:val="28"/>
          <w:szCs w:val="28"/>
          <w:lang w:eastAsia="ru-RU"/>
        </w:rPr>
        <w:t>(рис. 14</w:t>
      </w:r>
      <w:r w:rsidRPr="00156441">
        <w:rPr>
          <w:rFonts w:ascii="Times New Roman" w:eastAsia="Times New Roman" w:hAnsi="Times New Roman" w:cs="Times New Roman"/>
          <w:sz w:val="28"/>
          <w:szCs w:val="28"/>
          <w:lang w:eastAsia="ru-RU"/>
        </w:rPr>
        <w:t>).</w:t>
      </w:r>
    </w:p>
    <w:p w:rsidR="00354B4F" w:rsidRPr="00156441" w:rsidRDefault="00354B4F" w:rsidP="00354B4F">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Рівень нітратів у плазмі крові хворих на ХОЗЛ в поєднанні з ГХ виявився вірогідно підвищеним (р&lt;0,001) при порівнянні з хворими на ХОЗЛ у відсутності ГХ у середньому в 1,6 рази. У цьому випадку у 27 пацієнтів (49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основної групи значення вмісту нітратів плазми крові знаходились у діапазоні значень групи порівняння.</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Отже, виявлене підвищення у крові хворих на ХОЗЛ, особливо у випадку сполучення захворювання з ГХ, вмісту кінцевих стабільних метаболітів оксиду азоту опосередковано свідчить про інтенсифікацію його синтезу. За даними літератури [</w:t>
      </w:r>
      <w:r w:rsidR="00ED2F14" w:rsidRPr="00156441">
        <w:rPr>
          <w:rFonts w:ascii="Times New Roman" w:eastAsia="Times New Roman" w:hAnsi="Times New Roman" w:cs="Times New Roman"/>
          <w:sz w:val="28"/>
          <w:szCs w:val="28"/>
          <w:lang w:eastAsia="ru-RU"/>
        </w:rPr>
        <w:fldChar w:fldCharType="begin"/>
      </w:r>
      <w:r w:rsidR="00ED2F14" w:rsidRPr="00156441">
        <w:rPr>
          <w:rFonts w:ascii="Times New Roman" w:eastAsia="Times New Roman" w:hAnsi="Times New Roman" w:cs="Times New Roman"/>
          <w:sz w:val="28"/>
          <w:szCs w:val="28"/>
          <w:lang w:eastAsia="ru-RU"/>
        </w:rPr>
        <w:instrText xml:space="preserve"> REF _Ref502697674 \r \h </w:instrText>
      </w:r>
      <w:r w:rsidR="00F44EE4" w:rsidRPr="00156441">
        <w:rPr>
          <w:rFonts w:ascii="Times New Roman" w:eastAsia="Times New Roman" w:hAnsi="Times New Roman" w:cs="Times New Roman"/>
          <w:sz w:val="28"/>
          <w:szCs w:val="28"/>
          <w:lang w:eastAsia="ru-RU"/>
        </w:rPr>
        <w:instrText xml:space="preserve"> \* MERGEFORMAT </w:instrText>
      </w:r>
      <w:r w:rsidR="00ED2F14" w:rsidRPr="00156441">
        <w:rPr>
          <w:rFonts w:ascii="Times New Roman" w:eastAsia="Times New Roman" w:hAnsi="Times New Roman" w:cs="Times New Roman"/>
          <w:sz w:val="28"/>
          <w:szCs w:val="28"/>
          <w:lang w:eastAsia="ru-RU"/>
        </w:rPr>
      </w:r>
      <w:r w:rsidR="00ED2F14"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299</w:t>
      </w:r>
      <w:r w:rsidR="00ED2F14"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порушення ендотеліальної функції судин у більшій мірі відображає вміст нітритів крові, ніж нітратів, що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язано із залежністю рівня нітратів від харчових пристрастей.</w:t>
      </w:r>
    </w:p>
    <w:p w:rsidR="00354B4F" w:rsidRPr="00156441" w:rsidRDefault="003A4503" w:rsidP="002D26C1">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object w:dxaOrig="5267" w:dyaOrig="3971">
          <v:shape id="_x0000_i1038" type="#_x0000_t75" style="width:263.8pt;height:198.15pt;mso-position-vertical:absolute" o:ole="">
            <v:imagedata r:id="rId34" o:title=""/>
          </v:shape>
          <o:OLEObject Type="Embed" ProgID="STATISTICA.Graph" ShapeID="_x0000_i1038" DrawAspect="Content" ObjectID="_1579001532" r:id="rId35">
            <o:FieldCodes>\s</o:FieldCodes>
          </o:OLEObject>
        </w:object>
      </w:r>
    </w:p>
    <w:p w:rsidR="00354B4F" w:rsidRPr="00156441" w:rsidRDefault="002F3011"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Рис. 14</w:t>
      </w:r>
      <w:r w:rsidR="00354B4F" w:rsidRPr="00156441">
        <w:rPr>
          <w:rFonts w:ascii="Times New Roman" w:eastAsia="Times New Roman" w:hAnsi="Times New Roman" w:cs="Times New Roman"/>
          <w:sz w:val="28"/>
          <w:szCs w:val="28"/>
          <w:lang w:eastAsia="ru-RU"/>
        </w:rPr>
        <w:t>. Вміст нітратів</w:t>
      </w:r>
      <w:r w:rsidR="00354B4F" w:rsidRPr="00156441">
        <w:rPr>
          <w:rFonts w:ascii="Times New Roman" w:eastAsia="Times New Roman" w:hAnsi="Times New Roman" w:cs="Times New Roman"/>
          <w:bCs/>
          <w:sz w:val="28"/>
          <w:szCs w:val="28"/>
          <w:lang w:eastAsia="ru-RU"/>
        </w:rPr>
        <w:t xml:space="preserve"> </w:t>
      </w:r>
      <w:r w:rsidR="00354B4F" w:rsidRPr="00156441">
        <w:rPr>
          <w:rFonts w:ascii="Times New Roman" w:eastAsia="Times New Roman" w:hAnsi="Times New Roman" w:cs="Times New Roman"/>
          <w:sz w:val="28"/>
          <w:szCs w:val="28"/>
          <w:lang w:eastAsia="ru-RU"/>
        </w:rPr>
        <w:t>(</w:t>
      </w:r>
      <w:r w:rsidR="00354B4F" w:rsidRPr="00156441">
        <w:rPr>
          <w:rFonts w:ascii="Times New Roman" w:eastAsia="Times New Roman" w:hAnsi="Times New Roman" w:cs="Times New Roman"/>
          <w:bCs/>
          <w:sz w:val="28"/>
          <w:szCs w:val="28"/>
          <w:lang w:eastAsia="ru-RU"/>
        </w:rPr>
        <w:t>мкМ/л</w:t>
      </w:r>
      <w:r w:rsidR="00354B4F" w:rsidRPr="00156441">
        <w:rPr>
          <w:rFonts w:ascii="Times New Roman" w:eastAsia="Times New Roman" w:hAnsi="Times New Roman" w:cs="Times New Roman"/>
          <w:sz w:val="28"/>
          <w:szCs w:val="28"/>
          <w:lang w:eastAsia="ru-RU"/>
        </w:rPr>
        <w:t>) у</w:t>
      </w:r>
      <w:r w:rsidR="00354B4F" w:rsidRPr="00156441">
        <w:rPr>
          <w:rFonts w:ascii="Times New Roman" w:eastAsia="Times New Roman" w:hAnsi="Times New Roman" w:cs="Times New Roman"/>
          <w:bCs/>
          <w:sz w:val="28"/>
          <w:szCs w:val="28"/>
          <w:lang w:eastAsia="ru-RU"/>
        </w:rPr>
        <w:t xml:space="preserve"> плазмі крові</w:t>
      </w:r>
      <w:r w:rsidR="00354B4F" w:rsidRPr="00156441">
        <w:rPr>
          <w:rFonts w:ascii="Times New Roman" w:hAnsi="Times New Roman" w:cs="Times New Roman"/>
          <w:sz w:val="28"/>
          <w:szCs w:val="28"/>
        </w:rPr>
        <w:t xml:space="preserve"> </w:t>
      </w:r>
      <w:r w:rsidR="00354B4F" w:rsidRPr="00156441">
        <w:rPr>
          <w:rFonts w:ascii="Times New Roman" w:eastAsia="Times New Roman" w:hAnsi="Times New Roman" w:cs="Times New Roman"/>
          <w:bCs/>
          <w:sz w:val="28"/>
          <w:szCs w:val="28"/>
          <w:lang w:eastAsia="ru-RU"/>
        </w:rPr>
        <w:t>хворих з поєднаним перебігом ХОЗЛ і ГХ та</w:t>
      </w:r>
      <w:r w:rsidR="00354B4F" w:rsidRPr="00156441">
        <w:rPr>
          <w:rFonts w:ascii="Times New Roman" w:eastAsia="Times New Roman" w:hAnsi="Times New Roman" w:cs="Times New Roman"/>
          <w:sz w:val="28"/>
          <w:szCs w:val="28"/>
          <w:lang w:eastAsia="ru-RU"/>
        </w:rPr>
        <w:t xml:space="preserve"> хворих з ізольованим перебігом ХОЗЛ</w:t>
      </w:r>
      <w:r w:rsidR="009C6C87" w:rsidRPr="00156441">
        <w:rPr>
          <w:rFonts w:ascii="Times New Roman" w:eastAsia="Times New Roman" w:hAnsi="Times New Roman" w:cs="Times New Roman"/>
          <w:sz w:val="28"/>
          <w:szCs w:val="28"/>
          <w:lang w:eastAsia="ru-RU"/>
        </w:rPr>
        <w:t xml:space="preserve"> </w:t>
      </w:r>
      <w:r w:rsidR="00354B4F"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Час життя NO складає декілька секунд. Однак, він може стабілізуватись задля запасання та транспортування шляхом включення його до комплексів, що утворюють депо NO у ендотелії та гладкому м</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язі. Депо може зв</w:t>
      </w:r>
      <w:r w:rsidR="00FC48A2" w:rsidRPr="00156441">
        <w:rPr>
          <w:rFonts w:ascii="Times New Roman" w:eastAsia="Times New Roman" w:hAnsi="Times New Roman" w:cs="Times New Roman"/>
          <w:sz w:val="28"/>
          <w:szCs w:val="28"/>
          <w:lang w:eastAsia="ru-RU"/>
        </w:rPr>
        <w:t>’</w:t>
      </w:r>
      <w:r w:rsidR="000A53DE" w:rsidRPr="00156441">
        <w:rPr>
          <w:rFonts w:ascii="Times New Roman" w:eastAsia="Times New Roman" w:hAnsi="Times New Roman" w:cs="Times New Roman"/>
          <w:sz w:val="28"/>
          <w:szCs w:val="28"/>
          <w:lang w:eastAsia="ru-RU"/>
        </w:rPr>
        <w:t xml:space="preserve">язувати надмір </w:t>
      </w:r>
      <w:r w:rsidRPr="00156441">
        <w:rPr>
          <w:rFonts w:ascii="Times New Roman" w:eastAsia="Times New Roman" w:hAnsi="Times New Roman" w:cs="Times New Roman"/>
          <w:sz w:val="28"/>
          <w:szCs w:val="28"/>
          <w:lang w:eastAsia="ru-RU"/>
        </w:rPr>
        <w:t>NO</w:t>
      </w:r>
      <w:r w:rsidR="000A53DE"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 тим самим запобігаючи прояви токсичних ефектів його н</w:t>
      </w:r>
      <w:r w:rsidR="000A53DE" w:rsidRPr="00156441">
        <w:rPr>
          <w:rFonts w:ascii="Times New Roman" w:eastAsia="Times New Roman" w:hAnsi="Times New Roman" w:cs="Times New Roman"/>
          <w:sz w:val="28"/>
          <w:szCs w:val="28"/>
          <w:lang w:eastAsia="ru-RU"/>
        </w:rPr>
        <w:t xml:space="preserve">адлишку. З іншої сторони, депо </w:t>
      </w:r>
      <w:r w:rsidRPr="00156441">
        <w:rPr>
          <w:rFonts w:ascii="Times New Roman" w:eastAsia="Times New Roman" w:hAnsi="Times New Roman" w:cs="Times New Roman"/>
          <w:sz w:val="28"/>
          <w:szCs w:val="28"/>
          <w:lang w:eastAsia="ru-RU"/>
        </w:rPr>
        <w:t>оксиду азо</w:t>
      </w:r>
      <w:r w:rsidR="000A53DE" w:rsidRPr="00156441">
        <w:rPr>
          <w:rFonts w:ascii="Times New Roman" w:eastAsia="Times New Roman" w:hAnsi="Times New Roman" w:cs="Times New Roman"/>
          <w:sz w:val="28"/>
          <w:szCs w:val="28"/>
          <w:lang w:eastAsia="ru-RU"/>
        </w:rPr>
        <w:t>ту може виступати додатковим не</w:t>
      </w:r>
      <w:r w:rsidRPr="00156441">
        <w:rPr>
          <w:rFonts w:ascii="Times New Roman" w:eastAsia="Times New Roman" w:hAnsi="Times New Roman" w:cs="Times New Roman"/>
          <w:sz w:val="28"/>
          <w:szCs w:val="28"/>
          <w:lang w:eastAsia="ru-RU"/>
        </w:rPr>
        <w:t>ферментативним джерелом NO за умови його дефіциту. Депонування відбувається у стінках кровоносних судин й починається при підвищенні його концентрації в пл</w:t>
      </w:r>
      <w:r w:rsidR="000A53DE" w:rsidRPr="00156441">
        <w:rPr>
          <w:rFonts w:ascii="Times New Roman" w:eastAsia="Times New Roman" w:hAnsi="Times New Roman" w:cs="Times New Roman"/>
          <w:sz w:val="28"/>
          <w:szCs w:val="28"/>
          <w:lang w:eastAsia="ru-RU"/>
        </w:rPr>
        <w:t xml:space="preserve">азмі крові. </w:t>
      </w:r>
      <w:r w:rsidRPr="00156441">
        <w:rPr>
          <w:rFonts w:ascii="Times New Roman" w:eastAsia="Times New Roman" w:hAnsi="Times New Roman" w:cs="Times New Roman"/>
          <w:sz w:val="28"/>
          <w:szCs w:val="28"/>
          <w:lang w:eastAsia="ru-RU"/>
        </w:rPr>
        <w:t>Одним із шляхів метаболізму та депонування оксиду азоту є взаємодія с тіоловими групами з утворенням S-нітрозотіолів (S-НТ). При порівнянні</w:t>
      </w:r>
      <w:r w:rsidR="00E95D2B" w:rsidRPr="00156441">
        <w:rPr>
          <w:rFonts w:ascii="Times New Roman" w:eastAsia="Times New Roman" w:hAnsi="Times New Roman" w:cs="Times New Roman"/>
          <w:sz w:val="28"/>
          <w:szCs w:val="28"/>
          <w:lang w:eastAsia="ru-RU"/>
        </w:rPr>
        <w:t xml:space="preserve"> з контролем виявилось суттєве </w:t>
      </w:r>
      <w:r w:rsidRPr="00156441">
        <w:rPr>
          <w:rFonts w:ascii="Times New Roman" w:eastAsia="Times New Roman" w:hAnsi="Times New Roman" w:cs="Times New Roman"/>
          <w:sz w:val="28"/>
          <w:szCs w:val="28"/>
          <w:lang w:eastAsia="ru-RU"/>
        </w:rPr>
        <w:t xml:space="preserve">підвищення (р&lt;0,001) у плазмі крові хворих основної групи вмісту S-НТ (у середньому в 3,6 рази) (табл. </w:t>
      </w:r>
      <w:r w:rsidR="00A05646" w:rsidRPr="00156441">
        <w:rPr>
          <w:rFonts w:ascii="Times New Roman" w:eastAsia="Times New Roman" w:hAnsi="Times New Roman" w:cs="Times New Roman"/>
          <w:sz w:val="28"/>
          <w:szCs w:val="28"/>
          <w:lang w:eastAsia="ru-RU"/>
        </w:rPr>
        <w:t>3.4</w:t>
      </w:r>
      <w:r w:rsidRPr="00156441">
        <w:rPr>
          <w:rFonts w:ascii="Times New Roman" w:eastAsia="Times New Roman" w:hAnsi="Times New Roman" w:cs="Times New Roman"/>
          <w:sz w:val="28"/>
          <w:szCs w:val="28"/>
          <w:lang w:eastAsia="ru-RU"/>
        </w:rPr>
        <w:t xml:space="preserve">.1, рис. </w:t>
      </w:r>
      <w:r w:rsidR="002F3011" w:rsidRPr="00156441">
        <w:rPr>
          <w:rFonts w:ascii="Times New Roman" w:eastAsia="Times New Roman" w:hAnsi="Times New Roman" w:cs="Times New Roman"/>
          <w:sz w:val="28"/>
          <w:szCs w:val="28"/>
          <w:lang w:eastAsia="ru-RU"/>
        </w:rPr>
        <w:t>15</w:t>
      </w:r>
      <w:r w:rsidRPr="00156441">
        <w:rPr>
          <w:rFonts w:ascii="Times New Roman" w:eastAsia="Times New Roman" w:hAnsi="Times New Roman" w:cs="Times New Roman"/>
          <w:sz w:val="28"/>
          <w:szCs w:val="28"/>
          <w:lang w:eastAsia="ru-RU"/>
        </w:rPr>
        <w:t>). Лише у двох пацієнтів (4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цієї групи вміст S-НТ перетинався з діапазоном значень контролю.</w:t>
      </w:r>
    </w:p>
    <w:p w:rsidR="00354B4F" w:rsidRPr="00156441" w:rsidRDefault="00E95D2B" w:rsidP="00354B4F">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Рівень S-НТ у</w:t>
      </w:r>
      <w:r w:rsidR="00354B4F" w:rsidRPr="00156441">
        <w:rPr>
          <w:rFonts w:ascii="Times New Roman" w:eastAsia="Times New Roman" w:hAnsi="Times New Roman" w:cs="Times New Roman"/>
          <w:sz w:val="28"/>
          <w:szCs w:val="28"/>
          <w:lang w:eastAsia="ru-RU"/>
        </w:rPr>
        <w:t xml:space="preserve"> випадку поєднання ХОЗЛ з ГХ залишався збільшеним в середньому в 1,8 рази по відношенню до випадку ізольованого перебігу ХОЗЛ. Але у 13 пацієнтів (24</w:t>
      </w:r>
      <w:r w:rsidR="00C70355" w:rsidRPr="00156441">
        <w:rPr>
          <w:rFonts w:ascii="Times New Roman" w:eastAsia="Times New Roman" w:hAnsi="Times New Roman" w:cs="Times New Roman"/>
          <w:sz w:val="28"/>
          <w:szCs w:val="28"/>
          <w:lang w:eastAsia="ru-RU"/>
        </w:rPr>
        <w:t> %</w:t>
      </w:r>
      <w:r w:rsidR="00354B4F" w:rsidRPr="00156441">
        <w:rPr>
          <w:rFonts w:ascii="Times New Roman" w:eastAsia="Times New Roman" w:hAnsi="Times New Roman" w:cs="Times New Roman"/>
          <w:sz w:val="28"/>
          <w:szCs w:val="28"/>
          <w:lang w:eastAsia="ru-RU"/>
        </w:rPr>
        <w:t>) основної групи значення цього показника знаходились у межах діапазону пацієнтів групи порівняння.</w:t>
      </w:r>
    </w:p>
    <w:p w:rsidR="00354B4F" w:rsidRPr="00156441" w:rsidRDefault="00354B4F" w:rsidP="00354B4F">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A4503" w:rsidP="002D26C1">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object w:dxaOrig="5262" w:dyaOrig="3971">
          <v:shape id="_x0000_i1039" type="#_x0000_t75" style="width:263.8pt;height:198.15pt;mso-position-horizontal:absolute;mso-position-vertical:absolute" o:ole="">
            <v:imagedata r:id="rId36" o:title=""/>
          </v:shape>
          <o:OLEObject Type="Embed" ProgID="STATISTICA.Graph" ShapeID="_x0000_i1039" DrawAspect="Content" ObjectID="_1579001533" r:id="rId37">
            <o:FieldCodes>\s</o:FieldCodes>
          </o:OLEObject>
        </w:object>
      </w:r>
    </w:p>
    <w:p w:rsidR="00354B4F" w:rsidRPr="00156441" w:rsidRDefault="002F3011"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Рис. 15</w:t>
      </w:r>
      <w:r w:rsidR="00354B4F" w:rsidRPr="00156441">
        <w:rPr>
          <w:rFonts w:ascii="Times New Roman" w:eastAsia="Times New Roman" w:hAnsi="Times New Roman" w:cs="Times New Roman"/>
          <w:sz w:val="28"/>
          <w:szCs w:val="28"/>
          <w:lang w:eastAsia="ru-RU"/>
        </w:rPr>
        <w:t>. Вміст S-нітрозотіолів</w:t>
      </w:r>
      <w:r w:rsidR="00354B4F" w:rsidRPr="00156441">
        <w:rPr>
          <w:rFonts w:ascii="Times New Roman" w:eastAsia="Times New Roman" w:hAnsi="Times New Roman" w:cs="Times New Roman"/>
          <w:bCs/>
          <w:sz w:val="28"/>
          <w:szCs w:val="28"/>
          <w:lang w:eastAsia="ru-RU"/>
        </w:rPr>
        <w:t xml:space="preserve"> </w:t>
      </w:r>
      <w:r w:rsidR="00354B4F" w:rsidRPr="00156441">
        <w:rPr>
          <w:rFonts w:ascii="Times New Roman" w:eastAsia="Times New Roman" w:hAnsi="Times New Roman" w:cs="Times New Roman"/>
          <w:sz w:val="28"/>
          <w:szCs w:val="28"/>
          <w:lang w:eastAsia="ru-RU"/>
        </w:rPr>
        <w:t>(</w:t>
      </w:r>
      <w:r w:rsidR="00354B4F" w:rsidRPr="00156441">
        <w:rPr>
          <w:rFonts w:ascii="Times New Roman" w:eastAsia="Times New Roman" w:hAnsi="Times New Roman" w:cs="Times New Roman"/>
          <w:bCs/>
          <w:sz w:val="28"/>
          <w:szCs w:val="28"/>
          <w:lang w:eastAsia="ru-RU"/>
        </w:rPr>
        <w:t>мМ/л</w:t>
      </w:r>
      <w:r w:rsidR="00354B4F" w:rsidRPr="00156441">
        <w:rPr>
          <w:rFonts w:ascii="Times New Roman" w:eastAsia="Times New Roman" w:hAnsi="Times New Roman" w:cs="Times New Roman"/>
          <w:sz w:val="28"/>
          <w:szCs w:val="28"/>
          <w:lang w:eastAsia="ru-RU"/>
        </w:rPr>
        <w:t>) у</w:t>
      </w:r>
      <w:r w:rsidR="00354B4F" w:rsidRPr="00156441">
        <w:rPr>
          <w:rFonts w:ascii="Times New Roman" w:eastAsia="Times New Roman" w:hAnsi="Times New Roman" w:cs="Times New Roman"/>
          <w:bCs/>
          <w:sz w:val="28"/>
          <w:szCs w:val="28"/>
          <w:lang w:eastAsia="ru-RU"/>
        </w:rPr>
        <w:t xml:space="preserve"> плазмі крові</w:t>
      </w:r>
      <w:r w:rsidR="00354B4F" w:rsidRPr="00156441">
        <w:rPr>
          <w:rFonts w:ascii="Times New Roman" w:eastAsia="Times New Roman" w:hAnsi="Times New Roman" w:cs="Times New Roman"/>
          <w:sz w:val="28"/>
          <w:szCs w:val="28"/>
          <w:lang w:eastAsia="ru-RU"/>
        </w:rPr>
        <w:t xml:space="preserve"> хворих з поєднаним перебігом ХОЗЛ і ГХ</w:t>
      </w:r>
      <w:r w:rsidR="009C6C87" w:rsidRPr="00156441">
        <w:rPr>
          <w:rFonts w:ascii="Times New Roman" w:eastAsia="Times New Roman" w:hAnsi="Times New Roman" w:cs="Times New Roman"/>
          <w:sz w:val="28"/>
          <w:szCs w:val="28"/>
          <w:lang w:eastAsia="ru-RU"/>
        </w:rPr>
        <w:t xml:space="preserve"> </w:t>
      </w:r>
      <w:r w:rsidR="00354B4F" w:rsidRPr="00156441">
        <w:rPr>
          <w:rFonts w:ascii="Times New Roman" w:eastAsia="Times New Roman" w:hAnsi="Times New Roman" w:cs="Times New Roman"/>
          <w:sz w:val="28"/>
          <w:szCs w:val="28"/>
          <w:lang w:eastAsia="ru-RU"/>
        </w:rPr>
        <w:t xml:space="preserve">та хворих з ізольованим перебігом ХОЗЛ </w:t>
      </w:r>
      <w:r w:rsidR="00354B4F"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Підвищення концентрації S-НТ у крові обстежених хворих, особливо з поєднаним перебігом ХОЗЛ і ГХ, може бути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язано з активацією NO-синтази (NOS), особливо індуцибельної форми. Крім того, такі результати можуть опосередковано свідчити про появу активних метаболітів оксиду азоту (пероксинітриту, нітрозонію, нітроксилу), що мають свій вагомий внесок в розвиток </w:t>
      </w:r>
      <w:r w:rsidR="002F3011" w:rsidRPr="00156441">
        <w:rPr>
          <w:rFonts w:ascii="Times New Roman" w:eastAsia="Times New Roman" w:hAnsi="Times New Roman" w:cs="Times New Roman"/>
          <w:sz w:val="28"/>
          <w:szCs w:val="28"/>
          <w:lang w:eastAsia="ru-RU"/>
        </w:rPr>
        <w:t>шкідливої</w:t>
      </w:r>
      <w:r w:rsidRPr="00156441">
        <w:rPr>
          <w:rFonts w:ascii="Times New Roman" w:eastAsia="Times New Roman" w:hAnsi="Times New Roman" w:cs="Times New Roman"/>
          <w:sz w:val="28"/>
          <w:szCs w:val="28"/>
          <w:lang w:eastAsia="ru-RU"/>
        </w:rPr>
        <w:t xml:space="preserve"> дії на клітини судинного ендотелію.</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основній групі пацієнтів реєструвалось статистично значиме (р&lt;0,001) по відношенню до контролю підвищення активності ендотеліальної та індуцибельної ізоформ</w:t>
      </w:r>
      <w:r w:rsidR="003A4503">
        <w:rPr>
          <w:rFonts w:ascii="Times New Roman" w:eastAsia="Times New Roman" w:hAnsi="Times New Roman" w:cs="Times New Roman"/>
          <w:sz w:val="28"/>
          <w:szCs w:val="28"/>
          <w:lang w:eastAsia="ru-RU"/>
        </w:rPr>
        <w:t>и</w:t>
      </w:r>
      <w:r w:rsidRPr="00156441">
        <w:rPr>
          <w:rFonts w:ascii="Times New Roman" w:eastAsia="Times New Roman" w:hAnsi="Times New Roman" w:cs="Times New Roman"/>
          <w:sz w:val="28"/>
          <w:szCs w:val="28"/>
          <w:lang w:eastAsia="ru-RU"/>
        </w:rPr>
        <w:t xml:space="preserve"> NO-синтази (еNOS, iNOS) у середньому в 2,1 та 3,4 рази відповідно (табл. </w:t>
      </w:r>
      <w:r w:rsidR="00A05646" w:rsidRPr="00156441">
        <w:rPr>
          <w:rFonts w:ascii="Times New Roman" w:eastAsia="Times New Roman" w:hAnsi="Times New Roman" w:cs="Times New Roman"/>
          <w:sz w:val="28"/>
          <w:szCs w:val="28"/>
          <w:lang w:eastAsia="ru-RU"/>
        </w:rPr>
        <w:t>3.4</w:t>
      </w:r>
      <w:r w:rsidRPr="00156441">
        <w:rPr>
          <w:rFonts w:ascii="Times New Roman" w:eastAsia="Times New Roman" w:hAnsi="Times New Roman" w:cs="Times New Roman"/>
          <w:sz w:val="28"/>
          <w:szCs w:val="28"/>
          <w:lang w:eastAsia="ru-RU"/>
        </w:rPr>
        <w:t>.2). Підвищення активності eNOS у групі порівняння визначалось по відношенню до контролю невірогідним (р=0,059), тоді як зростання активності iNOS</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вірогідним</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(р&lt;0,001) в середньому в 2,0 рази. Значення активності eNOS</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не входили у діапазон значень контрольної вибірки у 21 хворого (47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 ізольованим перебігом ХОЗЛ, а активності iNOS</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лише у 12 хворих (27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(рис. </w:t>
      </w:r>
      <w:r w:rsidR="002F3011" w:rsidRPr="00156441">
        <w:rPr>
          <w:rFonts w:ascii="Times New Roman" w:eastAsia="Times New Roman" w:hAnsi="Times New Roman" w:cs="Times New Roman"/>
          <w:sz w:val="28"/>
          <w:szCs w:val="28"/>
          <w:lang w:eastAsia="ru-RU"/>
        </w:rPr>
        <w:t>16,17</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Активність eNOS та іNOS у плазмі крові хворих на ХОЗЛ в поєднанні з ГХ</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була вірогідно підвищеною (р&lt;0,001) при порівнянні з хворими на ХОЗЛ у відсутності ГХ у середньому в 1,4 та 1,7 рази відповідно.</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lastRenderedPageBreak/>
        <w:t>Таким чином, ферменти синтезу NO слід розглядати як складний ферментний комплекс, що синтезує різні високоактивні сполуки в залежності від різного функціонального стану клітини, забезпеченості її коферментами, незамінними амінокислотами, антиоксидантами. У зв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язку з цим вивчення цих ферментів представляє особливий інтерес при вивченні поєднаної патології, які викликають оксидативний стрес, гіпоксію, адаптаційні перебудови метаболізму.</w:t>
      </w:r>
    </w:p>
    <w:p w:rsidR="00354B4F" w:rsidRPr="00156441" w:rsidRDefault="00354B4F" w:rsidP="00354B4F">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Таблиця </w:t>
      </w:r>
      <w:r w:rsidR="00A05646" w:rsidRPr="00156441">
        <w:rPr>
          <w:rFonts w:ascii="Times New Roman" w:eastAsia="Times New Roman" w:hAnsi="Times New Roman" w:cs="Times New Roman"/>
          <w:sz w:val="28"/>
          <w:szCs w:val="28"/>
          <w:lang w:eastAsia="ru-RU"/>
        </w:rPr>
        <w:t>3.4</w:t>
      </w:r>
      <w:r w:rsidRPr="00156441">
        <w:rPr>
          <w:rFonts w:ascii="Times New Roman" w:eastAsia="Times New Roman" w:hAnsi="Times New Roman" w:cs="Times New Roman"/>
          <w:sz w:val="28"/>
          <w:szCs w:val="28"/>
          <w:lang w:eastAsia="ru-RU"/>
        </w:rPr>
        <w:t>.1</w:t>
      </w:r>
    </w:p>
    <w:p w:rsidR="00354B4F" w:rsidRPr="00156441" w:rsidRDefault="00354B4F" w:rsidP="00354B4F">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Активність ферментів синтезу оксиду азоту в плазмі крові хворих</w:t>
      </w:r>
    </w:p>
    <w:p w:rsidR="00354B4F" w:rsidRPr="00156441" w:rsidRDefault="00354B4F" w:rsidP="00354B4F">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340"/>
        <w:gridCol w:w="2520"/>
        <w:gridCol w:w="2790"/>
      </w:tblGrid>
      <w:tr w:rsidR="00156441" w:rsidRPr="00156441" w:rsidTr="002D26C1">
        <w:trPr>
          <w:trHeight w:val="93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354B4F" w:rsidRPr="00156441" w:rsidRDefault="00354B4F" w:rsidP="0018410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r w:rsidR="00184106">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eastAsia="ru-RU"/>
              </w:rPr>
              <w:t>n=55</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184106">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r w:rsidR="00184106">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eastAsia="ru-RU"/>
              </w:rPr>
              <w:t>n=45</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Контроль</w:t>
            </w:r>
          </w:p>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2D26C1">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еNOS,</w:t>
            </w:r>
          </w:p>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пМ/хв·мг білка</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1,31 [1,24;1,37]</w:t>
            </w:r>
          </w:p>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0,89 [0,82; 1,07]</w:t>
            </w:r>
          </w:p>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p=0,059</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0,62 [0,50; 0,74]</w:t>
            </w:r>
          </w:p>
        </w:tc>
      </w:tr>
      <w:tr w:rsidR="00156441" w:rsidRPr="00156441" w:rsidTr="002D26C1">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iNOS,</w:t>
            </w:r>
          </w:p>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пМ/хв·мг білка</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1,2 [1,05;1,29]</w:t>
            </w:r>
          </w:p>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 **</w:t>
            </w:r>
            <w:r w:rsidRPr="00156441">
              <w:rPr>
                <w:rFonts w:ascii="Times New Roman" w:eastAsia="Times New Roman" w:hAnsi="Times New Roman" w:cs="Times New Roman"/>
                <w:sz w:val="28"/>
                <w:szCs w:val="28"/>
                <w:lang w:eastAsia="ru-RU"/>
              </w:rPr>
              <w:t>p&lt;0,001</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0,63 [0,57; 0,80]</w:t>
            </w:r>
          </w:p>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rsidR="00354B4F" w:rsidRPr="00156441" w:rsidRDefault="00354B4F"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0,33 [0,22; 0,47]</w:t>
            </w:r>
          </w:p>
        </w:tc>
      </w:tr>
    </w:tbl>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 xml:space="preserve">рівень значущості по відношенню до контролю;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354B4F" w:rsidRPr="00156441" w:rsidRDefault="00354B4F" w:rsidP="00354B4F">
      <w:pPr>
        <w:shd w:val="clear" w:color="auto" w:fill="FFFFFF"/>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A4503" w:rsidP="002D26C1">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67" w:dyaOrig="3967">
          <v:shape id="_x0000_i1040" type="#_x0000_t75" style="width:263.8pt;height:197.55pt" o:ole="">
            <v:imagedata r:id="rId38" o:title=""/>
          </v:shape>
          <o:OLEObject Type="Embed" ProgID="STATISTICA.Graph" ShapeID="_x0000_i1040" DrawAspect="Content" ObjectID="_1579001534" r:id="rId39">
            <o:FieldCodes>\s</o:FieldCodes>
          </o:OLEObject>
        </w:objec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2F3011" w:rsidRPr="00156441">
        <w:rPr>
          <w:rFonts w:ascii="Times New Roman" w:eastAsia="Times New Roman" w:hAnsi="Times New Roman" w:cs="Times New Roman"/>
          <w:sz w:val="28"/>
          <w:szCs w:val="28"/>
          <w:lang w:eastAsia="ru-RU"/>
        </w:rPr>
        <w:t>16.</w:t>
      </w:r>
      <w:r w:rsidRPr="00156441">
        <w:rPr>
          <w:rFonts w:ascii="Times New Roman" w:eastAsia="Times New Roman" w:hAnsi="Times New Roman" w:cs="Times New Roman"/>
          <w:sz w:val="28"/>
          <w:szCs w:val="28"/>
          <w:lang w:eastAsia="ru-RU"/>
        </w:rPr>
        <w:t xml:space="preserve"> Активність eNOS</w:t>
      </w:r>
      <w:r w:rsidRPr="00156441">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sz w:val="28"/>
          <w:szCs w:val="28"/>
          <w:lang w:eastAsia="ru-RU"/>
        </w:rPr>
        <w:t>(пМ/хв·мг білка) у</w:t>
      </w:r>
      <w:r w:rsidRPr="00156441">
        <w:rPr>
          <w:rFonts w:ascii="Times New Roman" w:eastAsia="Times New Roman" w:hAnsi="Times New Roman" w:cs="Times New Roman"/>
          <w:bCs/>
          <w:sz w:val="28"/>
          <w:szCs w:val="28"/>
          <w:lang w:eastAsia="ru-RU"/>
        </w:rPr>
        <w:t xml:space="preserve"> плазмі крові</w:t>
      </w:r>
      <w:r w:rsidR="009C6C87" w:rsidRPr="00156441">
        <w:rPr>
          <w:rFonts w:ascii="Times New Roman" w:hAnsi="Times New Roman" w:cs="Times New Roman"/>
          <w:sz w:val="28"/>
          <w:szCs w:val="28"/>
        </w:rPr>
        <w:t xml:space="preserve"> </w:t>
      </w:r>
      <w:r w:rsidRPr="00156441">
        <w:rPr>
          <w:rFonts w:ascii="Times New Roman" w:eastAsia="Times New Roman" w:hAnsi="Times New Roman" w:cs="Times New Roman"/>
          <w:bCs/>
          <w:sz w:val="28"/>
          <w:szCs w:val="28"/>
          <w:lang w:eastAsia="ru-RU"/>
        </w:rPr>
        <w:t>хворих з поєднаним перебігом ХОЗЛ і ГХ</w:t>
      </w:r>
      <w:r w:rsidRPr="00156441">
        <w:rPr>
          <w:rFonts w:ascii="Times New Roman" w:eastAsia="Times New Roman" w:hAnsi="Times New Roman" w:cs="Times New Roman"/>
          <w:sz w:val="28"/>
          <w:szCs w:val="28"/>
          <w:lang w:eastAsia="ru-RU"/>
        </w:rPr>
        <w:t xml:space="preserve"> та хворих з ізольованим перебігом ХОЗЛ </w:t>
      </w:r>
      <w:r w:rsidRPr="00156441">
        <w:rPr>
          <w:rFonts w:ascii="Times New Roman" w:eastAsia="Times New Roman" w:hAnsi="Times New Roman" w:cs="Times New Roman"/>
          <w:bCs/>
          <w:sz w:val="28"/>
          <w:szCs w:val="28"/>
          <w:lang w:eastAsia="ru-RU"/>
        </w:rPr>
        <w:t>по відношенню до контролю</w:t>
      </w:r>
    </w:p>
    <w:p w:rsidR="00354B4F" w:rsidRPr="00156441" w:rsidRDefault="003A4503"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55" w:dyaOrig="3967">
          <v:shape id="_x0000_i1041" type="#_x0000_t75" style="width:263.25pt;height:197.55pt" o:ole="">
            <v:imagedata r:id="rId40" o:title=""/>
          </v:shape>
          <o:OLEObject Type="Embed" ProgID="STATISTICA.Graph" ShapeID="_x0000_i1041" DrawAspect="Content" ObjectID="_1579001535" r:id="rId41">
            <o:FieldCodes>\s</o:FieldCodes>
          </o:OLEObject>
        </w:object>
      </w:r>
    </w:p>
    <w:p w:rsidR="00354B4F"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2F3011" w:rsidRPr="00156441">
        <w:rPr>
          <w:rFonts w:ascii="Times New Roman" w:eastAsia="Times New Roman" w:hAnsi="Times New Roman" w:cs="Times New Roman"/>
          <w:sz w:val="28"/>
          <w:szCs w:val="28"/>
          <w:lang w:eastAsia="ru-RU"/>
        </w:rPr>
        <w:t xml:space="preserve">17. </w:t>
      </w:r>
      <w:r w:rsidRPr="00156441">
        <w:rPr>
          <w:rFonts w:ascii="Times New Roman" w:eastAsia="Times New Roman" w:hAnsi="Times New Roman" w:cs="Times New Roman"/>
          <w:sz w:val="28"/>
          <w:szCs w:val="28"/>
          <w:lang w:eastAsia="ru-RU"/>
        </w:rPr>
        <w:t>Активність іNOS</w:t>
      </w:r>
      <w:r w:rsidRPr="00156441">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sz w:val="28"/>
          <w:szCs w:val="28"/>
          <w:lang w:eastAsia="ru-RU"/>
        </w:rPr>
        <w:t>(пМ/хв·мг білка) у</w:t>
      </w:r>
      <w:r w:rsidRPr="00156441">
        <w:rPr>
          <w:rFonts w:ascii="Times New Roman" w:eastAsia="Times New Roman" w:hAnsi="Times New Roman" w:cs="Times New Roman"/>
          <w:bCs/>
          <w:sz w:val="28"/>
          <w:szCs w:val="28"/>
          <w:lang w:eastAsia="ru-RU"/>
        </w:rPr>
        <w:t xml:space="preserve"> плазмі крові</w:t>
      </w:r>
      <w:r w:rsidRPr="00156441">
        <w:rPr>
          <w:rFonts w:ascii="Times New Roman" w:eastAsia="Times New Roman" w:hAnsi="Times New Roman" w:cs="Times New Roman"/>
          <w:sz w:val="28"/>
          <w:szCs w:val="28"/>
          <w:lang w:eastAsia="ru-RU"/>
        </w:rPr>
        <w:t xml:space="preserve"> у плазмі крові</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хворих з поєднаним перебігом ХОЗЛ і ГХ та хворих з ізольованим перебігом ХОЗЛ по відношенню до контролю</w:t>
      </w:r>
    </w:p>
    <w:p w:rsidR="00333B2D" w:rsidRPr="00156441" w:rsidRDefault="00333B2D" w:rsidP="00354B4F">
      <w:pPr>
        <w:spacing w:after="0" w:line="360" w:lineRule="auto"/>
        <w:ind w:firstLine="720"/>
        <w:contextualSpacing/>
        <w:jc w:val="both"/>
        <w:rPr>
          <w:rFonts w:ascii="Times New Roman" w:eastAsia="Times New Roman" w:hAnsi="Times New Roman" w:cs="Times New Roman"/>
          <w:sz w:val="28"/>
          <w:szCs w:val="28"/>
          <w:lang w:eastAsia="ru-RU"/>
        </w:rPr>
      </w:pP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Для виявлення можливих зв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язків між активністю оксиду азоту та процесами обструкції дихальних шляхів було проведено кореляційний аналіз показників функції зовнішнього дихання та концентрацією NO. Найбільш тісний кореляційний зв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язок було виявлено між NO</w:t>
      </w:r>
      <w:r w:rsidRPr="00156441">
        <w:rPr>
          <w:rFonts w:ascii="Times New Roman" w:eastAsia="Times New Roman" w:hAnsi="Times New Roman" w:cs="Times New Roman"/>
          <w:sz w:val="28"/>
          <w:szCs w:val="28"/>
          <w:vertAlign w:val="subscript"/>
          <w:lang w:eastAsia="ru-RU"/>
        </w:rPr>
        <w:t>2</w:t>
      </w:r>
      <w:r w:rsidRPr="00156441">
        <w:rPr>
          <w:rFonts w:ascii="Times New Roman" w:eastAsia="Times New Roman" w:hAnsi="Times New Roman" w:cs="Times New Roman"/>
          <w:sz w:val="28"/>
          <w:szCs w:val="28"/>
          <w:lang w:eastAsia="ru-RU"/>
        </w:rPr>
        <w:t xml:space="preserve"> + NO</w:t>
      </w:r>
      <w:r w:rsidRPr="00156441">
        <w:rPr>
          <w:rFonts w:ascii="Times New Roman" w:eastAsia="Times New Roman" w:hAnsi="Times New Roman" w:cs="Times New Roman"/>
          <w:sz w:val="28"/>
          <w:szCs w:val="28"/>
          <w:vertAlign w:val="subscript"/>
          <w:lang w:eastAsia="ru-RU"/>
        </w:rPr>
        <w:t>3</w:t>
      </w:r>
      <w:r w:rsidRPr="00156441">
        <w:rPr>
          <w:rFonts w:ascii="Times New Roman" w:eastAsia="Times New Roman" w:hAnsi="Times New Roman" w:cs="Times New Roman"/>
          <w:sz w:val="28"/>
          <w:szCs w:val="28"/>
          <w:lang w:eastAsia="ru-RU"/>
        </w:rPr>
        <w:t xml:space="preserve"> та ЖЄЛ (r</w:t>
      </w:r>
      <w:r w:rsidR="004E702C"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-0,28 р</w:t>
      </w:r>
      <w:r w:rsidR="009C6C87" w:rsidRPr="00156441">
        <w:rPr>
          <w:rFonts w:ascii="Times New Roman" w:eastAsia="Times New Roman" w:hAnsi="Times New Roman" w:cs="Times New Roman"/>
          <w:sz w:val="28"/>
          <w:szCs w:val="28"/>
          <w:lang w:eastAsia="ru-RU"/>
        </w:rPr>
        <w:t>&lt;</w:t>
      </w:r>
      <w:r w:rsidRPr="00156441">
        <w:rPr>
          <w:rFonts w:ascii="Times New Roman" w:eastAsia="Times New Roman" w:hAnsi="Times New Roman" w:cs="Times New Roman"/>
          <w:sz w:val="28"/>
          <w:szCs w:val="28"/>
          <w:lang w:eastAsia="ru-RU"/>
        </w:rPr>
        <w:t>0,05), ОФВ</w:t>
      </w:r>
      <w:r w:rsidRPr="00156441">
        <w:rPr>
          <w:rFonts w:ascii="Times New Roman" w:eastAsia="Times New Roman" w:hAnsi="Times New Roman" w:cs="Times New Roman"/>
          <w:sz w:val="28"/>
          <w:szCs w:val="28"/>
          <w:vertAlign w:val="subscript"/>
          <w:lang w:eastAsia="ru-RU"/>
        </w:rPr>
        <w:t>1</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(r</w:t>
      </w:r>
      <w:r w:rsidR="004E702C"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-0,28; р</w:t>
      </w:r>
      <w:r w:rsidR="009C6C87" w:rsidRPr="00156441">
        <w:rPr>
          <w:rFonts w:ascii="Times New Roman" w:eastAsia="Times New Roman" w:hAnsi="Times New Roman" w:cs="Times New Roman"/>
          <w:sz w:val="28"/>
          <w:szCs w:val="28"/>
          <w:lang w:eastAsia="ru-RU"/>
        </w:rPr>
        <w:t>&lt;</w:t>
      </w:r>
      <w:r w:rsidRPr="00156441">
        <w:rPr>
          <w:rFonts w:ascii="Times New Roman" w:eastAsia="Times New Roman" w:hAnsi="Times New Roman" w:cs="Times New Roman"/>
          <w:sz w:val="28"/>
          <w:szCs w:val="28"/>
          <w:lang w:eastAsia="ru-RU"/>
        </w:rPr>
        <w:t>0,05) та МОШ</w:t>
      </w:r>
      <w:r w:rsidRPr="00156441">
        <w:rPr>
          <w:rFonts w:ascii="Times New Roman" w:eastAsia="Times New Roman" w:hAnsi="Times New Roman" w:cs="Times New Roman"/>
          <w:sz w:val="28"/>
          <w:szCs w:val="28"/>
          <w:vertAlign w:val="subscript"/>
          <w:lang w:eastAsia="ru-RU"/>
        </w:rPr>
        <w:t>50</w:t>
      </w:r>
      <w:r w:rsidRPr="00156441">
        <w:rPr>
          <w:rFonts w:ascii="Times New Roman" w:eastAsia="Times New Roman" w:hAnsi="Times New Roman" w:cs="Times New Roman"/>
          <w:sz w:val="28"/>
          <w:szCs w:val="28"/>
          <w:lang w:eastAsia="ru-RU"/>
        </w:rPr>
        <w:t xml:space="preserve"> (r</w:t>
      </w:r>
      <w:r w:rsidR="004E702C"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-0,27; р</w:t>
      </w:r>
      <w:r w:rsidR="009C6C87" w:rsidRPr="00156441">
        <w:rPr>
          <w:rFonts w:ascii="Times New Roman" w:eastAsia="Times New Roman" w:hAnsi="Times New Roman" w:cs="Times New Roman"/>
          <w:sz w:val="28"/>
          <w:szCs w:val="28"/>
          <w:lang w:eastAsia="ru-RU"/>
        </w:rPr>
        <w:t>&lt;</w:t>
      </w:r>
      <w:r w:rsidRPr="00156441">
        <w:rPr>
          <w:rFonts w:ascii="Times New Roman" w:eastAsia="Times New Roman" w:hAnsi="Times New Roman" w:cs="Times New Roman"/>
          <w:sz w:val="28"/>
          <w:szCs w:val="28"/>
          <w:lang w:eastAsia="ru-RU"/>
        </w:rPr>
        <w:t>0,05). Сироватковий рівень iNOS показав достовірні зворотні зв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язки слабкої і середньої сили з ОФВ</w:t>
      </w:r>
      <w:r w:rsidRPr="00156441">
        <w:rPr>
          <w:rFonts w:ascii="Times New Roman" w:eastAsia="Times New Roman" w:hAnsi="Times New Roman" w:cs="Times New Roman"/>
          <w:sz w:val="28"/>
          <w:szCs w:val="28"/>
          <w:vertAlign w:val="subscript"/>
          <w:lang w:eastAsia="ru-RU"/>
        </w:rPr>
        <w:t>1</w:t>
      </w:r>
      <w:r w:rsidRPr="00156441">
        <w:rPr>
          <w:rFonts w:ascii="Times New Roman" w:eastAsia="Times New Roman" w:hAnsi="Times New Roman" w:cs="Times New Roman"/>
          <w:sz w:val="28"/>
          <w:szCs w:val="28"/>
          <w:lang w:eastAsia="ru-RU"/>
        </w:rPr>
        <w:t xml:space="preserve"> (r</w:t>
      </w:r>
      <w:r w:rsidR="004E702C"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-0,21) ОФВ</w:t>
      </w:r>
      <w:r w:rsidRPr="00156441">
        <w:rPr>
          <w:rFonts w:ascii="Times New Roman" w:eastAsia="Times New Roman" w:hAnsi="Times New Roman" w:cs="Times New Roman"/>
          <w:sz w:val="28"/>
          <w:szCs w:val="28"/>
          <w:vertAlign w:val="subscript"/>
          <w:lang w:eastAsia="ru-RU"/>
        </w:rPr>
        <w:t>1</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ФЖЄЛ (r</w:t>
      </w:r>
      <w:r w:rsidR="004E702C"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-0,22),</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МОШ</w:t>
      </w:r>
      <w:r w:rsidRPr="00156441">
        <w:rPr>
          <w:rFonts w:ascii="Times New Roman" w:eastAsia="Times New Roman" w:hAnsi="Times New Roman" w:cs="Times New Roman"/>
          <w:sz w:val="28"/>
          <w:szCs w:val="28"/>
          <w:vertAlign w:val="subscript"/>
          <w:lang w:eastAsia="ru-RU"/>
        </w:rPr>
        <w:t>50</w:t>
      </w:r>
      <w:r w:rsidRPr="00156441">
        <w:rPr>
          <w:rFonts w:ascii="Times New Roman" w:eastAsia="Times New Roman" w:hAnsi="Times New Roman" w:cs="Times New Roman"/>
          <w:sz w:val="28"/>
          <w:szCs w:val="28"/>
          <w:lang w:eastAsia="ru-RU"/>
        </w:rPr>
        <w:t xml:space="preserve"> (r</w:t>
      </w:r>
      <w:r w:rsidR="004E702C"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-0,23) (р</w:t>
      </w:r>
      <w:r w:rsidR="009C6C87" w:rsidRPr="00156441">
        <w:rPr>
          <w:rFonts w:ascii="Times New Roman" w:eastAsia="Times New Roman" w:hAnsi="Times New Roman" w:cs="Times New Roman"/>
          <w:sz w:val="28"/>
          <w:szCs w:val="28"/>
          <w:lang w:eastAsia="ru-RU"/>
        </w:rPr>
        <w:t>&lt;</w:t>
      </w:r>
      <w:r w:rsidRPr="00156441">
        <w:rPr>
          <w:rFonts w:ascii="Times New Roman" w:eastAsia="Times New Roman" w:hAnsi="Times New Roman" w:cs="Times New Roman"/>
          <w:sz w:val="28"/>
          <w:szCs w:val="28"/>
          <w:lang w:eastAsia="ru-RU"/>
        </w:rPr>
        <w:t>0,05). Таким чином, погіршення вентиляційної функції легень та системне запалення при ХОЗЛ та за наявності супутньої ГХ є потужним стимулом для синтезу оксиду азоту. Динаміка активності синтезу NO може бути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язана з особливістю формування запального процесу при ХОЗЛ та гіпоксичному стресі, що розвивається в результаті обструкції та гіпоксії. Таким чином, цей стан можна розглядати як ЕД, що призводить до зниження здатності судинної стінки адекватно реагувати на зміну вентиляційної функції легень.</w:t>
      </w:r>
    </w:p>
    <w:p w:rsidR="00354B4F" w:rsidRPr="00156441" w:rsidRDefault="00354B4F" w:rsidP="00354B4F">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Отже, у пацієнтів з ХОЗЛ, особливо при сполученні з ГХ, виявлено суттєве підвищення активності, перш за все, іNOS</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джерела утворення оксиду азоту з деструктивним потенціалом і фактор</w:t>
      </w:r>
      <w:r w:rsidR="002D26C1">
        <w:rPr>
          <w:rFonts w:ascii="Times New Roman" w:eastAsia="Times New Roman" w:hAnsi="Times New Roman" w:cs="Times New Roman"/>
          <w:sz w:val="28"/>
          <w:szCs w:val="28"/>
          <w:lang w:eastAsia="ru-RU"/>
        </w:rPr>
        <w:t>у</w:t>
      </w:r>
      <w:r w:rsidRPr="00156441">
        <w:rPr>
          <w:rFonts w:ascii="Times New Roman" w:eastAsia="Times New Roman" w:hAnsi="Times New Roman" w:cs="Times New Roman"/>
          <w:sz w:val="28"/>
          <w:szCs w:val="28"/>
          <w:lang w:eastAsia="ru-RU"/>
        </w:rPr>
        <w:t xml:space="preserve"> прогресування запальних реакцій [</w:t>
      </w:r>
      <w:r w:rsidR="00AC5021" w:rsidRPr="00156441">
        <w:rPr>
          <w:rFonts w:ascii="Times New Roman" w:eastAsia="Times New Roman" w:hAnsi="Times New Roman" w:cs="Times New Roman"/>
          <w:sz w:val="28"/>
          <w:szCs w:val="28"/>
          <w:lang w:eastAsia="ru-RU"/>
        </w:rPr>
        <w:fldChar w:fldCharType="begin"/>
      </w:r>
      <w:r w:rsidR="00AC5021" w:rsidRPr="00156441">
        <w:rPr>
          <w:rFonts w:ascii="Times New Roman" w:eastAsia="Times New Roman" w:hAnsi="Times New Roman" w:cs="Times New Roman"/>
          <w:sz w:val="28"/>
          <w:szCs w:val="28"/>
          <w:lang w:eastAsia="ru-RU"/>
        </w:rPr>
        <w:instrText xml:space="preserve"> REF _Ref502738179 \r \h </w:instrText>
      </w:r>
      <w:r w:rsidR="00F44EE4" w:rsidRPr="00156441">
        <w:rPr>
          <w:rFonts w:ascii="Times New Roman" w:eastAsia="Times New Roman" w:hAnsi="Times New Roman" w:cs="Times New Roman"/>
          <w:sz w:val="28"/>
          <w:szCs w:val="28"/>
          <w:lang w:eastAsia="ru-RU"/>
        </w:rPr>
        <w:instrText xml:space="preserve"> \* MERGEFORMAT </w:instrText>
      </w:r>
      <w:r w:rsidR="00AC5021" w:rsidRPr="00156441">
        <w:rPr>
          <w:rFonts w:ascii="Times New Roman" w:eastAsia="Times New Roman" w:hAnsi="Times New Roman" w:cs="Times New Roman"/>
          <w:sz w:val="28"/>
          <w:szCs w:val="28"/>
          <w:lang w:eastAsia="ru-RU"/>
        </w:rPr>
      </w:r>
      <w:r w:rsidR="00AC5021"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300</w:t>
      </w:r>
      <w:r w:rsidR="00AC5021"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У патогенезі легеневих захворювань важливе місце відводиться активації </w:t>
      </w:r>
      <w:r w:rsidRPr="00156441">
        <w:rPr>
          <w:rFonts w:ascii="Times New Roman" w:eastAsia="Times New Roman" w:hAnsi="Times New Roman" w:cs="Times New Roman"/>
          <w:sz w:val="28"/>
          <w:szCs w:val="28"/>
          <w:lang w:eastAsia="ru-RU"/>
        </w:rPr>
        <w:lastRenderedPageBreak/>
        <w:t>вільнорадикальних процесів. Виявлене підвищення стабільних метаболітів</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оксиду азоту у крові хворих з ізольованим перебігом ХОЗЛ і особливо при сполученні з ГХ можна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язати з експресією іNOS у відповідь на вплив активних форм кисню. Підвищення синтезу оксиду азоту внаслідок підвищення активності іNOS може чинити опосередкований констрикторний вплив через активацію судинної проникності та викликати запальний набряк в результаті підвищення активних форм кисню та прозапальних медіаторів. Крім того, активація системи оксиду азоту може зумовлювати констрикцію воздухоносних шляхів [</w:t>
      </w:r>
      <w:r w:rsidR="00AC5021" w:rsidRPr="00156441">
        <w:rPr>
          <w:rFonts w:ascii="Times New Roman" w:eastAsia="Times New Roman" w:hAnsi="Times New Roman" w:cs="Times New Roman"/>
          <w:sz w:val="28"/>
          <w:szCs w:val="28"/>
          <w:lang w:eastAsia="ru-RU"/>
        </w:rPr>
        <w:fldChar w:fldCharType="begin"/>
      </w:r>
      <w:r w:rsidR="00AC5021" w:rsidRPr="00156441">
        <w:rPr>
          <w:rFonts w:ascii="Times New Roman" w:eastAsia="Times New Roman" w:hAnsi="Times New Roman" w:cs="Times New Roman"/>
          <w:sz w:val="28"/>
          <w:szCs w:val="28"/>
          <w:lang w:eastAsia="ru-RU"/>
        </w:rPr>
        <w:instrText xml:space="preserve"> REF _Ref502738205 \r \h </w:instrText>
      </w:r>
      <w:r w:rsidR="00F44EE4" w:rsidRPr="00156441">
        <w:rPr>
          <w:rFonts w:ascii="Times New Roman" w:eastAsia="Times New Roman" w:hAnsi="Times New Roman" w:cs="Times New Roman"/>
          <w:sz w:val="28"/>
          <w:szCs w:val="28"/>
          <w:lang w:eastAsia="ru-RU"/>
        </w:rPr>
        <w:instrText xml:space="preserve"> \* MERGEFORMAT </w:instrText>
      </w:r>
      <w:r w:rsidR="00AC5021" w:rsidRPr="00156441">
        <w:rPr>
          <w:rFonts w:ascii="Times New Roman" w:eastAsia="Times New Roman" w:hAnsi="Times New Roman" w:cs="Times New Roman"/>
          <w:sz w:val="28"/>
          <w:szCs w:val="28"/>
          <w:lang w:eastAsia="ru-RU"/>
        </w:rPr>
      </w:r>
      <w:r w:rsidR="00AC5021"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301</w:t>
      </w:r>
      <w:r w:rsidR="00AC5021"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354B4F" w:rsidRPr="00156441" w:rsidRDefault="00354B4F" w:rsidP="00D162F4">
      <w:pPr>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p>
    <w:p w:rsidR="00732200" w:rsidRPr="00156441" w:rsidRDefault="00ED151B" w:rsidP="00732200">
      <w:pPr>
        <w:spacing w:after="0" w:line="360" w:lineRule="auto"/>
        <w:ind w:firstLine="720"/>
        <w:contextualSpacing/>
        <w:jc w:val="center"/>
        <w:rPr>
          <w:rFonts w:ascii="Times New Roman" w:eastAsia="Times New Roman" w:hAnsi="Times New Roman" w:cs="Times New Roman"/>
          <w:b/>
          <w:sz w:val="28"/>
          <w:szCs w:val="28"/>
          <w:lang w:eastAsia="ru-RU"/>
        </w:rPr>
      </w:pPr>
      <w:bookmarkStart w:id="16" w:name="Pidrozd_3_5"/>
      <w:r w:rsidRPr="00156441">
        <w:rPr>
          <w:rFonts w:ascii="Times New Roman" w:eastAsia="Times New Roman" w:hAnsi="Times New Roman" w:cs="Times New Roman"/>
          <w:b/>
          <w:sz w:val="28"/>
          <w:szCs w:val="28"/>
          <w:lang w:eastAsia="ru-RU"/>
        </w:rPr>
        <w:t>3</w:t>
      </w:r>
      <w:r w:rsidR="00732200" w:rsidRPr="00156441">
        <w:rPr>
          <w:rFonts w:ascii="Times New Roman" w:eastAsia="Times New Roman" w:hAnsi="Times New Roman" w:cs="Times New Roman"/>
          <w:b/>
          <w:sz w:val="28"/>
          <w:szCs w:val="28"/>
          <w:lang w:eastAsia="ru-RU"/>
        </w:rPr>
        <w:t>.5. Зміни вмісту біогенних елементів та активності органоспецифічних ферментів</w:t>
      </w:r>
    </w:p>
    <w:bookmarkEnd w:id="16"/>
    <w:p w:rsidR="00732200" w:rsidRPr="00156441" w:rsidRDefault="00732200" w:rsidP="00732200">
      <w:pPr>
        <w:spacing w:after="0" w:line="360" w:lineRule="auto"/>
        <w:ind w:firstLine="720"/>
        <w:contextualSpacing/>
        <w:jc w:val="both"/>
        <w:rPr>
          <w:rFonts w:ascii="Times New Roman" w:eastAsia="Times New Roman" w:hAnsi="Times New Roman" w:cs="Times New Roman"/>
          <w:b/>
          <w:sz w:val="28"/>
          <w:szCs w:val="28"/>
          <w:lang w:eastAsia="ru-RU"/>
        </w:rPr>
      </w:pPr>
    </w:p>
    <w:p w:rsidR="00732200" w:rsidRPr="00156441" w:rsidRDefault="00732200" w:rsidP="00732200">
      <w:pPr>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Для нормального перебігу біохімічних і фізіологічних процесів в організмі вагома роль відводиться збалансованому забезпеченню тканин і органів такими біогенними елементами, як залізо, магній, фосфор, кальцій. Ці біогенні елементи беруть участь у транспорті та депонуванні кисню, окисному фосфорилюванні, антиоксидантних процесах, кровотворенні, забезпеченні нормального функціонування, зокрема, серцево-судинної та дихальної систем [</w:t>
      </w:r>
      <w:r w:rsidR="00AC5021" w:rsidRPr="00156441">
        <w:rPr>
          <w:rFonts w:ascii="Times New Roman" w:eastAsia="Times New Roman" w:hAnsi="Times New Roman" w:cs="Times New Roman"/>
          <w:sz w:val="28"/>
          <w:szCs w:val="28"/>
          <w:lang w:eastAsia="ru-RU"/>
        </w:rPr>
        <w:fldChar w:fldCharType="begin"/>
      </w:r>
      <w:r w:rsidR="00AC5021" w:rsidRPr="00156441">
        <w:rPr>
          <w:rFonts w:ascii="Times New Roman" w:eastAsia="Times New Roman" w:hAnsi="Times New Roman" w:cs="Times New Roman"/>
          <w:sz w:val="28"/>
          <w:szCs w:val="28"/>
          <w:lang w:eastAsia="ru-RU"/>
        </w:rPr>
        <w:instrText xml:space="preserve"> REF _Ref502738266 \r \h </w:instrText>
      </w:r>
      <w:r w:rsidR="00F44EE4" w:rsidRPr="00156441">
        <w:rPr>
          <w:rFonts w:ascii="Times New Roman" w:eastAsia="Times New Roman" w:hAnsi="Times New Roman" w:cs="Times New Roman"/>
          <w:sz w:val="28"/>
          <w:szCs w:val="28"/>
          <w:lang w:eastAsia="ru-RU"/>
        </w:rPr>
        <w:instrText xml:space="preserve"> \* MERGEFORMAT </w:instrText>
      </w:r>
      <w:r w:rsidR="00AC5021" w:rsidRPr="00156441">
        <w:rPr>
          <w:rFonts w:ascii="Times New Roman" w:eastAsia="Times New Roman" w:hAnsi="Times New Roman" w:cs="Times New Roman"/>
          <w:sz w:val="28"/>
          <w:szCs w:val="28"/>
          <w:lang w:eastAsia="ru-RU"/>
        </w:rPr>
      </w:r>
      <w:r w:rsidR="00AC5021"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302</w:t>
      </w:r>
      <w:r w:rsidR="00AC5021"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Тому визначення вмісту цих біогенних елементів можна використати для більш повного з</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ясування причинно-наслідкових зв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язків розвитку коморбідних патологій.</w:t>
      </w:r>
    </w:p>
    <w:p w:rsidR="00732200" w:rsidRDefault="00732200" w:rsidP="00732200">
      <w:pPr>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сироватці крові хворих основної групи визначалось по відношенню до групи порівняння статистично значиме (р=0,0016) підвищення вмісту заліза в середньому в 1,3 рази</w:t>
      </w:r>
      <w:r w:rsidR="009C6C87" w:rsidRPr="00156441">
        <w:rPr>
          <w:rFonts w:ascii="Times New Roman" w:eastAsia="Times New Roman" w:hAnsi="Times New Roman" w:cs="Times New Roman"/>
          <w:sz w:val="28"/>
          <w:szCs w:val="28"/>
          <w:lang w:eastAsia="ru-RU"/>
        </w:rPr>
        <w:t xml:space="preserve"> </w:t>
      </w:r>
      <w:r w:rsidR="00ED151B" w:rsidRPr="00156441">
        <w:rPr>
          <w:rFonts w:ascii="Times New Roman" w:eastAsia="Times New Roman" w:hAnsi="Times New Roman" w:cs="Times New Roman"/>
          <w:sz w:val="28"/>
          <w:szCs w:val="28"/>
          <w:lang w:eastAsia="ru-RU"/>
        </w:rPr>
        <w:t>(табл. 3</w:t>
      </w:r>
      <w:r w:rsidRPr="00156441">
        <w:rPr>
          <w:rFonts w:ascii="Times New Roman" w:eastAsia="Times New Roman" w:hAnsi="Times New Roman" w:cs="Times New Roman"/>
          <w:sz w:val="28"/>
          <w:szCs w:val="28"/>
          <w:lang w:eastAsia="ru-RU"/>
        </w:rPr>
        <w:t xml:space="preserve">.5.1, </w:t>
      </w:r>
      <w:r w:rsidR="002F3011" w:rsidRPr="00156441">
        <w:rPr>
          <w:rFonts w:ascii="Times New Roman" w:eastAsia="Times New Roman" w:hAnsi="Times New Roman" w:cs="Times New Roman"/>
          <w:sz w:val="28"/>
          <w:szCs w:val="28"/>
          <w:lang w:eastAsia="ru-RU"/>
        </w:rPr>
        <w:t xml:space="preserve">рис. </w:t>
      </w:r>
      <w:r w:rsidRPr="00156441">
        <w:rPr>
          <w:rFonts w:ascii="Times New Roman" w:eastAsia="Times New Roman" w:hAnsi="Times New Roman" w:cs="Times New Roman"/>
          <w:sz w:val="28"/>
          <w:szCs w:val="28"/>
          <w:lang w:eastAsia="ru-RU"/>
        </w:rPr>
        <w:t>18). Слід відзначити, що у 26 хворих (47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на ХОЗЛ у сполученні з ГХ рівень сироваткового заліза був вище фізіологічної норми (4,1-24 мкМ/л), тоді як для хворих з ізольованим перебігом ХОЗЛ це спостерігалось для 10 осіб (22</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Підвищення рівня заліза, </w:t>
      </w:r>
      <w:r w:rsidR="00AC5021" w:rsidRPr="00156441">
        <w:rPr>
          <w:rFonts w:ascii="Times New Roman" w:eastAsia="Times New Roman" w:hAnsi="Times New Roman" w:cs="Times New Roman"/>
          <w:sz w:val="28"/>
          <w:szCs w:val="28"/>
          <w:lang w:eastAsia="ru-RU"/>
        </w:rPr>
        <w:t xml:space="preserve">що </w:t>
      </w:r>
      <w:r w:rsidRPr="00156441">
        <w:rPr>
          <w:rFonts w:ascii="Times New Roman" w:eastAsia="Times New Roman" w:hAnsi="Times New Roman" w:cs="Times New Roman"/>
          <w:sz w:val="28"/>
          <w:szCs w:val="28"/>
          <w:lang w:eastAsia="ru-RU"/>
        </w:rPr>
        <w:t>особливо виражено при коморбідній серцево-легеневій патології, є негативною ознакою,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язаною, наприклад, з його здатністю ініціювати вільнорадикальні процеси.</w:t>
      </w:r>
    </w:p>
    <w:p w:rsidR="003A4503" w:rsidRDefault="003A4503" w:rsidP="00732200">
      <w:pPr>
        <w:spacing w:after="0" w:line="360" w:lineRule="auto"/>
        <w:ind w:firstLine="708"/>
        <w:contextualSpacing/>
        <w:jc w:val="both"/>
        <w:rPr>
          <w:rFonts w:ascii="Times New Roman" w:eastAsia="Times New Roman" w:hAnsi="Times New Roman" w:cs="Times New Roman"/>
          <w:sz w:val="28"/>
          <w:szCs w:val="28"/>
          <w:lang w:eastAsia="ru-RU"/>
        </w:rPr>
      </w:pPr>
    </w:p>
    <w:p w:rsidR="003A4503" w:rsidRDefault="003A4503" w:rsidP="00732200">
      <w:pPr>
        <w:spacing w:after="0" w:line="360" w:lineRule="auto"/>
        <w:ind w:firstLine="708"/>
        <w:contextualSpacing/>
        <w:jc w:val="both"/>
        <w:rPr>
          <w:rFonts w:ascii="Times New Roman" w:eastAsia="Times New Roman" w:hAnsi="Times New Roman" w:cs="Times New Roman"/>
          <w:sz w:val="28"/>
          <w:szCs w:val="28"/>
          <w:lang w:eastAsia="ru-RU"/>
        </w:rPr>
      </w:pPr>
    </w:p>
    <w:p w:rsidR="00732200" w:rsidRPr="00156441" w:rsidRDefault="00ED151B" w:rsidP="00732200">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lastRenderedPageBreak/>
        <w:t>Таблиця 3</w:t>
      </w:r>
      <w:r w:rsidR="00732200" w:rsidRPr="00156441">
        <w:rPr>
          <w:rFonts w:ascii="Times New Roman" w:eastAsia="Times New Roman" w:hAnsi="Times New Roman" w:cs="Times New Roman"/>
          <w:sz w:val="28"/>
          <w:szCs w:val="28"/>
          <w:lang w:eastAsia="ru-RU"/>
        </w:rPr>
        <w:t>.5.1</w:t>
      </w:r>
    </w:p>
    <w:p w:rsidR="00732200" w:rsidRPr="00156441" w:rsidRDefault="00732200" w:rsidP="00732200">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Вміст біогенних елементів</w:t>
      </w:r>
      <w:r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bCs/>
          <w:sz w:val="28"/>
          <w:szCs w:val="28"/>
          <w:lang w:eastAsia="ru-RU"/>
        </w:rPr>
        <w:t>у сироватці крові хворих 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3306"/>
        <w:gridCol w:w="3306"/>
      </w:tblGrid>
      <w:tr w:rsidR="00156441" w:rsidRPr="00156441" w:rsidTr="00AC5021">
        <w:trPr>
          <w:trHeight w:val="652"/>
        </w:trPr>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732200" w:rsidRPr="00156441" w:rsidRDefault="00732200" w:rsidP="00732200">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p>
          <w:p w:rsidR="00732200" w:rsidRPr="00156441" w:rsidRDefault="00732200" w:rsidP="00732200">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n=55</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p>
          <w:p w:rsidR="00732200" w:rsidRPr="00156441" w:rsidRDefault="00732200" w:rsidP="00732200">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AC5021">
        <w:trPr>
          <w:trHeight w:val="539"/>
        </w:trPr>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Залізо, мкМ/л</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24,7 [17,7; 33,9]</w:t>
            </w:r>
          </w:p>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р=0,0016</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18,8 [14,6; 22,8]</w:t>
            </w:r>
          </w:p>
        </w:tc>
      </w:tr>
      <w:tr w:rsidR="00156441" w:rsidRPr="00156441" w:rsidTr="00AC5021">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Магній, мМ/л</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0,95 [0,84;1,38]</w:t>
            </w:r>
          </w:p>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р=0,803</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0,97 [0,92; 1,25]</w:t>
            </w:r>
          </w:p>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p>
        </w:tc>
      </w:tr>
      <w:tr w:rsidR="00156441" w:rsidRPr="00156441" w:rsidTr="00AC5021">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Фосфор, мМ/л</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1,60 [1,39;1,71]</w:t>
            </w:r>
          </w:p>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р&lt;0,001</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1,35 [1,09;1,52]</w:t>
            </w:r>
          </w:p>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p>
        </w:tc>
      </w:tr>
      <w:tr w:rsidR="00156441" w:rsidRPr="00156441" w:rsidTr="00AC5021">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Кальцій, мМ/л</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2,97 [2,76;3,58]</w:t>
            </w:r>
          </w:p>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*р&lt;0,001</w:t>
            </w:r>
          </w:p>
        </w:tc>
        <w:tc>
          <w:tcPr>
            <w:tcW w:w="3306"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2,77 [2,61;2,88]</w:t>
            </w:r>
          </w:p>
          <w:p w:rsidR="00732200" w:rsidRPr="00156441" w:rsidRDefault="00732200" w:rsidP="00732200">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*р&lt;0,001</w:t>
            </w:r>
          </w:p>
        </w:tc>
      </w:tr>
    </w:tbl>
    <w:p w:rsidR="00732200" w:rsidRDefault="00732200" w:rsidP="00732200">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3A4503" w:rsidRPr="00156441" w:rsidRDefault="003A4503" w:rsidP="00732200">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p>
    <w:p w:rsidR="00732200" w:rsidRPr="00156441" w:rsidRDefault="003A4503" w:rsidP="002D26C1">
      <w:pPr>
        <w:spacing w:after="0" w:line="360" w:lineRule="auto"/>
        <w:contextualSpacing/>
        <w:jc w:val="center"/>
        <w:rPr>
          <w:rFonts w:ascii="Times New Roman" w:eastAsia="Times New Roman" w:hAnsi="Times New Roman" w:cs="Times New Roman"/>
          <w:b/>
          <w:sz w:val="28"/>
          <w:szCs w:val="28"/>
          <w:lang w:eastAsia="ru-RU"/>
        </w:rPr>
      </w:pPr>
      <w:r w:rsidRPr="00156441">
        <w:rPr>
          <w:rFonts w:ascii="Times New Roman" w:eastAsia="Times New Roman" w:hAnsi="Times New Roman" w:cs="Times New Roman"/>
          <w:sz w:val="28"/>
          <w:szCs w:val="28"/>
          <w:lang w:eastAsia="ru-RU"/>
        </w:rPr>
        <w:object w:dxaOrig="5262" w:dyaOrig="3971">
          <v:shape id="_x0000_i1042" type="#_x0000_t75" style="width:263.8pt;height:198.15pt" o:ole="">
            <v:imagedata r:id="rId42" o:title=""/>
          </v:shape>
          <o:OLEObject Type="Embed" ProgID="STATISTICA.Graph" ShapeID="_x0000_i1042" DrawAspect="Content" ObjectID="_1579001536" r:id="rId43">
            <o:FieldCodes>\s</o:FieldCodes>
          </o:OLEObject>
        </w:object>
      </w:r>
    </w:p>
    <w:p w:rsidR="00732200" w:rsidRPr="00156441" w:rsidRDefault="002F3011" w:rsidP="00732200">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 xml:space="preserve">18. Вміст заліза </w:t>
      </w:r>
      <w:r w:rsidR="00732200" w:rsidRPr="00156441">
        <w:rPr>
          <w:rFonts w:ascii="Times New Roman" w:eastAsia="Times New Roman" w:hAnsi="Times New Roman" w:cs="Times New Roman"/>
          <w:bCs/>
          <w:sz w:val="28"/>
          <w:szCs w:val="28"/>
          <w:lang w:eastAsia="ru-RU"/>
        </w:rPr>
        <w:t>(мкМ</w:t>
      </w:r>
      <w:r w:rsidR="00732200" w:rsidRPr="00156441">
        <w:rPr>
          <w:rFonts w:ascii="Times New Roman" w:eastAsia="Times New Roman" w:hAnsi="Times New Roman" w:cs="Times New Roman"/>
          <w:sz w:val="28"/>
          <w:szCs w:val="28"/>
          <w:lang w:eastAsia="ru-RU"/>
        </w:rPr>
        <w:t>/л)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поєднаним перебігом ХОЗЛ і ГХ (фізіологічна норма</w:t>
      </w:r>
      <w:r w:rsidR="00AC5021" w:rsidRPr="00156441">
        <w:rPr>
          <w:rFonts w:ascii="Times New Roman" w:eastAsia="Times New Roman" w:hAnsi="Times New Roman" w:cs="Times New Roman"/>
          <w:bCs/>
          <w:sz w:val="28"/>
          <w:szCs w:val="28"/>
          <w:lang w:eastAsia="ru-RU"/>
        </w:rPr>
        <w:t> — </w:t>
      </w:r>
      <w:r w:rsidR="00732200" w:rsidRPr="00156441">
        <w:rPr>
          <w:rFonts w:ascii="Times New Roman" w:eastAsia="Times New Roman" w:hAnsi="Times New Roman" w:cs="Times New Roman"/>
          <w:sz w:val="28"/>
          <w:szCs w:val="28"/>
          <w:lang w:eastAsia="ru-RU"/>
        </w:rPr>
        <w:t>4,1-24 мкМ/л)</w:t>
      </w:r>
      <w:r w:rsidR="00AC5021" w:rsidRPr="00156441">
        <w:rPr>
          <w:rFonts w:ascii="Times New Roman" w:eastAsia="Times New Roman" w:hAnsi="Times New Roman" w:cs="Times New Roman"/>
          <w:sz w:val="28"/>
          <w:szCs w:val="28"/>
          <w:lang w:eastAsia="ru-RU"/>
        </w:rPr>
        <w:t>.</w:t>
      </w:r>
    </w:p>
    <w:p w:rsidR="00732200" w:rsidRPr="00156441" w:rsidRDefault="00732200" w:rsidP="00732200">
      <w:pPr>
        <w:spacing w:after="0" w:line="360" w:lineRule="auto"/>
        <w:ind w:firstLine="720"/>
        <w:contextualSpacing/>
        <w:jc w:val="both"/>
        <w:rPr>
          <w:rFonts w:ascii="Times New Roman" w:eastAsia="Times New Roman" w:hAnsi="Times New Roman" w:cs="Times New Roman"/>
          <w:bCs/>
          <w:sz w:val="28"/>
          <w:szCs w:val="28"/>
          <w:lang w:eastAsia="ru-RU"/>
        </w:rPr>
      </w:pPr>
    </w:p>
    <w:p w:rsidR="00732200"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При зіставленні рівня магнію у хворих основної групи та групи порівняння вірогідних відмінносте</w:t>
      </w:r>
      <w:r w:rsidR="00ED151B" w:rsidRPr="00156441">
        <w:rPr>
          <w:rFonts w:ascii="Times New Roman" w:eastAsia="Times New Roman" w:hAnsi="Times New Roman" w:cs="Times New Roman"/>
          <w:sz w:val="28"/>
          <w:szCs w:val="28"/>
          <w:lang w:eastAsia="ru-RU"/>
        </w:rPr>
        <w:t>й не виявлено (р=0,803) (табл. 3</w:t>
      </w:r>
      <w:r w:rsidRPr="00156441">
        <w:rPr>
          <w:rFonts w:ascii="Times New Roman" w:eastAsia="Times New Roman" w:hAnsi="Times New Roman" w:cs="Times New Roman"/>
          <w:sz w:val="28"/>
          <w:szCs w:val="28"/>
          <w:lang w:eastAsia="ru-RU"/>
        </w:rPr>
        <w:t>.</w:t>
      </w:r>
      <w:r w:rsidR="00804F04" w:rsidRPr="00156441">
        <w:rPr>
          <w:rFonts w:ascii="Times New Roman" w:eastAsia="Times New Roman" w:hAnsi="Times New Roman" w:cs="Times New Roman"/>
          <w:sz w:val="28"/>
          <w:szCs w:val="28"/>
          <w:lang w:eastAsia="ru-RU"/>
        </w:rPr>
        <w:t>5.1</w:t>
      </w:r>
      <w:r w:rsidRPr="00156441">
        <w:rPr>
          <w:rFonts w:ascii="Times New Roman" w:eastAsia="Times New Roman" w:hAnsi="Times New Roman" w:cs="Times New Roman"/>
          <w:sz w:val="28"/>
          <w:szCs w:val="28"/>
          <w:lang w:eastAsia="ru-RU"/>
        </w:rPr>
        <w:t xml:space="preserve">, </w:t>
      </w:r>
      <w:r w:rsidR="00F771CD" w:rsidRPr="00156441">
        <w:rPr>
          <w:rFonts w:ascii="Times New Roman" w:eastAsia="Times New Roman" w:hAnsi="Times New Roman" w:cs="Times New Roman"/>
          <w:sz w:val="28"/>
          <w:szCs w:val="28"/>
          <w:lang w:eastAsia="ru-RU"/>
        </w:rPr>
        <w:t xml:space="preserve">рис. </w:t>
      </w:r>
      <w:r w:rsidRPr="00156441">
        <w:rPr>
          <w:rFonts w:ascii="Times New Roman" w:eastAsia="Times New Roman" w:hAnsi="Times New Roman" w:cs="Times New Roman"/>
          <w:sz w:val="28"/>
          <w:szCs w:val="28"/>
          <w:lang w:eastAsia="ru-RU"/>
        </w:rPr>
        <w:t xml:space="preserve">19). Але у незначної </w:t>
      </w:r>
      <w:r w:rsidRPr="00156441">
        <w:rPr>
          <w:rFonts w:ascii="Times New Roman" w:eastAsia="Times New Roman" w:hAnsi="Times New Roman" w:cs="Times New Roman"/>
          <w:sz w:val="28"/>
          <w:szCs w:val="28"/>
          <w:lang w:eastAsia="ru-RU"/>
        </w:rPr>
        <w:lastRenderedPageBreak/>
        <w:t>кількості пацієнтів обох груп спостерігалось підвищення концентрації цього біогенного елементу по відношенню до фізіологічної норми (0,77-1,3 мМ/л), що можна розглядати як адаптаційну реакцію, яка виникає за умов гіпоксичного стану та активації вільнорадикальних реакцій.</w:t>
      </w:r>
    </w:p>
    <w:p w:rsidR="003A4503" w:rsidRPr="00156441" w:rsidRDefault="003A4503" w:rsidP="00732200">
      <w:pPr>
        <w:spacing w:after="0" w:line="360" w:lineRule="auto"/>
        <w:ind w:firstLine="720"/>
        <w:contextualSpacing/>
        <w:jc w:val="both"/>
        <w:rPr>
          <w:rFonts w:ascii="Times New Roman" w:eastAsia="Times New Roman" w:hAnsi="Times New Roman" w:cs="Times New Roman"/>
          <w:sz w:val="28"/>
          <w:szCs w:val="28"/>
          <w:lang w:eastAsia="ru-RU"/>
        </w:rPr>
      </w:pPr>
    </w:p>
    <w:p w:rsidR="00732200" w:rsidRPr="00156441" w:rsidRDefault="003A4503" w:rsidP="002D26C1">
      <w:pPr>
        <w:spacing w:after="0" w:line="360" w:lineRule="auto"/>
        <w:contextualSpacing/>
        <w:jc w:val="center"/>
        <w:rPr>
          <w:rFonts w:ascii="Times New Roman" w:eastAsia="Times New Roman" w:hAnsi="Times New Roman" w:cs="Times New Roman"/>
          <w:b/>
          <w:sz w:val="28"/>
          <w:szCs w:val="28"/>
          <w:lang w:eastAsia="ru-RU"/>
        </w:rPr>
      </w:pPr>
      <w:r w:rsidRPr="00156441">
        <w:rPr>
          <w:rFonts w:ascii="Times New Roman" w:eastAsia="Times New Roman" w:hAnsi="Times New Roman" w:cs="Times New Roman"/>
          <w:sz w:val="28"/>
          <w:szCs w:val="28"/>
          <w:lang w:eastAsia="ru-RU"/>
        </w:rPr>
        <w:object w:dxaOrig="5262" w:dyaOrig="3970">
          <v:shape id="_x0000_i1043" type="#_x0000_t75" style="width:263.8pt;height:198.15pt;mso-position-horizontal:absolute" o:ole="">
            <v:imagedata r:id="rId44" o:title=""/>
          </v:shape>
          <o:OLEObject Type="Embed" ProgID="STATISTICA.Graph" ShapeID="_x0000_i1043" DrawAspect="Content" ObjectID="_1579001537" r:id="rId45">
            <o:FieldCodes>\s</o:FieldCodes>
          </o:OLEObject>
        </w:object>
      </w:r>
    </w:p>
    <w:p w:rsidR="00732200" w:rsidRDefault="00F771CD"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 xml:space="preserve">19. Вміст магнію </w:t>
      </w:r>
      <w:r w:rsidR="00732200" w:rsidRPr="00156441">
        <w:rPr>
          <w:rFonts w:ascii="Times New Roman" w:eastAsia="Times New Roman" w:hAnsi="Times New Roman" w:cs="Times New Roman"/>
          <w:bCs/>
          <w:sz w:val="28"/>
          <w:szCs w:val="28"/>
          <w:lang w:eastAsia="ru-RU"/>
        </w:rPr>
        <w:t>(мМ</w:t>
      </w:r>
      <w:r w:rsidR="00732200" w:rsidRPr="00156441">
        <w:rPr>
          <w:rFonts w:ascii="Times New Roman" w:eastAsia="Times New Roman" w:hAnsi="Times New Roman" w:cs="Times New Roman"/>
          <w:sz w:val="28"/>
          <w:szCs w:val="28"/>
          <w:lang w:eastAsia="ru-RU"/>
        </w:rPr>
        <w:t>/л)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 xml:space="preserve">поєднаним перебігом ХОЗЛ і ГХ </w:t>
      </w:r>
      <w:r w:rsidR="00732200" w:rsidRPr="00156441">
        <w:rPr>
          <w:rFonts w:ascii="Times New Roman" w:eastAsia="Times New Roman" w:hAnsi="Times New Roman" w:cs="Times New Roman"/>
          <w:sz w:val="28"/>
          <w:szCs w:val="28"/>
          <w:lang w:eastAsia="ru-RU"/>
        </w:rPr>
        <w:t>(фізіологічна норма 0,77-1,3 мМ/л)</w:t>
      </w:r>
    </w:p>
    <w:p w:rsidR="003A4503" w:rsidRDefault="003A4503" w:rsidP="003A4503">
      <w:pPr>
        <w:spacing w:after="0" w:line="360" w:lineRule="auto"/>
        <w:ind w:firstLine="720"/>
        <w:contextualSpacing/>
        <w:jc w:val="both"/>
        <w:rPr>
          <w:rFonts w:ascii="Times New Roman" w:eastAsia="Times New Roman" w:hAnsi="Times New Roman" w:cs="Times New Roman"/>
          <w:sz w:val="28"/>
          <w:szCs w:val="28"/>
          <w:lang w:eastAsia="ru-RU"/>
        </w:rPr>
      </w:pPr>
    </w:p>
    <w:p w:rsidR="003A4503" w:rsidRPr="00156441" w:rsidRDefault="003A4503" w:rsidP="003A4503">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У сироватці крові пацієнтів з ХОЗЛ у сполученні з ГХ виявлено вірогідне (р&lt;0,001) по відношенню до пацієнтів з ізольованим перебігом ХОЗЛ підвищення концентрації фосфору в середньому в 1,2 рази (табл. 3.5.1, рис. 20). Серед 55 хворих основної групи — у 37 хворих (67 %) відмічалось збільшення рівня фосфору порівняно з фізіологічною нормою (0,84-1,45 мМ/л). При цьому серед 45 хворих групи порівняння підвищення цього показника було характерним лише для 14 осіб (31 %). Такі результати відображають деяке напруження пристосувальних реакцій організму, пов’язане з порушенням метаболічних та енергетичних процесів, де фосфор відіграє важливу роль.</w:t>
      </w:r>
    </w:p>
    <w:p w:rsidR="003A4503" w:rsidRPr="00156441" w:rsidRDefault="003A4503" w:rsidP="00732200">
      <w:pPr>
        <w:spacing w:after="0" w:line="360" w:lineRule="auto"/>
        <w:ind w:firstLine="720"/>
        <w:contextualSpacing/>
        <w:jc w:val="both"/>
        <w:rPr>
          <w:rFonts w:ascii="Times New Roman" w:eastAsia="Times New Roman" w:hAnsi="Times New Roman" w:cs="Times New Roman"/>
          <w:bCs/>
          <w:sz w:val="28"/>
          <w:szCs w:val="28"/>
          <w:lang w:eastAsia="ru-RU"/>
        </w:rPr>
      </w:pPr>
    </w:p>
    <w:p w:rsidR="00732200" w:rsidRPr="00156441" w:rsidRDefault="003A4503"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62" w:dyaOrig="3969">
          <v:shape id="_x0000_i1044" type="#_x0000_t75" style="width:263.8pt;height:199.3pt;mso-position-vertical:absolute" o:ole="">
            <v:imagedata r:id="rId46" o:title=""/>
          </v:shape>
          <o:OLEObject Type="Embed" ProgID="STATISTICA.Graph" ShapeID="_x0000_i1044" DrawAspect="Content" ObjectID="_1579001538" r:id="rId47">
            <o:FieldCodes>\s</o:FieldCodes>
          </o:OLEObject>
        </w:object>
      </w:r>
    </w:p>
    <w:p w:rsidR="00732200" w:rsidRPr="00156441" w:rsidRDefault="00F771CD"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 xml:space="preserve">20. Вміст фосфору </w:t>
      </w:r>
      <w:r w:rsidR="00732200" w:rsidRPr="00156441">
        <w:rPr>
          <w:rFonts w:ascii="Times New Roman" w:eastAsia="Times New Roman" w:hAnsi="Times New Roman" w:cs="Times New Roman"/>
          <w:bCs/>
          <w:sz w:val="28"/>
          <w:szCs w:val="28"/>
          <w:lang w:eastAsia="ru-RU"/>
        </w:rPr>
        <w:t>(мМ</w:t>
      </w:r>
      <w:r w:rsidR="00732200" w:rsidRPr="00156441">
        <w:rPr>
          <w:rFonts w:ascii="Times New Roman" w:eastAsia="Times New Roman" w:hAnsi="Times New Roman" w:cs="Times New Roman"/>
          <w:sz w:val="28"/>
          <w:szCs w:val="28"/>
          <w:lang w:eastAsia="ru-RU"/>
        </w:rPr>
        <w:t>/л)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 xml:space="preserve">поєднаним перебігом ХОЗЛ і ГХ </w:t>
      </w:r>
      <w:r w:rsidR="00732200" w:rsidRPr="00156441">
        <w:rPr>
          <w:rFonts w:ascii="Times New Roman" w:eastAsia="Times New Roman" w:hAnsi="Times New Roman" w:cs="Times New Roman"/>
          <w:sz w:val="28"/>
          <w:szCs w:val="28"/>
          <w:lang w:eastAsia="ru-RU"/>
        </w:rPr>
        <w:t>(фізіологічна норма 0,84-1,45 мМ/л).</w:t>
      </w:r>
    </w:p>
    <w:p w:rsidR="00AC5021" w:rsidRPr="00156441" w:rsidRDefault="00AC5021" w:rsidP="00732200">
      <w:pPr>
        <w:spacing w:after="0" w:line="360" w:lineRule="auto"/>
        <w:ind w:firstLine="720"/>
        <w:contextualSpacing/>
        <w:jc w:val="both"/>
        <w:rPr>
          <w:rFonts w:ascii="Times New Roman" w:eastAsia="Times New Roman" w:hAnsi="Times New Roman" w:cs="Times New Roman"/>
          <w:bCs/>
          <w:sz w:val="28"/>
          <w:szCs w:val="28"/>
          <w:lang w:eastAsia="ru-RU"/>
        </w:rPr>
      </w:pPr>
    </w:p>
    <w:p w:rsidR="00732200" w:rsidRDefault="00732200" w:rsidP="00732200">
      <w:pPr>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Для хворих з ХОЗЛ у поєднанні з ГХ, реєструвалось статистично значиме </w:t>
      </w:r>
      <w:r w:rsidRPr="00156441">
        <w:rPr>
          <w:rFonts w:ascii="Times New Roman" w:eastAsia="Times New Roman" w:hAnsi="Times New Roman" w:cs="Times New Roman"/>
          <w:sz w:val="28"/>
          <w:szCs w:val="28"/>
          <w:lang w:eastAsia="ru-RU"/>
        </w:rPr>
        <w:t>(р&lt;0,001) при порівнянні з хворими на ХОЗЛ у відсутності ГХ підвищення вмісту сироваткового</w:t>
      </w:r>
      <w:r w:rsidR="00804F04" w:rsidRPr="00156441">
        <w:rPr>
          <w:rFonts w:ascii="Times New Roman" w:eastAsia="Times New Roman" w:hAnsi="Times New Roman" w:cs="Times New Roman"/>
          <w:sz w:val="28"/>
          <w:szCs w:val="28"/>
          <w:lang w:eastAsia="ru-RU"/>
        </w:rPr>
        <w:t xml:space="preserve"> кальцію в середньому в 1,2 рази</w:t>
      </w:r>
      <w:r w:rsidRPr="00156441">
        <w:rPr>
          <w:rFonts w:ascii="Times New Roman" w:eastAsia="Times New Roman" w:hAnsi="Times New Roman" w:cs="Times New Roman"/>
          <w:sz w:val="28"/>
          <w:szCs w:val="28"/>
          <w:lang w:eastAsia="ru-RU"/>
        </w:rPr>
        <w:t xml:space="preserve"> (табл.</w:t>
      </w:r>
      <w:r w:rsidR="00ED151B" w:rsidRPr="00156441">
        <w:rPr>
          <w:rFonts w:ascii="Times New Roman" w:eastAsia="Times New Roman" w:hAnsi="Times New Roman" w:cs="Times New Roman"/>
          <w:sz w:val="28"/>
          <w:szCs w:val="28"/>
          <w:lang w:eastAsia="ru-RU"/>
        </w:rPr>
        <w:t xml:space="preserve"> 3</w:t>
      </w:r>
      <w:r w:rsidR="00804F04" w:rsidRPr="00156441">
        <w:rPr>
          <w:rFonts w:ascii="Times New Roman" w:eastAsia="Times New Roman" w:hAnsi="Times New Roman" w:cs="Times New Roman"/>
          <w:sz w:val="28"/>
          <w:szCs w:val="28"/>
          <w:lang w:eastAsia="ru-RU"/>
        </w:rPr>
        <w:t>.5.1</w:t>
      </w:r>
      <w:r w:rsidRPr="00156441">
        <w:rPr>
          <w:rFonts w:ascii="Times New Roman" w:eastAsia="Times New Roman" w:hAnsi="Times New Roman" w:cs="Times New Roman"/>
          <w:sz w:val="28"/>
          <w:szCs w:val="28"/>
          <w:lang w:eastAsia="ru-RU"/>
        </w:rPr>
        <w:t xml:space="preserve">, </w:t>
      </w:r>
      <w:r w:rsidR="00F771CD" w:rsidRPr="00156441">
        <w:rPr>
          <w:rFonts w:ascii="Times New Roman" w:eastAsia="Times New Roman" w:hAnsi="Times New Roman" w:cs="Times New Roman"/>
          <w:sz w:val="28"/>
          <w:szCs w:val="28"/>
          <w:lang w:eastAsia="ru-RU"/>
        </w:rPr>
        <w:t xml:space="preserve">рис. </w:t>
      </w:r>
      <w:r w:rsidRPr="00156441">
        <w:rPr>
          <w:rFonts w:ascii="Times New Roman" w:eastAsia="Times New Roman" w:hAnsi="Times New Roman" w:cs="Times New Roman"/>
          <w:sz w:val="28"/>
          <w:szCs w:val="28"/>
          <w:lang w:eastAsia="ru-RU"/>
        </w:rPr>
        <w:t>21). Слід відзначити, що практично у всіх пацієнтів (96</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основної групи рівень кальцію виходив за межі фізіологічної норми (2,15-2,57 мМ/л), тоді як у групі порівняння це було характерно для 40 осіб (89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Збільшений вміст кальцію у хворих на ХОЗЛ, особливо при сполученні з ГХ, може свідчити про системне пошкодження клітинних мембран, у тому числі й гладеньких м</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язів судин, сприяти збільшенню їх скорочувальної здатності, що негативно впливає на мікроци</w:t>
      </w:r>
      <w:r w:rsidR="00804F04" w:rsidRPr="00156441">
        <w:rPr>
          <w:rFonts w:ascii="Times New Roman" w:eastAsia="Times New Roman" w:hAnsi="Times New Roman" w:cs="Times New Roman"/>
          <w:sz w:val="28"/>
          <w:szCs w:val="28"/>
          <w:lang w:eastAsia="ru-RU"/>
        </w:rPr>
        <w:t>ркуляцію та регіональний кровообіг</w:t>
      </w:r>
      <w:r w:rsidRPr="00156441">
        <w:rPr>
          <w:rFonts w:ascii="Times New Roman" w:eastAsia="Times New Roman" w:hAnsi="Times New Roman" w:cs="Times New Roman"/>
          <w:sz w:val="28"/>
          <w:szCs w:val="28"/>
          <w:lang w:eastAsia="ru-RU"/>
        </w:rPr>
        <w:t>.</w:t>
      </w:r>
    </w:p>
    <w:p w:rsidR="003A4503" w:rsidRPr="00156441" w:rsidRDefault="003A4503" w:rsidP="003A4503">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Прогноз тяжкості перебігу ХОЗЛ у значній мірі визначається супутніми змінами з боку не лише кардіоваскулярної, але й інших систем організму людини та поєднаних з ними порушеннями тканинного обміну, стану внутрішніх органів, що є прогностично несприятливим фактором. Тому вивчення рівня органоспецифічних ферментів у хворих ХОЗЛ із супутньою ГХ є актуальним з огляду на можливість проведення ранньої діагностики порушень функціонування як бронхолегеневої, так й серцево-судинної систем.</w:t>
      </w:r>
    </w:p>
    <w:p w:rsidR="00732200" w:rsidRPr="00156441" w:rsidRDefault="003A4503"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72" w:dyaOrig="3969">
          <v:shape id="_x0000_i1045" type="#_x0000_t75" style="width:263.8pt;height:198.7pt" o:ole="">
            <v:imagedata r:id="rId48" o:title=""/>
          </v:shape>
          <o:OLEObject Type="Embed" ProgID="STATISTICA.Graph" ShapeID="_x0000_i1045" DrawAspect="Content" ObjectID="_1579001539" r:id="rId49">
            <o:FieldCodes>\s</o:FieldCodes>
          </o:OLEObject>
        </w:object>
      </w:r>
    </w:p>
    <w:p w:rsidR="00732200" w:rsidRPr="00156441" w:rsidRDefault="00F771CD" w:rsidP="00732200">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 xml:space="preserve">21. Вміст кальцію </w:t>
      </w:r>
      <w:r w:rsidR="00732200" w:rsidRPr="00156441">
        <w:rPr>
          <w:rFonts w:ascii="Times New Roman" w:eastAsia="Times New Roman" w:hAnsi="Times New Roman" w:cs="Times New Roman"/>
          <w:bCs/>
          <w:sz w:val="28"/>
          <w:szCs w:val="28"/>
          <w:lang w:eastAsia="ru-RU"/>
        </w:rPr>
        <w:t>(мМ</w:t>
      </w:r>
      <w:r w:rsidR="00732200" w:rsidRPr="00156441">
        <w:rPr>
          <w:rFonts w:ascii="Times New Roman" w:eastAsia="Times New Roman" w:hAnsi="Times New Roman" w:cs="Times New Roman"/>
          <w:sz w:val="28"/>
          <w:szCs w:val="28"/>
          <w:lang w:eastAsia="ru-RU"/>
        </w:rPr>
        <w:t>/л)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 xml:space="preserve">поєднаним перебігом ХОЗЛ і ГХ </w:t>
      </w:r>
      <w:r w:rsidR="00732200" w:rsidRPr="00156441">
        <w:rPr>
          <w:rFonts w:ascii="Times New Roman" w:eastAsia="Times New Roman" w:hAnsi="Times New Roman" w:cs="Times New Roman"/>
          <w:sz w:val="28"/>
          <w:szCs w:val="28"/>
          <w:lang w:eastAsia="ru-RU"/>
        </w:rPr>
        <w:t>(фізіологічна норма</w:t>
      </w:r>
      <w:r w:rsidR="00AC5021" w:rsidRPr="00156441">
        <w:rPr>
          <w:rFonts w:ascii="Times New Roman" w:eastAsia="Times New Roman" w:hAnsi="Times New Roman" w:cs="Times New Roman"/>
          <w:sz w:val="28"/>
          <w:szCs w:val="28"/>
          <w:lang w:eastAsia="ru-RU"/>
        </w:rPr>
        <w:t> — </w:t>
      </w:r>
      <w:r w:rsidR="00732200" w:rsidRPr="00156441">
        <w:rPr>
          <w:rFonts w:ascii="Times New Roman" w:eastAsia="Times New Roman" w:hAnsi="Times New Roman" w:cs="Times New Roman"/>
          <w:sz w:val="28"/>
          <w:szCs w:val="28"/>
          <w:lang w:eastAsia="ru-RU"/>
        </w:rPr>
        <w:t>2,15-2,57 мМ/л)</w:t>
      </w:r>
    </w:p>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Результати свідчили про вірогідне підвищення у сироватці крові хворих основної групи по відношенню до групи порівняння загальної активності креатинфосфокіна</w:t>
      </w:r>
      <w:r w:rsidR="00804F04" w:rsidRPr="00156441">
        <w:rPr>
          <w:rFonts w:ascii="Times New Roman" w:eastAsia="Times New Roman" w:hAnsi="Times New Roman" w:cs="Times New Roman"/>
          <w:sz w:val="28"/>
          <w:szCs w:val="28"/>
          <w:lang w:eastAsia="ru-RU"/>
        </w:rPr>
        <w:t>зи (КФК) в середньому в 1,2 рази</w:t>
      </w:r>
      <w:r w:rsidRPr="00156441">
        <w:rPr>
          <w:rFonts w:ascii="Times New Roman" w:eastAsia="Times New Roman" w:hAnsi="Times New Roman" w:cs="Times New Roman"/>
          <w:sz w:val="28"/>
          <w:szCs w:val="28"/>
          <w:lang w:eastAsia="ru-RU"/>
        </w:rPr>
        <w:t xml:space="preserve"> (р=0,006) та особливо</w:t>
      </w:r>
      <w:r w:rsidR="00AC5021" w:rsidRPr="00156441">
        <w:rPr>
          <w:rFonts w:ascii="Times New Roman" w:eastAsia="Times New Roman" w:hAnsi="Times New Roman" w:cs="Times New Roman"/>
          <w:sz w:val="28"/>
          <w:szCs w:val="28"/>
          <w:lang w:eastAsia="ru-RU"/>
        </w:rPr>
        <w:br/>
      </w:r>
      <w:r w:rsidRPr="00156441">
        <w:rPr>
          <w:rFonts w:ascii="Times New Roman" w:eastAsia="Times New Roman" w:hAnsi="Times New Roman" w:cs="Times New Roman"/>
          <w:sz w:val="28"/>
          <w:szCs w:val="28"/>
          <w:lang w:eastAsia="ru-RU"/>
        </w:rPr>
        <w:t>МВ-ізофо</w:t>
      </w:r>
      <w:r w:rsidR="00804F04" w:rsidRPr="00156441">
        <w:rPr>
          <w:rFonts w:ascii="Times New Roman" w:eastAsia="Times New Roman" w:hAnsi="Times New Roman" w:cs="Times New Roman"/>
          <w:sz w:val="28"/>
          <w:szCs w:val="28"/>
          <w:lang w:eastAsia="ru-RU"/>
        </w:rPr>
        <w:t>рми цього ферменту</w:t>
      </w:r>
      <w:r w:rsidR="00461CC4" w:rsidRPr="00156441">
        <w:rPr>
          <w:rFonts w:ascii="Times New Roman" w:eastAsia="Times New Roman" w:hAnsi="Times New Roman" w:cs="Times New Roman"/>
          <w:sz w:val="28"/>
          <w:szCs w:val="28"/>
          <w:lang w:eastAsia="ru-RU"/>
        </w:rPr>
        <w:t xml:space="preserve"> </w:t>
      </w:r>
      <w:r w:rsidR="00AC5021" w:rsidRPr="00156441">
        <w:rPr>
          <w:rFonts w:ascii="Times New Roman" w:eastAsia="Times New Roman" w:hAnsi="Times New Roman" w:cs="Times New Roman"/>
          <w:sz w:val="28"/>
          <w:szCs w:val="28"/>
          <w:lang w:eastAsia="ru-RU"/>
        </w:rPr>
        <w:t>—</w:t>
      </w:r>
      <w:r w:rsidR="00461CC4" w:rsidRPr="00156441">
        <w:rPr>
          <w:rFonts w:ascii="Times New Roman" w:eastAsia="Times New Roman" w:hAnsi="Times New Roman" w:cs="Times New Roman"/>
          <w:sz w:val="28"/>
          <w:szCs w:val="28"/>
          <w:lang w:eastAsia="ru-RU"/>
        </w:rPr>
        <w:t xml:space="preserve"> в 2,0 рази (р&lt;0,001) (табл. 3</w:t>
      </w:r>
      <w:r w:rsidR="00804F04" w:rsidRPr="00156441">
        <w:rPr>
          <w:rFonts w:ascii="Times New Roman" w:eastAsia="Times New Roman" w:hAnsi="Times New Roman" w:cs="Times New Roman"/>
          <w:sz w:val="28"/>
          <w:szCs w:val="28"/>
          <w:lang w:eastAsia="ru-RU"/>
        </w:rPr>
        <w:t>.5.2</w:t>
      </w:r>
      <w:r w:rsidRPr="00156441">
        <w:rPr>
          <w:rFonts w:ascii="Times New Roman" w:eastAsia="Times New Roman" w:hAnsi="Times New Roman" w:cs="Times New Roman"/>
          <w:sz w:val="28"/>
          <w:szCs w:val="28"/>
          <w:lang w:eastAsia="ru-RU"/>
        </w:rPr>
        <w:t xml:space="preserve">, </w:t>
      </w:r>
      <w:r w:rsidR="00F771CD" w:rsidRPr="00156441">
        <w:rPr>
          <w:rFonts w:ascii="Times New Roman" w:eastAsia="Times New Roman" w:hAnsi="Times New Roman" w:cs="Times New Roman"/>
          <w:sz w:val="28"/>
          <w:szCs w:val="28"/>
          <w:lang w:eastAsia="ru-RU"/>
        </w:rPr>
        <w:t xml:space="preserve">рис. </w:t>
      </w:r>
      <w:r w:rsidRPr="00156441">
        <w:rPr>
          <w:rFonts w:ascii="Times New Roman" w:eastAsia="Times New Roman" w:hAnsi="Times New Roman" w:cs="Times New Roman"/>
          <w:sz w:val="28"/>
          <w:szCs w:val="28"/>
          <w:lang w:eastAsia="ru-RU"/>
        </w:rPr>
        <w:t>22). При цьому у 40 пацієнтів (73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 ХОЗЛ у сполученні з ГХ активність загальної КФК виходила за межі фізіологічної норми (0-145 U/L), тоді як для МВ-КФК (0-24 U/L) це було характерним для 51 пацієнта (93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У групі порівняння це спостерігалось відповідно у 27 (60</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та 22 (49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хворих.</w:t>
      </w:r>
    </w:p>
    <w:p w:rsidR="00732200" w:rsidRPr="00156441" w:rsidRDefault="00461CC4" w:rsidP="00804F04">
      <w:pPr>
        <w:shd w:val="clear" w:color="auto" w:fill="FFFFFF"/>
        <w:spacing w:after="0" w:line="360" w:lineRule="auto"/>
        <w:contextualSpacing/>
        <w:jc w:val="right"/>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Таблиця 3</w:t>
      </w:r>
      <w:r w:rsidR="00804F04" w:rsidRPr="00156441">
        <w:rPr>
          <w:rFonts w:ascii="Times New Roman" w:eastAsia="Times New Roman" w:hAnsi="Times New Roman" w:cs="Times New Roman"/>
          <w:sz w:val="28"/>
          <w:szCs w:val="28"/>
          <w:lang w:eastAsia="ru-RU"/>
        </w:rPr>
        <w:t>.5.2</w:t>
      </w:r>
    </w:p>
    <w:p w:rsidR="00732200" w:rsidRPr="00156441" w:rsidRDefault="00732200" w:rsidP="00804F04">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Активність органоспецифічних ферментів у сироватці крові хворих</w:t>
      </w:r>
    </w:p>
    <w:p w:rsidR="00732200" w:rsidRPr="00156441" w:rsidRDefault="00732200" w:rsidP="00804F04">
      <w:pPr>
        <w:spacing w:after="0" w:line="360" w:lineRule="auto"/>
        <w:contextualSpacing/>
        <w:jc w:val="center"/>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з поєднаним перебігом ХОЗЛ і ГХ (Ме [25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 75</w:t>
      </w:r>
      <w:r w:rsidR="00C70355" w:rsidRPr="00156441">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925"/>
        <w:gridCol w:w="2925"/>
      </w:tblGrid>
      <w:tr w:rsidR="00156441" w:rsidRPr="00156441" w:rsidTr="00AC5021">
        <w:trPr>
          <w:trHeight w:val="934"/>
        </w:trPr>
        <w:tc>
          <w:tcPr>
            <w:tcW w:w="4068"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804F0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Показник</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804F04">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Основна група</w:t>
            </w:r>
          </w:p>
          <w:p w:rsidR="00804F04" w:rsidRPr="00156441" w:rsidRDefault="00804F04" w:rsidP="00804F04">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(ХОЗЛ+ГХ</w:t>
            </w:r>
            <w:r w:rsidR="00732200" w:rsidRPr="00156441">
              <w:rPr>
                <w:rFonts w:ascii="Times New Roman" w:eastAsia="Times New Roman" w:hAnsi="Times New Roman" w:cs="Times New Roman"/>
                <w:sz w:val="28"/>
                <w:szCs w:val="28"/>
                <w:lang w:eastAsia="ru-RU"/>
              </w:rPr>
              <w:t>)</w:t>
            </w:r>
          </w:p>
          <w:p w:rsidR="00732200" w:rsidRPr="00156441" w:rsidRDefault="00732200" w:rsidP="00804F04">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n=55</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804F04" w:rsidRPr="00156441" w:rsidRDefault="00732200" w:rsidP="00804F04">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 порівняння (ХОЗЛ)</w:t>
            </w:r>
          </w:p>
          <w:p w:rsidR="00732200" w:rsidRPr="00156441" w:rsidRDefault="00732200" w:rsidP="00804F04">
            <w:pPr>
              <w:spacing w:after="0" w:line="24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n=45</w:t>
            </w:r>
          </w:p>
        </w:tc>
      </w:tr>
      <w:tr w:rsidR="00156441"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Креатинфосфокіназа, U/L</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804F0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175,7 [122,6; 245,4]</w:t>
            </w:r>
          </w:p>
          <w:p w:rsidR="00732200" w:rsidRPr="00156441" w:rsidRDefault="00732200" w:rsidP="00804F0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p=0,006</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804F0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157,6 [102,2; 186,4]</w:t>
            </w:r>
          </w:p>
        </w:tc>
      </w:tr>
      <w:tr w:rsidR="00156441"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732200">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МВ-ізоформа креатинфосфокінази, U/L</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804F0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35,8</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[31,0; 93,1]</w:t>
            </w:r>
          </w:p>
          <w:p w:rsidR="00732200" w:rsidRPr="00156441" w:rsidRDefault="00732200" w:rsidP="00804F0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732200" w:rsidRPr="00156441" w:rsidRDefault="00732200" w:rsidP="00804F04">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29,0</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[17,0; 38,6]</w:t>
            </w:r>
          </w:p>
        </w:tc>
      </w:tr>
      <w:tr w:rsidR="003A4503" w:rsidRPr="00156441" w:rsidTr="009C556E">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3A4503" w:rsidRPr="003A4503" w:rsidRDefault="003A4503" w:rsidP="003A4503">
            <w:pPr>
              <w:shd w:val="clear" w:color="auto" w:fill="FFFFFF"/>
              <w:spacing w:after="0" w:line="360" w:lineRule="auto"/>
              <w:contextualSpacing/>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Продовження таблиці</w:t>
            </w:r>
            <w:r w:rsidRPr="003A4503">
              <w:rPr>
                <w:rFonts w:ascii="Times New Roman" w:eastAsia="Times New Roman" w:hAnsi="Times New Roman" w:cs="Times New Roman"/>
                <w:i/>
                <w:sz w:val="28"/>
                <w:szCs w:val="28"/>
                <w:lang w:eastAsia="ru-RU"/>
              </w:rPr>
              <w:t xml:space="preserve"> 3.5.2</w:t>
            </w:r>
          </w:p>
        </w:tc>
      </w:tr>
      <w:tr w:rsidR="003A4503"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γ-Глутамілтранспептидаза, U/L</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45,5 [32,2; 65,8]</w:t>
            </w:r>
          </w:p>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22,9 [10,7; 39,0]</w:t>
            </w:r>
          </w:p>
        </w:tc>
      </w:tr>
      <w:tr w:rsidR="003A4503"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Лактатдегідрогеназа, U/L</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297,3 [267,4; 358,3]</w:t>
            </w:r>
          </w:p>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p&lt;0,001</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247,0 [206,9; 288,5]</w:t>
            </w:r>
          </w:p>
        </w:tc>
      </w:tr>
      <w:tr w:rsidR="003A4503"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Аспартатамінотрансфераза, U/L</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80,9 [17,5; 116,8]</w:t>
            </w:r>
          </w:p>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p=0,318</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45,8 [21,1; 79,5]</w:t>
            </w:r>
          </w:p>
        </w:tc>
      </w:tr>
      <w:tr w:rsidR="003A4503"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Аланінамінотрансфераза, U/L</w:t>
            </w:r>
          </w:p>
          <w:p w:rsidR="003A4503" w:rsidRPr="00156441" w:rsidRDefault="003A4503" w:rsidP="003A4503">
            <w:pPr>
              <w:spacing w:after="0" w:line="360" w:lineRule="auto"/>
              <w:contextualSpacing/>
              <w:jc w:val="both"/>
              <w:rPr>
                <w:rFonts w:ascii="Times New Roman" w:eastAsia="Times New Roman" w:hAnsi="Times New Roman" w:cs="Times New Roman"/>
                <w:sz w:val="28"/>
                <w:szCs w:val="28"/>
                <w:lang w:eastAsia="ru-RU"/>
              </w:rPr>
            </w:pP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54,5[12,6; 92,5]</w:t>
            </w:r>
          </w:p>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p=0,101</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15,8 [10,3; 79,0]</w:t>
            </w:r>
          </w:p>
        </w:tc>
      </w:tr>
      <w:tr w:rsidR="003A4503"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α-Амілаза, U/L</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96,2 [73,2; 126,4]</w:t>
            </w:r>
          </w:p>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p=0,688</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104,3 [63,4; 127,6]</w:t>
            </w:r>
          </w:p>
        </w:tc>
      </w:tr>
      <w:tr w:rsidR="003A4503" w:rsidRPr="00156441" w:rsidTr="00AC5021">
        <w:tc>
          <w:tcPr>
            <w:tcW w:w="4068"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Лужна фосфатаза, U/L</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136,4 [116,7; 157,8]</w:t>
            </w:r>
          </w:p>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vertAlign w:val="superscript"/>
                <w:lang w:eastAsia="ru-RU"/>
              </w:rPr>
              <w:t>**</w:t>
            </w:r>
            <w:r w:rsidRPr="00156441">
              <w:rPr>
                <w:rFonts w:ascii="Times New Roman" w:eastAsia="Times New Roman" w:hAnsi="Times New Roman" w:cs="Times New Roman"/>
                <w:sz w:val="28"/>
                <w:szCs w:val="28"/>
                <w:lang w:eastAsia="ru-RU"/>
              </w:rPr>
              <w:t>p=0,436</w:t>
            </w: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3A4503" w:rsidRPr="00156441" w:rsidRDefault="003A4503" w:rsidP="003A4503">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134,5 [111,4; 154,6]</w:t>
            </w:r>
          </w:p>
        </w:tc>
      </w:tr>
    </w:tbl>
    <w:p w:rsidR="00732200" w:rsidRPr="00156441" w:rsidRDefault="00732200" w:rsidP="00732200">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Примітка: </w:t>
      </w:r>
      <w:r w:rsidRPr="00156441">
        <w:rPr>
          <w:rFonts w:ascii="Times New Roman" w:eastAsia="Times New Roman" w:hAnsi="Times New Roman" w:cs="Times New Roman"/>
          <w:bCs/>
          <w:sz w:val="28"/>
          <w:szCs w:val="28"/>
          <w:vertAlign w:val="superscript"/>
          <w:lang w:eastAsia="ru-RU"/>
        </w:rPr>
        <w:t>**</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sz w:val="28"/>
          <w:szCs w:val="28"/>
          <w:lang w:eastAsia="ru-RU"/>
        </w:rPr>
        <w:t>рівень значущості по відношенню до групи порівняння</w:t>
      </w: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p>
    <w:p w:rsidR="00732200" w:rsidRPr="00156441" w:rsidRDefault="00006F94"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603" w:dyaOrig="4230">
          <v:shape id="_x0000_i1046" type="#_x0000_t75" style="width:279.35pt;height:212.55pt" o:ole="">
            <v:imagedata r:id="rId50" o:title=""/>
          </v:shape>
          <o:OLEObject Type="Embed" ProgID="STATISTICA.Graph" ShapeID="_x0000_i1046" DrawAspect="Content" ObjectID="_1579001540" r:id="rId51">
            <o:FieldCodes>\s</o:FieldCodes>
          </o:OLEObject>
        </w:object>
      </w:r>
    </w:p>
    <w:p w:rsidR="00732200" w:rsidRPr="00156441" w:rsidRDefault="00F771CD" w:rsidP="00732200">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22. Активність МВ-ізоформи креатинфосфокінази (U/L)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 xml:space="preserve">поєднаним перебігом ХОЗЛ і ГХ </w:t>
      </w:r>
      <w:r w:rsidR="00732200" w:rsidRPr="00156441">
        <w:rPr>
          <w:rFonts w:ascii="Times New Roman" w:eastAsia="Times New Roman" w:hAnsi="Times New Roman" w:cs="Times New Roman"/>
          <w:sz w:val="28"/>
          <w:szCs w:val="28"/>
          <w:lang w:eastAsia="ru-RU"/>
        </w:rPr>
        <w:t>(фізіологічна норма 0-24 U/L)</w:t>
      </w: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lastRenderedPageBreak/>
        <w:t>У 34 пацієнтів (62</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 ХОЗЛ у сполученні з ГХ виявлялось підвищення вище фізіологічної норми (0-38 U/L) активності сироваткової γ-глутамілтранспептидази (ГГТП). У випадку ХОЗЛ у відсутності ГХ це було характерним для 11 осіб (25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Активність ГГТП у хворих основної групи була вірогідно підвищеною (р&lt;0,001) по відношенню до хворих групи по</w:t>
      </w:r>
      <w:r w:rsidR="00804F04" w:rsidRPr="00156441">
        <w:rPr>
          <w:rFonts w:ascii="Times New Roman" w:eastAsia="Times New Roman" w:hAnsi="Times New Roman" w:cs="Times New Roman"/>
          <w:sz w:val="28"/>
          <w:szCs w:val="28"/>
          <w:lang w:eastAsia="ru-RU"/>
        </w:rPr>
        <w:t xml:space="preserve">рівняння </w:t>
      </w:r>
      <w:r w:rsidR="00461CC4" w:rsidRPr="00156441">
        <w:rPr>
          <w:rFonts w:ascii="Times New Roman" w:eastAsia="Times New Roman" w:hAnsi="Times New Roman" w:cs="Times New Roman"/>
          <w:sz w:val="28"/>
          <w:szCs w:val="28"/>
          <w:lang w:eastAsia="ru-RU"/>
        </w:rPr>
        <w:t>в середньому в 1,8 рази (табл. 3</w:t>
      </w:r>
      <w:r w:rsidR="00804F04" w:rsidRPr="00156441">
        <w:rPr>
          <w:rFonts w:ascii="Times New Roman" w:eastAsia="Times New Roman" w:hAnsi="Times New Roman" w:cs="Times New Roman"/>
          <w:sz w:val="28"/>
          <w:szCs w:val="28"/>
          <w:lang w:eastAsia="ru-RU"/>
        </w:rPr>
        <w:t>.5.2</w:t>
      </w:r>
      <w:r w:rsidRPr="00156441">
        <w:rPr>
          <w:rFonts w:ascii="Times New Roman" w:eastAsia="Times New Roman" w:hAnsi="Times New Roman" w:cs="Times New Roman"/>
          <w:sz w:val="28"/>
          <w:szCs w:val="28"/>
          <w:lang w:eastAsia="ru-RU"/>
        </w:rPr>
        <w:t>, рис.</w:t>
      </w:r>
      <w:r w:rsidR="00E3005A"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23).</w:t>
      </w:r>
    </w:p>
    <w:p w:rsidR="00732200" w:rsidRPr="00156441" w:rsidRDefault="00006F94"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609" w:dyaOrig="4230">
          <v:shape id="_x0000_i1047" type="#_x0000_t75" style="width:280.5pt;height:212.55pt" o:ole="">
            <v:imagedata r:id="rId52" o:title=""/>
          </v:shape>
          <o:OLEObject Type="Embed" ProgID="STATISTICA.Graph" ShapeID="_x0000_i1047" DrawAspect="Content" ObjectID="_1579001541" r:id="rId53">
            <o:FieldCodes>\s</o:FieldCodes>
          </o:OLEObject>
        </w:object>
      </w:r>
    </w:p>
    <w:p w:rsidR="00732200" w:rsidRDefault="00F771CD"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23. Активність γ-глутамілтранспептидази (U/L)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 xml:space="preserve">поєднаним перебігом ХОЗЛ і ГХ </w:t>
      </w:r>
      <w:r w:rsidR="00732200" w:rsidRPr="00156441">
        <w:rPr>
          <w:rFonts w:ascii="Times New Roman" w:eastAsia="Times New Roman" w:hAnsi="Times New Roman" w:cs="Times New Roman"/>
          <w:sz w:val="28"/>
          <w:szCs w:val="28"/>
          <w:lang w:eastAsia="ru-RU"/>
        </w:rPr>
        <w:t>(фізіологічна норма 0-38 U/L)</w:t>
      </w:r>
    </w:p>
    <w:p w:rsidR="00D53929" w:rsidRDefault="00D53929" w:rsidP="00D53929">
      <w:pPr>
        <w:spacing w:after="0" w:line="360" w:lineRule="auto"/>
        <w:ind w:firstLine="720"/>
        <w:contextualSpacing/>
        <w:jc w:val="both"/>
        <w:rPr>
          <w:rFonts w:ascii="Times New Roman" w:eastAsia="Times New Roman" w:hAnsi="Times New Roman" w:cs="Times New Roman"/>
          <w:sz w:val="28"/>
          <w:szCs w:val="28"/>
          <w:lang w:eastAsia="ru-RU"/>
        </w:rPr>
      </w:pPr>
    </w:p>
    <w:p w:rsidR="00D53929" w:rsidRPr="00156441" w:rsidRDefault="00D53929" w:rsidP="00D53929">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сироватці крові пацієнтів основної групи спостерігалось статистично значиме при зіставленні з групою порівняння підвищення активності лактатдегідрогенази (ЛДГ) в середньому в 1,3 рази (табл. 3.5.2, рис. 24). У 49 хворих (89 %) з коморбідною патологією активність ЛДГ виходила за діапазон фізіологічної норми (0-247 U/L), для хворих з ізольованим перебігом ХОЗЛ це визначалось у 21 випадку (47 %).</w:t>
      </w:r>
    </w:p>
    <w:p w:rsidR="002A7D11" w:rsidRPr="00156441" w:rsidRDefault="002A7D11" w:rsidP="002A7D1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50" w:dyaOrig="3971">
          <v:shape id="_x0000_i1048" type="#_x0000_t75" style="width:263.25pt;height:198.15pt" o:ole="">
            <v:imagedata r:id="rId54" o:title=""/>
          </v:shape>
          <o:OLEObject Type="Embed" ProgID="STATISTICA.Graph" ShapeID="_x0000_i1048" DrawAspect="Content" ObjectID="_1579001542" r:id="rId55">
            <o:FieldCodes>\s</o:FieldCodes>
          </o:OLEObject>
        </w:object>
      </w:r>
    </w:p>
    <w:p w:rsidR="002A7D11" w:rsidRDefault="002A7D11" w:rsidP="002A7D11">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Рис. 24. Активність лактатдегідрогенази (U/L) у</w:t>
      </w:r>
      <w:r w:rsidRPr="00156441">
        <w:rPr>
          <w:rFonts w:ascii="Times New Roman" w:eastAsia="Times New Roman" w:hAnsi="Times New Roman" w:cs="Times New Roman"/>
          <w:bCs/>
          <w:sz w:val="28"/>
          <w:szCs w:val="28"/>
          <w:lang w:eastAsia="ru-RU"/>
        </w:rPr>
        <w:t xml:space="preserve"> сироватці крові </w:t>
      </w:r>
      <w:r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Pr="00156441">
        <w:rPr>
          <w:rFonts w:ascii="Times New Roman" w:eastAsia="Times New Roman" w:hAnsi="Times New Roman" w:cs="Times New Roman"/>
          <w:bCs/>
          <w:sz w:val="28"/>
          <w:szCs w:val="28"/>
          <w:lang w:eastAsia="ru-RU"/>
        </w:rPr>
        <w:t xml:space="preserve">поєднаним перебігом ХОЗЛ і ГХ (фізіологічна норма </w:t>
      </w:r>
      <w:r w:rsidRPr="00156441">
        <w:rPr>
          <w:rFonts w:ascii="Times New Roman" w:eastAsia="Times New Roman" w:hAnsi="Times New Roman" w:cs="Times New Roman"/>
          <w:sz w:val="28"/>
          <w:szCs w:val="28"/>
          <w:lang w:eastAsia="ru-RU"/>
        </w:rPr>
        <w:t>0-247 U/L)</w:t>
      </w:r>
    </w:p>
    <w:p w:rsidR="00D53929" w:rsidRPr="00156441" w:rsidRDefault="00D53929" w:rsidP="00732200">
      <w:pPr>
        <w:spacing w:after="0" w:line="360" w:lineRule="auto"/>
        <w:ind w:firstLine="720"/>
        <w:contextualSpacing/>
        <w:jc w:val="both"/>
        <w:rPr>
          <w:rFonts w:ascii="Times New Roman" w:eastAsia="Times New Roman" w:hAnsi="Times New Roman" w:cs="Times New Roman"/>
          <w:bCs/>
          <w:sz w:val="28"/>
          <w:szCs w:val="28"/>
          <w:lang w:eastAsia="ru-RU"/>
        </w:rPr>
      </w:pP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хворих на ХОЗЛ з ГХ при порівнянні з хворими на ХОЗЛ у відсутності ГХ не відмічалось вірогідних змін з боку активності АсАТ (р=0,3</w:t>
      </w:r>
      <w:r w:rsidR="00804F04" w:rsidRPr="00156441">
        <w:rPr>
          <w:rFonts w:ascii="Times New Roman" w:eastAsia="Times New Roman" w:hAnsi="Times New Roman" w:cs="Times New Roman"/>
          <w:sz w:val="28"/>
          <w:szCs w:val="28"/>
          <w:lang w:eastAsia="ru-RU"/>
        </w:rPr>
        <w:t xml:space="preserve">18) та АлАТ </w:t>
      </w:r>
      <w:r w:rsidR="00461CC4" w:rsidRPr="00156441">
        <w:rPr>
          <w:rFonts w:ascii="Times New Roman" w:eastAsia="Times New Roman" w:hAnsi="Times New Roman" w:cs="Times New Roman"/>
          <w:sz w:val="28"/>
          <w:szCs w:val="28"/>
          <w:lang w:eastAsia="ru-RU"/>
        </w:rPr>
        <w:t>(р=0,101) (табл. 3</w:t>
      </w:r>
      <w:r w:rsidR="00804F04" w:rsidRPr="00156441">
        <w:rPr>
          <w:rFonts w:ascii="Times New Roman" w:eastAsia="Times New Roman" w:hAnsi="Times New Roman" w:cs="Times New Roman"/>
          <w:sz w:val="28"/>
          <w:szCs w:val="28"/>
          <w:lang w:eastAsia="ru-RU"/>
        </w:rPr>
        <w:t>.5.2</w:t>
      </w:r>
      <w:r w:rsidRPr="00156441">
        <w:rPr>
          <w:rFonts w:ascii="Times New Roman" w:eastAsia="Times New Roman" w:hAnsi="Times New Roman" w:cs="Times New Roman"/>
          <w:sz w:val="28"/>
          <w:szCs w:val="28"/>
          <w:lang w:eastAsia="ru-RU"/>
        </w:rPr>
        <w:t xml:space="preserve">, </w:t>
      </w:r>
      <w:r w:rsidR="00F771CD" w:rsidRPr="00156441">
        <w:rPr>
          <w:rFonts w:ascii="Times New Roman" w:eastAsia="Times New Roman" w:hAnsi="Times New Roman" w:cs="Times New Roman"/>
          <w:sz w:val="28"/>
          <w:szCs w:val="28"/>
          <w:lang w:eastAsia="ru-RU"/>
        </w:rPr>
        <w:t xml:space="preserve">рис. 25, </w:t>
      </w:r>
      <w:r w:rsidRPr="00156441">
        <w:rPr>
          <w:rFonts w:ascii="Times New Roman" w:eastAsia="Times New Roman" w:hAnsi="Times New Roman" w:cs="Times New Roman"/>
          <w:sz w:val="28"/>
          <w:szCs w:val="28"/>
          <w:lang w:eastAsia="ru-RU"/>
        </w:rPr>
        <w:t>26). Але слід відзначити, що у 35 осіб (64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основної групи активність АсАТ та </w:t>
      </w:r>
      <w:r w:rsidR="00E3005A" w:rsidRPr="00156441">
        <w:rPr>
          <w:rFonts w:ascii="Times New Roman" w:eastAsia="Times New Roman" w:hAnsi="Times New Roman" w:cs="Times New Roman"/>
          <w:sz w:val="28"/>
          <w:szCs w:val="28"/>
          <w:lang w:eastAsia="ru-RU"/>
        </w:rPr>
        <w:t xml:space="preserve">АлАТ збільшувалась вище норми. </w:t>
      </w:r>
      <w:r w:rsidRPr="00156441">
        <w:rPr>
          <w:rFonts w:ascii="Times New Roman" w:eastAsia="Times New Roman" w:hAnsi="Times New Roman" w:cs="Times New Roman"/>
          <w:sz w:val="28"/>
          <w:szCs w:val="28"/>
          <w:lang w:eastAsia="ru-RU"/>
        </w:rPr>
        <w:t>У 24 хворих (53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групи порівняння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 xml:space="preserve">спостерігався </w:t>
      </w:r>
      <w:r w:rsidR="00E3005A" w:rsidRPr="00156441">
        <w:rPr>
          <w:rFonts w:ascii="Times New Roman" w:eastAsia="Times New Roman" w:hAnsi="Times New Roman" w:cs="Times New Roman"/>
          <w:sz w:val="28"/>
          <w:szCs w:val="28"/>
          <w:lang w:eastAsia="ru-RU"/>
        </w:rPr>
        <w:t xml:space="preserve">вихід за межі норми активності </w:t>
      </w:r>
      <w:r w:rsidRPr="00156441">
        <w:rPr>
          <w:rFonts w:ascii="Times New Roman" w:eastAsia="Times New Roman" w:hAnsi="Times New Roman" w:cs="Times New Roman"/>
          <w:sz w:val="28"/>
          <w:szCs w:val="28"/>
          <w:lang w:eastAsia="ru-RU"/>
        </w:rPr>
        <w:t>АсАТ та у 17 хворих (39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w:t>
      </w:r>
      <w:r w:rsidR="00E3005A"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 активності АлАТ.</w:t>
      </w:r>
    </w:p>
    <w:p w:rsidR="00732200" w:rsidRPr="00156441" w:rsidRDefault="002A7D11"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62" w:dyaOrig="3971">
          <v:shape id="_x0000_i1049" type="#_x0000_t75" style="width:263.8pt;height:198.15pt" o:ole="">
            <v:imagedata r:id="rId56" o:title=""/>
          </v:shape>
          <o:OLEObject Type="Embed" ProgID="STATISTICA.Graph" ShapeID="_x0000_i1049" DrawAspect="Content" ObjectID="_1579001543" r:id="rId57">
            <o:FieldCodes>\s</o:FieldCodes>
          </o:OLEObject>
        </w:object>
      </w:r>
    </w:p>
    <w:p w:rsidR="00732200" w:rsidRPr="00156441" w:rsidRDefault="00F771CD"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25. Активність аспартатамінотрансферази (U/L)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 xml:space="preserve">поєднаним перебігом ХОЗЛ і ГХ (фізіологічна норма </w:t>
      </w:r>
      <w:r w:rsidR="00732200" w:rsidRPr="00156441">
        <w:rPr>
          <w:rFonts w:ascii="Times New Roman" w:eastAsia="Times New Roman" w:hAnsi="Times New Roman" w:cs="Times New Roman"/>
          <w:sz w:val="28"/>
          <w:szCs w:val="28"/>
          <w:lang w:eastAsia="ru-RU"/>
        </w:rPr>
        <w:t>0-31 U/L)</w:t>
      </w:r>
    </w:p>
    <w:p w:rsidR="00732200" w:rsidRPr="00156441" w:rsidRDefault="002A7D11"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262" w:dyaOrig="3971">
          <v:shape id="_x0000_i1050" type="#_x0000_t75" style="width:263.8pt;height:198.15pt" o:ole="">
            <v:imagedata r:id="rId58" o:title=""/>
          </v:shape>
          <o:OLEObject Type="Embed" ProgID="STATISTICA.Graph" ShapeID="_x0000_i1050" DrawAspect="Content" ObjectID="_1579001544" r:id="rId59">
            <o:FieldCodes>\s</o:FieldCodes>
          </o:OLEObject>
        </w:object>
      </w:r>
    </w:p>
    <w:p w:rsidR="00732200" w:rsidRDefault="00F771CD"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26. Активність аланінамінотрансферази (U/L)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поєднаним перебігом ХОЗЛ і ГХ (фізіологічна норма</w:t>
      </w:r>
      <w:r w:rsidR="00934E4F" w:rsidRPr="00156441">
        <w:rPr>
          <w:rFonts w:ascii="Times New Roman" w:eastAsia="Times New Roman" w:hAnsi="Times New Roman" w:cs="Times New Roman"/>
          <w:bCs/>
          <w:sz w:val="28"/>
          <w:szCs w:val="28"/>
          <w:lang w:eastAsia="ru-RU"/>
        </w:rPr>
        <w:t> — </w:t>
      </w:r>
      <w:r w:rsidR="00732200" w:rsidRPr="00156441">
        <w:rPr>
          <w:rFonts w:ascii="Times New Roman" w:eastAsia="Times New Roman" w:hAnsi="Times New Roman" w:cs="Times New Roman"/>
          <w:sz w:val="28"/>
          <w:szCs w:val="28"/>
          <w:lang w:eastAsia="ru-RU"/>
        </w:rPr>
        <w:t>0-34 U/L)</w:t>
      </w:r>
    </w:p>
    <w:p w:rsidR="00D53929" w:rsidRDefault="00D53929" w:rsidP="00732200">
      <w:pPr>
        <w:spacing w:after="0" w:line="360" w:lineRule="auto"/>
        <w:ind w:firstLine="720"/>
        <w:contextualSpacing/>
        <w:jc w:val="both"/>
        <w:rPr>
          <w:rFonts w:ascii="Times New Roman" w:eastAsia="Times New Roman" w:hAnsi="Times New Roman" w:cs="Times New Roman"/>
          <w:sz w:val="28"/>
          <w:szCs w:val="28"/>
          <w:lang w:eastAsia="ru-RU"/>
        </w:rPr>
      </w:pPr>
    </w:p>
    <w:p w:rsidR="00D53929" w:rsidRPr="00156441" w:rsidRDefault="00D53929" w:rsidP="00D53929">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При порівнянні активності α-амілази у сироватці крові хворих з поєднаним перебігом ХОЗЛ і ГХ з активністю у хворих з ізольованим перебігом ХОЗЛ вірогідних відмінностей не визначено (р=0,688). При цьому у 26 пацієнтів обох груп значення показника виходили за межі норми (0-98 U/L) (табл. 3.5.2, рис. 27).</w:t>
      </w:r>
    </w:p>
    <w:p w:rsidR="00732200" w:rsidRPr="00156441" w:rsidRDefault="00D53929"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621" w:dyaOrig="4230">
          <v:shape id="_x0000_i1051" type="#_x0000_t75" style="width:281.1pt;height:212.55pt" o:ole="">
            <v:imagedata r:id="rId60" o:title=""/>
          </v:shape>
          <o:OLEObject Type="Embed" ProgID="STATISTICA.Graph" ShapeID="_x0000_i1051" DrawAspect="Content" ObjectID="_1579001545" r:id="rId61">
            <o:FieldCodes>\s</o:FieldCodes>
          </o:OLEObject>
        </w:object>
      </w:r>
    </w:p>
    <w:p w:rsidR="00732200" w:rsidRDefault="00F771CD"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27. Активність α-амілази (U/L)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 xml:space="preserve">поєднаним перебігом ХОЗЛ і ГХ (фізіологічна норма </w:t>
      </w:r>
      <w:r w:rsidR="00732200" w:rsidRPr="00156441">
        <w:rPr>
          <w:rFonts w:ascii="Times New Roman" w:eastAsia="Times New Roman" w:hAnsi="Times New Roman" w:cs="Times New Roman"/>
          <w:sz w:val="28"/>
          <w:szCs w:val="28"/>
          <w:lang w:eastAsia="ru-RU"/>
        </w:rPr>
        <w:t>0-98 U/L)</w:t>
      </w:r>
    </w:p>
    <w:p w:rsidR="00D53929" w:rsidRPr="00156441" w:rsidRDefault="00D53929" w:rsidP="00D53929">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lastRenderedPageBreak/>
        <w:t>Аналогічно у пацієнтів основної групи не відзначалось вірогідних змін з боку активності у сироватці крові лужної фосфатази по відношенню до групи порівняння (р=0,436). Але звертає увагу суттєве збільшення активності цього ферменту у крові пацієнтів обох груп у порівнянні з фізіологічною нормою</w:t>
      </w:r>
      <w:r w:rsidRPr="00156441">
        <w:rPr>
          <w:rFonts w:ascii="Times New Roman" w:eastAsia="Times New Roman" w:hAnsi="Times New Roman" w:cs="Times New Roman"/>
          <w:sz w:val="28"/>
          <w:szCs w:val="28"/>
          <w:lang w:eastAsia="ru-RU"/>
        </w:rPr>
        <w:br/>
        <w:t>(42–98 U/L) (табл. 3.5.2, рис. 28). Лише у 7 хворих (13 %) на ХОЗЛ у поєднанні з ГХ та 8 хворих (18 %) з ізольованим перебігом ХОЗЛ значення активності лужної фосфатази входили у діапазон норми.</w:t>
      </w:r>
    </w:p>
    <w:p w:rsidR="00D53929" w:rsidRPr="00156441" w:rsidRDefault="00D53929" w:rsidP="00732200">
      <w:pPr>
        <w:spacing w:after="0" w:line="360" w:lineRule="auto"/>
        <w:ind w:firstLine="720"/>
        <w:contextualSpacing/>
        <w:jc w:val="both"/>
        <w:rPr>
          <w:rFonts w:ascii="Times New Roman" w:eastAsia="Times New Roman" w:hAnsi="Times New Roman" w:cs="Times New Roman"/>
          <w:bCs/>
          <w:sz w:val="28"/>
          <w:szCs w:val="28"/>
          <w:lang w:eastAsia="ru-RU"/>
        </w:rPr>
      </w:pPr>
    </w:p>
    <w:p w:rsidR="00732200" w:rsidRPr="00156441" w:rsidRDefault="00D53929" w:rsidP="002D26C1">
      <w:pPr>
        <w:spacing w:after="0" w:line="360" w:lineRule="auto"/>
        <w:contextualSpacing/>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object w:dxaOrig="5621" w:dyaOrig="4231">
          <v:shape id="_x0000_i1052" type="#_x0000_t75" style="width:281.1pt;height:211.95pt" o:ole="">
            <v:imagedata r:id="rId62" o:title=""/>
          </v:shape>
          <o:OLEObject Type="Embed" ProgID="STATISTICA.Graph" ShapeID="_x0000_i1052" DrawAspect="Content" ObjectID="_1579001546" r:id="rId63">
            <o:FieldCodes>\s</o:FieldCodes>
          </o:OLEObject>
        </w:object>
      </w:r>
    </w:p>
    <w:p w:rsidR="00732200" w:rsidRPr="00156441" w:rsidRDefault="00F771CD" w:rsidP="00732200">
      <w:pPr>
        <w:spacing w:after="0" w:line="360" w:lineRule="auto"/>
        <w:ind w:firstLine="720"/>
        <w:contextualSpacing/>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 xml:space="preserve">Рис. </w:t>
      </w:r>
      <w:r w:rsidR="00732200" w:rsidRPr="00156441">
        <w:rPr>
          <w:rFonts w:ascii="Times New Roman" w:eastAsia="Times New Roman" w:hAnsi="Times New Roman" w:cs="Times New Roman"/>
          <w:sz w:val="28"/>
          <w:szCs w:val="28"/>
          <w:lang w:eastAsia="ru-RU"/>
        </w:rPr>
        <w:t>28. Активність лужної фосфатази (U/L) у</w:t>
      </w:r>
      <w:r w:rsidR="00732200" w:rsidRPr="00156441">
        <w:rPr>
          <w:rFonts w:ascii="Times New Roman" w:eastAsia="Times New Roman" w:hAnsi="Times New Roman" w:cs="Times New Roman"/>
          <w:bCs/>
          <w:sz w:val="28"/>
          <w:szCs w:val="28"/>
          <w:lang w:eastAsia="ru-RU"/>
        </w:rPr>
        <w:t xml:space="preserve"> сироватці крові </w:t>
      </w:r>
      <w:r w:rsidR="00732200" w:rsidRPr="00156441">
        <w:rPr>
          <w:rFonts w:ascii="Times New Roman" w:eastAsia="Times New Roman" w:hAnsi="Times New Roman" w:cs="Times New Roman"/>
          <w:sz w:val="28"/>
          <w:szCs w:val="28"/>
          <w:lang w:eastAsia="ru-RU"/>
        </w:rPr>
        <w:t xml:space="preserve">хворих з ізольованим перебігом ХОЗЛ та хворих з </w:t>
      </w:r>
      <w:r w:rsidR="00732200" w:rsidRPr="00156441">
        <w:rPr>
          <w:rFonts w:ascii="Times New Roman" w:eastAsia="Times New Roman" w:hAnsi="Times New Roman" w:cs="Times New Roman"/>
          <w:bCs/>
          <w:sz w:val="28"/>
          <w:szCs w:val="28"/>
          <w:lang w:eastAsia="ru-RU"/>
        </w:rPr>
        <w:t>поєднаним перебігом ХОЗЛ і ГХ (фізіологічна норма</w:t>
      </w:r>
      <w:r w:rsidR="00934E4F" w:rsidRPr="00156441">
        <w:rPr>
          <w:rFonts w:ascii="Times New Roman" w:eastAsia="Times New Roman" w:hAnsi="Times New Roman" w:cs="Times New Roman"/>
          <w:bCs/>
          <w:sz w:val="28"/>
          <w:szCs w:val="28"/>
          <w:lang w:eastAsia="ru-RU"/>
        </w:rPr>
        <w:t> — </w:t>
      </w:r>
      <w:r w:rsidR="00732200" w:rsidRPr="00156441">
        <w:rPr>
          <w:rFonts w:ascii="Times New Roman" w:eastAsia="Times New Roman" w:hAnsi="Times New Roman" w:cs="Times New Roman"/>
          <w:bCs/>
          <w:sz w:val="28"/>
          <w:szCs w:val="28"/>
          <w:lang w:eastAsia="ru-RU"/>
        </w:rPr>
        <w:t>42</w:t>
      </w:r>
      <w:r w:rsidR="00732200" w:rsidRPr="00156441">
        <w:rPr>
          <w:rFonts w:ascii="Times New Roman" w:eastAsia="Times New Roman" w:hAnsi="Times New Roman" w:cs="Times New Roman"/>
          <w:sz w:val="28"/>
          <w:szCs w:val="28"/>
          <w:lang w:eastAsia="ru-RU"/>
        </w:rPr>
        <w:t>-98 U/L)</w:t>
      </w:r>
    </w:p>
    <w:p w:rsidR="00732200" w:rsidRPr="00156441" w:rsidRDefault="00732200" w:rsidP="00732200">
      <w:pPr>
        <w:spacing w:after="0" w:line="360" w:lineRule="auto"/>
        <w:ind w:firstLine="708"/>
        <w:contextualSpacing/>
        <w:jc w:val="both"/>
        <w:rPr>
          <w:rFonts w:ascii="Times New Roman" w:eastAsia="Times New Roman" w:hAnsi="Times New Roman" w:cs="Times New Roman"/>
          <w:sz w:val="28"/>
          <w:szCs w:val="28"/>
          <w:lang w:eastAsia="ru-RU"/>
        </w:rPr>
      </w:pPr>
    </w:p>
    <w:p w:rsidR="00732200" w:rsidRPr="00156441" w:rsidRDefault="00732200" w:rsidP="00804F04">
      <w:pPr>
        <w:spacing w:after="0" w:line="360" w:lineRule="auto"/>
        <w:ind w:firstLine="708"/>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Одержані результати щодо активності органоспецифічних ферментів у крові обстежених хворих, особливо у випадку поєднання ХОЗЛ з ГХ, свідчать про розвиток мембранної патології, яка супроводжується надходженням у кров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яне русло органоспецифічних ферментів. Особливо це стосується МВ-КФК, ЛДГ, лужної фосфатази, амінотрансфераз, ГГТП. З іншого боку, такі зміни віддзеркалюють напруження комп</w:t>
      </w:r>
      <w:r w:rsidR="00804F04" w:rsidRPr="00156441">
        <w:rPr>
          <w:rFonts w:ascii="Times New Roman" w:eastAsia="Times New Roman" w:hAnsi="Times New Roman" w:cs="Times New Roman"/>
          <w:sz w:val="28"/>
          <w:szCs w:val="28"/>
          <w:lang w:eastAsia="ru-RU"/>
        </w:rPr>
        <w:t>енсаторно-адаптаційних реакцій.</w:t>
      </w:r>
    </w:p>
    <w:p w:rsidR="00804F04" w:rsidRPr="00156441" w:rsidRDefault="00804F04" w:rsidP="00804F04">
      <w:pPr>
        <w:spacing w:after="0" w:line="360" w:lineRule="auto"/>
        <w:ind w:firstLine="708"/>
        <w:contextualSpacing/>
        <w:jc w:val="both"/>
        <w:rPr>
          <w:rFonts w:ascii="Times New Roman" w:eastAsia="Times New Roman" w:hAnsi="Times New Roman" w:cs="Times New Roman"/>
          <w:sz w:val="28"/>
          <w:szCs w:val="28"/>
          <w:lang w:eastAsia="ru-RU"/>
        </w:rPr>
      </w:pPr>
    </w:p>
    <w:p w:rsidR="00804F04" w:rsidRDefault="00584B2B" w:rsidP="00804F04">
      <w:pPr>
        <w:pStyle w:val="a4"/>
        <w:spacing w:after="0" w:line="360" w:lineRule="auto"/>
        <w:ind w:left="420" w:firstLine="288"/>
        <w:jc w:val="center"/>
        <w:rPr>
          <w:rFonts w:ascii="Times New Roman" w:hAnsi="Times New Roman" w:cs="Times New Roman"/>
          <w:b/>
          <w:sz w:val="28"/>
          <w:szCs w:val="28"/>
        </w:rPr>
      </w:pPr>
      <w:bookmarkStart w:id="17" w:name="Pidrozd_3_6"/>
      <w:r w:rsidRPr="00156441">
        <w:rPr>
          <w:rFonts w:ascii="Times New Roman" w:hAnsi="Times New Roman" w:cs="Times New Roman"/>
          <w:b/>
          <w:sz w:val="28"/>
          <w:szCs w:val="28"/>
        </w:rPr>
        <w:lastRenderedPageBreak/>
        <w:t>3.</w:t>
      </w:r>
      <w:r w:rsidR="00804F04" w:rsidRPr="00156441">
        <w:rPr>
          <w:rFonts w:ascii="Times New Roman" w:hAnsi="Times New Roman" w:cs="Times New Roman"/>
          <w:b/>
          <w:sz w:val="28"/>
          <w:szCs w:val="28"/>
        </w:rPr>
        <w:t>6. Оцінка структури і функціонального стану серця на підставі даних ЕхоКГ хворих хронічним обструктивним захворюванням легень в поєднанні з гіпертонічною хворобою</w:t>
      </w:r>
    </w:p>
    <w:p w:rsidR="002D26C1" w:rsidRPr="00156441" w:rsidRDefault="002D26C1" w:rsidP="00804F04">
      <w:pPr>
        <w:pStyle w:val="a4"/>
        <w:spacing w:after="0" w:line="360" w:lineRule="auto"/>
        <w:ind w:left="420" w:firstLine="288"/>
        <w:jc w:val="center"/>
        <w:rPr>
          <w:rFonts w:ascii="Times New Roman" w:hAnsi="Times New Roman" w:cs="Times New Roman"/>
          <w:sz w:val="28"/>
          <w:szCs w:val="28"/>
        </w:rPr>
      </w:pPr>
    </w:p>
    <w:p w:rsidR="00804F04" w:rsidRPr="00156441" w:rsidRDefault="00461CC4" w:rsidP="00804F04">
      <w:pPr>
        <w:pStyle w:val="a4"/>
        <w:spacing w:after="0" w:line="360" w:lineRule="auto"/>
        <w:ind w:left="420" w:firstLine="288"/>
        <w:jc w:val="center"/>
        <w:rPr>
          <w:rFonts w:ascii="Times New Roman" w:hAnsi="Times New Roman" w:cs="Times New Roman"/>
          <w:sz w:val="28"/>
          <w:szCs w:val="28"/>
        </w:rPr>
      </w:pPr>
      <w:bookmarkStart w:id="18" w:name="Pirdozd_3_6_1"/>
      <w:bookmarkEnd w:id="17"/>
      <w:r w:rsidRPr="00156441">
        <w:rPr>
          <w:rFonts w:ascii="Times New Roman" w:hAnsi="Times New Roman" w:cs="Times New Roman"/>
          <w:sz w:val="28"/>
          <w:szCs w:val="28"/>
        </w:rPr>
        <w:t>3</w:t>
      </w:r>
      <w:r w:rsidR="00804F04" w:rsidRPr="00156441">
        <w:rPr>
          <w:rFonts w:ascii="Times New Roman" w:hAnsi="Times New Roman" w:cs="Times New Roman"/>
          <w:sz w:val="28"/>
          <w:szCs w:val="28"/>
        </w:rPr>
        <w:t>.6.1 Товщина та розміри камер серця</w:t>
      </w:r>
    </w:p>
    <w:bookmarkEnd w:id="18"/>
    <w:p w:rsidR="00804F04" w:rsidRPr="00156441" w:rsidRDefault="00804F04" w:rsidP="00934E4F">
      <w:pPr>
        <w:pStyle w:val="a4"/>
        <w:spacing w:after="0" w:line="360" w:lineRule="auto"/>
        <w:ind w:left="0" w:firstLine="709"/>
        <w:jc w:val="both"/>
        <w:rPr>
          <w:rFonts w:ascii="Times New Roman" w:hAnsi="Times New Roman" w:cs="Times New Roman"/>
          <w:sz w:val="28"/>
          <w:szCs w:val="28"/>
        </w:rPr>
      </w:pPr>
      <w:r w:rsidRPr="00156441">
        <w:rPr>
          <w:rFonts w:ascii="Times New Roman" w:hAnsi="Times New Roman" w:cs="Times New Roman"/>
          <w:sz w:val="28"/>
          <w:szCs w:val="28"/>
        </w:rPr>
        <w:t>Загальновідомо, що перебіг і прогноз ГХ тісно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язаний з гемодинамічними параметрами, але залишається актуальним вивчення стану ге</w:t>
      </w:r>
      <w:r w:rsidR="00DC4C8F" w:rsidRPr="00156441">
        <w:rPr>
          <w:rFonts w:ascii="Times New Roman" w:hAnsi="Times New Roman" w:cs="Times New Roman"/>
          <w:sz w:val="28"/>
          <w:szCs w:val="28"/>
        </w:rPr>
        <w:t>моди</w:t>
      </w:r>
      <w:r w:rsidRPr="00156441">
        <w:rPr>
          <w:rFonts w:ascii="Times New Roman" w:hAnsi="Times New Roman" w:cs="Times New Roman"/>
          <w:sz w:val="28"/>
          <w:szCs w:val="28"/>
        </w:rPr>
        <w:t>наміки за умов наявності кардіореспіраторної патології. У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язку з розвитком компенсаторних механізмів підтримки функції серцевої діяльності у процесі змін в міокарді пряма кореляція клінічних проявів і параметрів гемодинаміки не завжди може бути простежено, тим не менш, вивчення параметрів гемодинаміки є важливою складовою в діагностиці ХОЗЛ в поєднанні з ГХ.</w:t>
      </w:r>
    </w:p>
    <w:p w:rsidR="00804F04" w:rsidRPr="00156441" w:rsidRDefault="00804F04" w:rsidP="00934E4F">
      <w:pPr>
        <w:pStyle w:val="a4"/>
        <w:spacing w:after="0" w:line="360" w:lineRule="auto"/>
        <w:ind w:left="0"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Для проведення стандартної оцінки гемодинаміки, що включає оцінку структури серця, систолічної та діастолічної функції шлуночків обстежені хворі (n=61) були розділені на 2 групи: у першу увійшло 36 хворих на ХОЗЛ в поєднанні з </w:t>
      </w:r>
      <w:r w:rsidR="00934E4F" w:rsidRPr="00156441">
        <w:rPr>
          <w:rFonts w:ascii="Times New Roman" w:hAnsi="Times New Roman" w:cs="Times New Roman"/>
          <w:sz w:val="28"/>
          <w:szCs w:val="28"/>
        </w:rPr>
        <w:t>ГХ з основної групи, до другої —</w:t>
      </w:r>
      <w:r w:rsidRPr="00156441">
        <w:rPr>
          <w:rFonts w:ascii="Times New Roman" w:hAnsi="Times New Roman" w:cs="Times New Roman"/>
          <w:sz w:val="28"/>
          <w:szCs w:val="28"/>
        </w:rPr>
        <w:t xml:space="preserve"> 25 хворих з ізольованим перебігом ХОЗЛ з групи порівняння. </w:t>
      </w:r>
      <w:r w:rsidR="00934E4F" w:rsidRPr="00156441">
        <w:rPr>
          <w:rFonts w:ascii="Times New Roman" w:hAnsi="Times New Roman" w:cs="Times New Roman"/>
          <w:sz w:val="28"/>
          <w:szCs w:val="28"/>
        </w:rPr>
        <w:t xml:space="preserve">До групи контролю увійшли </w:t>
      </w:r>
      <w:r w:rsidRPr="00156441">
        <w:rPr>
          <w:rFonts w:ascii="Times New Roman" w:hAnsi="Times New Roman" w:cs="Times New Roman"/>
          <w:sz w:val="28"/>
          <w:szCs w:val="28"/>
        </w:rPr>
        <w:t>11 умовно здорових осіб.</w:t>
      </w:r>
    </w:p>
    <w:p w:rsidR="00804F04" w:rsidRPr="00156441" w:rsidRDefault="00804F04" w:rsidP="00804F04">
      <w:pPr>
        <w:pStyle w:val="a4"/>
        <w:spacing w:after="0" w:line="360" w:lineRule="auto"/>
        <w:ind w:left="0" w:firstLine="420"/>
        <w:jc w:val="both"/>
        <w:rPr>
          <w:rFonts w:ascii="Times New Roman" w:hAnsi="Times New Roman" w:cs="Times New Roman"/>
          <w:sz w:val="28"/>
          <w:szCs w:val="28"/>
        </w:rPr>
      </w:pPr>
      <w:r w:rsidRPr="00156441">
        <w:rPr>
          <w:rFonts w:ascii="Times New Roman" w:hAnsi="Times New Roman" w:cs="Times New Roman"/>
          <w:sz w:val="28"/>
          <w:szCs w:val="28"/>
        </w:rPr>
        <w:t>Аналіз основних структурних і функціональних показників ЛШ і ПШ за даними ЕхоКГ виявив ряд особливостей (таб</w:t>
      </w:r>
      <w:r w:rsidR="00852C6F" w:rsidRPr="00156441">
        <w:rPr>
          <w:rFonts w:ascii="Times New Roman" w:hAnsi="Times New Roman" w:cs="Times New Roman"/>
          <w:sz w:val="28"/>
          <w:szCs w:val="28"/>
        </w:rPr>
        <w:t>.</w:t>
      </w:r>
      <w:r w:rsidRPr="00156441">
        <w:rPr>
          <w:rFonts w:ascii="Times New Roman" w:hAnsi="Times New Roman" w:cs="Times New Roman"/>
          <w:sz w:val="28"/>
          <w:szCs w:val="28"/>
        </w:rPr>
        <w:t xml:space="preserve"> </w:t>
      </w:r>
      <w:r w:rsidR="00032038" w:rsidRPr="00156441">
        <w:rPr>
          <w:rFonts w:ascii="Times New Roman" w:hAnsi="Times New Roman" w:cs="Times New Roman"/>
          <w:sz w:val="28"/>
          <w:szCs w:val="28"/>
        </w:rPr>
        <w:t>3</w:t>
      </w:r>
      <w:r w:rsidR="00852C6F" w:rsidRPr="00156441">
        <w:rPr>
          <w:rFonts w:ascii="Times New Roman" w:hAnsi="Times New Roman" w:cs="Times New Roman"/>
          <w:sz w:val="28"/>
          <w:szCs w:val="28"/>
        </w:rPr>
        <w:t>.6.1</w:t>
      </w:r>
      <w:r w:rsidRPr="00156441">
        <w:rPr>
          <w:rFonts w:ascii="Times New Roman" w:hAnsi="Times New Roman" w:cs="Times New Roman"/>
          <w:sz w:val="28"/>
          <w:szCs w:val="28"/>
        </w:rPr>
        <w:t>):</w:t>
      </w:r>
    </w:p>
    <w:p w:rsidR="00804F04" w:rsidRPr="00156441" w:rsidRDefault="00804F04" w:rsidP="00852C6F">
      <w:pPr>
        <w:pStyle w:val="a4"/>
        <w:spacing w:after="0" w:line="360" w:lineRule="auto"/>
        <w:ind w:left="0"/>
        <w:jc w:val="right"/>
        <w:rPr>
          <w:rFonts w:ascii="Times New Roman" w:hAnsi="Times New Roman" w:cs="Times New Roman"/>
          <w:sz w:val="28"/>
          <w:szCs w:val="28"/>
        </w:rPr>
      </w:pPr>
      <w:r w:rsidRPr="00156441">
        <w:rPr>
          <w:rFonts w:ascii="Times New Roman" w:hAnsi="Times New Roman" w:cs="Times New Roman"/>
          <w:sz w:val="28"/>
          <w:szCs w:val="28"/>
        </w:rPr>
        <w:t xml:space="preserve">Таблиця </w:t>
      </w:r>
      <w:r w:rsidR="00461CC4" w:rsidRPr="00156441">
        <w:rPr>
          <w:rFonts w:ascii="Times New Roman" w:hAnsi="Times New Roman" w:cs="Times New Roman"/>
          <w:sz w:val="28"/>
          <w:szCs w:val="28"/>
        </w:rPr>
        <w:t>3</w:t>
      </w:r>
      <w:r w:rsidR="00852C6F" w:rsidRPr="00156441">
        <w:rPr>
          <w:rFonts w:ascii="Times New Roman" w:hAnsi="Times New Roman" w:cs="Times New Roman"/>
          <w:sz w:val="28"/>
          <w:szCs w:val="28"/>
        </w:rPr>
        <w:t>.6.1</w:t>
      </w:r>
    </w:p>
    <w:p w:rsidR="00804F04" w:rsidRPr="00156441" w:rsidRDefault="00804F04" w:rsidP="00852C6F">
      <w:pPr>
        <w:pStyle w:val="a4"/>
        <w:spacing w:after="0"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Основні ехокардіографічні показники хворих на ХОЗЛ з ГХ та ХОЗЛ.</w:t>
      </w:r>
    </w:p>
    <w:tbl>
      <w:tblPr>
        <w:tblStyle w:val="a5"/>
        <w:tblW w:w="0" w:type="auto"/>
        <w:tblInd w:w="-5" w:type="dxa"/>
        <w:tblLook w:val="04A0" w:firstRow="1" w:lastRow="0" w:firstColumn="1" w:lastColumn="0" w:noHBand="0" w:noVBand="1"/>
      </w:tblPr>
      <w:tblGrid>
        <w:gridCol w:w="2832"/>
        <w:gridCol w:w="2377"/>
        <w:gridCol w:w="2364"/>
        <w:gridCol w:w="2343"/>
      </w:tblGrid>
      <w:tr w:rsidR="00156441" w:rsidRPr="00156441" w:rsidTr="002D26C1">
        <w:tc>
          <w:tcPr>
            <w:tcW w:w="2832" w:type="dxa"/>
            <w:vAlign w:val="center"/>
          </w:tcPr>
          <w:p w:rsidR="00804F04" w:rsidRPr="00156441" w:rsidRDefault="00804F04" w:rsidP="002D26C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Показники</w:t>
            </w:r>
          </w:p>
        </w:tc>
        <w:tc>
          <w:tcPr>
            <w:tcW w:w="2377" w:type="dxa"/>
            <w:vAlign w:val="center"/>
          </w:tcPr>
          <w:p w:rsidR="00804F04" w:rsidRPr="00156441" w:rsidRDefault="00804F04" w:rsidP="002D26C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Основна група</w:t>
            </w:r>
          </w:p>
          <w:p w:rsidR="00804F04" w:rsidRPr="00156441" w:rsidRDefault="00804F04" w:rsidP="002D26C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(ХОЗЛ+ГХ)</w:t>
            </w:r>
            <w:r w:rsidR="002D26C1">
              <w:rPr>
                <w:rFonts w:ascii="Times New Roman" w:hAnsi="Times New Roman" w:cs="Times New Roman"/>
                <w:sz w:val="28"/>
                <w:szCs w:val="28"/>
              </w:rPr>
              <w:t xml:space="preserve">, </w:t>
            </w:r>
            <w:r w:rsidRPr="00156441">
              <w:rPr>
                <w:rFonts w:ascii="Times New Roman" w:hAnsi="Times New Roman" w:cs="Times New Roman"/>
                <w:sz w:val="28"/>
                <w:szCs w:val="28"/>
              </w:rPr>
              <w:t>n=36</w:t>
            </w:r>
          </w:p>
        </w:tc>
        <w:tc>
          <w:tcPr>
            <w:tcW w:w="2364" w:type="dxa"/>
            <w:vAlign w:val="center"/>
          </w:tcPr>
          <w:p w:rsidR="00804F04" w:rsidRPr="00156441" w:rsidRDefault="00804F04" w:rsidP="002D26C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порівняння</w:t>
            </w:r>
          </w:p>
          <w:p w:rsidR="00804F04" w:rsidRPr="00156441" w:rsidRDefault="00804F04" w:rsidP="002D26C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w:t>
            </w:r>
            <w:r w:rsidR="002D26C1">
              <w:rPr>
                <w:rFonts w:ascii="Times New Roman" w:hAnsi="Times New Roman" w:cs="Times New Roman"/>
                <w:sz w:val="28"/>
                <w:szCs w:val="28"/>
              </w:rPr>
              <w:t xml:space="preserve">, </w:t>
            </w:r>
            <w:r w:rsidRPr="00156441">
              <w:rPr>
                <w:rFonts w:ascii="Times New Roman" w:hAnsi="Times New Roman" w:cs="Times New Roman"/>
                <w:sz w:val="28"/>
                <w:szCs w:val="28"/>
              </w:rPr>
              <w:t>n=25</w:t>
            </w:r>
          </w:p>
        </w:tc>
        <w:tc>
          <w:tcPr>
            <w:tcW w:w="2343" w:type="dxa"/>
            <w:vAlign w:val="center"/>
          </w:tcPr>
          <w:p w:rsidR="00804F04" w:rsidRPr="00156441" w:rsidRDefault="00804F04" w:rsidP="002D26C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контролю</w:t>
            </w:r>
          </w:p>
          <w:p w:rsidR="00804F04" w:rsidRPr="00156441" w:rsidRDefault="00804F04" w:rsidP="002D26C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n=11</w:t>
            </w:r>
          </w:p>
        </w:tc>
      </w:tr>
      <w:tr w:rsidR="00156441" w:rsidRPr="00156441" w:rsidTr="002D26C1">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rPr>
              <w:t>ММЛШ (г)</w:t>
            </w:r>
          </w:p>
        </w:tc>
        <w:tc>
          <w:tcPr>
            <w:tcW w:w="2377" w:type="dxa"/>
            <w:vAlign w:val="center"/>
          </w:tcPr>
          <w:p w:rsidR="00804F04" w:rsidRPr="00156441" w:rsidRDefault="00852C6F" w:rsidP="002D26C1">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230,5</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8,6</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64" w:type="dxa"/>
            <w:vAlign w:val="center"/>
          </w:tcPr>
          <w:p w:rsidR="00804F04" w:rsidRPr="00156441" w:rsidRDefault="00852C6F" w:rsidP="002D26C1">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226,3</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12,4</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43" w:type="dxa"/>
            <w:vAlign w:val="center"/>
          </w:tcPr>
          <w:p w:rsidR="00804F04" w:rsidRPr="00156441" w:rsidRDefault="00804F04" w:rsidP="002D26C1">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156</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9,06</w:t>
            </w:r>
          </w:p>
        </w:tc>
      </w:tr>
      <w:tr w:rsidR="00156441" w:rsidRPr="00156441" w:rsidTr="002D26C1">
        <w:trPr>
          <w:trHeight w:val="344"/>
        </w:trPr>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ІММЛШ (г/см</w:t>
            </w:r>
            <w:r w:rsidRPr="00156441">
              <w:rPr>
                <w:rFonts w:ascii="Times New Roman" w:hAnsi="Times New Roman" w:cs="Times New Roman"/>
                <w:sz w:val="28"/>
                <w:szCs w:val="28"/>
                <w:vertAlign w:val="superscript"/>
                <w:lang w:eastAsia="ru-RU"/>
              </w:rPr>
              <w:t>2</w:t>
            </w:r>
            <w:r w:rsidRPr="00156441">
              <w:rPr>
                <w:rFonts w:ascii="Times New Roman" w:hAnsi="Times New Roman" w:cs="Times New Roman"/>
                <w:sz w:val="28"/>
                <w:szCs w:val="28"/>
                <w:lang w:eastAsia="ru-RU"/>
              </w:rPr>
              <w:t>)</w:t>
            </w:r>
          </w:p>
        </w:tc>
        <w:tc>
          <w:tcPr>
            <w:tcW w:w="2377"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118,8</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3,53</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64"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112,3</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5,04</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84,8</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5,29</w:t>
            </w:r>
          </w:p>
        </w:tc>
      </w:tr>
      <w:tr w:rsidR="00156441" w:rsidRPr="00156441" w:rsidTr="002D26C1">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ТМШП (см)</w:t>
            </w:r>
          </w:p>
        </w:tc>
        <w:tc>
          <w:tcPr>
            <w:tcW w:w="2377"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1,3±0,04</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64"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1,2±0,03</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0,9±0,02</w:t>
            </w:r>
          </w:p>
        </w:tc>
      </w:tr>
      <w:tr w:rsidR="00156441" w:rsidRPr="00156441" w:rsidTr="002D26C1">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ТЗСЛШ (см)</w:t>
            </w:r>
          </w:p>
        </w:tc>
        <w:tc>
          <w:tcPr>
            <w:tcW w:w="2377"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1,2±0,03</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64"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1,1±0,02</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0,9±0,02</w:t>
            </w:r>
          </w:p>
        </w:tc>
      </w:tr>
      <w:tr w:rsidR="00156441" w:rsidRPr="00156441" w:rsidTr="002D26C1">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КДРЛШ (см)</w:t>
            </w:r>
          </w:p>
        </w:tc>
        <w:tc>
          <w:tcPr>
            <w:tcW w:w="2377"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5,1±0,07</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64"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4,8±0,09</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4,7±0,13</w:t>
            </w:r>
          </w:p>
        </w:tc>
      </w:tr>
      <w:tr w:rsidR="00156441" w:rsidRPr="00156441" w:rsidTr="002D26C1">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ВТСЛШ</w:t>
            </w:r>
          </w:p>
        </w:tc>
        <w:tc>
          <w:tcPr>
            <w:tcW w:w="2377"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0,5±0,01</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64"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0,5±0,01</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0,4±0,01</w:t>
            </w:r>
          </w:p>
        </w:tc>
      </w:tr>
      <w:tr w:rsidR="00D53929" w:rsidRPr="00156441" w:rsidTr="009C556E">
        <w:tc>
          <w:tcPr>
            <w:tcW w:w="9916" w:type="dxa"/>
            <w:gridSpan w:val="4"/>
            <w:vAlign w:val="center"/>
          </w:tcPr>
          <w:p w:rsidR="00D53929" w:rsidRPr="00D53929" w:rsidRDefault="00D53929" w:rsidP="00D53929">
            <w:pPr>
              <w:pStyle w:val="a3"/>
              <w:spacing w:line="360" w:lineRule="auto"/>
              <w:contextualSpacing/>
              <w:jc w:val="right"/>
              <w:rPr>
                <w:rFonts w:ascii="Times New Roman" w:hAnsi="Times New Roman" w:cs="Times New Roman"/>
                <w:i/>
                <w:sz w:val="28"/>
                <w:szCs w:val="28"/>
              </w:rPr>
            </w:pPr>
            <w:r>
              <w:rPr>
                <w:rFonts w:ascii="Times New Roman" w:hAnsi="Times New Roman" w:cs="Times New Roman"/>
                <w:i/>
                <w:sz w:val="28"/>
                <w:szCs w:val="28"/>
              </w:rPr>
              <w:lastRenderedPageBreak/>
              <w:t xml:space="preserve">Продовження таблиці </w:t>
            </w:r>
            <w:r w:rsidRPr="00D53929">
              <w:rPr>
                <w:rFonts w:ascii="Times New Roman" w:hAnsi="Times New Roman" w:cs="Times New Roman"/>
                <w:i/>
                <w:sz w:val="28"/>
                <w:szCs w:val="28"/>
              </w:rPr>
              <w:t>3.6.1</w:t>
            </w:r>
          </w:p>
        </w:tc>
      </w:tr>
      <w:tr w:rsidR="00156441" w:rsidRPr="00156441" w:rsidTr="002D26C1">
        <w:trPr>
          <w:trHeight w:val="375"/>
        </w:trPr>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 xml:space="preserve">ФВ </w:t>
            </w:r>
            <w:r w:rsidR="00C70355" w:rsidRPr="00156441">
              <w:rPr>
                <w:rFonts w:ascii="Times New Roman" w:hAnsi="Times New Roman" w:cs="Times New Roman"/>
                <w:sz w:val="28"/>
                <w:szCs w:val="28"/>
                <w:lang w:eastAsia="ru-RU"/>
              </w:rPr>
              <w:t>(%</w:t>
            </w:r>
            <w:r w:rsidRPr="00156441">
              <w:rPr>
                <w:rFonts w:ascii="Times New Roman" w:hAnsi="Times New Roman" w:cs="Times New Roman"/>
                <w:sz w:val="28"/>
                <w:szCs w:val="28"/>
                <w:lang w:eastAsia="ru-RU"/>
              </w:rPr>
              <w:t>)</w:t>
            </w:r>
          </w:p>
        </w:tc>
        <w:tc>
          <w:tcPr>
            <w:tcW w:w="2377"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61,9±0,75</w:t>
            </w:r>
          </w:p>
        </w:tc>
        <w:tc>
          <w:tcPr>
            <w:tcW w:w="2364"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64,7±0,86</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65,2±1,18</w:t>
            </w:r>
          </w:p>
        </w:tc>
      </w:tr>
      <w:tr w:rsidR="00156441" w:rsidRPr="00156441" w:rsidTr="002D26C1">
        <w:trPr>
          <w:trHeight w:val="255"/>
        </w:trPr>
        <w:tc>
          <w:tcPr>
            <w:tcW w:w="2832"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СТЛА (мм.рт.ст.)</w:t>
            </w:r>
          </w:p>
        </w:tc>
        <w:tc>
          <w:tcPr>
            <w:tcW w:w="2377"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27,1±0,53</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64"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24,7±1,09</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19,5±0,92</w:t>
            </w:r>
          </w:p>
        </w:tc>
      </w:tr>
      <w:tr w:rsidR="00156441" w:rsidRPr="00156441" w:rsidTr="002D26C1">
        <w:trPr>
          <w:trHeight w:val="213"/>
        </w:trPr>
        <w:tc>
          <w:tcPr>
            <w:tcW w:w="2832" w:type="dxa"/>
            <w:vAlign w:val="center"/>
          </w:tcPr>
          <w:p w:rsidR="00804F04" w:rsidRPr="00156441" w:rsidRDefault="00804F04" w:rsidP="00184106">
            <w:pPr>
              <w:pStyle w:val="a3"/>
              <w:spacing w:line="276"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Товщина передньої стінки правого шлуночка (мм)</w:t>
            </w:r>
          </w:p>
        </w:tc>
        <w:tc>
          <w:tcPr>
            <w:tcW w:w="2377"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5,91±0,03</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64" w:type="dxa"/>
            <w:vAlign w:val="center"/>
          </w:tcPr>
          <w:p w:rsidR="00804F04" w:rsidRPr="00156441" w:rsidRDefault="00852C6F"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5,2±0,03</w:t>
            </w:r>
            <w:r w:rsidR="009C6C87"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p>
        </w:tc>
        <w:tc>
          <w:tcPr>
            <w:tcW w:w="2343" w:type="dxa"/>
            <w:vAlign w:val="center"/>
          </w:tcPr>
          <w:p w:rsidR="00804F04" w:rsidRPr="00156441" w:rsidRDefault="00804F04" w:rsidP="002D26C1">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4,22±0,11</w:t>
            </w:r>
          </w:p>
        </w:tc>
      </w:tr>
    </w:tbl>
    <w:p w:rsidR="00804F04" w:rsidRPr="00156441" w:rsidRDefault="00804F04" w:rsidP="002D26C1">
      <w:pPr>
        <w:pStyle w:val="a4"/>
        <w:spacing w:after="0" w:line="360" w:lineRule="auto"/>
        <w:ind w:left="0" w:firstLine="709"/>
        <w:jc w:val="both"/>
        <w:rPr>
          <w:rFonts w:ascii="Times New Roman" w:hAnsi="Times New Roman" w:cs="Times New Roman"/>
          <w:sz w:val="28"/>
          <w:szCs w:val="28"/>
        </w:rPr>
      </w:pPr>
      <w:r w:rsidRPr="00156441">
        <w:rPr>
          <w:rFonts w:ascii="Times New Roman" w:hAnsi="Times New Roman" w:cs="Times New Roman"/>
          <w:sz w:val="28"/>
          <w:szCs w:val="28"/>
        </w:rPr>
        <w:t>Примітка: *</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різниця вірогідна (р&lt;0,05) з контролем, ** - різниця вірогідна (р&lt;0,05) з групою порівняння.</w:t>
      </w:r>
    </w:p>
    <w:p w:rsidR="00804F04" w:rsidRPr="00156441" w:rsidRDefault="00804F04" w:rsidP="00852C6F">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В теперішній час широко використовується термін «ремоделювання міокарда», як більш широке поняття, ніж гіпертрофія. Гіпертрофія ж розглядається як окремий випадок ремоделювання структури серця. Тип ремоделювання ЛШ не тільки впливає на параметри гемодинаміки, але і має прогностичне значення для пацієнта.</w:t>
      </w:r>
    </w:p>
    <w:p w:rsidR="00804F04" w:rsidRPr="00156441" w:rsidRDefault="00804F04" w:rsidP="000E6879">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Оцінка показників особливостей внутр</w:t>
      </w:r>
      <w:r w:rsidR="00934E4F" w:rsidRPr="00156441">
        <w:rPr>
          <w:rFonts w:ascii="Times New Roman" w:hAnsi="Times New Roman" w:cs="Times New Roman"/>
          <w:sz w:val="28"/>
          <w:szCs w:val="28"/>
        </w:rPr>
        <w:t>ішньо</w:t>
      </w:r>
      <w:r w:rsidRPr="00156441">
        <w:rPr>
          <w:rFonts w:ascii="Times New Roman" w:hAnsi="Times New Roman" w:cs="Times New Roman"/>
          <w:sz w:val="28"/>
          <w:szCs w:val="28"/>
        </w:rPr>
        <w:t>серцевої гемодинаміки у хворих з ізольованим перебігом ХОЗЛ виявив відмінності при зіставленні з групою контролю. Відзначалось достовірне збільшення ТЗС ЛШ на 22,2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і ТМШП на 33,3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Однак, не було виявлено достовірно значущого зростання</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КДР ЛШ </w:t>
      </w:r>
      <w:r w:rsidR="00934E4F" w:rsidRPr="00156441">
        <w:rPr>
          <w:rFonts w:ascii="Times New Roman" w:hAnsi="Times New Roman" w:cs="Times New Roman"/>
          <w:sz w:val="28"/>
          <w:szCs w:val="28"/>
        </w:rPr>
        <w:t>відповідно</w:t>
      </w:r>
      <w:r w:rsidRPr="00156441">
        <w:rPr>
          <w:rFonts w:ascii="Times New Roman" w:hAnsi="Times New Roman" w:cs="Times New Roman"/>
          <w:sz w:val="28"/>
          <w:szCs w:val="28"/>
        </w:rPr>
        <w:t xml:space="preserve"> групи контролю, хоч й відзначалась тенденція до його збільшення. У розрахункових показниках, що дають нам можливість виявити зміни геометрії серця також було виявлено відмінності між групами. ІММ ЛШ був на 32,4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та ВТС ЛШ на 25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були більше ніж у групи умовно здорових. Крім того, було виявлено достовірне </w:t>
      </w:r>
      <w:r w:rsidR="00934E4F" w:rsidRPr="00156441">
        <w:rPr>
          <w:rFonts w:ascii="Times New Roman" w:hAnsi="Times New Roman" w:cs="Times New Roman"/>
          <w:sz w:val="28"/>
          <w:szCs w:val="28"/>
        </w:rPr>
        <w:t>збільшення</w:t>
      </w:r>
      <w:r w:rsidRPr="00156441">
        <w:rPr>
          <w:rFonts w:ascii="Times New Roman" w:hAnsi="Times New Roman" w:cs="Times New Roman"/>
          <w:sz w:val="28"/>
          <w:szCs w:val="28"/>
        </w:rPr>
        <w:t xml:space="preserve"> товщини передньої стінки ПЖ на 23,2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та підвищення СТЛА на 26,6</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відносно групи контролю.</w:t>
      </w:r>
    </w:p>
    <w:p w:rsidR="00804F04" w:rsidRPr="00156441" w:rsidRDefault="00804F04" w:rsidP="000E6879">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Вплив ХОЗЛ на зміни структури не лише правого, але й лівого шлуночків, які визначають несприятливий прогноз ХОЗЛ,</w:t>
      </w:r>
      <w:r w:rsidR="00C70355" w:rsidRPr="00156441">
        <w:rPr>
          <w:rFonts w:ascii="Times New Roman" w:hAnsi="Times New Roman" w:cs="Times New Roman"/>
          <w:sz w:val="28"/>
          <w:szCs w:val="28"/>
        </w:rPr>
        <w:t xml:space="preserve"> </w:t>
      </w:r>
      <w:r w:rsidRPr="00156441">
        <w:rPr>
          <w:rFonts w:ascii="Times New Roman" w:hAnsi="Times New Roman" w:cs="Times New Roman"/>
          <w:sz w:val="28"/>
          <w:szCs w:val="28"/>
        </w:rPr>
        <w:t>вочевидь пов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язан</w:t>
      </w:r>
      <w:r w:rsidR="00C70355" w:rsidRPr="00156441">
        <w:rPr>
          <w:rFonts w:ascii="Times New Roman" w:hAnsi="Times New Roman" w:cs="Times New Roman"/>
          <w:sz w:val="28"/>
          <w:szCs w:val="28"/>
        </w:rPr>
        <w:t>ий</w:t>
      </w:r>
      <w:r w:rsidRPr="00156441">
        <w:rPr>
          <w:rFonts w:ascii="Times New Roman" w:hAnsi="Times New Roman" w:cs="Times New Roman"/>
          <w:sz w:val="28"/>
          <w:szCs w:val="28"/>
        </w:rPr>
        <w:t xml:space="preserve"> з хронічною системною гіпоксемією, що призводить до ендотеліальної дисфункції</w:t>
      </w:r>
      <w:r w:rsidR="00C70355" w:rsidRPr="00156441">
        <w:rPr>
          <w:rFonts w:ascii="Times New Roman" w:hAnsi="Times New Roman" w:cs="Times New Roman"/>
          <w:sz w:val="28"/>
          <w:szCs w:val="28"/>
        </w:rPr>
        <w:t xml:space="preserve"> та</w:t>
      </w:r>
      <w:r w:rsidR="000E6879" w:rsidRPr="00156441">
        <w:rPr>
          <w:rFonts w:ascii="Times New Roman" w:hAnsi="Times New Roman" w:cs="Times New Roman"/>
          <w:sz w:val="28"/>
          <w:szCs w:val="28"/>
        </w:rPr>
        <w:t xml:space="preserve"> і</w:t>
      </w:r>
      <w:r w:rsidRPr="00156441">
        <w:rPr>
          <w:rFonts w:ascii="Times New Roman" w:hAnsi="Times New Roman" w:cs="Times New Roman"/>
          <w:sz w:val="28"/>
          <w:szCs w:val="28"/>
        </w:rPr>
        <w:t>мунозапальних здвигів.</w:t>
      </w:r>
    </w:p>
    <w:p w:rsidR="00804F04" w:rsidRPr="00156441" w:rsidRDefault="00C70355" w:rsidP="000E6879">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Аналізуючи структурно-</w:t>
      </w:r>
      <w:r w:rsidR="00804F04" w:rsidRPr="00156441">
        <w:rPr>
          <w:rFonts w:ascii="Times New Roman" w:hAnsi="Times New Roman" w:cs="Times New Roman"/>
          <w:sz w:val="28"/>
          <w:szCs w:val="28"/>
        </w:rPr>
        <w:t xml:space="preserve">функціональний стан ЛШ у групи хворих на ХОЗЛ в поєднанні з ГХ було виявлено більш значущі зміни показників відносно групи </w:t>
      </w:r>
      <w:r w:rsidR="00804F04" w:rsidRPr="00156441">
        <w:rPr>
          <w:rFonts w:ascii="Times New Roman" w:hAnsi="Times New Roman" w:cs="Times New Roman"/>
          <w:sz w:val="28"/>
          <w:szCs w:val="28"/>
        </w:rPr>
        <w:lastRenderedPageBreak/>
        <w:t>контролю, що визначають морфо</w:t>
      </w:r>
      <w:r w:rsidR="00104F9B">
        <w:rPr>
          <w:rFonts w:ascii="Times New Roman" w:hAnsi="Times New Roman" w:cs="Times New Roman"/>
          <w:sz w:val="28"/>
          <w:szCs w:val="28"/>
        </w:rPr>
        <w:t>-</w:t>
      </w:r>
      <w:r w:rsidR="00804F04" w:rsidRPr="00156441">
        <w:rPr>
          <w:rFonts w:ascii="Times New Roman" w:hAnsi="Times New Roman" w:cs="Times New Roman"/>
          <w:sz w:val="28"/>
          <w:szCs w:val="28"/>
        </w:rPr>
        <w:t>функціональні властивості міокарду шлуночків. Так, було встановлено зростання розміру КДР ЛШ на 8,51</w:t>
      </w:r>
      <w:r w:rsidRPr="00156441">
        <w:rPr>
          <w:rFonts w:ascii="Times New Roman" w:hAnsi="Times New Roman" w:cs="Times New Roman"/>
          <w:sz w:val="28"/>
          <w:szCs w:val="28"/>
        </w:rPr>
        <w:t> %</w:t>
      </w:r>
      <w:r w:rsidR="00804F04" w:rsidRPr="00156441">
        <w:rPr>
          <w:rFonts w:ascii="Times New Roman" w:hAnsi="Times New Roman" w:cs="Times New Roman"/>
          <w:sz w:val="28"/>
          <w:szCs w:val="28"/>
        </w:rPr>
        <w:t xml:space="preserve"> (р&lt;0,05), зростання ТЗС ЛШ на 33,3</w:t>
      </w:r>
      <w:r w:rsidRPr="00156441">
        <w:rPr>
          <w:rFonts w:ascii="Times New Roman" w:hAnsi="Times New Roman" w:cs="Times New Roman"/>
          <w:sz w:val="28"/>
          <w:szCs w:val="28"/>
        </w:rPr>
        <w:t> %</w:t>
      </w:r>
      <w:r w:rsidR="00804F04" w:rsidRPr="00156441">
        <w:rPr>
          <w:rFonts w:ascii="Times New Roman" w:hAnsi="Times New Roman" w:cs="Times New Roman"/>
          <w:sz w:val="28"/>
          <w:szCs w:val="28"/>
        </w:rPr>
        <w:t xml:space="preserve"> (р&lt;0,05) і ТМШП на 44,4</w:t>
      </w:r>
      <w:r w:rsidRPr="00156441">
        <w:rPr>
          <w:rFonts w:ascii="Times New Roman" w:hAnsi="Times New Roman" w:cs="Times New Roman"/>
          <w:sz w:val="28"/>
          <w:szCs w:val="28"/>
        </w:rPr>
        <w:t> %</w:t>
      </w:r>
      <w:r w:rsidR="00804F04" w:rsidRPr="00156441">
        <w:rPr>
          <w:rFonts w:ascii="Times New Roman" w:hAnsi="Times New Roman" w:cs="Times New Roman"/>
          <w:sz w:val="28"/>
          <w:szCs w:val="28"/>
        </w:rPr>
        <w:t xml:space="preserve"> (р&lt;0,05). Також у обстеженої </w:t>
      </w:r>
      <w:r w:rsidRPr="00156441">
        <w:rPr>
          <w:rFonts w:ascii="Times New Roman" w:hAnsi="Times New Roman" w:cs="Times New Roman"/>
          <w:sz w:val="28"/>
          <w:szCs w:val="28"/>
        </w:rPr>
        <w:t>когорти</w:t>
      </w:r>
      <w:r w:rsidR="00804F04" w:rsidRPr="00156441">
        <w:rPr>
          <w:rFonts w:ascii="Times New Roman" w:hAnsi="Times New Roman" w:cs="Times New Roman"/>
          <w:sz w:val="28"/>
          <w:szCs w:val="28"/>
        </w:rPr>
        <w:t xml:space="preserve"> хворих було виявлено достовірно значуще збільшення показників, що розраховуються </w:t>
      </w:r>
      <w:r w:rsidRPr="00156441">
        <w:rPr>
          <w:rFonts w:ascii="Times New Roman" w:hAnsi="Times New Roman" w:cs="Times New Roman"/>
          <w:sz w:val="28"/>
          <w:szCs w:val="28"/>
        </w:rPr>
        <w:t>—</w:t>
      </w:r>
      <w:r w:rsidR="00804F04" w:rsidRPr="00156441">
        <w:rPr>
          <w:rFonts w:ascii="Times New Roman" w:hAnsi="Times New Roman" w:cs="Times New Roman"/>
          <w:sz w:val="28"/>
          <w:szCs w:val="28"/>
        </w:rPr>
        <w:t xml:space="preserve"> ІММ ЛШ був на 40</w:t>
      </w:r>
      <w:r w:rsidRPr="00156441">
        <w:rPr>
          <w:rFonts w:ascii="Times New Roman" w:hAnsi="Times New Roman" w:cs="Times New Roman"/>
          <w:sz w:val="28"/>
          <w:szCs w:val="28"/>
        </w:rPr>
        <w:t> %</w:t>
      </w:r>
      <w:r w:rsidR="00804F04" w:rsidRPr="00156441">
        <w:rPr>
          <w:rFonts w:ascii="Times New Roman" w:hAnsi="Times New Roman" w:cs="Times New Roman"/>
          <w:sz w:val="28"/>
          <w:szCs w:val="28"/>
        </w:rPr>
        <w:t xml:space="preserve"> (р&lt;0,05) та ВТС ЛШ на 25</w:t>
      </w:r>
      <w:r w:rsidRPr="00156441">
        <w:rPr>
          <w:rFonts w:ascii="Times New Roman" w:hAnsi="Times New Roman" w:cs="Times New Roman"/>
          <w:sz w:val="28"/>
          <w:szCs w:val="28"/>
        </w:rPr>
        <w:t> %</w:t>
      </w:r>
      <w:r w:rsidR="00804F04" w:rsidRPr="00156441">
        <w:rPr>
          <w:rFonts w:ascii="Times New Roman" w:hAnsi="Times New Roman" w:cs="Times New Roman"/>
          <w:sz w:val="28"/>
          <w:szCs w:val="28"/>
        </w:rPr>
        <w:t xml:space="preserve"> (р&lt;0,05) більше. Також й у ПШ було</w:t>
      </w:r>
      <w:r w:rsidRPr="00156441">
        <w:rPr>
          <w:rFonts w:ascii="Times New Roman" w:hAnsi="Times New Roman" w:cs="Times New Roman"/>
          <w:sz w:val="28"/>
          <w:szCs w:val="28"/>
        </w:rPr>
        <w:t xml:space="preserve"> виявлено більш значущі зміни т</w:t>
      </w:r>
      <w:r w:rsidR="00804F04" w:rsidRPr="00156441">
        <w:rPr>
          <w:rFonts w:ascii="Times New Roman" w:hAnsi="Times New Roman" w:cs="Times New Roman"/>
          <w:sz w:val="28"/>
          <w:szCs w:val="28"/>
        </w:rPr>
        <w:t>овщини передньої стінки ПЖ на 40</w:t>
      </w:r>
      <w:r w:rsidRPr="00156441">
        <w:rPr>
          <w:rFonts w:ascii="Times New Roman" w:hAnsi="Times New Roman" w:cs="Times New Roman"/>
          <w:sz w:val="28"/>
          <w:szCs w:val="28"/>
        </w:rPr>
        <w:t> %</w:t>
      </w:r>
      <w:r w:rsidR="00804F04" w:rsidRPr="00156441">
        <w:rPr>
          <w:rFonts w:ascii="Times New Roman" w:hAnsi="Times New Roman" w:cs="Times New Roman"/>
          <w:sz w:val="28"/>
          <w:szCs w:val="28"/>
        </w:rPr>
        <w:t xml:space="preserve"> (р&lt;0,05) та під</w:t>
      </w:r>
      <w:r w:rsidRPr="00156441">
        <w:rPr>
          <w:rFonts w:ascii="Times New Roman" w:hAnsi="Times New Roman" w:cs="Times New Roman"/>
          <w:sz w:val="28"/>
          <w:szCs w:val="28"/>
        </w:rPr>
        <w:t xml:space="preserve">вищення СТЛА на 38,9 % (р&lt;0,05) </w:t>
      </w:r>
      <w:r w:rsidR="00804F04" w:rsidRPr="00156441">
        <w:rPr>
          <w:rFonts w:ascii="Times New Roman" w:hAnsi="Times New Roman" w:cs="Times New Roman"/>
          <w:sz w:val="28"/>
          <w:szCs w:val="28"/>
        </w:rPr>
        <w:t xml:space="preserve">були більше відносно групи контролю. </w:t>
      </w:r>
    </w:p>
    <w:p w:rsidR="00804F04" w:rsidRPr="00156441" w:rsidRDefault="00804F04" w:rsidP="00C70355">
      <w:pPr>
        <w:pStyle w:val="a4"/>
        <w:spacing w:after="0" w:line="360" w:lineRule="auto"/>
        <w:ind w:left="0"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Тож, у хворих на поєднану патологію були виявлені достовірні виражені зміни усіх показників, що безумовно обтяжується наявністю ГХ, які відображають </w:t>
      </w:r>
      <w:r w:rsidR="00104F9B">
        <w:rPr>
          <w:rFonts w:ascii="Times New Roman" w:hAnsi="Times New Roman" w:cs="Times New Roman"/>
          <w:sz w:val="28"/>
          <w:szCs w:val="28"/>
        </w:rPr>
        <w:t>морфо-функціо</w:t>
      </w:r>
      <w:r w:rsidRPr="00156441">
        <w:rPr>
          <w:rFonts w:ascii="Times New Roman" w:hAnsi="Times New Roman" w:cs="Times New Roman"/>
          <w:sz w:val="28"/>
          <w:szCs w:val="28"/>
        </w:rPr>
        <w:t>нальний стан ЛШ при зрівнянні з тими ж</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у групі контролю.</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При порівнянні отриманих </w:t>
      </w:r>
      <w:r w:rsidR="00C70355" w:rsidRPr="00156441">
        <w:rPr>
          <w:rFonts w:ascii="Times New Roman" w:hAnsi="Times New Roman" w:cs="Times New Roman"/>
          <w:sz w:val="28"/>
          <w:szCs w:val="28"/>
        </w:rPr>
        <w:t>даних</w:t>
      </w:r>
      <w:r w:rsidRPr="00156441">
        <w:rPr>
          <w:rFonts w:ascii="Times New Roman" w:hAnsi="Times New Roman" w:cs="Times New Roman"/>
          <w:sz w:val="28"/>
          <w:szCs w:val="28"/>
        </w:rPr>
        <w:t xml:space="preserve"> ЕхоКГ у хворих на ХОЗЛ з супутньою ГХ патологію з групою ізольованого ХОЗЛ було виявлено збільшення КДР ЛШ на 6,25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ТЗС ЛШ на 9</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і ТМШП на 8,3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Достовірної різниці в показниках ІММ ЛШ та ВТС ЛШ встановлено не було. Виявлено потовщення стінки ПШ на 13,6</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(р&lt;0,05) та СТЛА на 9,7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 порівнянні з референтною групою.</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Згідно встановлених критеріїв Ganau A., Devereux R. B. Та Roman M.J.L et al. (1992) в роботі було проведено аналіз частоти варіантів ремоделювання ЛШ.</w:t>
      </w:r>
    </w:p>
    <w:p w:rsidR="00104F9B" w:rsidRDefault="00804F04" w:rsidP="00104F9B">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Встановлено, що в основній групі нормальна геометрія зустрічалась у 8,3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випадків, ексцентрична гіпертрофія у 11,1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концентричне ремоделювання</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у 36,1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та концентрична гіпертрофія зустрічалась у 44,4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тоді як у </w:t>
      </w:r>
      <w:r w:rsidR="00C70355" w:rsidRPr="00156441">
        <w:rPr>
          <w:rFonts w:ascii="Times New Roman" w:hAnsi="Times New Roman" w:cs="Times New Roman"/>
          <w:sz w:val="28"/>
          <w:szCs w:val="28"/>
        </w:rPr>
        <w:t>групі</w:t>
      </w:r>
      <w:r w:rsidRPr="00156441">
        <w:rPr>
          <w:rFonts w:ascii="Times New Roman" w:hAnsi="Times New Roman" w:cs="Times New Roman"/>
          <w:sz w:val="28"/>
          <w:szCs w:val="28"/>
        </w:rPr>
        <w:t xml:space="preserve"> порівняння у 16</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12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28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та 24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відповідно. </w:t>
      </w:r>
      <w:r w:rsidR="00C70355" w:rsidRPr="00156441">
        <w:rPr>
          <w:rFonts w:ascii="Times New Roman" w:hAnsi="Times New Roman" w:cs="Times New Roman"/>
          <w:sz w:val="28"/>
          <w:szCs w:val="28"/>
        </w:rPr>
        <w:t>Варіанти</w:t>
      </w:r>
      <w:r w:rsidRPr="00156441">
        <w:rPr>
          <w:rFonts w:ascii="Times New Roman" w:hAnsi="Times New Roman" w:cs="Times New Roman"/>
          <w:sz w:val="28"/>
          <w:szCs w:val="28"/>
        </w:rPr>
        <w:t xml:space="preserve"> змін геометрії серця представлені у </w:t>
      </w:r>
      <w:r w:rsidR="00032038" w:rsidRPr="00156441">
        <w:rPr>
          <w:rFonts w:ascii="Times New Roman" w:hAnsi="Times New Roman" w:cs="Times New Roman"/>
          <w:sz w:val="28"/>
          <w:szCs w:val="28"/>
        </w:rPr>
        <w:t>таблиці 3</w:t>
      </w:r>
      <w:r w:rsidR="00710B8D" w:rsidRPr="00156441">
        <w:rPr>
          <w:rFonts w:ascii="Times New Roman" w:hAnsi="Times New Roman" w:cs="Times New Roman"/>
          <w:sz w:val="28"/>
          <w:szCs w:val="28"/>
        </w:rPr>
        <w:t>.6.2.</w:t>
      </w:r>
    </w:p>
    <w:p w:rsidR="00104F9B" w:rsidRPr="00156441" w:rsidRDefault="00104F9B" w:rsidP="00104F9B">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У групі хворих на поєднану патологію ГЛШ було виявлено у 55,5 % обстежених, а в групі порівняння у 36 %. Обидва типа гіпертрофічного ремоделювання, на думку багатьох авторів, являються прогностично несприятливими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_Ref502740042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303</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_Ref502740043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304</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Індукуючим фактором для розвитку у серці багаточисленних біологічних процесів, що визначають становлення та прогресування ГЛШ є постійна геодинамічна загрузка. Однак, наряду з </w:t>
      </w:r>
      <w:r w:rsidRPr="00156441">
        <w:rPr>
          <w:rFonts w:ascii="Times New Roman" w:hAnsi="Times New Roman" w:cs="Times New Roman"/>
          <w:sz w:val="28"/>
          <w:szCs w:val="28"/>
        </w:rPr>
        <w:lastRenderedPageBreak/>
        <w:t>геодинамічними факторами велику роль відіграють й ізотропні фактори. Серед них перше місце відведено симпатичній та ренін-ангіотензиновій системам. На думку G. Laragh катехоламіни та ангіотензин –II служать одним з основних молекулярних сигналів, визначаючих розвиток ГЛШ при ГХ.</w:t>
      </w:r>
    </w:p>
    <w:p w:rsidR="00104F9B" w:rsidRDefault="00104F9B" w:rsidP="00104F9B">
      <w:pPr>
        <w:pStyle w:val="a4"/>
        <w:spacing w:after="0" w:line="360" w:lineRule="auto"/>
        <w:ind w:left="0" w:firstLine="708"/>
        <w:jc w:val="right"/>
        <w:rPr>
          <w:rFonts w:ascii="Times New Roman" w:hAnsi="Times New Roman" w:cs="Times New Roman"/>
          <w:sz w:val="28"/>
          <w:szCs w:val="28"/>
        </w:rPr>
      </w:pPr>
    </w:p>
    <w:p w:rsidR="00804F04" w:rsidRPr="00156441" w:rsidRDefault="00804F04" w:rsidP="00104F9B">
      <w:pPr>
        <w:pStyle w:val="a4"/>
        <w:spacing w:after="0" w:line="360" w:lineRule="auto"/>
        <w:ind w:left="0" w:firstLine="708"/>
        <w:jc w:val="right"/>
        <w:rPr>
          <w:rFonts w:ascii="Times New Roman" w:hAnsi="Times New Roman" w:cs="Times New Roman"/>
          <w:sz w:val="28"/>
          <w:szCs w:val="28"/>
        </w:rPr>
      </w:pPr>
      <w:r w:rsidRPr="00156441">
        <w:rPr>
          <w:rFonts w:ascii="Times New Roman" w:hAnsi="Times New Roman" w:cs="Times New Roman"/>
          <w:sz w:val="28"/>
          <w:szCs w:val="28"/>
        </w:rPr>
        <w:t xml:space="preserve">Таблиця </w:t>
      </w:r>
      <w:r w:rsidR="00032038" w:rsidRPr="00156441">
        <w:rPr>
          <w:rFonts w:ascii="Times New Roman" w:hAnsi="Times New Roman" w:cs="Times New Roman"/>
          <w:sz w:val="28"/>
          <w:szCs w:val="28"/>
        </w:rPr>
        <w:t>3</w:t>
      </w:r>
      <w:r w:rsidR="00710B8D" w:rsidRPr="00156441">
        <w:rPr>
          <w:rFonts w:ascii="Times New Roman" w:hAnsi="Times New Roman" w:cs="Times New Roman"/>
          <w:sz w:val="28"/>
          <w:szCs w:val="28"/>
        </w:rPr>
        <w:t>.6.2</w:t>
      </w:r>
    </w:p>
    <w:p w:rsidR="00804F04" w:rsidRPr="00156441" w:rsidRDefault="00710B8D" w:rsidP="00710B8D">
      <w:pPr>
        <w:pStyle w:val="a4"/>
        <w:spacing w:after="0"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Типи геометрії</w:t>
      </w:r>
      <w:r w:rsidR="00804F04" w:rsidRPr="00156441">
        <w:rPr>
          <w:rFonts w:ascii="Times New Roman" w:hAnsi="Times New Roman" w:cs="Times New Roman"/>
          <w:sz w:val="28"/>
          <w:szCs w:val="28"/>
        </w:rPr>
        <w:t xml:space="preserve"> лівого шлуночку в залежності від маси міокарда ЛШ та відносної товщини стінки шлуночку.</w:t>
      </w:r>
    </w:p>
    <w:tbl>
      <w:tblPr>
        <w:tblStyle w:val="a5"/>
        <w:tblW w:w="0" w:type="auto"/>
        <w:tblInd w:w="-5" w:type="dxa"/>
        <w:tblLook w:val="04A0" w:firstRow="1" w:lastRow="0" w:firstColumn="1" w:lastColumn="0" w:noHBand="0" w:noVBand="1"/>
      </w:tblPr>
      <w:tblGrid>
        <w:gridCol w:w="1701"/>
        <w:gridCol w:w="2575"/>
        <w:gridCol w:w="1944"/>
        <w:gridCol w:w="1943"/>
        <w:gridCol w:w="1753"/>
      </w:tblGrid>
      <w:tr w:rsidR="00156441" w:rsidRPr="00156441" w:rsidTr="00C70355">
        <w:trPr>
          <w:trHeight w:val="300"/>
        </w:trPr>
        <w:tc>
          <w:tcPr>
            <w:tcW w:w="1701" w:type="dxa"/>
            <w:vMerge w:val="restart"/>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Групи</w:t>
            </w:r>
          </w:p>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хворих</w:t>
            </w:r>
          </w:p>
        </w:tc>
        <w:tc>
          <w:tcPr>
            <w:tcW w:w="8215" w:type="dxa"/>
            <w:gridSpan w:val="4"/>
            <w:vAlign w:val="center"/>
          </w:tcPr>
          <w:p w:rsidR="00804F04" w:rsidRPr="00156441" w:rsidRDefault="00C70355"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Геометричні</w:t>
            </w:r>
            <w:r w:rsidR="00804F04" w:rsidRPr="00156441">
              <w:rPr>
                <w:rFonts w:ascii="Times New Roman" w:hAnsi="Times New Roman" w:cs="Times New Roman"/>
                <w:sz w:val="28"/>
                <w:szCs w:val="28"/>
              </w:rPr>
              <w:t xml:space="preserve"> типи ЛШ</w:t>
            </w:r>
          </w:p>
        </w:tc>
      </w:tr>
      <w:tr w:rsidR="00156441" w:rsidRPr="00156441" w:rsidTr="00C70355">
        <w:trPr>
          <w:trHeight w:val="180"/>
        </w:trPr>
        <w:tc>
          <w:tcPr>
            <w:tcW w:w="1701" w:type="dxa"/>
            <w:vMerge/>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p>
        </w:tc>
        <w:tc>
          <w:tcPr>
            <w:tcW w:w="2575"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Концентричне</w:t>
            </w:r>
            <w:r w:rsidR="00C70355" w:rsidRPr="00156441">
              <w:rPr>
                <w:rFonts w:ascii="Times New Roman" w:hAnsi="Times New Roman" w:cs="Times New Roman"/>
                <w:sz w:val="28"/>
                <w:szCs w:val="28"/>
              </w:rPr>
              <w:br/>
            </w:r>
            <w:r w:rsidRPr="00156441">
              <w:rPr>
                <w:rFonts w:ascii="Times New Roman" w:hAnsi="Times New Roman" w:cs="Times New Roman"/>
                <w:sz w:val="28"/>
                <w:szCs w:val="28"/>
              </w:rPr>
              <w:t>ремоделювання</w:t>
            </w:r>
          </w:p>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1944"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Концентрична гіпертрофія</w:t>
            </w:r>
          </w:p>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1943"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Ексцентрична гіпертрофія</w:t>
            </w:r>
          </w:p>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1753"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Нормальна геометрія</w:t>
            </w:r>
          </w:p>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r>
      <w:tr w:rsidR="00156441" w:rsidRPr="00156441" w:rsidTr="00C70355">
        <w:tc>
          <w:tcPr>
            <w:tcW w:w="1701" w:type="dxa"/>
            <w:vAlign w:val="center"/>
          </w:tcPr>
          <w:p w:rsidR="00804F04" w:rsidRPr="00156441" w:rsidRDefault="00804F04" w:rsidP="00723800">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 + ГХ</w:t>
            </w:r>
          </w:p>
          <w:p w:rsidR="00804F04" w:rsidRPr="00156441" w:rsidRDefault="00804F04" w:rsidP="00723800">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n=36</w:t>
            </w:r>
          </w:p>
        </w:tc>
        <w:tc>
          <w:tcPr>
            <w:tcW w:w="2575"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13 (36,1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1944"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16 (44,4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1943"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4 (11,1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1753"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3 (8,3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r>
      <w:tr w:rsidR="00156441" w:rsidRPr="00156441" w:rsidTr="00C70355">
        <w:tc>
          <w:tcPr>
            <w:tcW w:w="1701" w:type="dxa"/>
            <w:vAlign w:val="center"/>
          </w:tcPr>
          <w:p w:rsidR="00804F04" w:rsidRPr="00156441" w:rsidRDefault="00804F04" w:rsidP="00723800">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w:t>
            </w:r>
          </w:p>
          <w:p w:rsidR="00804F04" w:rsidRPr="00156441" w:rsidRDefault="00804F04" w:rsidP="00723800">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n=25</w:t>
            </w:r>
          </w:p>
        </w:tc>
        <w:tc>
          <w:tcPr>
            <w:tcW w:w="2575"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12 (48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1944"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6 (24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1943"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3 (12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1753" w:type="dxa"/>
            <w:vAlign w:val="center"/>
          </w:tcPr>
          <w:p w:rsidR="00804F04" w:rsidRPr="00156441" w:rsidRDefault="00804F04" w:rsidP="00723800">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4 (16</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r>
    </w:tbl>
    <w:p w:rsidR="00804F04" w:rsidRPr="00156441" w:rsidRDefault="00804F04" w:rsidP="00804F04">
      <w:pPr>
        <w:spacing w:after="0" w:line="360" w:lineRule="auto"/>
        <w:contextualSpacing/>
        <w:jc w:val="both"/>
        <w:rPr>
          <w:rFonts w:ascii="Times New Roman" w:hAnsi="Times New Roman" w:cs="Times New Roman"/>
          <w:sz w:val="28"/>
          <w:szCs w:val="28"/>
        </w:rPr>
      </w:pP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Однією з головних характеристик гіпертрофії міокарду ЛШ є маса та індекс М</w:t>
      </w:r>
      <w:r w:rsidR="00DC4C8F" w:rsidRPr="00156441">
        <w:rPr>
          <w:rFonts w:ascii="Times New Roman" w:hAnsi="Times New Roman" w:cs="Times New Roman"/>
          <w:sz w:val="28"/>
          <w:szCs w:val="28"/>
        </w:rPr>
        <w:t>МЛШ. Звертає увагу поява</w:t>
      </w:r>
      <w:r w:rsidRPr="00156441">
        <w:rPr>
          <w:rFonts w:ascii="Times New Roman" w:hAnsi="Times New Roman" w:cs="Times New Roman"/>
          <w:sz w:val="28"/>
          <w:szCs w:val="28"/>
        </w:rPr>
        <w:t xml:space="preserve"> ГЛШ: М</w:t>
      </w:r>
      <w:r w:rsidR="00DC4C8F" w:rsidRPr="00156441">
        <w:rPr>
          <w:rFonts w:ascii="Times New Roman" w:hAnsi="Times New Roman" w:cs="Times New Roman"/>
          <w:sz w:val="28"/>
          <w:szCs w:val="28"/>
        </w:rPr>
        <w:t>МЛШ у основній групі (230,5±8,6, р&lt;0,05</w:t>
      </w:r>
      <w:r w:rsidRPr="00156441">
        <w:rPr>
          <w:rFonts w:ascii="Times New Roman" w:hAnsi="Times New Roman" w:cs="Times New Roman"/>
          <w:sz w:val="28"/>
          <w:szCs w:val="28"/>
        </w:rPr>
        <w:t xml:space="preserve">) так у групі порівняння (226,3±12,4; </w:t>
      </w:r>
      <w:r w:rsidR="00DC4C8F" w:rsidRPr="00156441">
        <w:rPr>
          <w:rFonts w:ascii="Times New Roman" w:hAnsi="Times New Roman" w:cs="Times New Roman"/>
          <w:sz w:val="28"/>
          <w:szCs w:val="28"/>
        </w:rPr>
        <w:t>р&lt;0,05</w:t>
      </w:r>
      <w:r w:rsidRPr="00156441">
        <w:rPr>
          <w:rFonts w:ascii="Times New Roman" w:hAnsi="Times New Roman" w:cs="Times New Roman"/>
          <w:sz w:val="28"/>
          <w:szCs w:val="28"/>
        </w:rPr>
        <w:t>) відносно до групи умовно здорових (156,8±9,06) та ІММЛШ –118,8</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3,53 (</w:t>
      </w:r>
      <w:r w:rsidR="00DC4C8F" w:rsidRPr="00156441">
        <w:rPr>
          <w:rFonts w:ascii="Times New Roman" w:hAnsi="Times New Roman" w:cs="Times New Roman"/>
          <w:sz w:val="28"/>
          <w:szCs w:val="28"/>
        </w:rPr>
        <w:t>р&lt;0,05)</w:t>
      </w:r>
      <w:r w:rsidR="00C70355"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112,3±5,04 </w:t>
      </w:r>
      <w:r w:rsidR="00DC4C8F" w:rsidRPr="00156441">
        <w:rPr>
          <w:rFonts w:ascii="Times New Roman" w:hAnsi="Times New Roman" w:cs="Times New Roman"/>
          <w:sz w:val="28"/>
          <w:szCs w:val="28"/>
        </w:rPr>
        <w:t xml:space="preserve">(р&lt;0,05) </w:t>
      </w:r>
      <w:r w:rsidRPr="00156441">
        <w:rPr>
          <w:rFonts w:ascii="Times New Roman" w:hAnsi="Times New Roman" w:cs="Times New Roman"/>
          <w:sz w:val="28"/>
          <w:szCs w:val="28"/>
        </w:rPr>
        <w:t>та 84,8</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5,29 відповідно. Отрима</w:t>
      </w:r>
      <w:r w:rsidR="00DC4C8F" w:rsidRPr="00156441">
        <w:rPr>
          <w:rFonts w:ascii="Times New Roman" w:hAnsi="Times New Roman" w:cs="Times New Roman"/>
          <w:sz w:val="28"/>
          <w:szCs w:val="28"/>
        </w:rPr>
        <w:t>ні дані свідчать про те, що ремо</w:t>
      </w:r>
      <w:r w:rsidRPr="00156441">
        <w:rPr>
          <w:rFonts w:ascii="Times New Roman" w:hAnsi="Times New Roman" w:cs="Times New Roman"/>
          <w:sz w:val="28"/>
          <w:szCs w:val="28"/>
        </w:rPr>
        <w:t>делювання лівих відділів серця пов</w:t>
      </w:r>
      <w:r w:rsidR="00FC48A2" w:rsidRPr="00156441">
        <w:rPr>
          <w:rFonts w:ascii="Times New Roman" w:hAnsi="Times New Roman" w:cs="Times New Roman"/>
          <w:sz w:val="28"/>
          <w:szCs w:val="28"/>
        </w:rPr>
        <w:t>’</w:t>
      </w:r>
      <w:r w:rsidR="00710B8D" w:rsidRPr="00156441">
        <w:rPr>
          <w:rFonts w:ascii="Times New Roman" w:hAnsi="Times New Roman" w:cs="Times New Roman"/>
          <w:sz w:val="28"/>
          <w:szCs w:val="28"/>
        </w:rPr>
        <w:t>язано з впл</w:t>
      </w:r>
      <w:r w:rsidRPr="00156441">
        <w:rPr>
          <w:rFonts w:ascii="Times New Roman" w:hAnsi="Times New Roman" w:cs="Times New Roman"/>
          <w:sz w:val="28"/>
          <w:szCs w:val="28"/>
        </w:rPr>
        <w:t>ивом системних механізмів: гіпоксічних, ендотеліальних, окислювально-метаболічних. Значущість ГЛШ дуже висока в прогностичному відношенні. Заданими Verdecchia [</w:t>
      </w:r>
      <w:r w:rsidR="006B7BEE" w:rsidRPr="00156441">
        <w:rPr>
          <w:rFonts w:ascii="Times New Roman" w:hAnsi="Times New Roman" w:cs="Times New Roman"/>
          <w:sz w:val="28"/>
          <w:szCs w:val="28"/>
        </w:rPr>
        <w:fldChar w:fldCharType="begin"/>
      </w:r>
      <w:r w:rsidR="006B7BEE" w:rsidRPr="00156441">
        <w:rPr>
          <w:rFonts w:ascii="Times New Roman" w:hAnsi="Times New Roman" w:cs="Times New Roman"/>
          <w:sz w:val="28"/>
          <w:szCs w:val="28"/>
        </w:rPr>
        <w:instrText xml:space="preserve"> REF _Ref503519049 \r \h </w:instrText>
      </w:r>
      <w:r w:rsidR="00156441" w:rsidRPr="00156441">
        <w:rPr>
          <w:rFonts w:ascii="Times New Roman" w:hAnsi="Times New Roman" w:cs="Times New Roman"/>
          <w:sz w:val="28"/>
          <w:szCs w:val="28"/>
        </w:rPr>
        <w:instrText xml:space="preserve"> \* MERGEFORMAT </w:instrText>
      </w:r>
      <w:r w:rsidR="006B7BEE" w:rsidRPr="00156441">
        <w:rPr>
          <w:rFonts w:ascii="Times New Roman" w:hAnsi="Times New Roman" w:cs="Times New Roman"/>
          <w:sz w:val="28"/>
          <w:szCs w:val="28"/>
        </w:rPr>
      </w:r>
      <w:r w:rsidR="006B7BEE"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305</w:t>
      </w:r>
      <w:r w:rsidR="006B7BEE"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збільшення ММЛШ на кожні 39</w:t>
      </w:r>
      <w:r w:rsidR="00940EC6" w:rsidRPr="00156441">
        <w:rPr>
          <w:rFonts w:ascii="Times New Roman" w:hAnsi="Times New Roman" w:cs="Times New Roman"/>
          <w:sz w:val="28"/>
          <w:szCs w:val="28"/>
        </w:rPr>
        <w:t> </w:t>
      </w:r>
      <w:r w:rsidRPr="00156441">
        <w:rPr>
          <w:rFonts w:ascii="Times New Roman" w:hAnsi="Times New Roman" w:cs="Times New Roman"/>
          <w:sz w:val="28"/>
          <w:szCs w:val="28"/>
        </w:rPr>
        <w:t>г/м</w:t>
      </w:r>
      <w:r w:rsidRPr="00156441">
        <w:rPr>
          <w:rFonts w:ascii="Times New Roman" w:hAnsi="Times New Roman" w:cs="Times New Roman"/>
          <w:sz w:val="28"/>
          <w:szCs w:val="28"/>
          <w:vertAlign w:val="superscript"/>
        </w:rPr>
        <w:t xml:space="preserve">2 </w:t>
      </w:r>
      <w:r w:rsidRPr="00156441">
        <w:rPr>
          <w:rFonts w:ascii="Times New Roman" w:hAnsi="Times New Roman" w:cs="Times New Roman"/>
          <w:sz w:val="28"/>
          <w:szCs w:val="28"/>
        </w:rPr>
        <w:t>супроводжується незалежним підвищення риску серцево-судинних ускладнень на</w:t>
      </w:r>
      <w:r w:rsidR="00940EC6" w:rsidRPr="00156441">
        <w:rPr>
          <w:rFonts w:ascii="Times New Roman" w:hAnsi="Times New Roman" w:cs="Times New Roman"/>
          <w:sz w:val="28"/>
          <w:szCs w:val="28"/>
        </w:rPr>
        <w:t> </w:t>
      </w:r>
      <w:r w:rsidRPr="00156441">
        <w:rPr>
          <w:rFonts w:ascii="Times New Roman" w:hAnsi="Times New Roman" w:cs="Times New Roman"/>
          <w:sz w:val="28"/>
          <w:szCs w:val="28"/>
        </w:rPr>
        <w:t>40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Залучен</w:t>
      </w:r>
      <w:r w:rsidR="00940EC6" w:rsidRPr="00156441">
        <w:rPr>
          <w:rFonts w:ascii="Times New Roman" w:hAnsi="Times New Roman" w:cs="Times New Roman"/>
          <w:sz w:val="28"/>
          <w:szCs w:val="28"/>
        </w:rPr>
        <w:t>ня</w:t>
      </w:r>
      <w:r w:rsidRPr="00156441">
        <w:rPr>
          <w:rFonts w:ascii="Times New Roman" w:hAnsi="Times New Roman" w:cs="Times New Roman"/>
          <w:sz w:val="28"/>
          <w:szCs w:val="28"/>
        </w:rPr>
        <w:t xml:space="preserve"> МШП у процеси гіпертрофії у порівнянні з іншими відділами ЛШ у хворих ХОЗЛ може бути пояснене тим, що МШП є стінкою не тільки лівого, але </w:t>
      </w:r>
      <w:r w:rsidRPr="00156441">
        <w:rPr>
          <w:rFonts w:ascii="Times New Roman" w:hAnsi="Times New Roman" w:cs="Times New Roman"/>
          <w:sz w:val="28"/>
          <w:szCs w:val="28"/>
        </w:rPr>
        <w:lastRenderedPageBreak/>
        <w:t>й правого шлуночків серця і її гіпертрофія являється частковим відображенням роботи правого шлуночку.</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Ст</w:t>
      </w:r>
      <w:r w:rsidR="00940EC6" w:rsidRPr="00156441">
        <w:rPr>
          <w:rFonts w:ascii="Times New Roman" w:hAnsi="Times New Roman" w:cs="Times New Roman"/>
          <w:sz w:val="28"/>
          <w:szCs w:val="28"/>
        </w:rPr>
        <w:t>р</w:t>
      </w:r>
      <w:r w:rsidRPr="00156441">
        <w:rPr>
          <w:rFonts w:ascii="Times New Roman" w:hAnsi="Times New Roman" w:cs="Times New Roman"/>
          <w:sz w:val="28"/>
          <w:szCs w:val="28"/>
        </w:rPr>
        <w:t>ук</w:t>
      </w:r>
      <w:r w:rsidR="00940EC6" w:rsidRPr="00156441">
        <w:rPr>
          <w:rFonts w:ascii="Times New Roman" w:hAnsi="Times New Roman" w:cs="Times New Roman"/>
          <w:sz w:val="28"/>
          <w:szCs w:val="28"/>
        </w:rPr>
        <w:t>тур</w:t>
      </w:r>
      <w:r w:rsidRPr="00156441">
        <w:rPr>
          <w:rFonts w:ascii="Times New Roman" w:hAnsi="Times New Roman" w:cs="Times New Roman"/>
          <w:sz w:val="28"/>
          <w:szCs w:val="28"/>
        </w:rPr>
        <w:t>ні зміни ЛШ у вигляді концентричного ремоделювання, що характеризується зменшенням КДР, реєструвалися у 48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w:t>
      </w:r>
      <w:r w:rsidR="00940EC6" w:rsidRPr="00156441">
        <w:rPr>
          <w:rFonts w:ascii="Times New Roman" w:hAnsi="Times New Roman" w:cs="Times New Roman"/>
          <w:sz w:val="28"/>
          <w:szCs w:val="28"/>
        </w:rPr>
        <w:t>обстежених</w:t>
      </w:r>
      <w:r w:rsidRPr="00156441">
        <w:rPr>
          <w:rFonts w:ascii="Times New Roman" w:hAnsi="Times New Roman" w:cs="Times New Roman"/>
          <w:sz w:val="28"/>
          <w:szCs w:val="28"/>
        </w:rPr>
        <w:t xml:space="preserve"> групи порівняння, та 36,1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основної групи.</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Таким чином, ГМЛШ та концентричне ремоделювання може розглядатись як процес структурної адаптації серця щодо гіпоксичного стану,</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змін </w:t>
      </w:r>
      <w:r w:rsidR="00940EC6" w:rsidRPr="00156441">
        <w:rPr>
          <w:rFonts w:ascii="Times New Roman" w:hAnsi="Times New Roman" w:cs="Times New Roman"/>
          <w:sz w:val="28"/>
          <w:szCs w:val="28"/>
        </w:rPr>
        <w:t>геодинамічних</w:t>
      </w:r>
      <w:r w:rsidRPr="00156441">
        <w:rPr>
          <w:rFonts w:ascii="Times New Roman" w:hAnsi="Times New Roman" w:cs="Times New Roman"/>
          <w:sz w:val="28"/>
          <w:szCs w:val="28"/>
        </w:rPr>
        <w:t xml:space="preserve"> параметрів циркуляції й метаболічних потреб міокарду. Але не дивлячись на вихідний адаптаційний характер, вони призводить до ряду несприятливих біохімічних, структурних та електрофізіологічних змін.</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Таким чином, наявність бронхообструкції виявляє негативний вплив на зміну геометрії серця, а за умов наявності супутньої ГХ призводить до формування прогностично найнесприятливіших гіпертрофічних типів ремоделювання.</w:t>
      </w:r>
    </w:p>
    <w:p w:rsidR="00804F04" w:rsidRPr="00156441" w:rsidRDefault="00804F04" w:rsidP="00804F04">
      <w:pPr>
        <w:pStyle w:val="a4"/>
        <w:spacing w:after="0" w:line="360" w:lineRule="auto"/>
        <w:ind w:left="0"/>
        <w:jc w:val="both"/>
        <w:rPr>
          <w:rFonts w:ascii="Times New Roman" w:hAnsi="Times New Roman" w:cs="Times New Roman"/>
          <w:sz w:val="28"/>
          <w:szCs w:val="28"/>
        </w:rPr>
      </w:pPr>
    </w:p>
    <w:p w:rsidR="00804F04" w:rsidRPr="00156441" w:rsidRDefault="00A05646" w:rsidP="00710B8D">
      <w:pPr>
        <w:pStyle w:val="a4"/>
        <w:spacing w:after="0" w:line="360" w:lineRule="auto"/>
        <w:ind w:left="0"/>
        <w:jc w:val="center"/>
        <w:rPr>
          <w:rFonts w:ascii="Times New Roman" w:hAnsi="Times New Roman" w:cs="Times New Roman"/>
          <w:sz w:val="28"/>
          <w:szCs w:val="28"/>
        </w:rPr>
      </w:pPr>
      <w:bookmarkStart w:id="19" w:name="Pidrozd_3_6_2"/>
      <w:r w:rsidRPr="00156441">
        <w:rPr>
          <w:rFonts w:ascii="Times New Roman" w:hAnsi="Times New Roman" w:cs="Times New Roman"/>
          <w:sz w:val="28"/>
          <w:szCs w:val="28"/>
        </w:rPr>
        <w:t>3</w:t>
      </w:r>
      <w:r w:rsidR="00710B8D" w:rsidRPr="00156441">
        <w:rPr>
          <w:rFonts w:ascii="Times New Roman" w:hAnsi="Times New Roman" w:cs="Times New Roman"/>
          <w:sz w:val="28"/>
          <w:szCs w:val="28"/>
        </w:rPr>
        <w:t>.6.2</w:t>
      </w:r>
      <w:r w:rsidR="00804F04" w:rsidRPr="00156441">
        <w:rPr>
          <w:rFonts w:ascii="Times New Roman" w:hAnsi="Times New Roman" w:cs="Times New Roman"/>
          <w:sz w:val="28"/>
          <w:szCs w:val="28"/>
        </w:rPr>
        <w:t xml:space="preserve">. </w:t>
      </w:r>
      <w:r w:rsidR="00940EC6" w:rsidRPr="00156441">
        <w:rPr>
          <w:rFonts w:ascii="Times New Roman" w:hAnsi="Times New Roman" w:cs="Times New Roman"/>
          <w:sz w:val="28"/>
          <w:szCs w:val="28"/>
        </w:rPr>
        <w:t>Систолічна</w:t>
      </w:r>
      <w:r w:rsidR="00804F04" w:rsidRPr="00156441">
        <w:rPr>
          <w:rFonts w:ascii="Times New Roman" w:hAnsi="Times New Roman" w:cs="Times New Roman"/>
          <w:sz w:val="28"/>
          <w:szCs w:val="28"/>
        </w:rPr>
        <w:t xml:space="preserve"> та діастолічна функції серця.</w:t>
      </w:r>
    </w:p>
    <w:bookmarkEnd w:id="19"/>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Виявлення дисфункції діастолічного наповнення серця важливо, т.</w:t>
      </w:r>
      <w:r w:rsidR="00940EC6" w:rsidRPr="00156441">
        <w:rPr>
          <w:rFonts w:ascii="Times New Roman" w:hAnsi="Times New Roman" w:cs="Times New Roman"/>
          <w:sz w:val="28"/>
          <w:szCs w:val="28"/>
        </w:rPr>
        <w:t>я</w:t>
      </w:r>
      <w:r w:rsidRPr="00156441">
        <w:rPr>
          <w:rFonts w:ascii="Times New Roman" w:hAnsi="Times New Roman" w:cs="Times New Roman"/>
          <w:sz w:val="28"/>
          <w:szCs w:val="28"/>
        </w:rPr>
        <w:t xml:space="preserve">. розлад діастоли більш тісно, ніж розлад </w:t>
      </w:r>
      <w:r w:rsidR="00940EC6" w:rsidRPr="00156441">
        <w:rPr>
          <w:rFonts w:ascii="Times New Roman" w:hAnsi="Times New Roman" w:cs="Times New Roman"/>
          <w:sz w:val="28"/>
          <w:szCs w:val="28"/>
        </w:rPr>
        <w:t>систоли</w:t>
      </w:r>
      <w:r w:rsidRPr="00156441">
        <w:rPr>
          <w:rFonts w:ascii="Times New Roman" w:hAnsi="Times New Roman" w:cs="Times New Roman"/>
          <w:sz w:val="28"/>
          <w:szCs w:val="28"/>
        </w:rPr>
        <w:t xml:space="preserve">, </w:t>
      </w:r>
      <w:r w:rsidR="00940EC6" w:rsidRPr="00156441">
        <w:rPr>
          <w:rFonts w:ascii="Times New Roman" w:hAnsi="Times New Roman" w:cs="Times New Roman"/>
          <w:sz w:val="28"/>
          <w:szCs w:val="28"/>
        </w:rPr>
        <w:t>пов’язаний</w:t>
      </w:r>
      <w:r w:rsidRPr="00156441">
        <w:rPr>
          <w:rFonts w:ascii="Times New Roman" w:hAnsi="Times New Roman" w:cs="Times New Roman"/>
          <w:sz w:val="28"/>
          <w:szCs w:val="28"/>
        </w:rPr>
        <w:t xml:space="preserve"> з тяжкістю клінічного стану пацієнт</w:t>
      </w:r>
      <w:r w:rsidR="00940EC6" w:rsidRPr="00156441">
        <w:rPr>
          <w:rFonts w:ascii="Times New Roman" w:hAnsi="Times New Roman" w:cs="Times New Roman"/>
          <w:sz w:val="28"/>
          <w:szCs w:val="28"/>
        </w:rPr>
        <w:t>а</w:t>
      </w:r>
      <w:r w:rsidRPr="00156441">
        <w:rPr>
          <w:rFonts w:ascii="Times New Roman" w:hAnsi="Times New Roman" w:cs="Times New Roman"/>
          <w:sz w:val="28"/>
          <w:szCs w:val="28"/>
        </w:rPr>
        <w:t xml:space="preserve"> та якістю життя. Аналіз дисфункції серцевого м</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язу обстежених груп представлено у таблиці </w:t>
      </w:r>
      <w:r w:rsidR="00723800">
        <w:rPr>
          <w:rFonts w:ascii="Times New Roman" w:hAnsi="Times New Roman" w:cs="Times New Roman"/>
          <w:sz w:val="28"/>
          <w:szCs w:val="28"/>
        </w:rPr>
        <w:t>3</w:t>
      </w:r>
      <w:r w:rsidR="00710B8D" w:rsidRPr="00156441">
        <w:rPr>
          <w:rFonts w:ascii="Times New Roman" w:hAnsi="Times New Roman" w:cs="Times New Roman"/>
          <w:sz w:val="28"/>
          <w:szCs w:val="28"/>
        </w:rPr>
        <w:t>.6.2</w:t>
      </w:r>
      <w:r w:rsidRPr="00156441">
        <w:rPr>
          <w:rFonts w:ascii="Times New Roman" w:hAnsi="Times New Roman" w:cs="Times New Roman"/>
          <w:sz w:val="28"/>
          <w:szCs w:val="28"/>
        </w:rPr>
        <w:t>.</w:t>
      </w:r>
    </w:p>
    <w:p w:rsidR="00804F04" w:rsidRPr="00156441" w:rsidRDefault="00804F04" w:rsidP="00710B8D">
      <w:pPr>
        <w:pStyle w:val="a4"/>
        <w:spacing w:after="0" w:line="360" w:lineRule="auto"/>
        <w:ind w:left="0"/>
        <w:jc w:val="right"/>
        <w:rPr>
          <w:rFonts w:ascii="Times New Roman" w:hAnsi="Times New Roman" w:cs="Times New Roman"/>
          <w:sz w:val="28"/>
          <w:szCs w:val="28"/>
        </w:rPr>
      </w:pPr>
      <w:r w:rsidRPr="00156441">
        <w:rPr>
          <w:rFonts w:ascii="Times New Roman" w:hAnsi="Times New Roman" w:cs="Times New Roman"/>
          <w:sz w:val="28"/>
          <w:szCs w:val="28"/>
        </w:rPr>
        <w:t xml:space="preserve">Таблиця </w:t>
      </w:r>
      <w:r w:rsidR="00032038" w:rsidRPr="00156441">
        <w:rPr>
          <w:rFonts w:ascii="Times New Roman" w:hAnsi="Times New Roman" w:cs="Times New Roman"/>
          <w:sz w:val="28"/>
          <w:szCs w:val="28"/>
        </w:rPr>
        <w:t>3</w:t>
      </w:r>
      <w:r w:rsidR="00710B8D" w:rsidRPr="00156441">
        <w:rPr>
          <w:rFonts w:ascii="Times New Roman" w:hAnsi="Times New Roman" w:cs="Times New Roman"/>
          <w:sz w:val="28"/>
          <w:szCs w:val="28"/>
        </w:rPr>
        <w:t>.6.2</w:t>
      </w:r>
    </w:p>
    <w:p w:rsidR="00804F04" w:rsidRPr="00156441" w:rsidRDefault="00804F04" w:rsidP="00710B8D">
      <w:pPr>
        <w:pStyle w:val="a4"/>
        <w:spacing w:after="0"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Показники </w:t>
      </w:r>
      <w:r w:rsidR="00940EC6" w:rsidRPr="00156441">
        <w:rPr>
          <w:rFonts w:ascii="Times New Roman" w:hAnsi="Times New Roman" w:cs="Times New Roman"/>
          <w:sz w:val="28"/>
          <w:szCs w:val="28"/>
        </w:rPr>
        <w:t>систолічної</w:t>
      </w:r>
      <w:r w:rsidRPr="00156441">
        <w:rPr>
          <w:rFonts w:ascii="Times New Roman" w:hAnsi="Times New Roman" w:cs="Times New Roman"/>
          <w:sz w:val="28"/>
          <w:szCs w:val="28"/>
        </w:rPr>
        <w:t xml:space="preserve"> та діастолічної функції шлуночків серця у обстежених хворих</w:t>
      </w:r>
    </w:p>
    <w:tbl>
      <w:tblPr>
        <w:tblStyle w:val="a5"/>
        <w:tblW w:w="0" w:type="auto"/>
        <w:tblInd w:w="-5" w:type="dxa"/>
        <w:tblLook w:val="04A0" w:firstRow="1" w:lastRow="0" w:firstColumn="1" w:lastColumn="0" w:noHBand="0" w:noVBand="1"/>
      </w:tblPr>
      <w:tblGrid>
        <w:gridCol w:w="2796"/>
        <w:gridCol w:w="2389"/>
        <w:gridCol w:w="2376"/>
        <w:gridCol w:w="2355"/>
      </w:tblGrid>
      <w:tr w:rsidR="00156441" w:rsidRPr="00156441" w:rsidTr="00940EC6">
        <w:tc>
          <w:tcPr>
            <w:tcW w:w="2796" w:type="dxa"/>
            <w:vAlign w:val="center"/>
          </w:tcPr>
          <w:p w:rsidR="00804F04" w:rsidRPr="00156441" w:rsidRDefault="00804F04" w:rsidP="00940EC6">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Показники</w:t>
            </w:r>
          </w:p>
        </w:tc>
        <w:tc>
          <w:tcPr>
            <w:tcW w:w="2389" w:type="dxa"/>
            <w:vAlign w:val="center"/>
          </w:tcPr>
          <w:p w:rsidR="00804F04" w:rsidRPr="00156441" w:rsidRDefault="00804F04" w:rsidP="00940EC6">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Основна група</w:t>
            </w:r>
          </w:p>
          <w:p w:rsidR="00804F04" w:rsidRPr="00156441" w:rsidRDefault="00804F04" w:rsidP="00723800">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(ХОЗЛ+ГХ)</w:t>
            </w:r>
            <w:r w:rsidR="00723800">
              <w:rPr>
                <w:rFonts w:ascii="Times New Roman" w:hAnsi="Times New Roman" w:cs="Times New Roman"/>
                <w:sz w:val="28"/>
                <w:szCs w:val="28"/>
              </w:rPr>
              <w:t xml:space="preserve">, </w:t>
            </w:r>
            <w:r w:rsidRPr="00156441">
              <w:rPr>
                <w:rFonts w:ascii="Times New Roman" w:hAnsi="Times New Roman" w:cs="Times New Roman"/>
                <w:sz w:val="28"/>
                <w:szCs w:val="28"/>
              </w:rPr>
              <w:t>n=36</w:t>
            </w:r>
          </w:p>
        </w:tc>
        <w:tc>
          <w:tcPr>
            <w:tcW w:w="2376" w:type="dxa"/>
            <w:vAlign w:val="center"/>
          </w:tcPr>
          <w:p w:rsidR="00804F04" w:rsidRPr="00156441" w:rsidRDefault="00804F04" w:rsidP="00940EC6">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порівняння</w:t>
            </w:r>
          </w:p>
          <w:p w:rsidR="00804F04" w:rsidRPr="00156441" w:rsidRDefault="00804F04" w:rsidP="00723800">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w:t>
            </w:r>
            <w:r w:rsidR="00723800">
              <w:rPr>
                <w:rFonts w:ascii="Times New Roman" w:hAnsi="Times New Roman" w:cs="Times New Roman"/>
                <w:sz w:val="28"/>
                <w:szCs w:val="28"/>
              </w:rPr>
              <w:t xml:space="preserve">, </w:t>
            </w:r>
            <w:r w:rsidRPr="00156441">
              <w:rPr>
                <w:rFonts w:ascii="Times New Roman" w:hAnsi="Times New Roman" w:cs="Times New Roman"/>
                <w:sz w:val="28"/>
                <w:szCs w:val="28"/>
              </w:rPr>
              <w:t>n=25</w:t>
            </w:r>
          </w:p>
        </w:tc>
        <w:tc>
          <w:tcPr>
            <w:tcW w:w="2355" w:type="dxa"/>
            <w:vAlign w:val="center"/>
          </w:tcPr>
          <w:p w:rsidR="00804F04" w:rsidRPr="00156441" w:rsidRDefault="00804F04" w:rsidP="00940EC6">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контролю</w:t>
            </w:r>
          </w:p>
          <w:p w:rsidR="00804F04" w:rsidRPr="00156441" w:rsidRDefault="00804F04" w:rsidP="00940EC6">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n=11</w:t>
            </w:r>
          </w:p>
        </w:tc>
      </w:tr>
      <w:tr w:rsidR="00156441" w:rsidRPr="00156441" w:rsidTr="00940EC6">
        <w:trPr>
          <w:trHeight w:val="225"/>
        </w:trPr>
        <w:tc>
          <w:tcPr>
            <w:tcW w:w="9916" w:type="dxa"/>
            <w:gridSpan w:val="4"/>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Лівий шлуночок</w:t>
            </w:r>
          </w:p>
        </w:tc>
      </w:tr>
      <w:tr w:rsidR="00156441" w:rsidRPr="00156441" w:rsidTr="00940EC6">
        <w:trPr>
          <w:trHeight w:val="450"/>
        </w:trPr>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 xml:space="preserve">ФВ </w:t>
            </w:r>
            <w:r w:rsidR="00C70355" w:rsidRPr="00156441">
              <w:rPr>
                <w:rFonts w:ascii="Times New Roman" w:hAnsi="Times New Roman" w:cs="Times New Roman"/>
                <w:sz w:val="28"/>
                <w:szCs w:val="28"/>
                <w:lang w:eastAsia="ru-RU"/>
              </w:rPr>
              <w:t>(%</w:t>
            </w:r>
            <w:r w:rsidRPr="00156441">
              <w:rPr>
                <w:rFonts w:ascii="Times New Roman" w:hAnsi="Times New Roman" w:cs="Times New Roman"/>
                <w:sz w:val="28"/>
                <w:szCs w:val="28"/>
                <w:lang w:eastAsia="ru-RU"/>
              </w:rPr>
              <w:t>)</w:t>
            </w:r>
          </w:p>
        </w:tc>
        <w:tc>
          <w:tcPr>
            <w:tcW w:w="2389"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61,9±0,75</w:t>
            </w:r>
          </w:p>
        </w:tc>
        <w:tc>
          <w:tcPr>
            <w:tcW w:w="237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64,7±0,86</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65,2±1,18</w:t>
            </w:r>
          </w:p>
        </w:tc>
      </w:tr>
      <w:tr w:rsidR="00156441" w:rsidRPr="00156441" w:rsidTr="00940EC6">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Пік Е ТМДП (м/с)</w:t>
            </w:r>
          </w:p>
        </w:tc>
        <w:tc>
          <w:tcPr>
            <w:tcW w:w="2389"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46,9±1,94</w:t>
            </w:r>
            <w:r w:rsidR="00940EC6"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r w:rsidRPr="00156441">
              <w:rPr>
                <w:rFonts w:ascii="Times New Roman" w:hAnsi="Times New Roman" w:cs="Times New Roman"/>
                <w:sz w:val="28"/>
                <w:szCs w:val="28"/>
                <w:vertAlign w:val="superscript"/>
              </w:rPr>
              <w:t>;</w:t>
            </w:r>
            <w:r w:rsidRPr="00156441">
              <w:rPr>
                <w:rFonts w:ascii="Times New Roman" w:hAnsi="Times New Roman" w:cs="Times New Roman"/>
                <w:sz w:val="28"/>
                <w:szCs w:val="28"/>
              </w:rPr>
              <w:t>**</w:t>
            </w:r>
          </w:p>
        </w:tc>
        <w:tc>
          <w:tcPr>
            <w:tcW w:w="237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56,8±4,01</w:t>
            </w:r>
            <w:r w:rsidR="00710B8D"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69,9±1,45</w:t>
            </w:r>
          </w:p>
        </w:tc>
      </w:tr>
      <w:tr w:rsidR="00156441" w:rsidRPr="00156441" w:rsidTr="00940EC6">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Пік А ТМДП (м/с)</w:t>
            </w:r>
          </w:p>
        </w:tc>
        <w:tc>
          <w:tcPr>
            <w:tcW w:w="2389"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67,3±2,35 </w:t>
            </w:r>
            <w:r w:rsidR="00804F04" w:rsidRPr="00156441">
              <w:rPr>
                <w:rFonts w:ascii="Times New Roman" w:hAnsi="Times New Roman" w:cs="Times New Roman"/>
                <w:sz w:val="28"/>
                <w:szCs w:val="28"/>
              </w:rPr>
              <w:t>*</w:t>
            </w:r>
          </w:p>
        </w:tc>
        <w:tc>
          <w:tcPr>
            <w:tcW w:w="237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69,6±2,98</w:t>
            </w:r>
            <w:r w:rsidR="00940EC6"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58,1±1,32</w:t>
            </w:r>
          </w:p>
        </w:tc>
      </w:tr>
      <w:tr w:rsidR="00156441" w:rsidRPr="00156441" w:rsidTr="00940EC6">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Е/А</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eastAsia="ru-RU"/>
              </w:rPr>
              <w:t>ТМДП (м/с)</w:t>
            </w:r>
          </w:p>
        </w:tc>
        <w:tc>
          <w:tcPr>
            <w:tcW w:w="2389" w:type="dxa"/>
            <w:vAlign w:val="center"/>
          </w:tcPr>
          <w:p w:rsidR="00804F04" w:rsidRPr="00156441" w:rsidRDefault="00940EC6"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0,7±0,02</w:t>
            </w:r>
            <w:r w:rsidR="00710B8D" w:rsidRPr="00156441">
              <w:rPr>
                <w:rFonts w:ascii="Times New Roman" w:hAnsi="Times New Roman" w:cs="Times New Roman"/>
                <w:sz w:val="28"/>
                <w:szCs w:val="28"/>
              </w:rPr>
              <w:t xml:space="preserve">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7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0,8±0,04</w:t>
            </w:r>
            <w:r w:rsidR="00940EC6" w:rsidRPr="00156441">
              <w:rPr>
                <w:rFonts w:ascii="Times New Roman" w:hAnsi="Times New Roman" w:cs="Times New Roman"/>
                <w:sz w:val="28"/>
                <w:szCs w:val="28"/>
              </w:rPr>
              <w:t xml:space="preserve"> </w:t>
            </w:r>
            <w:r w:rsidRPr="00156441">
              <w:rPr>
                <w:rFonts w:ascii="Times New Roman" w:hAnsi="Times New Roman" w:cs="Times New Roman"/>
                <w:sz w:val="28"/>
                <w:szCs w:val="28"/>
              </w:rPr>
              <w:t>*</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1,2±0,04</w:t>
            </w:r>
          </w:p>
        </w:tc>
      </w:tr>
      <w:tr w:rsidR="00104F9B" w:rsidRPr="00156441" w:rsidTr="009C556E">
        <w:tc>
          <w:tcPr>
            <w:tcW w:w="9916" w:type="dxa"/>
            <w:gridSpan w:val="4"/>
            <w:vAlign w:val="center"/>
          </w:tcPr>
          <w:p w:rsidR="00104F9B" w:rsidRPr="00104F9B" w:rsidRDefault="00104F9B" w:rsidP="00104F9B">
            <w:pPr>
              <w:pStyle w:val="a3"/>
              <w:spacing w:line="360" w:lineRule="auto"/>
              <w:contextualSpacing/>
              <w:jc w:val="right"/>
              <w:rPr>
                <w:rFonts w:ascii="Times New Roman" w:hAnsi="Times New Roman" w:cs="Times New Roman"/>
                <w:i/>
                <w:sz w:val="28"/>
                <w:szCs w:val="28"/>
              </w:rPr>
            </w:pPr>
            <w:r>
              <w:rPr>
                <w:rFonts w:ascii="Times New Roman" w:hAnsi="Times New Roman" w:cs="Times New Roman"/>
                <w:i/>
                <w:sz w:val="28"/>
                <w:szCs w:val="28"/>
              </w:rPr>
              <w:lastRenderedPageBreak/>
              <w:t xml:space="preserve">Продовження таблиці </w:t>
            </w:r>
            <w:r w:rsidRPr="00104F9B">
              <w:rPr>
                <w:rFonts w:ascii="Times New Roman" w:hAnsi="Times New Roman" w:cs="Times New Roman"/>
                <w:i/>
                <w:sz w:val="28"/>
                <w:szCs w:val="28"/>
              </w:rPr>
              <w:t>3.6.2</w:t>
            </w:r>
          </w:p>
        </w:tc>
      </w:tr>
      <w:tr w:rsidR="00156441" w:rsidRPr="00156441" w:rsidTr="00940EC6">
        <w:trPr>
          <w:trHeight w:val="382"/>
        </w:trPr>
        <w:tc>
          <w:tcPr>
            <w:tcW w:w="9916" w:type="dxa"/>
            <w:gridSpan w:val="4"/>
            <w:vAlign w:val="center"/>
          </w:tcPr>
          <w:p w:rsidR="00804F04" w:rsidRPr="00156441" w:rsidRDefault="00804F04" w:rsidP="00940EC6">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Правий шлуночок</w:t>
            </w:r>
          </w:p>
        </w:tc>
      </w:tr>
      <w:tr w:rsidR="00156441" w:rsidRPr="00156441" w:rsidTr="00940EC6">
        <w:trPr>
          <w:trHeight w:val="255"/>
        </w:trPr>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КДП (см</w:t>
            </w:r>
            <w:r w:rsidRPr="00156441">
              <w:rPr>
                <w:rFonts w:ascii="Times New Roman" w:hAnsi="Times New Roman" w:cs="Times New Roman"/>
                <w:sz w:val="28"/>
                <w:szCs w:val="28"/>
                <w:vertAlign w:val="superscript"/>
                <w:lang w:eastAsia="ru-RU"/>
              </w:rPr>
              <w:t>2</w:t>
            </w:r>
            <w:r w:rsidRPr="00156441">
              <w:rPr>
                <w:rFonts w:ascii="Times New Roman" w:hAnsi="Times New Roman" w:cs="Times New Roman"/>
                <w:sz w:val="28"/>
                <w:szCs w:val="28"/>
                <w:lang w:eastAsia="ru-RU"/>
              </w:rPr>
              <w:t>)</w:t>
            </w:r>
          </w:p>
        </w:tc>
        <w:tc>
          <w:tcPr>
            <w:tcW w:w="2389"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15,5±0,44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7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16,8±0,43</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17,7±0,59</w:t>
            </w:r>
          </w:p>
        </w:tc>
      </w:tr>
      <w:tr w:rsidR="00156441" w:rsidRPr="00156441" w:rsidTr="00940EC6">
        <w:trPr>
          <w:trHeight w:val="240"/>
        </w:trPr>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КСП (см</w:t>
            </w:r>
            <w:r w:rsidRPr="00156441">
              <w:rPr>
                <w:rFonts w:ascii="Times New Roman" w:hAnsi="Times New Roman" w:cs="Times New Roman"/>
                <w:sz w:val="28"/>
                <w:szCs w:val="28"/>
                <w:vertAlign w:val="superscript"/>
                <w:lang w:eastAsia="ru-RU"/>
              </w:rPr>
              <w:t>2</w:t>
            </w:r>
            <w:r w:rsidRPr="00156441">
              <w:rPr>
                <w:rFonts w:ascii="Times New Roman" w:hAnsi="Times New Roman" w:cs="Times New Roman"/>
                <w:sz w:val="28"/>
                <w:szCs w:val="28"/>
                <w:lang w:eastAsia="ru-RU"/>
              </w:rPr>
              <w:t>)</w:t>
            </w:r>
          </w:p>
        </w:tc>
        <w:tc>
          <w:tcPr>
            <w:tcW w:w="2389"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8,9±0,26</w:t>
            </w:r>
          </w:p>
        </w:tc>
        <w:tc>
          <w:tcPr>
            <w:tcW w:w="237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9±0,25</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9,1±0,24</w:t>
            </w:r>
          </w:p>
        </w:tc>
      </w:tr>
      <w:tr w:rsidR="00156441" w:rsidRPr="00156441" w:rsidTr="00940EC6">
        <w:trPr>
          <w:trHeight w:val="451"/>
        </w:trPr>
        <w:tc>
          <w:tcPr>
            <w:tcW w:w="2796" w:type="dxa"/>
            <w:vAlign w:val="center"/>
          </w:tcPr>
          <w:p w:rsidR="00804F04" w:rsidRPr="00156441" w:rsidRDefault="00804F04" w:rsidP="00FC5933">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Ф</w:t>
            </w:r>
            <w:r w:rsidR="00FC5933">
              <w:rPr>
                <w:rFonts w:ascii="Times New Roman" w:hAnsi="Times New Roman" w:cs="Times New Roman"/>
                <w:sz w:val="28"/>
                <w:szCs w:val="28"/>
                <w:lang w:eastAsia="ru-RU"/>
              </w:rPr>
              <w:t>З</w:t>
            </w:r>
            <w:r w:rsidRPr="00156441">
              <w:rPr>
                <w:rFonts w:ascii="Times New Roman" w:hAnsi="Times New Roman" w:cs="Times New Roman"/>
                <w:sz w:val="28"/>
                <w:szCs w:val="28"/>
                <w:lang w:eastAsia="ru-RU"/>
              </w:rPr>
              <w:t>П</w:t>
            </w:r>
            <w:r w:rsidR="00FC5933">
              <w:rPr>
                <w:rFonts w:ascii="Times New Roman" w:hAnsi="Times New Roman" w:cs="Times New Roman"/>
                <w:sz w:val="28"/>
                <w:szCs w:val="28"/>
                <w:lang w:eastAsia="ru-RU"/>
              </w:rPr>
              <w:t>П</w:t>
            </w:r>
            <w:r w:rsidRPr="00156441">
              <w:rPr>
                <w:rFonts w:ascii="Times New Roman" w:hAnsi="Times New Roman" w:cs="Times New Roman"/>
                <w:sz w:val="28"/>
                <w:szCs w:val="28"/>
                <w:lang w:eastAsia="ru-RU"/>
              </w:rPr>
              <w:t xml:space="preserve"> </w:t>
            </w:r>
            <w:r w:rsidR="00C70355" w:rsidRPr="00156441">
              <w:rPr>
                <w:rFonts w:ascii="Times New Roman" w:hAnsi="Times New Roman" w:cs="Times New Roman"/>
                <w:sz w:val="28"/>
                <w:szCs w:val="28"/>
                <w:lang w:eastAsia="ru-RU"/>
              </w:rPr>
              <w:t>(%</w:t>
            </w:r>
            <w:r w:rsidRPr="00156441">
              <w:rPr>
                <w:rFonts w:ascii="Times New Roman" w:hAnsi="Times New Roman" w:cs="Times New Roman"/>
                <w:sz w:val="28"/>
                <w:szCs w:val="28"/>
                <w:lang w:eastAsia="ru-RU"/>
              </w:rPr>
              <w:t>)</w:t>
            </w:r>
          </w:p>
        </w:tc>
        <w:tc>
          <w:tcPr>
            <w:tcW w:w="2389"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42,1±0,98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76"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46,1±0,87 </w:t>
            </w:r>
            <w:r w:rsidR="00804F04" w:rsidRPr="00156441">
              <w:rPr>
                <w:rFonts w:ascii="Times New Roman" w:hAnsi="Times New Roman" w:cs="Times New Roman"/>
                <w:sz w:val="28"/>
                <w:szCs w:val="28"/>
              </w:rPr>
              <w:t>*</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50,6±1,35</w:t>
            </w:r>
          </w:p>
        </w:tc>
      </w:tr>
      <w:tr w:rsidR="00156441" w:rsidRPr="00156441" w:rsidTr="00940EC6">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Пик Е ТТДП (м/с)</w:t>
            </w:r>
          </w:p>
        </w:tc>
        <w:tc>
          <w:tcPr>
            <w:tcW w:w="2389"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39±1,05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76"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44,8±2,01 </w:t>
            </w:r>
            <w:r w:rsidR="00804F04" w:rsidRPr="00156441">
              <w:rPr>
                <w:rFonts w:ascii="Times New Roman" w:hAnsi="Times New Roman" w:cs="Times New Roman"/>
                <w:sz w:val="28"/>
                <w:szCs w:val="28"/>
              </w:rPr>
              <w:t>*</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57,7±1,18</w:t>
            </w:r>
          </w:p>
        </w:tc>
      </w:tr>
      <w:tr w:rsidR="00156441" w:rsidRPr="00156441" w:rsidTr="00940EC6">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Пик А ТТДП (м/с)</w:t>
            </w:r>
          </w:p>
        </w:tc>
        <w:tc>
          <w:tcPr>
            <w:tcW w:w="2389"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53,3±1,25</w:t>
            </w:r>
          </w:p>
        </w:tc>
        <w:tc>
          <w:tcPr>
            <w:tcW w:w="237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52,3±1,22</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50,4±1,42</w:t>
            </w:r>
          </w:p>
        </w:tc>
      </w:tr>
      <w:tr w:rsidR="00156441" w:rsidRPr="00156441" w:rsidTr="00940EC6">
        <w:tc>
          <w:tcPr>
            <w:tcW w:w="2796"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lang w:eastAsia="ru-RU"/>
              </w:rPr>
            </w:pPr>
            <w:r w:rsidRPr="00156441">
              <w:rPr>
                <w:rFonts w:ascii="Times New Roman" w:hAnsi="Times New Roman" w:cs="Times New Roman"/>
                <w:sz w:val="28"/>
                <w:szCs w:val="28"/>
                <w:lang w:eastAsia="ru-RU"/>
              </w:rPr>
              <w:t>Е/А ТТДП (м/с)</w:t>
            </w:r>
          </w:p>
        </w:tc>
        <w:tc>
          <w:tcPr>
            <w:tcW w:w="2389"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0,7±0,02 </w:t>
            </w:r>
            <w:r w:rsidR="00804F04" w:rsidRPr="00156441">
              <w:rPr>
                <w:rFonts w:ascii="Times New Roman" w:hAnsi="Times New Roman" w:cs="Times New Roman"/>
                <w:sz w:val="28"/>
                <w:szCs w:val="28"/>
              </w:rPr>
              <w:t>*</w:t>
            </w:r>
            <w:r w:rsidR="00804F04" w:rsidRPr="00156441">
              <w:rPr>
                <w:rFonts w:ascii="Times New Roman" w:hAnsi="Times New Roman" w:cs="Times New Roman"/>
                <w:sz w:val="28"/>
                <w:szCs w:val="28"/>
                <w:vertAlign w:val="superscript"/>
              </w:rPr>
              <w:t>;</w:t>
            </w:r>
            <w:r w:rsidR="00804F04" w:rsidRPr="00156441">
              <w:rPr>
                <w:rFonts w:ascii="Times New Roman" w:hAnsi="Times New Roman" w:cs="Times New Roman"/>
                <w:sz w:val="28"/>
                <w:szCs w:val="28"/>
              </w:rPr>
              <w:t>**</w:t>
            </w:r>
          </w:p>
        </w:tc>
        <w:tc>
          <w:tcPr>
            <w:tcW w:w="2376" w:type="dxa"/>
            <w:vAlign w:val="center"/>
          </w:tcPr>
          <w:p w:rsidR="00804F04" w:rsidRPr="00156441" w:rsidRDefault="00710B8D"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0,9±0,04 </w:t>
            </w:r>
            <w:r w:rsidR="00804F04" w:rsidRPr="00156441">
              <w:rPr>
                <w:rFonts w:ascii="Times New Roman" w:hAnsi="Times New Roman" w:cs="Times New Roman"/>
                <w:sz w:val="28"/>
                <w:szCs w:val="28"/>
              </w:rPr>
              <w:t>*</w:t>
            </w:r>
          </w:p>
        </w:tc>
        <w:tc>
          <w:tcPr>
            <w:tcW w:w="2355" w:type="dxa"/>
            <w:vAlign w:val="center"/>
          </w:tcPr>
          <w:p w:rsidR="00804F04" w:rsidRPr="00156441" w:rsidRDefault="00804F04" w:rsidP="00940EC6">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1,1±0,03</w:t>
            </w:r>
          </w:p>
        </w:tc>
      </w:tr>
    </w:tbl>
    <w:p w:rsidR="00804F04" w:rsidRPr="00156441" w:rsidRDefault="00545346" w:rsidP="00DE66F8">
      <w:pPr>
        <w:pStyle w:val="a4"/>
        <w:spacing w:after="0" w:line="360" w:lineRule="auto"/>
        <w:ind w:left="0" w:firstLine="709"/>
        <w:jc w:val="both"/>
        <w:rPr>
          <w:rFonts w:ascii="Times New Roman" w:hAnsi="Times New Roman" w:cs="Times New Roman"/>
          <w:sz w:val="28"/>
          <w:szCs w:val="28"/>
        </w:rPr>
      </w:pPr>
      <w:r w:rsidRPr="00156441">
        <w:rPr>
          <w:rFonts w:ascii="Times New Roman" w:hAnsi="Times New Roman" w:cs="Times New Roman"/>
          <w:sz w:val="28"/>
          <w:szCs w:val="28"/>
        </w:rPr>
        <w:t>Примітка: * —</w:t>
      </w:r>
      <w:r w:rsidR="00804F04" w:rsidRPr="00156441">
        <w:rPr>
          <w:rFonts w:ascii="Times New Roman" w:hAnsi="Times New Roman" w:cs="Times New Roman"/>
          <w:sz w:val="28"/>
          <w:szCs w:val="28"/>
        </w:rPr>
        <w:t xml:space="preserve"> різниця вірогідна (р&lt;0,05) з контролем, ** </w:t>
      </w:r>
      <w:r w:rsidRPr="00156441">
        <w:rPr>
          <w:rFonts w:ascii="Times New Roman" w:hAnsi="Times New Roman" w:cs="Times New Roman"/>
          <w:sz w:val="28"/>
          <w:szCs w:val="28"/>
        </w:rPr>
        <w:t>—</w:t>
      </w:r>
      <w:r w:rsidR="00804F04" w:rsidRPr="00156441">
        <w:rPr>
          <w:rFonts w:ascii="Times New Roman" w:hAnsi="Times New Roman" w:cs="Times New Roman"/>
          <w:sz w:val="28"/>
          <w:szCs w:val="28"/>
        </w:rPr>
        <w:t xml:space="preserve"> різниця вірогідна (р&lt;0,05) з групою порівняння.</w:t>
      </w:r>
    </w:p>
    <w:p w:rsidR="00710B8D" w:rsidRPr="00156441" w:rsidRDefault="00710B8D" w:rsidP="00804F04">
      <w:pPr>
        <w:pStyle w:val="a4"/>
        <w:spacing w:after="0" w:line="360" w:lineRule="auto"/>
        <w:ind w:left="0"/>
        <w:jc w:val="both"/>
        <w:rPr>
          <w:rFonts w:ascii="Times New Roman" w:hAnsi="Times New Roman" w:cs="Times New Roman"/>
          <w:sz w:val="28"/>
          <w:szCs w:val="28"/>
        </w:rPr>
      </w:pP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Під діастолічною функцією міокарда розуміють здатність лівого шлуночку приймати кров від низьким тиском та заповнюватись без компенсаторного </w:t>
      </w:r>
      <w:r w:rsidR="00545346" w:rsidRPr="00156441">
        <w:rPr>
          <w:rFonts w:ascii="Times New Roman" w:hAnsi="Times New Roman" w:cs="Times New Roman"/>
          <w:sz w:val="28"/>
          <w:szCs w:val="28"/>
        </w:rPr>
        <w:t>підвищення</w:t>
      </w:r>
      <w:r w:rsidRPr="00156441">
        <w:rPr>
          <w:rFonts w:ascii="Times New Roman" w:hAnsi="Times New Roman" w:cs="Times New Roman"/>
          <w:sz w:val="28"/>
          <w:szCs w:val="28"/>
        </w:rPr>
        <w:t xml:space="preserve"> тиску у лівому передсерді. Одним з ранніх проявів ремоделювання міокарду ЛШ є розвиток діастолічної дисфункції. Вона супроводжується зростанням кінцевого діастолічного тиску у ЛШ та його </w:t>
      </w:r>
      <w:r w:rsidR="00545346" w:rsidRPr="00156441">
        <w:rPr>
          <w:rFonts w:ascii="Times New Roman" w:hAnsi="Times New Roman" w:cs="Times New Roman"/>
          <w:sz w:val="28"/>
          <w:szCs w:val="28"/>
        </w:rPr>
        <w:t>дилятацією</w:t>
      </w:r>
      <w:r w:rsidRPr="00156441">
        <w:rPr>
          <w:rFonts w:ascii="Times New Roman" w:hAnsi="Times New Roman" w:cs="Times New Roman"/>
          <w:sz w:val="28"/>
          <w:szCs w:val="28"/>
        </w:rPr>
        <w:t>, що тягне за собою зниження фракції викиду та зниження толерантності до фізичних навантажень. Багаточисленні патологічні фактори (ішемія, гіпокс</w:t>
      </w:r>
      <w:r w:rsidR="009C6C87" w:rsidRPr="00156441">
        <w:rPr>
          <w:rFonts w:ascii="Times New Roman" w:hAnsi="Times New Roman" w:cs="Times New Roman"/>
          <w:sz w:val="28"/>
          <w:szCs w:val="28"/>
        </w:rPr>
        <w:t>е</w:t>
      </w:r>
      <w:r w:rsidRPr="00156441">
        <w:rPr>
          <w:rFonts w:ascii="Times New Roman" w:hAnsi="Times New Roman" w:cs="Times New Roman"/>
          <w:sz w:val="28"/>
          <w:szCs w:val="28"/>
        </w:rPr>
        <w:t>мія, ендотеліальна дисфункції, гіпертрофія та ін.) сприяють зниженню міокард</w:t>
      </w:r>
      <w:r w:rsidR="009C6C87" w:rsidRPr="00156441">
        <w:rPr>
          <w:rFonts w:ascii="Times New Roman" w:hAnsi="Times New Roman" w:cs="Times New Roman"/>
          <w:sz w:val="28"/>
          <w:szCs w:val="28"/>
        </w:rPr>
        <w:t>и</w:t>
      </w:r>
      <w:r w:rsidRPr="00156441">
        <w:rPr>
          <w:rFonts w:ascii="Times New Roman" w:hAnsi="Times New Roman" w:cs="Times New Roman"/>
          <w:sz w:val="28"/>
          <w:szCs w:val="28"/>
        </w:rPr>
        <w:t>альної еластичності та збільшення жорсткості камери ЛШ.</w:t>
      </w:r>
      <w:r w:rsidR="009C6C87" w:rsidRPr="00156441">
        <w:rPr>
          <w:rFonts w:ascii="Times New Roman" w:hAnsi="Times New Roman" w:cs="Times New Roman"/>
          <w:sz w:val="28"/>
          <w:szCs w:val="28"/>
        </w:rPr>
        <w:t xml:space="preserve"> </w:t>
      </w:r>
    </w:p>
    <w:p w:rsidR="00804F04"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Для встановлення типу діастолічної дисфункції</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ЛШ виміряли </w:t>
      </w:r>
      <w:r w:rsidR="009C6C87" w:rsidRPr="00156441">
        <w:rPr>
          <w:rFonts w:ascii="Times New Roman" w:hAnsi="Times New Roman" w:cs="Times New Roman"/>
          <w:sz w:val="28"/>
          <w:szCs w:val="28"/>
        </w:rPr>
        <w:t>ранній</w:t>
      </w:r>
      <w:r w:rsidRPr="00156441">
        <w:rPr>
          <w:rFonts w:ascii="Times New Roman" w:hAnsi="Times New Roman" w:cs="Times New Roman"/>
          <w:sz w:val="28"/>
          <w:szCs w:val="28"/>
        </w:rPr>
        <w:t xml:space="preserve"> діастолічний (Е, см/сек) та передсердний (А, см/сек) піки трансмітрального кровотоку. Вер</w:t>
      </w:r>
      <w:r w:rsidR="009C6C87" w:rsidRPr="00156441">
        <w:rPr>
          <w:rFonts w:ascii="Times New Roman" w:hAnsi="Times New Roman" w:cs="Times New Roman"/>
          <w:sz w:val="28"/>
          <w:szCs w:val="28"/>
        </w:rPr>
        <w:t>и</w:t>
      </w:r>
      <w:r w:rsidRPr="00156441">
        <w:rPr>
          <w:rFonts w:ascii="Times New Roman" w:hAnsi="Times New Roman" w:cs="Times New Roman"/>
          <w:sz w:val="28"/>
          <w:szCs w:val="28"/>
        </w:rPr>
        <w:t>фікували діастолічну дисфункці</w:t>
      </w:r>
      <w:r w:rsidR="009C6C87" w:rsidRPr="00156441">
        <w:rPr>
          <w:rFonts w:ascii="Times New Roman" w:hAnsi="Times New Roman" w:cs="Times New Roman"/>
          <w:sz w:val="28"/>
          <w:szCs w:val="28"/>
        </w:rPr>
        <w:t>ю наступним чин</w:t>
      </w:r>
      <w:r w:rsidRPr="00156441">
        <w:rPr>
          <w:rFonts w:ascii="Times New Roman" w:hAnsi="Times New Roman" w:cs="Times New Roman"/>
          <w:sz w:val="28"/>
          <w:szCs w:val="28"/>
        </w:rPr>
        <w:t>ом: I</w:t>
      </w:r>
      <w:r w:rsidR="009C6C87" w:rsidRPr="00156441">
        <w:rPr>
          <w:rFonts w:ascii="Times New Roman" w:hAnsi="Times New Roman" w:cs="Times New Roman"/>
          <w:sz w:val="28"/>
          <w:szCs w:val="28"/>
        </w:rPr>
        <w:t> </w:t>
      </w:r>
      <w:r w:rsidRPr="00156441">
        <w:rPr>
          <w:rFonts w:ascii="Times New Roman" w:hAnsi="Times New Roman" w:cs="Times New Roman"/>
          <w:sz w:val="28"/>
          <w:szCs w:val="28"/>
        </w:rPr>
        <w:t>тип</w:t>
      </w:r>
      <w:r w:rsidR="009C6C87" w:rsidRPr="00156441">
        <w:rPr>
          <w:rFonts w:ascii="Times New Roman" w:hAnsi="Times New Roman" w:cs="Times New Roman"/>
          <w:sz w:val="28"/>
          <w:szCs w:val="28"/>
        </w:rPr>
        <w:t> </w:t>
      </w:r>
      <w:r w:rsidRPr="00156441">
        <w:rPr>
          <w:rFonts w:ascii="Times New Roman" w:hAnsi="Times New Roman" w:cs="Times New Roman"/>
          <w:sz w:val="28"/>
          <w:szCs w:val="28"/>
        </w:rPr>
        <w:t xml:space="preserve">(уповільнена релаксація) </w:t>
      </w:r>
      <w:r w:rsidR="009C6C87" w:rsidRPr="00156441">
        <w:rPr>
          <w:rFonts w:ascii="Times New Roman" w:hAnsi="Times New Roman" w:cs="Times New Roman"/>
          <w:sz w:val="28"/>
          <w:szCs w:val="28"/>
        </w:rPr>
        <w:t>— при Е/А</w:t>
      </w:r>
      <w:r w:rsidRPr="00156441">
        <w:rPr>
          <w:rFonts w:ascii="Times New Roman" w:hAnsi="Times New Roman" w:cs="Times New Roman"/>
          <w:sz w:val="28"/>
          <w:szCs w:val="28"/>
        </w:rPr>
        <w:t xml:space="preserve">&lt;0,8, II псевдонормальний тип </w:t>
      </w:r>
      <w:r w:rsidR="009C6C87" w:rsidRPr="00156441">
        <w:rPr>
          <w:rFonts w:ascii="Times New Roman" w:hAnsi="Times New Roman" w:cs="Times New Roman"/>
          <w:sz w:val="28"/>
          <w:szCs w:val="28"/>
        </w:rPr>
        <w:t>—</w:t>
      </w:r>
      <w:r w:rsidRPr="00156441">
        <w:rPr>
          <w:rFonts w:ascii="Times New Roman" w:hAnsi="Times New Roman" w:cs="Times New Roman"/>
          <w:sz w:val="28"/>
          <w:szCs w:val="28"/>
        </w:rPr>
        <w:t xml:space="preserve"> при Е/А</w:t>
      </w:r>
      <w:r w:rsidR="009C6C87" w:rsidRPr="00156441">
        <w:rPr>
          <w:rFonts w:ascii="Times New Roman" w:hAnsi="Times New Roman" w:cs="Times New Roman"/>
          <w:sz w:val="28"/>
          <w:szCs w:val="28"/>
        </w:rPr>
        <w:t> </w:t>
      </w:r>
      <w:r w:rsidRPr="00156441">
        <w:rPr>
          <w:rFonts w:ascii="Times New Roman" w:hAnsi="Times New Roman" w:cs="Times New Roman"/>
          <w:sz w:val="28"/>
          <w:szCs w:val="28"/>
        </w:rPr>
        <w:t xml:space="preserve">0,8–2,1 та рестриктивний тип </w:t>
      </w:r>
      <w:r w:rsidR="009C6C87" w:rsidRPr="00156441">
        <w:rPr>
          <w:rFonts w:ascii="Times New Roman" w:hAnsi="Times New Roman" w:cs="Times New Roman"/>
          <w:sz w:val="28"/>
          <w:szCs w:val="28"/>
        </w:rPr>
        <w:t>—</w:t>
      </w:r>
      <w:r w:rsidRPr="00156441">
        <w:rPr>
          <w:rFonts w:ascii="Times New Roman" w:hAnsi="Times New Roman" w:cs="Times New Roman"/>
          <w:sz w:val="28"/>
          <w:szCs w:val="28"/>
        </w:rPr>
        <w:t xml:space="preserve"> Е/А&gt;2,1. Результати аналізу показників ДД </w:t>
      </w:r>
      <w:r w:rsidR="009C6C87" w:rsidRPr="00156441">
        <w:rPr>
          <w:rFonts w:ascii="Times New Roman" w:hAnsi="Times New Roman" w:cs="Times New Roman"/>
          <w:sz w:val="28"/>
          <w:szCs w:val="28"/>
        </w:rPr>
        <w:t>представлені</w:t>
      </w:r>
      <w:r w:rsidRPr="00156441">
        <w:rPr>
          <w:rFonts w:ascii="Times New Roman" w:hAnsi="Times New Roman" w:cs="Times New Roman"/>
          <w:sz w:val="28"/>
          <w:szCs w:val="28"/>
        </w:rPr>
        <w:t xml:space="preserve"> у таблиці </w:t>
      </w:r>
      <w:r w:rsidR="00032038" w:rsidRPr="00156441">
        <w:rPr>
          <w:rFonts w:ascii="Times New Roman" w:hAnsi="Times New Roman" w:cs="Times New Roman"/>
          <w:sz w:val="28"/>
          <w:szCs w:val="28"/>
        </w:rPr>
        <w:t>3</w:t>
      </w:r>
      <w:r w:rsidR="00710B8D" w:rsidRPr="00156441">
        <w:rPr>
          <w:rFonts w:ascii="Times New Roman" w:hAnsi="Times New Roman" w:cs="Times New Roman"/>
          <w:sz w:val="28"/>
          <w:szCs w:val="28"/>
        </w:rPr>
        <w:t>.6.3.</w:t>
      </w:r>
    </w:p>
    <w:p w:rsidR="00DE66F8" w:rsidRPr="00156441" w:rsidRDefault="00DE66F8" w:rsidP="00DE66F8">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Порушення діастолічної дисфункції реєструвалось у переважної більшості обстежених — 97,2 % в основній групі та 68 % у групі порівняння. Переважав I тип </w:t>
      </w:r>
      <w:r w:rsidRPr="00156441">
        <w:rPr>
          <w:rFonts w:ascii="Times New Roman" w:hAnsi="Times New Roman" w:cs="Times New Roman"/>
          <w:sz w:val="28"/>
          <w:szCs w:val="28"/>
        </w:rPr>
        <w:lastRenderedPageBreak/>
        <w:t>ДД, псевдонормальний тип наповнення ЛШ відмічався у 2,7 % та 32 випадків відповідно. Рестриктивний тип ДД ЛШ не реєструвався.</w:t>
      </w:r>
    </w:p>
    <w:p w:rsidR="00DE66F8" w:rsidRPr="00156441" w:rsidRDefault="00DE66F8" w:rsidP="00710B8D">
      <w:pPr>
        <w:pStyle w:val="a4"/>
        <w:spacing w:after="0" w:line="360" w:lineRule="auto"/>
        <w:ind w:left="0" w:firstLine="708"/>
        <w:jc w:val="both"/>
        <w:rPr>
          <w:rFonts w:ascii="Times New Roman" w:hAnsi="Times New Roman" w:cs="Times New Roman"/>
          <w:sz w:val="28"/>
          <w:szCs w:val="28"/>
        </w:rPr>
      </w:pPr>
    </w:p>
    <w:p w:rsidR="00804F04" w:rsidRPr="00156441" w:rsidRDefault="00804F04" w:rsidP="00710B8D">
      <w:pPr>
        <w:pStyle w:val="a4"/>
        <w:spacing w:after="0" w:line="360" w:lineRule="auto"/>
        <w:ind w:left="0"/>
        <w:jc w:val="right"/>
        <w:rPr>
          <w:rFonts w:ascii="Times New Roman" w:hAnsi="Times New Roman" w:cs="Times New Roman"/>
          <w:sz w:val="28"/>
          <w:szCs w:val="28"/>
        </w:rPr>
      </w:pPr>
      <w:r w:rsidRPr="00156441">
        <w:rPr>
          <w:rFonts w:ascii="Times New Roman" w:hAnsi="Times New Roman" w:cs="Times New Roman"/>
          <w:sz w:val="28"/>
          <w:szCs w:val="28"/>
        </w:rPr>
        <w:t xml:space="preserve">Таблиця </w:t>
      </w:r>
      <w:r w:rsidR="00032038" w:rsidRPr="00156441">
        <w:rPr>
          <w:rFonts w:ascii="Times New Roman" w:hAnsi="Times New Roman" w:cs="Times New Roman"/>
          <w:sz w:val="28"/>
          <w:szCs w:val="28"/>
        </w:rPr>
        <w:t>3</w:t>
      </w:r>
      <w:r w:rsidR="00710B8D" w:rsidRPr="00156441">
        <w:rPr>
          <w:rFonts w:ascii="Times New Roman" w:hAnsi="Times New Roman" w:cs="Times New Roman"/>
          <w:sz w:val="28"/>
          <w:szCs w:val="28"/>
        </w:rPr>
        <w:t>.6.3</w:t>
      </w:r>
    </w:p>
    <w:p w:rsidR="00804F04" w:rsidRPr="00156441" w:rsidRDefault="00710B8D" w:rsidP="00710B8D">
      <w:pPr>
        <w:pStyle w:val="a4"/>
        <w:spacing w:after="0"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Розподіл хворих за типом</w:t>
      </w:r>
      <w:r w:rsidR="00804F04" w:rsidRPr="00156441">
        <w:rPr>
          <w:rFonts w:ascii="Times New Roman" w:hAnsi="Times New Roman" w:cs="Times New Roman"/>
          <w:sz w:val="28"/>
          <w:szCs w:val="28"/>
        </w:rPr>
        <w:t xml:space="preserve"> диастолічної дисфункції</w:t>
      </w:r>
    </w:p>
    <w:tbl>
      <w:tblPr>
        <w:tblStyle w:val="a5"/>
        <w:tblW w:w="9923" w:type="dxa"/>
        <w:tblInd w:w="-5" w:type="dxa"/>
        <w:tblLook w:val="04A0" w:firstRow="1" w:lastRow="0" w:firstColumn="1" w:lastColumn="0" w:noHBand="0" w:noVBand="1"/>
      </w:tblPr>
      <w:tblGrid>
        <w:gridCol w:w="1985"/>
        <w:gridCol w:w="2646"/>
        <w:gridCol w:w="2646"/>
        <w:gridCol w:w="2646"/>
      </w:tblGrid>
      <w:tr w:rsidR="00156441" w:rsidRPr="00156441" w:rsidTr="009C6C87">
        <w:trPr>
          <w:trHeight w:val="300"/>
        </w:trPr>
        <w:tc>
          <w:tcPr>
            <w:tcW w:w="1985" w:type="dxa"/>
            <w:vMerge w:val="restart"/>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Групи</w:t>
            </w:r>
          </w:p>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хворих</w:t>
            </w:r>
          </w:p>
        </w:tc>
        <w:tc>
          <w:tcPr>
            <w:tcW w:w="7938" w:type="dxa"/>
            <w:gridSpan w:val="3"/>
            <w:vAlign w:val="center"/>
          </w:tcPr>
          <w:p w:rsidR="00804F04" w:rsidRPr="00156441" w:rsidRDefault="00804F04" w:rsidP="009C6C87">
            <w:pPr>
              <w:pStyle w:val="a4"/>
              <w:spacing w:line="360" w:lineRule="auto"/>
              <w:ind w:left="0" w:right="-157"/>
              <w:jc w:val="center"/>
              <w:rPr>
                <w:rFonts w:ascii="Times New Roman" w:hAnsi="Times New Roman" w:cs="Times New Roman"/>
                <w:sz w:val="28"/>
                <w:szCs w:val="28"/>
              </w:rPr>
            </w:pPr>
            <w:r w:rsidRPr="00156441">
              <w:rPr>
                <w:rFonts w:ascii="Times New Roman" w:hAnsi="Times New Roman" w:cs="Times New Roman"/>
                <w:sz w:val="28"/>
                <w:szCs w:val="28"/>
              </w:rPr>
              <w:t>Тип діастолічної дисфункції ЛШ</w:t>
            </w:r>
          </w:p>
        </w:tc>
      </w:tr>
      <w:tr w:rsidR="00156441" w:rsidRPr="00156441" w:rsidTr="009C6C87">
        <w:trPr>
          <w:trHeight w:val="798"/>
        </w:trPr>
        <w:tc>
          <w:tcPr>
            <w:tcW w:w="1985" w:type="dxa"/>
            <w:vMerge/>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p>
        </w:tc>
        <w:tc>
          <w:tcPr>
            <w:tcW w:w="26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Уповільнення релаксації</w:t>
            </w:r>
          </w:p>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2646" w:type="dxa"/>
            <w:vAlign w:val="center"/>
          </w:tcPr>
          <w:p w:rsidR="00804F04" w:rsidRPr="00156441" w:rsidRDefault="009C6C87"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Псевдо</w:t>
            </w:r>
            <w:r w:rsidR="00804F04" w:rsidRPr="00156441">
              <w:rPr>
                <w:rFonts w:ascii="Times New Roman" w:hAnsi="Times New Roman" w:cs="Times New Roman"/>
                <w:sz w:val="28"/>
                <w:szCs w:val="28"/>
              </w:rPr>
              <w:t>нормальний тип</w:t>
            </w:r>
          </w:p>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2646" w:type="dxa"/>
            <w:vAlign w:val="center"/>
          </w:tcPr>
          <w:p w:rsidR="00804F04" w:rsidRPr="00156441" w:rsidRDefault="009C6C87"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Рестриктивний</w:t>
            </w:r>
            <w:r w:rsidR="00804F04" w:rsidRPr="00156441">
              <w:rPr>
                <w:rFonts w:ascii="Times New Roman" w:hAnsi="Times New Roman" w:cs="Times New Roman"/>
                <w:sz w:val="28"/>
                <w:szCs w:val="28"/>
              </w:rPr>
              <w:t xml:space="preserve"> тип</w:t>
            </w:r>
          </w:p>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r>
      <w:tr w:rsidR="00156441" w:rsidRPr="00156441" w:rsidTr="009C6C87">
        <w:tc>
          <w:tcPr>
            <w:tcW w:w="1985"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 + ГХ</w:t>
            </w:r>
          </w:p>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n=36</w:t>
            </w:r>
          </w:p>
        </w:tc>
        <w:tc>
          <w:tcPr>
            <w:tcW w:w="26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35 (97,2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6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1</w:t>
            </w:r>
            <w:r w:rsidR="00DE66F8">
              <w:rPr>
                <w:rFonts w:ascii="Times New Roman" w:hAnsi="Times New Roman" w:cs="Times New Roman"/>
                <w:sz w:val="28"/>
                <w:szCs w:val="28"/>
              </w:rPr>
              <w:t xml:space="preserve"> </w:t>
            </w:r>
            <w:r w:rsidRPr="00156441">
              <w:rPr>
                <w:rFonts w:ascii="Times New Roman" w:hAnsi="Times New Roman" w:cs="Times New Roman"/>
                <w:sz w:val="28"/>
                <w:szCs w:val="28"/>
              </w:rPr>
              <w:t>(2,7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6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w:t>
            </w:r>
          </w:p>
        </w:tc>
      </w:tr>
      <w:tr w:rsidR="00156441" w:rsidRPr="00156441" w:rsidTr="009C6C87">
        <w:tc>
          <w:tcPr>
            <w:tcW w:w="1985"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ХОЗЛ</w:t>
            </w:r>
          </w:p>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n=25</w:t>
            </w:r>
          </w:p>
        </w:tc>
        <w:tc>
          <w:tcPr>
            <w:tcW w:w="26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17 (68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6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8 (32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6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w:t>
            </w:r>
          </w:p>
        </w:tc>
      </w:tr>
    </w:tbl>
    <w:p w:rsidR="00804F04" w:rsidRPr="00156441" w:rsidRDefault="00804F04" w:rsidP="00804F04">
      <w:pPr>
        <w:pStyle w:val="a4"/>
        <w:spacing w:after="0" w:line="360" w:lineRule="auto"/>
        <w:ind w:left="0"/>
        <w:jc w:val="both"/>
        <w:rPr>
          <w:rFonts w:ascii="Times New Roman" w:hAnsi="Times New Roman" w:cs="Times New Roman"/>
          <w:sz w:val="28"/>
          <w:szCs w:val="28"/>
        </w:rPr>
      </w:pP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Так, у обстежених хворих на поєднану патологію було виявлено зменшення швидкості раннього наповнення (Е) до 46,9±1,94 м/с у співставленні з контролем 69,9±1,45 м/с (р&lt;0,05). Максимальна швидкість пізнього наповнення склала 67,3±2,35 м/с та 58,1±1,32 м/с (р&lt;0,05) відповідно. Співвідношення Е/А ТМДП у </w:t>
      </w:r>
      <w:r w:rsidR="009C6C87" w:rsidRPr="00156441">
        <w:rPr>
          <w:rFonts w:ascii="Times New Roman" w:hAnsi="Times New Roman" w:cs="Times New Roman"/>
          <w:sz w:val="28"/>
          <w:szCs w:val="28"/>
        </w:rPr>
        <w:t>хворих</w:t>
      </w:r>
      <w:r w:rsidRPr="00156441">
        <w:rPr>
          <w:rFonts w:ascii="Times New Roman" w:hAnsi="Times New Roman" w:cs="Times New Roman"/>
          <w:sz w:val="28"/>
          <w:szCs w:val="28"/>
        </w:rPr>
        <w:t xml:space="preserve"> на ХОЗЛ в поєднанні з ГХ склало 0,7±0,02 та було достовірно нижчим ніж у групи умовно здорових </w:t>
      </w:r>
      <w:r w:rsidR="009C6C87" w:rsidRPr="00156441">
        <w:rPr>
          <w:rFonts w:ascii="Times New Roman" w:hAnsi="Times New Roman" w:cs="Times New Roman"/>
          <w:sz w:val="28"/>
          <w:szCs w:val="28"/>
        </w:rPr>
        <w:t>—</w:t>
      </w:r>
      <w:r w:rsidRPr="00156441">
        <w:rPr>
          <w:rFonts w:ascii="Times New Roman" w:hAnsi="Times New Roman" w:cs="Times New Roman"/>
          <w:sz w:val="28"/>
          <w:szCs w:val="28"/>
        </w:rPr>
        <w:t xml:space="preserve"> 1,2±0,04 (р&lt;0,05), що </w:t>
      </w:r>
      <w:r w:rsidR="009C6C87" w:rsidRPr="00156441">
        <w:rPr>
          <w:rFonts w:ascii="Times New Roman" w:hAnsi="Times New Roman" w:cs="Times New Roman"/>
          <w:sz w:val="28"/>
          <w:szCs w:val="28"/>
        </w:rPr>
        <w:t>вказує</w:t>
      </w:r>
      <w:r w:rsidRPr="00156441">
        <w:rPr>
          <w:rFonts w:ascii="Times New Roman" w:hAnsi="Times New Roman" w:cs="Times New Roman"/>
          <w:sz w:val="28"/>
          <w:szCs w:val="28"/>
        </w:rPr>
        <w:t xml:space="preserve"> на переважаючий тип ДД</w:t>
      </w:r>
      <w:r w:rsidR="009C6C87" w:rsidRPr="00156441">
        <w:rPr>
          <w:rFonts w:ascii="Times New Roman" w:hAnsi="Times New Roman" w:cs="Times New Roman"/>
          <w:sz w:val="28"/>
          <w:szCs w:val="28"/>
        </w:rPr>
        <w:t> </w:t>
      </w:r>
      <w:r w:rsidRPr="00156441">
        <w:rPr>
          <w:rFonts w:ascii="Times New Roman" w:hAnsi="Times New Roman" w:cs="Times New Roman"/>
          <w:sz w:val="28"/>
          <w:szCs w:val="28"/>
        </w:rPr>
        <w:t>ЛШ</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порушення релаксації.</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При ізольованому перебігу ХОЗЛ у порівнянні з контрольною групою максимальна швидкість раннього діастолічного наповнення (Е) склада</w:t>
      </w:r>
      <w:r w:rsidR="009C6C87" w:rsidRPr="00156441">
        <w:rPr>
          <w:rFonts w:ascii="Times New Roman" w:hAnsi="Times New Roman" w:cs="Times New Roman"/>
          <w:sz w:val="28"/>
          <w:szCs w:val="28"/>
        </w:rPr>
        <w:t>ла</w:t>
      </w:r>
      <w:r w:rsidRPr="00156441">
        <w:rPr>
          <w:rFonts w:ascii="Times New Roman" w:hAnsi="Times New Roman" w:cs="Times New Roman"/>
          <w:sz w:val="28"/>
          <w:szCs w:val="28"/>
        </w:rPr>
        <w:t xml:space="preserve"> 56,8±4,01 м/с, що було достовірно більше ніж у контрольної групи</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 xml:space="preserve">69,9±1,45 м/с (р&lt;0,05) та швидкість пізнього діастолічного </w:t>
      </w:r>
      <w:r w:rsidR="009C6C87" w:rsidRPr="00156441">
        <w:rPr>
          <w:rFonts w:ascii="Times New Roman" w:hAnsi="Times New Roman" w:cs="Times New Roman"/>
          <w:sz w:val="28"/>
          <w:szCs w:val="28"/>
        </w:rPr>
        <w:t>наповнення</w:t>
      </w:r>
      <w:r w:rsidRPr="00156441">
        <w:rPr>
          <w:rFonts w:ascii="Times New Roman" w:hAnsi="Times New Roman" w:cs="Times New Roman"/>
          <w:sz w:val="28"/>
          <w:szCs w:val="28"/>
        </w:rPr>
        <w:t xml:space="preserve"> (А) склала 69,6±2,98 м/с та 58,1±1,32 м/с (р&lt;0,05) відповідно. Тож співвідношення Е/А ТМДП у хворих на ХОЗЛ був на 50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знижений відносно групи умовно здорових обстежених (р&lt;0,05).</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При </w:t>
      </w:r>
      <w:r w:rsidR="009C6C87" w:rsidRPr="00156441">
        <w:rPr>
          <w:rFonts w:ascii="Times New Roman" w:hAnsi="Times New Roman" w:cs="Times New Roman"/>
          <w:sz w:val="28"/>
          <w:szCs w:val="28"/>
        </w:rPr>
        <w:t>співставленні</w:t>
      </w:r>
      <w:r w:rsidRPr="00156441">
        <w:rPr>
          <w:rFonts w:ascii="Times New Roman" w:hAnsi="Times New Roman" w:cs="Times New Roman"/>
          <w:sz w:val="28"/>
          <w:szCs w:val="28"/>
        </w:rPr>
        <w:t xml:space="preserve"> основної групи та групи порів</w:t>
      </w:r>
      <w:r w:rsidR="009C6C87" w:rsidRPr="00156441">
        <w:rPr>
          <w:rFonts w:ascii="Times New Roman" w:hAnsi="Times New Roman" w:cs="Times New Roman"/>
          <w:sz w:val="28"/>
          <w:szCs w:val="28"/>
        </w:rPr>
        <w:t xml:space="preserve">няння були виявлені достовірне </w:t>
      </w:r>
      <w:r w:rsidRPr="00156441">
        <w:rPr>
          <w:rFonts w:ascii="Times New Roman" w:hAnsi="Times New Roman" w:cs="Times New Roman"/>
          <w:sz w:val="28"/>
          <w:szCs w:val="28"/>
        </w:rPr>
        <w:t>зниження максимальної швидкості раннього діастолічного наповнення (Е) на 17,4</w:t>
      </w:r>
      <w:r w:rsidR="00C70355" w:rsidRPr="00156441">
        <w:rPr>
          <w:rFonts w:ascii="Times New Roman" w:hAnsi="Times New Roman" w:cs="Times New Roman"/>
          <w:sz w:val="28"/>
          <w:szCs w:val="28"/>
        </w:rPr>
        <w:t> %</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(р&lt;0,05) та співвідношення Е/А на 12,5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(р&lt;0,05). Достовірної різниці </w:t>
      </w:r>
      <w:r w:rsidRPr="00156441">
        <w:rPr>
          <w:rFonts w:ascii="Times New Roman" w:hAnsi="Times New Roman" w:cs="Times New Roman"/>
          <w:sz w:val="28"/>
          <w:szCs w:val="28"/>
        </w:rPr>
        <w:lastRenderedPageBreak/>
        <w:t>між цими групами у швидкості пізнього діастолічного наповнення виявлено не було.</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Отримані дані свідчать про порушення процесу діастолічного наповнення ЛШ, особливо вираженого у хворих на поєднану патологію,</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що виражається як зниження кровотоку під час ранньої діастоли та збільшенням швидкості к</w:t>
      </w:r>
      <w:r w:rsidR="009C6C87" w:rsidRPr="00156441">
        <w:rPr>
          <w:rFonts w:ascii="Times New Roman" w:hAnsi="Times New Roman" w:cs="Times New Roman"/>
          <w:sz w:val="28"/>
          <w:szCs w:val="28"/>
        </w:rPr>
        <w:t>ровотоку в активну, передсердну</w:t>
      </w:r>
      <w:r w:rsidRPr="00156441">
        <w:rPr>
          <w:rFonts w:ascii="Times New Roman" w:hAnsi="Times New Roman" w:cs="Times New Roman"/>
          <w:sz w:val="28"/>
          <w:szCs w:val="28"/>
        </w:rPr>
        <w:t xml:space="preserve"> фазу наповнення ЛШ, отже й про наявність ДД ЛШ, яка визначається порушенням релаксації міокарду й наповнення його порожнин.</w:t>
      </w:r>
    </w:p>
    <w:p w:rsidR="00804F04" w:rsidRPr="00156441" w:rsidRDefault="00804F04" w:rsidP="00710B8D">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Також нами виявлено, що порушення діастолічної функції та її вираженість залежать від структурних порушень. Аналіз взаємозв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язку типу ДД ЛШ с параметрами ЕхоКГ показав, що на її</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розвиток </w:t>
      </w:r>
      <w:r w:rsidR="009C6C87" w:rsidRPr="00156441">
        <w:rPr>
          <w:rFonts w:ascii="Times New Roman" w:hAnsi="Times New Roman" w:cs="Times New Roman"/>
          <w:sz w:val="28"/>
          <w:szCs w:val="28"/>
        </w:rPr>
        <w:t>впливає</w:t>
      </w:r>
      <w:r w:rsidRPr="00156441">
        <w:rPr>
          <w:rFonts w:ascii="Times New Roman" w:hAnsi="Times New Roman" w:cs="Times New Roman"/>
          <w:sz w:val="28"/>
          <w:szCs w:val="28"/>
        </w:rPr>
        <w:t xml:space="preserve"> зміна геометрії серця (</w:t>
      </w:r>
      <w:r w:rsidR="00710B8D" w:rsidRPr="00156441">
        <w:rPr>
          <w:rFonts w:ascii="Times New Roman" w:hAnsi="Times New Roman" w:cs="Times New Roman"/>
          <w:sz w:val="28"/>
          <w:szCs w:val="28"/>
        </w:rPr>
        <w:t>табл.</w:t>
      </w:r>
      <w:r w:rsidR="009C6C87" w:rsidRPr="00156441">
        <w:rPr>
          <w:rFonts w:ascii="Times New Roman" w:hAnsi="Times New Roman" w:cs="Times New Roman"/>
          <w:sz w:val="28"/>
          <w:szCs w:val="28"/>
        </w:rPr>
        <w:t> </w:t>
      </w:r>
      <w:r w:rsidR="00032038" w:rsidRPr="00156441">
        <w:rPr>
          <w:rFonts w:ascii="Times New Roman" w:hAnsi="Times New Roman" w:cs="Times New Roman"/>
          <w:sz w:val="28"/>
          <w:szCs w:val="28"/>
        </w:rPr>
        <w:t>3</w:t>
      </w:r>
      <w:r w:rsidR="00710B8D" w:rsidRPr="00156441">
        <w:rPr>
          <w:rFonts w:ascii="Times New Roman" w:hAnsi="Times New Roman" w:cs="Times New Roman"/>
          <w:sz w:val="28"/>
          <w:szCs w:val="28"/>
        </w:rPr>
        <w:t>.6.4</w:t>
      </w:r>
      <w:r w:rsidRPr="00156441">
        <w:rPr>
          <w:rFonts w:ascii="Times New Roman" w:hAnsi="Times New Roman" w:cs="Times New Roman"/>
          <w:sz w:val="28"/>
          <w:szCs w:val="28"/>
        </w:rPr>
        <w:t>).</w:t>
      </w:r>
    </w:p>
    <w:p w:rsidR="00723800" w:rsidRPr="00156441" w:rsidRDefault="00723800" w:rsidP="00723800">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Тож зміни в геометрії ЛШ, особливо ГЛШ, тягне за собою додаткове навантаження на міокард, що призводить до гіперперфузії субендокардиальних слоїв міокарду та його дисфункції.</w:t>
      </w:r>
    </w:p>
    <w:p w:rsidR="00804F04" w:rsidRPr="00156441" w:rsidRDefault="00804F04" w:rsidP="00710B8D">
      <w:pPr>
        <w:pStyle w:val="a4"/>
        <w:spacing w:after="0" w:line="360" w:lineRule="auto"/>
        <w:ind w:left="0"/>
        <w:jc w:val="right"/>
        <w:rPr>
          <w:rFonts w:ascii="Times New Roman" w:hAnsi="Times New Roman" w:cs="Times New Roman"/>
          <w:sz w:val="28"/>
          <w:szCs w:val="28"/>
        </w:rPr>
      </w:pPr>
      <w:r w:rsidRPr="00156441">
        <w:rPr>
          <w:rFonts w:ascii="Times New Roman" w:hAnsi="Times New Roman" w:cs="Times New Roman"/>
          <w:sz w:val="28"/>
          <w:szCs w:val="28"/>
        </w:rPr>
        <w:t xml:space="preserve">Таблиця </w:t>
      </w:r>
      <w:r w:rsidR="00032038" w:rsidRPr="00156441">
        <w:rPr>
          <w:rFonts w:ascii="Times New Roman" w:hAnsi="Times New Roman" w:cs="Times New Roman"/>
          <w:sz w:val="28"/>
          <w:szCs w:val="28"/>
        </w:rPr>
        <w:t>3</w:t>
      </w:r>
      <w:r w:rsidR="00710B8D" w:rsidRPr="00156441">
        <w:rPr>
          <w:rFonts w:ascii="Times New Roman" w:hAnsi="Times New Roman" w:cs="Times New Roman"/>
          <w:sz w:val="28"/>
          <w:szCs w:val="28"/>
        </w:rPr>
        <w:t>.6.4</w:t>
      </w:r>
    </w:p>
    <w:p w:rsidR="00804F04" w:rsidRPr="00156441" w:rsidRDefault="00804F04" w:rsidP="00804F04">
      <w:pPr>
        <w:pStyle w:val="a4"/>
        <w:spacing w:after="0" w:line="360" w:lineRule="auto"/>
        <w:ind w:left="0"/>
        <w:jc w:val="both"/>
        <w:rPr>
          <w:rFonts w:ascii="Times New Roman" w:hAnsi="Times New Roman" w:cs="Times New Roman"/>
          <w:sz w:val="28"/>
          <w:szCs w:val="28"/>
        </w:rPr>
      </w:pPr>
    </w:p>
    <w:tbl>
      <w:tblPr>
        <w:tblStyle w:val="a5"/>
        <w:tblW w:w="0" w:type="auto"/>
        <w:tblInd w:w="-5" w:type="dxa"/>
        <w:tblLook w:val="04A0" w:firstRow="1" w:lastRow="0" w:firstColumn="1" w:lastColumn="0" w:noHBand="0" w:noVBand="1"/>
      </w:tblPr>
      <w:tblGrid>
        <w:gridCol w:w="2900"/>
        <w:gridCol w:w="2346"/>
        <w:gridCol w:w="2299"/>
        <w:gridCol w:w="2371"/>
      </w:tblGrid>
      <w:tr w:rsidR="00156441" w:rsidRPr="00156441" w:rsidTr="009C6C87">
        <w:trPr>
          <w:trHeight w:val="585"/>
        </w:trPr>
        <w:tc>
          <w:tcPr>
            <w:tcW w:w="2900" w:type="dxa"/>
            <w:vMerge w:val="restart"/>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Тип ремоделювання</w:t>
            </w:r>
          </w:p>
        </w:tc>
        <w:tc>
          <w:tcPr>
            <w:tcW w:w="7016" w:type="dxa"/>
            <w:gridSpan w:val="3"/>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Тип діастолічної дисфункції ЛШ</w:t>
            </w:r>
          </w:p>
        </w:tc>
      </w:tr>
      <w:tr w:rsidR="00156441" w:rsidRPr="00156441" w:rsidTr="009C6C87">
        <w:trPr>
          <w:trHeight w:val="375"/>
        </w:trPr>
        <w:tc>
          <w:tcPr>
            <w:tcW w:w="2900" w:type="dxa"/>
            <w:vMerge/>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p>
        </w:tc>
        <w:tc>
          <w:tcPr>
            <w:tcW w:w="2346"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Уповільнення релаксації</w:t>
            </w:r>
          </w:p>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2299"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Псевдо нормальний тип</w:t>
            </w:r>
          </w:p>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c>
          <w:tcPr>
            <w:tcW w:w="2371" w:type="dxa"/>
            <w:vAlign w:val="center"/>
          </w:tcPr>
          <w:p w:rsidR="00804F04" w:rsidRPr="00156441" w:rsidRDefault="009C6C87"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Рестриктивний</w:t>
            </w:r>
            <w:r w:rsidR="00804F04" w:rsidRPr="00156441">
              <w:rPr>
                <w:rFonts w:ascii="Times New Roman" w:hAnsi="Times New Roman" w:cs="Times New Roman"/>
                <w:sz w:val="28"/>
                <w:szCs w:val="28"/>
              </w:rPr>
              <w:t xml:space="preserve"> тип</w:t>
            </w:r>
          </w:p>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 xml:space="preserve">абс. </w:t>
            </w:r>
            <w:r w:rsidR="00C70355" w:rsidRPr="00156441">
              <w:rPr>
                <w:rFonts w:ascii="Times New Roman" w:hAnsi="Times New Roman" w:cs="Times New Roman"/>
                <w:sz w:val="28"/>
                <w:szCs w:val="28"/>
              </w:rPr>
              <w:t>(%</w:t>
            </w:r>
            <w:r w:rsidRPr="00156441">
              <w:rPr>
                <w:rFonts w:ascii="Times New Roman" w:hAnsi="Times New Roman" w:cs="Times New Roman"/>
                <w:sz w:val="28"/>
                <w:szCs w:val="28"/>
              </w:rPr>
              <w:t>)</w:t>
            </w:r>
          </w:p>
        </w:tc>
      </w:tr>
      <w:tr w:rsidR="00156441" w:rsidRPr="00156441" w:rsidTr="009C6C87">
        <w:tc>
          <w:tcPr>
            <w:tcW w:w="2900"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Нормальна геометрія</w:t>
            </w:r>
          </w:p>
        </w:tc>
        <w:tc>
          <w:tcPr>
            <w:tcW w:w="23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5 (8,1</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299"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2 (3,27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371"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w:t>
            </w:r>
          </w:p>
        </w:tc>
      </w:tr>
      <w:tr w:rsidR="00156441" w:rsidRPr="00156441" w:rsidTr="009C6C87">
        <w:tc>
          <w:tcPr>
            <w:tcW w:w="2900"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Концентричне ремоделювання</w:t>
            </w:r>
          </w:p>
        </w:tc>
        <w:tc>
          <w:tcPr>
            <w:tcW w:w="23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20 (32,7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299"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2 (3,27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371"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w:t>
            </w:r>
          </w:p>
        </w:tc>
      </w:tr>
      <w:tr w:rsidR="00156441" w:rsidRPr="00156441" w:rsidTr="009C6C87">
        <w:tc>
          <w:tcPr>
            <w:tcW w:w="2900"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Концентрична гіпертрофія</w:t>
            </w:r>
          </w:p>
        </w:tc>
        <w:tc>
          <w:tcPr>
            <w:tcW w:w="23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21 (34,4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299"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4 (6,55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371"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w:t>
            </w:r>
          </w:p>
        </w:tc>
      </w:tr>
      <w:tr w:rsidR="00156441" w:rsidRPr="00156441" w:rsidTr="009C6C87">
        <w:tc>
          <w:tcPr>
            <w:tcW w:w="2900" w:type="dxa"/>
            <w:vAlign w:val="center"/>
          </w:tcPr>
          <w:p w:rsidR="00804F04" w:rsidRPr="00156441" w:rsidRDefault="00804F04" w:rsidP="009C6C87">
            <w:pPr>
              <w:pStyle w:val="a3"/>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Ексцентрична гіпертрофія</w:t>
            </w:r>
          </w:p>
        </w:tc>
        <w:tc>
          <w:tcPr>
            <w:tcW w:w="2346"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6 (9,8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299"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1 (1,63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tc>
        <w:tc>
          <w:tcPr>
            <w:tcW w:w="2371" w:type="dxa"/>
            <w:vAlign w:val="center"/>
          </w:tcPr>
          <w:p w:rsidR="00804F04" w:rsidRPr="00156441" w:rsidRDefault="00804F04" w:rsidP="009C6C87">
            <w:pPr>
              <w:pStyle w:val="a4"/>
              <w:spacing w:line="360" w:lineRule="auto"/>
              <w:ind w:left="0"/>
              <w:jc w:val="center"/>
              <w:rPr>
                <w:rFonts w:ascii="Times New Roman" w:hAnsi="Times New Roman" w:cs="Times New Roman"/>
                <w:sz w:val="28"/>
                <w:szCs w:val="28"/>
              </w:rPr>
            </w:pPr>
            <w:r w:rsidRPr="00156441">
              <w:rPr>
                <w:rFonts w:ascii="Times New Roman" w:hAnsi="Times New Roman" w:cs="Times New Roman"/>
                <w:sz w:val="28"/>
                <w:szCs w:val="28"/>
              </w:rPr>
              <w:t>-</w:t>
            </w:r>
          </w:p>
        </w:tc>
      </w:tr>
    </w:tbl>
    <w:p w:rsidR="00804F04" w:rsidRPr="00156441" w:rsidRDefault="00804F04" w:rsidP="00804F04">
      <w:pPr>
        <w:pStyle w:val="a4"/>
        <w:spacing w:after="0" w:line="360" w:lineRule="auto"/>
        <w:ind w:left="0"/>
        <w:jc w:val="both"/>
        <w:rPr>
          <w:rFonts w:ascii="Times New Roman" w:hAnsi="Times New Roman" w:cs="Times New Roman"/>
          <w:sz w:val="28"/>
          <w:szCs w:val="28"/>
        </w:rPr>
      </w:pPr>
    </w:p>
    <w:p w:rsidR="00804F04" w:rsidRPr="00156441" w:rsidRDefault="00804F04" w:rsidP="00990512">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lastRenderedPageBreak/>
        <w:t>Наряду з вивченням д</w:t>
      </w:r>
      <w:r w:rsidR="00FC5933">
        <w:rPr>
          <w:rFonts w:ascii="Times New Roman" w:hAnsi="Times New Roman" w:cs="Times New Roman"/>
          <w:sz w:val="28"/>
          <w:szCs w:val="28"/>
        </w:rPr>
        <w:t>і</w:t>
      </w:r>
      <w:r w:rsidRPr="00156441">
        <w:rPr>
          <w:rFonts w:ascii="Times New Roman" w:hAnsi="Times New Roman" w:cs="Times New Roman"/>
          <w:sz w:val="28"/>
          <w:szCs w:val="28"/>
        </w:rPr>
        <w:t xml:space="preserve">астолічної функції шлуночків було проведено аналіз показників </w:t>
      </w:r>
      <w:r w:rsidR="009C6C87" w:rsidRPr="00156441">
        <w:rPr>
          <w:rFonts w:ascii="Times New Roman" w:hAnsi="Times New Roman" w:cs="Times New Roman"/>
          <w:sz w:val="28"/>
          <w:szCs w:val="28"/>
        </w:rPr>
        <w:t>систолічної</w:t>
      </w:r>
      <w:r w:rsidRPr="00156441">
        <w:rPr>
          <w:rFonts w:ascii="Times New Roman" w:hAnsi="Times New Roman" w:cs="Times New Roman"/>
          <w:sz w:val="28"/>
          <w:szCs w:val="28"/>
        </w:rPr>
        <w:t xml:space="preserve"> функції обох шлуночків. Порушення систолічної функції ЛШ (зниження ФВ </w:t>
      </w:r>
      <w:r w:rsidR="00990512" w:rsidRPr="00156441">
        <w:rPr>
          <w:rFonts w:ascii="Times New Roman" w:hAnsi="Times New Roman" w:cs="Times New Roman"/>
          <w:sz w:val="28"/>
          <w:szCs w:val="28"/>
        </w:rPr>
        <w:t>менш 45</w:t>
      </w:r>
      <w:r w:rsidR="00C70355" w:rsidRPr="00156441">
        <w:rPr>
          <w:rFonts w:ascii="Times New Roman" w:hAnsi="Times New Roman" w:cs="Times New Roman"/>
          <w:sz w:val="28"/>
          <w:szCs w:val="28"/>
        </w:rPr>
        <w:t> %</w:t>
      </w:r>
      <w:r w:rsidR="00990512" w:rsidRPr="00156441">
        <w:rPr>
          <w:rFonts w:ascii="Times New Roman" w:hAnsi="Times New Roman" w:cs="Times New Roman"/>
          <w:sz w:val="28"/>
          <w:szCs w:val="28"/>
        </w:rPr>
        <w:t>) не було встановлено ані в</w:t>
      </w:r>
      <w:r w:rsidRPr="00156441">
        <w:rPr>
          <w:rFonts w:ascii="Times New Roman" w:hAnsi="Times New Roman" w:cs="Times New Roman"/>
          <w:sz w:val="28"/>
          <w:szCs w:val="28"/>
        </w:rPr>
        <w:t xml:space="preserve"> одного пацієнта ХОЗЛ, однак у порівнянні з групою контролю було виявлено зниження цього показника, більш у основній групі. За наявності бронхіальної обструкції у хворих на хронічне обструктивне захворювання легень у міокарді ЛШ відбуваються дистрофічні зміни, які проявляються зниженням скорочувальної здатності міокарда лівого</w:t>
      </w:r>
      <w:r w:rsidR="00FC5933">
        <w:rPr>
          <w:rFonts w:ascii="Times New Roman" w:hAnsi="Times New Roman" w:cs="Times New Roman"/>
          <w:sz w:val="28"/>
          <w:szCs w:val="28"/>
        </w:rPr>
        <w:t xml:space="preserve"> </w:t>
      </w:r>
      <w:r w:rsidRPr="00156441">
        <w:rPr>
          <w:rFonts w:ascii="Times New Roman" w:hAnsi="Times New Roman" w:cs="Times New Roman"/>
          <w:sz w:val="28"/>
          <w:szCs w:val="28"/>
        </w:rPr>
        <w:t>шлуночка</w:t>
      </w:r>
      <w:r w:rsidR="00FC5933">
        <w:rPr>
          <w:rFonts w:ascii="Times New Roman" w:hAnsi="Times New Roman" w:cs="Times New Roman"/>
          <w:sz w:val="28"/>
          <w:szCs w:val="28"/>
        </w:rPr>
        <w:t> </w:t>
      </w:r>
      <w:r w:rsidR="00990512" w:rsidRPr="00156441">
        <w:rPr>
          <w:rFonts w:ascii="Times New Roman" w:hAnsi="Times New Roman" w:cs="Times New Roman"/>
          <w:sz w:val="28"/>
          <w:szCs w:val="28"/>
        </w:rPr>
        <w:t>[</w:t>
      </w:r>
      <w:r w:rsidR="004E702C" w:rsidRPr="00156441">
        <w:rPr>
          <w:rFonts w:ascii="Times New Roman" w:hAnsi="Times New Roman" w:cs="Times New Roman"/>
          <w:sz w:val="28"/>
          <w:szCs w:val="28"/>
        </w:rPr>
        <w:fldChar w:fldCharType="begin"/>
      </w:r>
      <w:r w:rsidR="004E702C" w:rsidRPr="00156441">
        <w:rPr>
          <w:rFonts w:ascii="Times New Roman" w:hAnsi="Times New Roman" w:cs="Times New Roman"/>
          <w:sz w:val="28"/>
          <w:szCs w:val="28"/>
        </w:rPr>
        <w:instrText xml:space="preserve"> REF _Ref502741780 \r \h </w:instrText>
      </w:r>
      <w:r w:rsidR="00F44EE4" w:rsidRPr="00156441">
        <w:rPr>
          <w:rFonts w:ascii="Times New Roman" w:hAnsi="Times New Roman" w:cs="Times New Roman"/>
          <w:sz w:val="28"/>
          <w:szCs w:val="28"/>
        </w:rPr>
        <w:instrText xml:space="preserve"> \* MERGEFORMAT </w:instrText>
      </w:r>
      <w:r w:rsidR="004E702C" w:rsidRPr="00156441">
        <w:rPr>
          <w:rFonts w:ascii="Times New Roman" w:hAnsi="Times New Roman" w:cs="Times New Roman"/>
          <w:sz w:val="28"/>
          <w:szCs w:val="28"/>
        </w:rPr>
      </w:r>
      <w:r w:rsidR="004E702C"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306</w:t>
      </w:r>
      <w:r w:rsidR="004E702C" w:rsidRPr="00156441">
        <w:rPr>
          <w:rFonts w:ascii="Times New Roman" w:hAnsi="Times New Roman" w:cs="Times New Roman"/>
          <w:sz w:val="28"/>
          <w:szCs w:val="28"/>
        </w:rPr>
        <w:fldChar w:fldCharType="end"/>
      </w:r>
      <w:r w:rsidR="004E702C" w:rsidRPr="00156441">
        <w:rPr>
          <w:rFonts w:ascii="Times New Roman" w:hAnsi="Times New Roman" w:cs="Times New Roman"/>
          <w:sz w:val="28"/>
          <w:szCs w:val="28"/>
        </w:rPr>
        <w:t xml:space="preserve">, </w:t>
      </w:r>
      <w:r w:rsidR="004E702C" w:rsidRPr="00156441">
        <w:rPr>
          <w:rFonts w:ascii="Times New Roman" w:hAnsi="Times New Roman" w:cs="Times New Roman"/>
          <w:sz w:val="28"/>
          <w:szCs w:val="28"/>
        </w:rPr>
        <w:fldChar w:fldCharType="begin"/>
      </w:r>
      <w:r w:rsidR="004E702C" w:rsidRPr="00156441">
        <w:rPr>
          <w:rFonts w:ascii="Times New Roman" w:hAnsi="Times New Roman" w:cs="Times New Roman"/>
          <w:sz w:val="28"/>
          <w:szCs w:val="28"/>
        </w:rPr>
        <w:instrText xml:space="preserve"> REF _Ref502741781 \r \h </w:instrText>
      </w:r>
      <w:r w:rsidR="00F44EE4" w:rsidRPr="00156441">
        <w:rPr>
          <w:rFonts w:ascii="Times New Roman" w:hAnsi="Times New Roman" w:cs="Times New Roman"/>
          <w:sz w:val="28"/>
          <w:szCs w:val="28"/>
        </w:rPr>
        <w:instrText xml:space="preserve"> \* MERGEFORMAT </w:instrText>
      </w:r>
      <w:r w:rsidR="004E702C" w:rsidRPr="00156441">
        <w:rPr>
          <w:rFonts w:ascii="Times New Roman" w:hAnsi="Times New Roman" w:cs="Times New Roman"/>
          <w:sz w:val="28"/>
          <w:szCs w:val="28"/>
        </w:rPr>
      </w:r>
      <w:r w:rsidR="004E702C"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307</w:t>
      </w:r>
      <w:r w:rsidR="004E702C" w:rsidRPr="00156441">
        <w:rPr>
          <w:rFonts w:ascii="Times New Roman" w:hAnsi="Times New Roman" w:cs="Times New Roman"/>
          <w:sz w:val="28"/>
          <w:szCs w:val="28"/>
        </w:rPr>
        <w:fldChar w:fldCharType="end"/>
      </w:r>
      <w:r w:rsidR="00990512" w:rsidRPr="00156441">
        <w:rPr>
          <w:rFonts w:ascii="Times New Roman" w:hAnsi="Times New Roman" w:cs="Times New Roman"/>
          <w:sz w:val="28"/>
          <w:szCs w:val="28"/>
        </w:rPr>
        <w:t>]</w:t>
      </w:r>
      <w:r w:rsidRPr="00156441">
        <w:rPr>
          <w:rFonts w:ascii="Times New Roman" w:hAnsi="Times New Roman" w:cs="Times New Roman"/>
          <w:sz w:val="28"/>
          <w:szCs w:val="28"/>
        </w:rPr>
        <w:t>.</w:t>
      </w:r>
    </w:p>
    <w:p w:rsidR="00804F04" w:rsidRPr="00156441" w:rsidRDefault="00804F04" w:rsidP="00990512">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Для кількісної оцінки глобальної функції ПШ використовувався показник фракції зміни площі перерізу правого шлуночку, яка знаходилась у межах фі</w:t>
      </w:r>
      <w:r w:rsidR="009C6C87" w:rsidRPr="00156441">
        <w:rPr>
          <w:rFonts w:ascii="Times New Roman" w:hAnsi="Times New Roman" w:cs="Times New Roman"/>
          <w:sz w:val="28"/>
          <w:szCs w:val="28"/>
        </w:rPr>
        <w:t>зі</w:t>
      </w:r>
      <w:r w:rsidRPr="00156441">
        <w:rPr>
          <w:rFonts w:ascii="Times New Roman" w:hAnsi="Times New Roman" w:cs="Times New Roman"/>
          <w:sz w:val="28"/>
          <w:szCs w:val="28"/>
        </w:rPr>
        <w:t>ологічної норм</w:t>
      </w:r>
      <w:r w:rsidR="009C6C87" w:rsidRPr="00156441">
        <w:rPr>
          <w:rFonts w:ascii="Times New Roman" w:hAnsi="Times New Roman" w:cs="Times New Roman"/>
          <w:sz w:val="28"/>
          <w:szCs w:val="28"/>
        </w:rPr>
        <w:t>и</w:t>
      </w:r>
      <w:r w:rsidRPr="00156441">
        <w:rPr>
          <w:rFonts w:ascii="Times New Roman" w:hAnsi="Times New Roman" w:cs="Times New Roman"/>
          <w:sz w:val="28"/>
          <w:szCs w:val="28"/>
        </w:rPr>
        <w:t xml:space="preserve"> (</w:t>
      </w:r>
      <w:r w:rsidR="009C6C87" w:rsidRPr="00156441">
        <w:rPr>
          <w:rFonts w:ascii="Times New Roman" w:hAnsi="Times New Roman" w:cs="Times New Roman"/>
          <w:sz w:val="28"/>
          <w:szCs w:val="28"/>
        </w:rPr>
        <w:t>&lt;</w:t>
      </w:r>
      <w:r w:rsidRPr="00156441">
        <w:rPr>
          <w:rFonts w:ascii="Times New Roman" w:hAnsi="Times New Roman" w:cs="Times New Roman"/>
          <w:sz w:val="28"/>
          <w:szCs w:val="28"/>
        </w:rPr>
        <w:t>30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у всіх обстежених групах. Однак, ФЗПП була статистично нижче у основній групі (42,1± 0,98; р&lt;0,05) відносно як</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до групи хворих з ізольованим перебігом ХОЗЛ</w:t>
      </w:r>
      <w:r w:rsidR="008C344C" w:rsidRPr="00156441">
        <w:rPr>
          <w:rFonts w:ascii="Times New Roman" w:hAnsi="Times New Roman" w:cs="Times New Roman"/>
          <w:sz w:val="28"/>
          <w:szCs w:val="28"/>
        </w:rPr>
        <w:t>,</w:t>
      </w:r>
      <w:r w:rsidRPr="00156441">
        <w:rPr>
          <w:rFonts w:ascii="Times New Roman" w:hAnsi="Times New Roman" w:cs="Times New Roman"/>
          <w:sz w:val="28"/>
          <w:szCs w:val="28"/>
        </w:rPr>
        <w:t xml:space="preserve"> так й до групи контролю (57,7±1,18;</w:t>
      </w:r>
      <w:r w:rsidR="008C344C" w:rsidRPr="00156441">
        <w:rPr>
          <w:rFonts w:ascii="Times New Roman" w:hAnsi="Times New Roman" w:cs="Times New Roman"/>
          <w:sz w:val="28"/>
          <w:szCs w:val="28"/>
        </w:rPr>
        <w:t> </w:t>
      </w:r>
      <w:r w:rsidRPr="00156441">
        <w:rPr>
          <w:rFonts w:ascii="Times New Roman" w:hAnsi="Times New Roman" w:cs="Times New Roman"/>
          <w:sz w:val="28"/>
          <w:szCs w:val="28"/>
        </w:rPr>
        <w:t>р&lt;0,05), у групі порівняння виявлено зниження показника (46,1±0,87;</w:t>
      </w:r>
      <w:r w:rsidR="008C344C" w:rsidRPr="00156441">
        <w:rPr>
          <w:rFonts w:ascii="Times New Roman" w:hAnsi="Times New Roman" w:cs="Times New Roman"/>
          <w:sz w:val="28"/>
          <w:szCs w:val="28"/>
        </w:rPr>
        <w:t> </w:t>
      </w:r>
      <w:r w:rsidRPr="00156441">
        <w:rPr>
          <w:rFonts w:ascii="Times New Roman" w:hAnsi="Times New Roman" w:cs="Times New Roman"/>
          <w:sz w:val="28"/>
          <w:szCs w:val="28"/>
        </w:rPr>
        <w:t>р&lt;0,05) відносно контролю.</w:t>
      </w:r>
    </w:p>
    <w:p w:rsidR="00804F04" w:rsidRPr="00156441" w:rsidRDefault="00804F04" w:rsidP="00990512">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Сучасні методи ультразвукової ехокардіографії дозволяють вивчати різноманітні функції серця, серед яких важливими є скоротливі функції. Експериментальне вивчення внутрисерцевої </w:t>
      </w:r>
      <w:r w:rsidR="00240A13" w:rsidRPr="00156441">
        <w:rPr>
          <w:rFonts w:ascii="Times New Roman" w:hAnsi="Times New Roman" w:cs="Times New Roman"/>
          <w:sz w:val="28"/>
          <w:szCs w:val="28"/>
        </w:rPr>
        <w:t>гемодинаміки</w:t>
      </w:r>
      <w:r w:rsidR="00990512" w:rsidRPr="00156441">
        <w:rPr>
          <w:rFonts w:ascii="Times New Roman" w:hAnsi="Times New Roman" w:cs="Times New Roman"/>
          <w:sz w:val="28"/>
          <w:szCs w:val="28"/>
        </w:rPr>
        <w:t xml:space="preserve"> було проведено Н.</w:t>
      </w:r>
      <w:r w:rsidR="00565570" w:rsidRPr="00156441">
        <w:rPr>
          <w:rFonts w:ascii="Times New Roman" w:hAnsi="Times New Roman" w:cs="Times New Roman"/>
          <w:sz w:val="28"/>
          <w:szCs w:val="28"/>
        </w:rPr>
        <w:t> </w:t>
      </w:r>
      <w:r w:rsidR="00990512" w:rsidRPr="00156441">
        <w:rPr>
          <w:rFonts w:ascii="Times New Roman" w:hAnsi="Times New Roman" w:cs="Times New Roman"/>
          <w:sz w:val="28"/>
          <w:szCs w:val="28"/>
        </w:rPr>
        <w:t>І.</w:t>
      </w:r>
      <w:r w:rsidR="00565570" w:rsidRPr="00156441">
        <w:rPr>
          <w:rFonts w:ascii="Times New Roman" w:hAnsi="Times New Roman" w:cs="Times New Roman"/>
          <w:sz w:val="28"/>
          <w:szCs w:val="28"/>
        </w:rPr>
        <w:t> </w:t>
      </w:r>
      <w:r w:rsidR="00990512" w:rsidRPr="00156441">
        <w:rPr>
          <w:rFonts w:ascii="Times New Roman" w:hAnsi="Times New Roman" w:cs="Times New Roman"/>
          <w:sz w:val="28"/>
          <w:szCs w:val="28"/>
        </w:rPr>
        <w:t xml:space="preserve">Арінчиним. </w:t>
      </w:r>
      <w:r w:rsidRPr="00156441">
        <w:rPr>
          <w:rFonts w:ascii="Times New Roman" w:hAnsi="Times New Roman" w:cs="Times New Roman"/>
          <w:sz w:val="28"/>
          <w:szCs w:val="28"/>
        </w:rPr>
        <w:t>Ним вперше було доведено, що діастола серця є активним процесом</w:t>
      </w:r>
      <w:r w:rsidR="00565570" w:rsidRPr="00156441">
        <w:rPr>
          <w:rFonts w:ascii="Times New Roman" w:hAnsi="Times New Roman" w:cs="Times New Roman"/>
          <w:sz w:val="28"/>
          <w:szCs w:val="28"/>
        </w:rPr>
        <w:t>,</w:t>
      </w:r>
      <w:r w:rsidRPr="00156441">
        <w:rPr>
          <w:rFonts w:ascii="Times New Roman" w:hAnsi="Times New Roman" w:cs="Times New Roman"/>
          <w:sz w:val="28"/>
          <w:szCs w:val="28"/>
        </w:rPr>
        <w:t xml:space="preserve"> здійснюваним міокардом. За даними хронометричної оцінки внутрисерцевої </w:t>
      </w:r>
      <w:r w:rsidR="00565570" w:rsidRPr="00156441">
        <w:rPr>
          <w:rFonts w:ascii="Times New Roman" w:hAnsi="Times New Roman" w:cs="Times New Roman"/>
          <w:sz w:val="28"/>
          <w:szCs w:val="28"/>
        </w:rPr>
        <w:t>гемодинаміки</w:t>
      </w:r>
      <w:r w:rsidRPr="00156441">
        <w:rPr>
          <w:rFonts w:ascii="Times New Roman" w:hAnsi="Times New Roman" w:cs="Times New Roman"/>
          <w:sz w:val="28"/>
          <w:szCs w:val="28"/>
        </w:rPr>
        <w:t xml:space="preserve">, при ХОЗЛ фазова структура правих відділів серця відповідає фазовому синдрому </w:t>
      </w:r>
      <w:r w:rsidR="00565570" w:rsidRPr="00156441">
        <w:rPr>
          <w:rFonts w:ascii="Times New Roman" w:hAnsi="Times New Roman" w:cs="Times New Roman"/>
          <w:sz w:val="28"/>
          <w:szCs w:val="28"/>
        </w:rPr>
        <w:t>гіпердинамії</w:t>
      </w:r>
      <w:r w:rsidRPr="00156441">
        <w:rPr>
          <w:rFonts w:ascii="Times New Roman" w:hAnsi="Times New Roman" w:cs="Times New Roman"/>
          <w:sz w:val="28"/>
          <w:szCs w:val="28"/>
        </w:rPr>
        <w:t xml:space="preserve">, лівий шлуночок працює в режимі </w:t>
      </w:r>
      <w:r w:rsidR="00990512" w:rsidRPr="00156441">
        <w:rPr>
          <w:rFonts w:ascii="Times New Roman" w:hAnsi="Times New Roman" w:cs="Times New Roman"/>
          <w:sz w:val="28"/>
          <w:szCs w:val="28"/>
        </w:rPr>
        <w:t>гіподинамії.</w:t>
      </w:r>
    </w:p>
    <w:p w:rsidR="00804F04" w:rsidRPr="00156441" w:rsidRDefault="00804F04" w:rsidP="00990512">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Кровопостачання серця, що забезпечує нормальний рівень метаболічних процесів, здійснюється на рівні капілярів. Але обсяг капілярного кровотоку в міокарді залежить з математичною точністю від величини </w:t>
      </w:r>
      <w:r w:rsidR="00DC4C8F" w:rsidRPr="00156441">
        <w:rPr>
          <w:rFonts w:ascii="Times New Roman" w:hAnsi="Times New Roman" w:cs="Times New Roman"/>
          <w:sz w:val="28"/>
          <w:szCs w:val="28"/>
        </w:rPr>
        <w:t>внутрішньосерцевого</w:t>
      </w:r>
      <w:r w:rsidRPr="00156441">
        <w:rPr>
          <w:rFonts w:ascii="Times New Roman" w:hAnsi="Times New Roman" w:cs="Times New Roman"/>
          <w:sz w:val="28"/>
          <w:szCs w:val="28"/>
        </w:rPr>
        <w:t xml:space="preserve"> тиску крові. Тому у хворих на гіпертонічну хворобу на тлі високих цифр артеріального тиску, особливо в період діастоли, страждає мікроциркуляція крові</w:t>
      </w:r>
      <w:r w:rsidR="003814B7" w:rsidRPr="00156441">
        <w:rPr>
          <w:rFonts w:ascii="Times New Roman" w:hAnsi="Times New Roman" w:cs="Times New Roman"/>
          <w:sz w:val="28"/>
          <w:szCs w:val="28"/>
        </w:rPr>
        <w:t>,</w:t>
      </w:r>
      <w:r w:rsidRPr="00156441">
        <w:rPr>
          <w:rFonts w:ascii="Times New Roman" w:hAnsi="Times New Roman" w:cs="Times New Roman"/>
          <w:sz w:val="28"/>
          <w:szCs w:val="28"/>
        </w:rPr>
        <w:t xml:space="preserve"> і розвивається ішемічна хвороба серця.</w:t>
      </w:r>
    </w:p>
    <w:p w:rsidR="00804F04" w:rsidRPr="00156441" w:rsidRDefault="00804F04" w:rsidP="00990512">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lastRenderedPageBreak/>
        <w:t>Слід зауважити, що заповнення коронарних судин порцією крові відбувається під час систоли. Але просування її через капілярне русло відбувається під час діастоли. Системна гіпоксемія супроводжує ХОЗЛ надає потужн</w:t>
      </w:r>
      <w:r w:rsidR="003814B7" w:rsidRPr="00156441">
        <w:rPr>
          <w:rFonts w:ascii="Times New Roman" w:hAnsi="Times New Roman" w:cs="Times New Roman"/>
          <w:sz w:val="28"/>
          <w:szCs w:val="28"/>
        </w:rPr>
        <w:t>у</w:t>
      </w:r>
      <w:r w:rsidRPr="00156441">
        <w:rPr>
          <w:rFonts w:ascii="Times New Roman" w:hAnsi="Times New Roman" w:cs="Times New Roman"/>
          <w:sz w:val="28"/>
          <w:szCs w:val="28"/>
        </w:rPr>
        <w:t xml:space="preserve"> ангіоспазмоліт</w:t>
      </w:r>
      <w:r w:rsidR="003814B7" w:rsidRPr="00156441">
        <w:rPr>
          <w:rFonts w:ascii="Times New Roman" w:hAnsi="Times New Roman" w:cs="Times New Roman"/>
          <w:sz w:val="28"/>
          <w:szCs w:val="28"/>
        </w:rPr>
        <w:t>ичну</w:t>
      </w:r>
      <w:r w:rsidRPr="00156441">
        <w:rPr>
          <w:rFonts w:ascii="Times New Roman" w:hAnsi="Times New Roman" w:cs="Times New Roman"/>
          <w:sz w:val="28"/>
          <w:szCs w:val="28"/>
        </w:rPr>
        <w:t xml:space="preserve"> дію на коронарн</w:t>
      </w:r>
      <w:r w:rsidR="003814B7" w:rsidRPr="00156441">
        <w:rPr>
          <w:rFonts w:ascii="Times New Roman" w:hAnsi="Times New Roman" w:cs="Times New Roman"/>
          <w:sz w:val="28"/>
          <w:szCs w:val="28"/>
        </w:rPr>
        <w:t>е</w:t>
      </w:r>
      <w:r w:rsidRPr="00156441">
        <w:rPr>
          <w:rFonts w:ascii="Times New Roman" w:hAnsi="Times New Roman" w:cs="Times New Roman"/>
          <w:sz w:val="28"/>
          <w:szCs w:val="28"/>
        </w:rPr>
        <w:t xml:space="preserve"> коло кровообігу, в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язку з чим серце видобуває необхідну кількість кисню з більшого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єму крові. Але цю корисну для серця фізіологічну закономірність не слід шукати в малому колі кровообігу, де під впливом альвеолярної гіпоксії відбувається активація альвеоло-васкулярного рефлексу Ейлера, в результаті чого настає спазм мускулатури прекапілярних артеріол малого кола кровообігу і відбувається редукція альвеолярного кровотоку із загрозою підвищення тиску крові в легеневої артерії.</w:t>
      </w:r>
    </w:p>
    <w:p w:rsidR="00804F04" w:rsidRPr="00156441" w:rsidRDefault="00804F04" w:rsidP="008E5F84">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Яскраво виражені відмінності в режимах роботи обох шлуночків серця можуть значною мірою нівелюватися в результаті міжшлун</w:t>
      </w:r>
      <w:r w:rsidR="003814B7" w:rsidRPr="00156441">
        <w:rPr>
          <w:rFonts w:ascii="Times New Roman" w:hAnsi="Times New Roman" w:cs="Times New Roman"/>
          <w:sz w:val="28"/>
          <w:szCs w:val="28"/>
        </w:rPr>
        <w:t>оч</w:t>
      </w:r>
      <w:r w:rsidRPr="00156441">
        <w:rPr>
          <w:rFonts w:ascii="Times New Roman" w:hAnsi="Times New Roman" w:cs="Times New Roman"/>
          <w:sz w:val="28"/>
          <w:szCs w:val="28"/>
        </w:rPr>
        <w:t>кової взаємодії. Обидва шлуночка мають загальну перегородку, тому гемодинамічні зрушення в порожнинах лівого шлуночка знаходять відображення в правих відділах серця. Гіпертрофія міокарда лівого шлуночка при гіпертонічній хворобі супроводжується збільшенням м</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язової маси міжшлуночкової перегородки, за рахунок чого може збільшуватися скорочувальна здатність правого шлуночка. Загальний перикард створює єдине замкнутий простір, в якому будь-які зміни режимів роботи правого або лівого шлуночків впливають на параметри життєдіяльності всього серця.</w:t>
      </w:r>
    </w:p>
    <w:p w:rsidR="00804F04" w:rsidRPr="00156441" w:rsidRDefault="00804F04" w:rsidP="008E5F84">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Генералізована обструкція дихальних шляхів при ХОЗЛ супроводжується порушенням рівномірності і зниженням ефективності альвеолярної вентиляції. Парціальний тиск кисню в альвеолярному повітрі знижувалося до його концентрації в венозної крові, і легкі переставали виконувати функцію оксигенатора крові. Хронічна альвеолярна гіпоксія підтримує системну вазопресорну реакцію, що утрудняє рух крові з правого шлуночка в лівий відділ серця. В результаті відбувається зниження кровонаповнення лівого передсердя і шлуночка, чому також сприяє тахікардія, що супроводжує ХОЗЛ. В результаті зростання системного судинного опору малого кола кровообігу не весь систолічний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єм ПШ досягає лівого передсердя. У фазі діастоли лівий шлуночок отримує лише частину належного обсягу крові. Тож вивчення скорочувальної функції </w:t>
      </w:r>
      <w:r w:rsidRPr="00156441">
        <w:rPr>
          <w:rFonts w:ascii="Times New Roman" w:hAnsi="Times New Roman" w:cs="Times New Roman"/>
          <w:sz w:val="28"/>
          <w:szCs w:val="28"/>
        </w:rPr>
        <w:lastRenderedPageBreak/>
        <w:t xml:space="preserve">міокарда у хворих на ХОЗЛ дозволяє уточнити час появи початкових ознак декомпенсації, своєчасно почати патогенетично </w:t>
      </w:r>
      <w:r w:rsidR="003814B7" w:rsidRPr="00156441">
        <w:rPr>
          <w:rFonts w:ascii="Times New Roman" w:hAnsi="Times New Roman" w:cs="Times New Roman"/>
          <w:sz w:val="28"/>
          <w:szCs w:val="28"/>
        </w:rPr>
        <w:t>обґрунтоване</w:t>
      </w:r>
      <w:r w:rsidRPr="00156441">
        <w:rPr>
          <w:rFonts w:ascii="Times New Roman" w:hAnsi="Times New Roman" w:cs="Times New Roman"/>
          <w:sz w:val="28"/>
          <w:szCs w:val="28"/>
        </w:rPr>
        <w:t xml:space="preserve"> лікування, вирішити питання про працездатність й тим самим покращити якість життя пацієнта.</w:t>
      </w:r>
    </w:p>
    <w:p w:rsidR="00804F04" w:rsidRPr="00156441" w:rsidRDefault="00804F04" w:rsidP="008E5F84">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 xml:space="preserve">Таким чином, аналіз показників ехокардіографічного дослідження як лівих, так і правих відділів серця у хворих на ХОЗЛ в поєднанні з ГХ дає можливість вивчення впливу основних патогенетичних ланок на зміну геометрії серця та скорочувальної властивості міокарда, що за умов системної гіпоксемії, бронхообструкції, дисфункції ендотелію та активації ренін-ангіотензинової системи викликає </w:t>
      </w:r>
      <w:r w:rsidR="00DC4C8F" w:rsidRPr="00156441">
        <w:rPr>
          <w:rFonts w:ascii="Times New Roman" w:hAnsi="Times New Roman" w:cs="Times New Roman"/>
          <w:sz w:val="28"/>
          <w:szCs w:val="28"/>
        </w:rPr>
        <w:t>морфо-</w:t>
      </w:r>
      <w:r w:rsidRPr="00156441">
        <w:rPr>
          <w:rFonts w:ascii="Times New Roman" w:hAnsi="Times New Roman" w:cs="Times New Roman"/>
          <w:sz w:val="28"/>
          <w:szCs w:val="28"/>
        </w:rPr>
        <w:t>функціональні зміни у хворих на коморбідну патологію.</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У хворих на поєднану патологію відмічались більш виражені порушення діастолічної функції як лівого так й правого шлуночків з переважанням таких змін у геометрії серця як концентрична гіпертрофія, тоді як у групі хворих з ізольованим перебігом ХОЗЛ була виявлена більша кількість концентричного ремоделювання.</w:t>
      </w:r>
    </w:p>
    <w:p w:rsidR="004E702C" w:rsidRPr="00156441" w:rsidRDefault="00804F04" w:rsidP="008E5F84">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З метою аналізу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язків використано кореляцію у хворих на поєднану патологію між показниками функції зовнішнього дихання та показниками гемодинаміки. </w:t>
      </w:r>
    </w:p>
    <w:p w:rsidR="00804F04" w:rsidRPr="00156441" w:rsidRDefault="00804F04" w:rsidP="008E5F84">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Визначено кореляційні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язки між ЖЄЛ та ТМШП (r=-0,31; р=0,05), ТЗСЛШ (r=-0,33; р=0,004), товщиною передньої стінки ПШ (r=-0,3; р=0,06),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-0,34; р=0,03) та прямий з Е/А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0,28; р=0,1); ФЖЄЛ з ТМШП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-0,32; р=0,05), ТЗСЛШ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-0,46; р=0,004),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-0,29; р=0,08) та прямий з Е/А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0,27; р=0,1); ОФВ</w:t>
      </w:r>
      <w:r w:rsidRPr="00156441">
        <w:rPr>
          <w:rFonts w:ascii="Times New Roman" w:hAnsi="Times New Roman" w:cs="Times New Roman"/>
          <w:sz w:val="28"/>
          <w:szCs w:val="28"/>
          <w:vertAlign w:val="subscript"/>
        </w:rPr>
        <w:t xml:space="preserve">1 </w:t>
      </w:r>
      <w:r w:rsidRPr="00156441">
        <w:rPr>
          <w:rFonts w:ascii="Times New Roman" w:hAnsi="Times New Roman" w:cs="Times New Roman"/>
          <w:sz w:val="28"/>
          <w:szCs w:val="28"/>
        </w:rPr>
        <w:t>з ТМШП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 р=0,06), ТЗСЛШ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-0,37; р=0,02), ВТСЛШ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0,34; р=0,05), ФВ 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0,31; р=0,06),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-0,28; р=0,09) та Е/А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0,29; р=0,07); МОС</w:t>
      </w:r>
      <w:r w:rsidRPr="00156441">
        <w:rPr>
          <w:rFonts w:ascii="Times New Roman" w:hAnsi="Times New Roman" w:cs="Times New Roman"/>
          <w:sz w:val="28"/>
          <w:szCs w:val="28"/>
          <w:vertAlign w:val="subscript"/>
        </w:rPr>
        <w:t xml:space="preserve">25 </w:t>
      </w:r>
      <w:r w:rsidRPr="00156441">
        <w:rPr>
          <w:rFonts w:ascii="Times New Roman" w:hAnsi="Times New Roman" w:cs="Times New Roman"/>
          <w:sz w:val="28"/>
          <w:szCs w:val="28"/>
        </w:rPr>
        <w:t>з ТЗСЛШ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-0,29; р=0,07), ФВ 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0,28; р=0,08); МОС</w:t>
      </w:r>
      <w:r w:rsidRPr="00156441">
        <w:rPr>
          <w:rFonts w:ascii="Times New Roman" w:hAnsi="Times New Roman" w:cs="Times New Roman"/>
          <w:sz w:val="28"/>
          <w:szCs w:val="28"/>
          <w:vertAlign w:val="subscript"/>
        </w:rPr>
        <w:t>50</w:t>
      </w:r>
      <w:r w:rsidR="009C6C87" w:rsidRPr="00156441">
        <w:rPr>
          <w:rFonts w:ascii="Times New Roman" w:hAnsi="Times New Roman" w:cs="Times New Roman"/>
          <w:sz w:val="28"/>
          <w:szCs w:val="28"/>
          <w:vertAlign w:val="subscript"/>
        </w:rPr>
        <w:t xml:space="preserve"> </w:t>
      </w:r>
      <w:r w:rsidRPr="00156441">
        <w:rPr>
          <w:rFonts w:ascii="Times New Roman" w:hAnsi="Times New Roman" w:cs="Times New Roman"/>
          <w:sz w:val="28"/>
          <w:szCs w:val="28"/>
        </w:rPr>
        <w:t>з ТЗСЛШ</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 р=0,06),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-0,32; р=0,05) та Е/А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0,28; р=0,06); МОС</w:t>
      </w:r>
      <w:r w:rsidRPr="00156441">
        <w:rPr>
          <w:rFonts w:ascii="Times New Roman" w:hAnsi="Times New Roman" w:cs="Times New Roman"/>
          <w:sz w:val="28"/>
          <w:szCs w:val="28"/>
          <w:vertAlign w:val="subscript"/>
        </w:rPr>
        <w:t xml:space="preserve">75 </w:t>
      </w:r>
      <w:r w:rsidRPr="00156441">
        <w:rPr>
          <w:rFonts w:ascii="Times New Roman" w:hAnsi="Times New Roman" w:cs="Times New Roman"/>
          <w:sz w:val="28"/>
          <w:szCs w:val="28"/>
        </w:rPr>
        <w:t>з ТЗСЛШ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-0,31; р=0,09),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-0,29; р=0,08). На підставі проведеного аналізу, було виявлено</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патологічні зміни гемод</w:t>
      </w:r>
      <w:r w:rsidR="004E702C" w:rsidRPr="00156441">
        <w:rPr>
          <w:rFonts w:ascii="Times New Roman" w:hAnsi="Times New Roman" w:cs="Times New Roman"/>
          <w:sz w:val="28"/>
          <w:szCs w:val="28"/>
        </w:rPr>
        <w:t>и</w:t>
      </w:r>
      <w:r w:rsidRPr="00156441">
        <w:rPr>
          <w:rFonts w:ascii="Times New Roman" w:hAnsi="Times New Roman" w:cs="Times New Roman"/>
          <w:sz w:val="28"/>
          <w:szCs w:val="28"/>
        </w:rPr>
        <w:t>намічних показників на фоні негативного впливу зниження показників функції зовнішнього дихання, таких як:</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зміна геометрії серця, зниження фракції викиду ЛШ, зростання систолічного тиску в легеневій артерії та формування діастолічної дисфункції ПШ.</w:t>
      </w:r>
    </w:p>
    <w:p w:rsidR="00804F04" w:rsidRPr="00156441" w:rsidRDefault="00804F04" w:rsidP="008E5F84">
      <w:pPr>
        <w:pStyle w:val="a4"/>
        <w:spacing w:before="240"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lastRenderedPageBreak/>
        <w:t>Також, в залежності від клінічних характеристик ХОЗЛ було знайдено взаємозв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язок з показниками серцевої гемодинаміки. Було виявлено </w:t>
      </w:r>
      <w:r w:rsidR="00DC4C8F" w:rsidRPr="00156441">
        <w:rPr>
          <w:rFonts w:ascii="Times New Roman" w:hAnsi="Times New Roman" w:cs="Times New Roman"/>
          <w:sz w:val="28"/>
          <w:szCs w:val="28"/>
        </w:rPr>
        <w:t>кореляційний взаємозв'язок</w:t>
      </w:r>
      <w:r w:rsidRPr="00156441">
        <w:rPr>
          <w:rFonts w:ascii="Times New Roman" w:hAnsi="Times New Roman" w:cs="Times New Roman"/>
          <w:sz w:val="28"/>
          <w:szCs w:val="28"/>
        </w:rPr>
        <w:t xml:space="preserve"> тривалості ХОЗЛ з ММЛШ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-0,32; р=0,05), ІММЛШ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0,27; р=0,07), пік Е ТМДП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-0,32; р=0,03), пік А ТМДП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-0,29; р=0,06), Е/А ТМДП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-0,32; р=0,05) та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0,36; р=0,03). Також було встановлено кореляцію між підвищенням сістолічного артеріального тиску та ММЛШ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0,38; р=0,01), ІММЛШ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0,35; р=0,03), ТМШП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0,36; р=0,02), ТЗСЛШ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0,34; р=0,04), ВТСЛШ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0,28; р=0,08) та піку 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0,43; р=0,007). Встановлені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язки дають можливість зробити висновок, </w:t>
      </w:r>
      <w:r w:rsidR="004E702C" w:rsidRPr="00156441">
        <w:rPr>
          <w:rFonts w:ascii="Times New Roman" w:hAnsi="Times New Roman" w:cs="Times New Roman"/>
          <w:sz w:val="28"/>
          <w:szCs w:val="28"/>
        </w:rPr>
        <w:t>щ</w:t>
      </w:r>
      <w:r w:rsidRPr="00156441">
        <w:rPr>
          <w:rFonts w:ascii="Times New Roman" w:hAnsi="Times New Roman" w:cs="Times New Roman"/>
          <w:sz w:val="28"/>
          <w:szCs w:val="28"/>
        </w:rPr>
        <w:t xml:space="preserve">о тривалість ХОЗЛ та підвищений артеріальний тиск відіграють значущу роль у гіпертрофічних змінах ЛШ. </w:t>
      </w:r>
    </w:p>
    <w:p w:rsidR="00804F04" w:rsidRPr="00156441" w:rsidRDefault="00804F04" w:rsidP="008E5F84">
      <w:pPr>
        <w:pStyle w:val="a4"/>
        <w:spacing w:before="240"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При аналізі взаємозв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язку між </w:t>
      </w:r>
      <w:r w:rsidR="004E702C" w:rsidRPr="00156441">
        <w:rPr>
          <w:rFonts w:ascii="Times New Roman" w:hAnsi="Times New Roman" w:cs="Times New Roman"/>
          <w:sz w:val="28"/>
          <w:szCs w:val="28"/>
        </w:rPr>
        <w:t>вказаними</w:t>
      </w:r>
      <w:r w:rsidRPr="00156441">
        <w:rPr>
          <w:rFonts w:ascii="Times New Roman" w:hAnsi="Times New Roman" w:cs="Times New Roman"/>
          <w:sz w:val="28"/>
          <w:szCs w:val="28"/>
        </w:rPr>
        <w:t xml:space="preserve"> біомаркерами та показниками гемодинаміки було виявлено такі співвідношення: індуцибельна синтаза оксиду азоту мала зв</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язок високої сили з ТМШП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0,35; р=0,03), ТЗСЛШ </w:t>
      </w:r>
      <w:r w:rsidR="00D95B76" w:rsidRPr="00156441">
        <w:rPr>
          <w:rFonts w:ascii="Times New Roman" w:hAnsi="Times New Roman" w:cs="Times New Roman"/>
          <w:sz w:val="28"/>
          <w:szCs w:val="28"/>
        </w:rPr>
        <w:br/>
      </w:r>
      <w:r w:rsidRPr="00156441">
        <w:rPr>
          <w:rFonts w:ascii="Times New Roman" w:hAnsi="Times New Roman" w:cs="Times New Roman"/>
          <w:sz w:val="28"/>
          <w:szCs w:val="28"/>
        </w:rPr>
        <w:t>(r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0,31; р=0,05) та КСП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0,29; р=0,08); S-HT з ФВ 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-0,33; р=0,04) та NO</w:t>
      </w:r>
      <w:r w:rsidRPr="00156441">
        <w:rPr>
          <w:rFonts w:ascii="Times New Roman" w:hAnsi="Times New Roman" w:cs="Times New Roman"/>
          <w:sz w:val="28"/>
          <w:szCs w:val="28"/>
          <w:vertAlign w:val="subscript"/>
        </w:rPr>
        <w:t xml:space="preserve">3 </w:t>
      </w:r>
      <w:r w:rsidR="00DC4C8F" w:rsidRPr="00156441">
        <w:rPr>
          <w:rFonts w:ascii="Times New Roman" w:hAnsi="Times New Roman" w:cs="Times New Roman"/>
          <w:sz w:val="28"/>
          <w:szCs w:val="28"/>
        </w:rPr>
        <w:t>з</w:t>
      </w:r>
      <w:r w:rsidRPr="00156441">
        <w:rPr>
          <w:rFonts w:ascii="Times New Roman" w:hAnsi="Times New Roman" w:cs="Times New Roman"/>
          <w:sz w:val="28"/>
          <w:szCs w:val="28"/>
        </w:rPr>
        <w:t xml:space="preserve"> КДП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-0,4; р=0,01); каллікреіноген з КДРЛШ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-0,33; р=0,04) та ВТСЛШ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0,34; р=0,03); КП-N з Е/А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0,4; р=0,01) адреналіну з ВТСЛШ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0,29; р=0,06), ФВ 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0,31; р=0,05), Е/А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0,32; р=0,05),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0,35; р=0,03); норадреналіну з Е/А ТМДП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0,43; р=0,007), пік 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-0,37; р=0,02); реніну з Е/А ТМДП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0,34; р=0,03); ВЕФР з ФВ ЛШ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-0,28; р=0,08), Ф</w:t>
      </w:r>
      <w:r w:rsidR="00742A2B" w:rsidRPr="00156441">
        <w:rPr>
          <w:rFonts w:ascii="Times New Roman" w:hAnsi="Times New Roman" w:cs="Times New Roman"/>
          <w:sz w:val="28"/>
          <w:szCs w:val="28"/>
        </w:rPr>
        <w:t>І</w:t>
      </w:r>
      <w:r w:rsidRPr="00156441">
        <w:rPr>
          <w:rFonts w:ascii="Times New Roman" w:hAnsi="Times New Roman" w:cs="Times New Roman"/>
          <w:sz w:val="28"/>
          <w:szCs w:val="28"/>
        </w:rPr>
        <w:t>ПС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-0,52; р=0,001), СТЛА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0,32; р=0,05) та ВІП з КДП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-0,49; р=0,001), КСП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-0,31; р=0,03), </w:t>
      </w:r>
      <w:r w:rsidR="00FC5933">
        <w:rPr>
          <w:rFonts w:ascii="Times New Roman" w:hAnsi="Times New Roman" w:cs="Times New Roman"/>
          <w:sz w:val="28"/>
          <w:szCs w:val="28"/>
        </w:rPr>
        <w:t>ФЗПП</w:t>
      </w:r>
      <w:r w:rsidRPr="00156441">
        <w:rPr>
          <w:rFonts w:ascii="Times New Roman" w:hAnsi="Times New Roman" w:cs="Times New Roman"/>
          <w:sz w:val="28"/>
          <w:szCs w:val="28"/>
        </w:rPr>
        <w:t xml:space="preserve">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-0,30; р=0,06), пік Е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-0,39; р=0,01), Е/А ТТДП (r</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 xml:space="preserve">-0,38; р=0,02). </w:t>
      </w:r>
    </w:p>
    <w:p w:rsidR="00804F04" w:rsidRPr="00156441" w:rsidRDefault="00804F04" w:rsidP="008E5F84">
      <w:pPr>
        <w:spacing w:after="0" w:line="360" w:lineRule="auto"/>
        <w:ind w:firstLine="708"/>
        <w:jc w:val="both"/>
        <w:rPr>
          <w:rFonts w:ascii="Times New Roman" w:hAnsi="Times New Roman" w:cs="Times New Roman"/>
          <w:sz w:val="28"/>
          <w:szCs w:val="28"/>
        </w:rPr>
      </w:pPr>
      <w:r w:rsidRPr="00156441">
        <w:rPr>
          <w:rFonts w:ascii="Times New Roman" w:hAnsi="Times New Roman" w:cs="Times New Roman"/>
          <w:sz w:val="28"/>
          <w:szCs w:val="28"/>
        </w:rPr>
        <w:t>Таким чином, сполучення ХОЗЛ і ГХ призводить до структурно-функціональних змін міокарда, що характеризуються формуванням гіпертрофічних змін в геометрії серця та д</w:t>
      </w:r>
      <w:r w:rsidR="00742A2B" w:rsidRPr="00156441">
        <w:rPr>
          <w:rFonts w:ascii="Times New Roman" w:hAnsi="Times New Roman" w:cs="Times New Roman"/>
          <w:sz w:val="28"/>
          <w:szCs w:val="28"/>
        </w:rPr>
        <w:t>і</w:t>
      </w:r>
      <w:r w:rsidRPr="00156441">
        <w:rPr>
          <w:rFonts w:ascii="Times New Roman" w:hAnsi="Times New Roman" w:cs="Times New Roman"/>
          <w:sz w:val="28"/>
          <w:szCs w:val="28"/>
        </w:rPr>
        <w:t>астолічною дисфункцією шлуночків.</w:t>
      </w:r>
      <w:r w:rsidR="009C6C87" w:rsidRPr="00156441">
        <w:rPr>
          <w:rFonts w:ascii="Times New Roman" w:hAnsi="Times New Roman" w:cs="Times New Roman"/>
          <w:sz w:val="28"/>
          <w:szCs w:val="28"/>
        </w:rPr>
        <w:t xml:space="preserve"> </w:t>
      </w:r>
      <w:r w:rsidR="00742A2B" w:rsidRPr="00156441">
        <w:rPr>
          <w:rFonts w:ascii="Times New Roman" w:hAnsi="Times New Roman" w:cs="Times New Roman"/>
          <w:sz w:val="28"/>
          <w:szCs w:val="28"/>
        </w:rPr>
        <w:t>Середнє</w:t>
      </w:r>
      <w:r w:rsidRPr="00156441">
        <w:rPr>
          <w:rFonts w:ascii="Times New Roman" w:hAnsi="Times New Roman" w:cs="Times New Roman"/>
          <w:sz w:val="28"/>
          <w:szCs w:val="28"/>
        </w:rPr>
        <w:t xml:space="preserve"> значення розмірів та ФВ ЛШ у обстежених хворих знаходились або у рамках норми (ІММЛШ, КДРЛШ, ФВ), або мали легкий ступінь відхилення (ТМШП, ВТСЛШ, ТЗСЛШ, СТЛА). Товща передньої стінки лівого шлуночку максимально була збільшена у основній групі та СТЛА, хоч й знаходився в межах </w:t>
      </w:r>
      <w:r w:rsidR="00742A2B" w:rsidRPr="00156441">
        <w:rPr>
          <w:rFonts w:ascii="Times New Roman" w:hAnsi="Times New Roman" w:cs="Times New Roman"/>
          <w:sz w:val="28"/>
          <w:szCs w:val="28"/>
        </w:rPr>
        <w:t>фізіологічної</w:t>
      </w:r>
      <w:r w:rsidRPr="00156441">
        <w:rPr>
          <w:rFonts w:ascii="Times New Roman" w:hAnsi="Times New Roman" w:cs="Times New Roman"/>
          <w:sz w:val="28"/>
          <w:szCs w:val="28"/>
        </w:rPr>
        <w:t xml:space="preserve"> норми, але</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мав тенденцію до підвищення у групі хворих на </w:t>
      </w:r>
      <w:r w:rsidRPr="00156441">
        <w:rPr>
          <w:rFonts w:ascii="Times New Roman" w:hAnsi="Times New Roman" w:cs="Times New Roman"/>
          <w:sz w:val="28"/>
          <w:szCs w:val="28"/>
        </w:rPr>
        <w:lastRenderedPageBreak/>
        <w:t>коморбідну патологію. В обох обстежених групах було виявлено наявність діастолічної дисфункції обох шлуночків, тоді як рестр</w:t>
      </w:r>
      <w:r w:rsidR="00742A2B" w:rsidRPr="00156441">
        <w:rPr>
          <w:rFonts w:ascii="Times New Roman" w:hAnsi="Times New Roman" w:cs="Times New Roman"/>
          <w:sz w:val="28"/>
          <w:szCs w:val="28"/>
        </w:rPr>
        <w:t>и</w:t>
      </w:r>
      <w:r w:rsidRPr="00156441">
        <w:rPr>
          <w:rFonts w:ascii="Times New Roman" w:hAnsi="Times New Roman" w:cs="Times New Roman"/>
          <w:sz w:val="28"/>
          <w:szCs w:val="28"/>
        </w:rPr>
        <w:t xml:space="preserve">ктивного типу не було виявлено в жодного </w:t>
      </w:r>
      <w:r w:rsidR="00742A2B" w:rsidRPr="00156441">
        <w:rPr>
          <w:rFonts w:ascii="Times New Roman" w:hAnsi="Times New Roman" w:cs="Times New Roman"/>
          <w:sz w:val="28"/>
          <w:szCs w:val="28"/>
        </w:rPr>
        <w:t>обстеженого</w:t>
      </w:r>
      <w:r w:rsidRPr="00156441">
        <w:rPr>
          <w:rFonts w:ascii="Times New Roman" w:hAnsi="Times New Roman" w:cs="Times New Roman"/>
          <w:sz w:val="28"/>
          <w:szCs w:val="28"/>
        </w:rPr>
        <w:t xml:space="preserve">, а переважав I тип дисфункції. Систолічна функція й ЛШ й ПШ була збережена у всіх </w:t>
      </w:r>
      <w:r w:rsidR="00742A2B" w:rsidRPr="00156441">
        <w:rPr>
          <w:rFonts w:ascii="Times New Roman" w:hAnsi="Times New Roman" w:cs="Times New Roman"/>
          <w:sz w:val="28"/>
          <w:szCs w:val="28"/>
        </w:rPr>
        <w:t>пацієнтів</w:t>
      </w:r>
      <w:r w:rsidRPr="00156441">
        <w:rPr>
          <w:rFonts w:ascii="Times New Roman" w:hAnsi="Times New Roman" w:cs="Times New Roman"/>
          <w:sz w:val="28"/>
          <w:szCs w:val="28"/>
        </w:rPr>
        <w:t xml:space="preserve"> обстежених груп, однак виявлена достовірна різниця у показниках правого шлуночку.</w:t>
      </w:r>
    </w:p>
    <w:p w:rsidR="008E5F84" w:rsidRPr="00156441" w:rsidRDefault="008E5F84" w:rsidP="008E5F84">
      <w:pPr>
        <w:spacing w:after="0" w:line="360" w:lineRule="auto"/>
        <w:ind w:firstLine="708"/>
        <w:jc w:val="both"/>
        <w:rPr>
          <w:rFonts w:ascii="Times New Roman" w:hAnsi="Times New Roman" w:cs="Times New Roman"/>
          <w:sz w:val="28"/>
          <w:szCs w:val="28"/>
        </w:rPr>
      </w:pPr>
    </w:p>
    <w:p w:rsidR="00983656" w:rsidRPr="00AC7375" w:rsidRDefault="00983656" w:rsidP="00D1740C">
      <w:pPr>
        <w:pStyle w:val="a4"/>
        <w:numPr>
          <w:ilvl w:val="1"/>
          <w:numId w:val="19"/>
        </w:numPr>
        <w:spacing w:after="0" w:line="360" w:lineRule="auto"/>
        <w:jc w:val="center"/>
        <w:rPr>
          <w:rFonts w:ascii="Times New Roman" w:hAnsi="Times New Roman" w:cs="Times New Roman"/>
          <w:b/>
          <w:sz w:val="28"/>
          <w:szCs w:val="28"/>
        </w:rPr>
      </w:pPr>
      <w:bookmarkStart w:id="20" w:name="Pidrozd_3_7"/>
      <w:r w:rsidRPr="00AC7375">
        <w:rPr>
          <w:rFonts w:ascii="Times New Roman" w:hAnsi="Times New Roman" w:cs="Times New Roman"/>
          <w:b/>
          <w:sz w:val="28"/>
          <w:szCs w:val="28"/>
        </w:rPr>
        <w:t>Математико-статистичний аналіз прогнозування ступеня тяжкості стану хворих з хронічними обструктивними захворюваннями легень в поєднанні з гіпертонічною хворобою.</w:t>
      </w:r>
    </w:p>
    <w:p w:rsidR="00AC7375" w:rsidRPr="00AC7375" w:rsidRDefault="00AC7375" w:rsidP="00AC7375">
      <w:pPr>
        <w:pStyle w:val="a4"/>
        <w:spacing w:after="0" w:line="360" w:lineRule="auto"/>
        <w:ind w:left="1080"/>
        <w:rPr>
          <w:rFonts w:ascii="Times New Roman" w:hAnsi="Times New Roman" w:cs="Times New Roman"/>
          <w:b/>
          <w:sz w:val="28"/>
          <w:szCs w:val="28"/>
        </w:rPr>
      </w:pPr>
    </w:p>
    <w:bookmarkEnd w:id="20"/>
    <w:p w:rsidR="00983656" w:rsidRPr="00156441" w:rsidRDefault="00983656" w:rsidP="00742A2B">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Згідно міжн</w:t>
      </w:r>
      <w:r w:rsidR="00354B4F" w:rsidRPr="00156441">
        <w:rPr>
          <w:rFonts w:ascii="Times New Roman" w:hAnsi="Times New Roman" w:cs="Times New Roman"/>
          <w:sz w:val="28"/>
          <w:szCs w:val="28"/>
        </w:rPr>
        <w:t>ародним рекомендаціям GOLD (2015</w:t>
      </w:r>
      <w:r w:rsidRPr="00156441">
        <w:rPr>
          <w:rFonts w:ascii="Times New Roman" w:hAnsi="Times New Roman" w:cs="Times New Roman"/>
          <w:sz w:val="28"/>
          <w:szCs w:val="28"/>
        </w:rPr>
        <w:t xml:space="preserve">) стадії тяжкості ХОЗЛ варіюють від I (А) </w:t>
      </w:r>
      <w:r w:rsidR="00742A2B" w:rsidRPr="00156441">
        <w:rPr>
          <w:rFonts w:ascii="Times New Roman" w:hAnsi="Times New Roman" w:cs="Times New Roman"/>
          <w:sz w:val="28"/>
          <w:szCs w:val="28"/>
          <w:lang w:val="ru-RU"/>
        </w:rPr>
        <w:t>—</w:t>
      </w:r>
      <w:r w:rsidRPr="00156441">
        <w:rPr>
          <w:rFonts w:ascii="Times New Roman" w:hAnsi="Times New Roman" w:cs="Times New Roman"/>
          <w:sz w:val="28"/>
          <w:szCs w:val="28"/>
        </w:rPr>
        <w:t xml:space="preserve"> легка до IV (D) </w:t>
      </w:r>
      <w:r w:rsidR="00742A2B" w:rsidRPr="00156441">
        <w:rPr>
          <w:rFonts w:ascii="Times New Roman" w:hAnsi="Times New Roman" w:cs="Times New Roman"/>
          <w:sz w:val="28"/>
          <w:szCs w:val="28"/>
          <w:lang w:val="ru-RU"/>
        </w:rPr>
        <w:t>—</w:t>
      </w:r>
      <w:r w:rsidRPr="00156441">
        <w:rPr>
          <w:rFonts w:ascii="Times New Roman" w:hAnsi="Times New Roman" w:cs="Times New Roman"/>
          <w:sz w:val="28"/>
          <w:szCs w:val="28"/>
        </w:rPr>
        <w:t xml:space="preserve"> вкрай важка. Однак, якщо у хворого наявність ХОЗЛ супроводжується іншими супутніми захворюваннями, серед яких на першому місці ГХ, то прогнозування стану хворого є досить складним завданням. Проблема полягає</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в тому, що перебіг захворювання у хворих на ХОЗЛ навіть групи С, але без ГХ, може проходити менш важко, ніж перебіг захворювання В групи ХОЗЛ при наявності ГХ. Тому в загальному випадку ми маємо (4х2) варіантів перебігу основного захворювання. Всі методи класифікації таких випадків дуже трудомісткі [3] і засновані на оцінці відстаней між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єктами (в нашому випадку </w:t>
      </w:r>
      <w:r w:rsidR="00247AF0" w:rsidRPr="00156441">
        <w:rPr>
          <w:rFonts w:ascii="Times New Roman" w:hAnsi="Times New Roman" w:cs="Times New Roman"/>
          <w:sz w:val="28"/>
          <w:szCs w:val="28"/>
        </w:rPr>
        <w:t>—</w:t>
      </w:r>
      <w:r w:rsidRPr="00156441">
        <w:rPr>
          <w:rFonts w:ascii="Times New Roman" w:hAnsi="Times New Roman" w:cs="Times New Roman"/>
          <w:sz w:val="28"/>
          <w:szCs w:val="28"/>
        </w:rPr>
        <w:t xml:space="preserve"> пацієнти) в n-вимірному просторі використовуваних змінних (в нашому випадку </w:t>
      </w:r>
      <w:r w:rsidR="00247AF0" w:rsidRPr="00156441">
        <w:rPr>
          <w:rFonts w:ascii="Times New Roman" w:hAnsi="Times New Roman" w:cs="Times New Roman"/>
          <w:sz w:val="28"/>
          <w:szCs w:val="28"/>
        </w:rPr>
        <w:t>—</w:t>
      </w:r>
      <w:r w:rsidRPr="00156441">
        <w:rPr>
          <w:rFonts w:ascii="Times New Roman" w:hAnsi="Times New Roman" w:cs="Times New Roman"/>
          <w:sz w:val="28"/>
          <w:szCs w:val="28"/>
        </w:rPr>
        <w:t xml:space="preserve"> біохімічні показники).</w:t>
      </w:r>
    </w:p>
    <w:p w:rsidR="00983656" w:rsidRPr="00156441" w:rsidRDefault="00983656" w:rsidP="00742A2B">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Тому в якості першого кроку ми використовували методи кластерного аналізу для знаходження однорідних груп. Попередньо, між усіма вхідними показниками, зна</w:t>
      </w:r>
      <w:r w:rsidR="00081807" w:rsidRPr="00156441">
        <w:rPr>
          <w:rFonts w:ascii="Times New Roman" w:hAnsi="Times New Roman" w:cs="Times New Roman"/>
          <w:sz w:val="28"/>
          <w:szCs w:val="28"/>
        </w:rPr>
        <w:t>чення яких стандартизувалися (n</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67), методами кореляційно-регресивного аналізу були встановлені кореляційні залежності. Якщо значення коефіцієнта кореляції Спірмена між змінними перевищувало 0,7, то одна з змінних виключалася. В результаті були виділені 25 стандартизованих показників.</w:t>
      </w:r>
    </w:p>
    <w:p w:rsidR="00983656" w:rsidRPr="00156441" w:rsidRDefault="00983656" w:rsidP="00742A2B">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У роботі використовували кластерний ієрархічний (деревовидний) алгоритм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єднання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єктів. Функцією відстані служила Евклидова метрика (Euclidean dist</w:t>
      </w:r>
      <w:r w:rsidR="00B46E01" w:rsidRPr="00156441">
        <w:rPr>
          <w:rFonts w:ascii="Times New Roman" w:hAnsi="Times New Roman" w:cs="Times New Roman"/>
          <w:sz w:val="28"/>
          <w:szCs w:val="28"/>
          <w:lang w:val="en-US"/>
        </w:rPr>
        <w:t>a</w:t>
      </w:r>
      <w:r w:rsidRPr="00156441">
        <w:rPr>
          <w:rFonts w:ascii="Times New Roman" w:hAnsi="Times New Roman" w:cs="Times New Roman"/>
          <w:sz w:val="28"/>
          <w:szCs w:val="28"/>
        </w:rPr>
        <w:t>nces). Реалізовувався незважений центроїдн</w:t>
      </w:r>
      <w:r w:rsidR="00B46E01" w:rsidRPr="00156441">
        <w:rPr>
          <w:rFonts w:ascii="Times New Roman" w:hAnsi="Times New Roman" w:cs="Times New Roman"/>
          <w:sz w:val="28"/>
          <w:szCs w:val="28"/>
        </w:rPr>
        <w:t>ий</w:t>
      </w:r>
      <w:r w:rsidRPr="00156441">
        <w:rPr>
          <w:rFonts w:ascii="Times New Roman" w:hAnsi="Times New Roman" w:cs="Times New Roman"/>
          <w:sz w:val="28"/>
          <w:szCs w:val="28"/>
        </w:rPr>
        <w:t xml:space="preserve"> метод об</w:t>
      </w:r>
      <w:r w:rsidR="00FC48A2" w:rsidRPr="00156441">
        <w:rPr>
          <w:rFonts w:ascii="Times New Roman" w:hAnsi="Times New Roman" w:cs="Times New Roman"/>
          <w:sz w:val="28"/>
          <w:szCs w:val="28"/>
        </w:rPr>
        <w:t>’</w:t>
      </w:r>
      <w:r w:rsidRPr="00156441">
        <w:rPr>
          <w:rFonts w:ascii="Times New Roman" w:hAnsi="Times New Roman" w:cs="Times New Roman"/>
          <w:sz w:val="28"/>
          <w:szCs w:val="28"/>
        </w:rPr>
        <w:t xml:space="preserve">єднання в кластери, </w:t>
      </w:r>
      <w:r w:rsidRPr="00156441">
        <w:rPr>
          <w:rFonts w:ascii="Times New Roman" w:hAnsi="Times New Roman" w:cs="Times New Roman"/>
          <w:sz w:val="28"/>
          <w:szCs w:val="28"/>
        </w:rPr>
        <w:lastRenderedPageBreak/>
        <w:t xml:space="preserve">при якому відстань між двома кластерами визначається як відстань між їх центрами тяжіння </w:t>
      </w:r>
      <w:r w:rsidR="00B46E01" w:rsidRPr="00156441">
        <w:rPr>
          <w:rFonts w:ascii="Times New Roman" w:hAnsi="Times New Roman" w:cs="Times New Roman"/>
          <w:sz w:val="28"/>
          <w:szCs w:val="28"/>
        </w:rPr>
        <w:t>—</w:t>
      </w:r>
      <w:r w:rsidRPr="00156441">
        <w:rPr>
          <w:rFonts w:ascii="Times New Roman" w:hAnsi="Times New Roman" w:cs="Times New Roman"/>
          <w:sz w:val="28"/>
          <w:szCs w:val="28"/>
        </w:rPr>
        <w:t xml:space="preserve"> деревоподібна кластеризація (tree dustering). Отримана в результаті дендрограма розподілу спостережень за кластерам приведена на</w:t>
      </w:r>
      <w:r w:rsidR="00723800">
        <w:rPr>
          <w:rFonts w:ascii="Times New Roman" w:hAnsi="Times New Roman" w:cs="Times New Roman"/>
          <w:sz w:val="28"/>
          <w:szCs w:val="28"/>
        </w:rPr>
        <w:t xml:space="preserve"> </w:t>
      </w:r>
      <w:r w:rsidR="00DC4C8F" w:rsidRPr="00156441">
        <w:rPr>
          <w:rFonts w:ascii="Times New Roman" w:hAnsi="Times New Roman" w:cs="Times New Roman"/>
          <w:sz w:val="28"/>
          <w:szCs w:val="28"/>
        </w:rPr>
        <w:t>рис. 29</w:t>
      </w:r>
      <w:r w:rsidRPr="00156441">
        <w:rPr>
          <w:rFonts w:ascii="Times New Roman" w:hAnsi="Times New Roman" w:cs="Times New Roman"/>
          <w:sz w:val="28"/>
          <w:szCs w:val="28"/>
        </w:rPr>
        <w:t>.</w:t>
      </w:r>
    </w:p>
    <w:p w:rsidR="00983656" w:rsidRPr="00156441" w:rsidRDefault="00983656" w:rsidP="00983656">
      <w:pPr>
        <w:spacing w:after="0" w:line="360" w:lineRule="auto"/>
        <w:ind w:left="420"/>
        <w:contextualSpacing/>
        <w:jc w:val="both"/>
        <w:rPr>
          <w:rFonts w:ascii="Times New Roman" w:hAnsi="Times New Roman" w:cs="Times New Roman"/>
          <w:sz w:val="28"/>
          <w:szCs w:val="28"/>
        </w:rPr>
      </w:pPr>
    </w:p>
    <w:bookmarkStart w:id="21" w:name="_GoBack"/>
    <w:p w:rsidR="00983656" w:rsidRPr="00156441" w:rsidRDefault="002A7D11" w:rsidP="002A7D11">
      <w:pPr>
        <w:spacing w:after="0" w:line="360" w:lineRule="auto"/>
        <w:contextualSpacing/>
        <w:jc w:val="both"/>
        <w:rPr>
          <w:rFonts w:ascii="Times New Roman" w:hAnsi="Times New Roman" w:cs="Times New Roman"/>
          <w:sz w:val="28"/>
          <w:szCs w:val="28"/>
        </w:rPr>
      </w:pPr>
      <w:r w:rsidRPr="002A7D11">
        <w:rPr>
          <w:rFonts w:ascii="Times New Roman" w:hAnsi="Times New Roman" w:cs="Times New Roman"/>
          <w:sz w:val="24"/>
          <w:szCs w:val="24"/>
        </w:rPr>
        <w:object w:dxaOrig="10552" w:dyaOrig="6634">
          <v:shape id="_x0000_i1162" type="#_x0000_t75" style="width:527.6pt;height:331.8pt" o:ole="">
            <v:imagedata r:id="rId64" o:title=""/>
          </v:shape>
          <o:OLEObject Type="Embed" ProgID="STATISTICA.Graph" ShapeID="_x0000_i1162" DrawAspect="Content" ObjectID="_1579001547" r:id="rId65">
            <o:FieldCodes>\s</o:FieldCodes>
          </o:OLEObject>
        </w:object>
      </w:r>
      <w:bookmarkEnd w:id="21"/>
    </w:p>
    <w:p w:rsidR="00983656" w:rsidRPr="00156441" w:rsidRDefault="00DC4C8F" w:rsidP="00983656">
      <w:pPr>
        <w:spacing w:after="0" w:line="360" w:lineRule="auto"/>
        <w:ind w:left="420"/>
        <w:contextualSpacing/>
        <w:jc w:val="both"/>
        <w:rPr>
          <w:rFonts w:ascii="Times New Roman" w:hAnsi="Times New Roman" w:cs="Times New Roman"/>
          <w:sz w:val="28"/>
          <w:szCs w:val="28"/>
        </w:rPr>
      </w:pPr>
      <w:r w:rsidRPr="00156441">
        <w:rPr>
          <w:rFonts w:ascii="Times New Roman" w:hAnsi="Times New Roman" w:cs="Times New Roman"/>
          <w:sz w:val="28"/>
          <w:szCs w:val="28"/>
        </w:rPr>
        <w:t>Рис. 29</w:t>
      </w:r>
      <w:r w:rsidR="00983656" w:rsidRPr="00156441">
        <w:rPr>
          <w:rFonts w:ascii="Times New Roman" w:hAnsi="Times New Roman" w:cs="Times New Roman"/>
          <w:sz w:val="28"/>
          <w:szCs w:val="28"/>
        </w:rPr>
        <w:t xml:space="preserve">. </w:t>
      </w:r>
      <w:r w:rsidRPr="00156441">
        <w:rPr>
          <w:rFonts w:ascii="Times New Roman" w:hAnsi="Times New Roman" w:cs="Times New Roman"/>
          <w:sz w:val="28"/>
          <w:szCs w:val="28"/>
        </w:rPr>
        <w:t>Дендрогра</w:t>
      </w:r>
      <w:r w:rsidR="00983656" w:rsidRPr="00156441">
        <w:rPr>
          <w:rFonts w:ascii="Times New Roman" w:hAnsi="Times New Roman" w:cs="Times New Roman"/>
          <w:sz w:val="28"/>
          <w:szCs w:val="28"/>
        </w:rPr>
        <w:t>ма розподілу спостережень за кластерам.</w:t>
      </w:r>
    </w:p>
    <w:p w:rsidR="00983656" w:rsidRPr="00156441" w:rsidRDefault="00983656" w:rsidP="00B46E0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Як бачимо, використання ієрархічних процедур кластерного аналізу дозволило виявити з 100 пацієнтів дві однорідні групи, різні з яких-небудь причин.</w:t>
      </w:r>
    </w:p>
    <w:p w:rsidR="00983656" w:rsidRPr="00156441" w:rsidRDefault="00983656" w:rsidP="00B46E0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Виділення саме 2-х кластерів було підтверджено методами дивізійного аналізу середніх показників кластерів (к-середніх). Вибір змінних (показників) проводився на основі найкращого поділу кластерів за середнім значенням показників (</w:t>
      </w:r>
      <w:r w:rsidR="000042EB" w:rsidRPr="00156441">
        <w:rPr>
          <w:rFonts w:ascii="Times New Roman" w:hAnsi="Times New Roman" w:cs="Times New Roman"/>
          <w:sz w:val="28"/>
          <w:szCs w:val="28"/>
        </w:rPr>
        <w:t>рис. 30</w:t>
      </w:r>
      <w:r w:rsidRPr="00156441">
        <w:rPr>
          <w:rFonts w:ascii="Times New Roman" w:hAnsi="Times New Roman" w:cs="Times New Roman"/>
          <w:sz w:val="28"/>
          <w:szCs w:val="28"/>
        </w:rPr>
        <w:t>).</w:t>
      </w:r>
    </w:p>
    <w:p w:rsidR="00983656" w:rsidRDefault="00983656" w:rsidP="00B46E01">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Використання методу дивізійного аналізу k-середніх дозволило також отримати якісний склад кожного кластера, тобто віднести кожного хворого до відповідного кластеру.</w:t>
      </w:r>
    </w:p>
    <w:p w:rsidR="005A450B" w:rsidRPr="00156441" w:rsidRDefault="005A450B" w:rsidP="005A450B">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На наступному етапі аналізу були оцінені відмінності кластерів (№1 і №2) за досліджуваними показниками. Використаний непараметричний тест Краскала-Уолліса показав статистично достовірні відмінності виділених груп.</w:t>
      </w:r>
    </w:p>
    <w:p w:rsidR="005A450B" w:rsidRPr="00156441" w:rsidRDefault="005A450B" w:rsidP="005A450B">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На рис. 3</w:t>
      </w:r>
      <w:r>
        <w:rPr>
          <w:rFonts w:ascii="Times New Roman" w:hAnsi="Times New Roman" w:cs="Times New Roman"/>
          <w:sz w:val="28"/>
          <w:szCs w:val="28"/>
        </w:rPr>
        <w:t>0</w:t>
      </w:r>
      <w:r w:rsidRPr="00156441">
        <w:rPr>
          <w:rFonts w:ascii="Times New Roman" w:hAnsi="Times New Roman" w:cs="Times New Roman"/>
          <w:sz w:val="28"/>
          <w:szCs w:val="28"/>
        </w:rPr>
        <w:t xml:space="preserve"> наведено приклади діаграми розмаху значень змінних для 2-х кластерів: а — ступінь тяжкості ХОЗЛ; б — тривалість захворювання ХОЗЛ. На діаграмах позначені середні значення перемінних±похибка середнього і значення довірчих інтервалів.</w:t>
      </w:r>
    </w:p>
    <w:p w:rsidR="00983656" w:rsidRPr="00156441" w:rsidRDefault="002A7D11" w:rsidP="002A7D11">
      <w:pPr>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object w:dxaOrig="10264" w:dyaOrig="6943">
          <v:shape id="_x0000_i1054" type="#_x0000_t75" style="width:513.2pt;height:347.35pt" o:ole="">
            <v:imagedata r:id="rId66" o:title=""/>
          </v:shape>
          <o:OLEObject Type="Embed" ProgID="STATISTICA.Graph" ShapeID="_x0000_i1054" DrawAspect="Content" ObjectID="_1579001548" r:id="rId67">
            <o:FieldCodes>\s</o:FieldCodes>
          </o:OLEObject>
        </w:object>
      </w:r>
    </w:p>
    <w:p w:rsidR="00983656" w:rsidRPr="00156441" w:rsidRDefault="000042EB" w:rsidP="00983656">
      <w:pPr>
        <w:spacing w:after="0" w:line="360" w:lineRule="auto"/>
        <w:ind w:left="420"/>
        <w:contextualSpacing/>
        <w:jc w:val="both"/>
        <w:rPr>
          <w:rFonts w:ascii="Times New Roman" w:hAnsi="Times New Roman" w:cs="Times New Roman"/>
          <w:sz w:val="28"/>
          <w:szCs w:val="28"/>
        </w:rPr>
      </w:pPr>
      <w:r w:rsidRPr="00156441">
        <w:rPr>
          <w:rFonts w:ascii="Times New Roman" w:hAnsi="Times New Roman" w:cs="Times New Roman"/>
          <w:sz w:val="28"/>
          <w:szCs w:val="28"/>
        </w:rPr>
        <w:t>Рис. 30</w:t>
      </w:r>
      <w:r w:rsidR="00983656" w:rsidRPr="00156441">
        <w:rPr>
          <w:rFonts w:ascii="Times New Roman" w:hAnsi="Times New Roman" w:cs="Times New Roman"/>
          <w:sz w:val="28"/>
          <w:szCs w:val="28"/>
        </w:rPr>
        <w:t>. Стандартизовані середні показники двох кластерів.</w:t>
      </w:r>
    </w:p>
    <w:p w:rsidR="00983656" w:rsidRPr="00156441" w:rsidRDefault="00983656" w:rsidP="00983656">
      <w:pPr>
        <w:spacing w:after="0" w:line="360" w:lineRule="auto"/>
        <w:ind w:left="420"/>
        <w:contextualSpacing/>
        <w:jc w:val="both"/>
        <w:rPr>
          <w:rFonts w:ascii="Times New Roman" w:hAnsi="Times New Roman" w:cs="Times New Roman"/>
          <w:sz w:val="28"/>
          <w:szCs w:val="28"/>
        </w:rPr>
      </w:pPr>
    </w:p>
    <w:p w:rsidR="00983656" w:rsidRPr="00184106" w:rsidRDefault="00983656" w:rsidP="00B46E01">
      <w:pPr>
        <w:spacing w:after="0" w:line="360" w:lineRule="auto"/>
        <w:ind w:firstLine="709"/>
        <w:contextualSpacing/>
        <w:jc w:val="both"/>
        <w:rPr>
          <w:rFonts w:ascii="Times New Roman" w:hAnsi="Times New Roman" w:cs="Times New Roman"/>
          <w:sz w:val="28"/>
          <w:szCs w:val="28"/>
          <w:lang w:val="ru-RU"/>
        </w:rPr>
      </w:pPr>
      <w:r w:rsidRPr="00156441">
        <w:rPr>
          <w:rFonts w:ascii="Times New Roman" w:hAnsi="Times New Roman" w:cs="Times New Roman"/>
          <w:sz w:val="28"/>
          <w:szCs w:val="28"/>
        </w:rPr>
        <w:t>Як видно з рис. 3</w:t>
      </w:r>
      <w:r w:rsidR="000042EB" w:rsidRPr="00156441">
        <w:rPr>
          <w:rFonts w:ascii="Times New Roman" w:hAnsi="Times New Roman" w:cs="Times New Roman"/>
          <w:sz w:val="28"/>
          <w:szCs w:val="28"/>
        </w:rPr>
        <w:t>1</w:t>
      </w:r>
      <w:r w:rsidRPr="00156441">
        <w:rPr>
          <w:rFonts w:ascii="Times New Roman" w:hAnsi="Times New Roman" w:cs="Times New Roman"/>
          <w:sz w:val="28"/>
          <w:szCs w:val="28"/>
        </w:rPr>
        <w:t xml:space="preserve">, динаміка даних змінних вказує на їх значуща відмінність для кластерів 1 і 2 (а </w:t>
      </w:r>
      <w:r w:rsidR="00B46E01" w:rsidRPr="00156441">
        <w:rPr>
          <w:rFonts w:ascii="Times New Roman" w:hAnsi="Times New Roman" w:cs="Times New Roman"/>
          <w:sz w:val="28"/>
          <w:szCs w:val="28"/>
        </w:rPr>
        <w:t>— р</w:t>
      </w:r>
      <w:r w:rsidR="004E702C" w:rsidRPr="00156441">
        <w:rPr>
          <w:rFonts w:ascii="Times New Roman" w:hAnsi="Times New Roman" w:cs="Times New Roman"/>
          <w:sz w:val="28"/>
          <w:szCs w:val="28"/>
        </w:rPr>
        <w:t>=</w:t>
      </w:r>
      <w:r w:rsidR="00B46E01" w:rsidRPr="00156441">
        <w:rPr>
          <w:rFonts w:ascii="Times New Roman" w:hAnsi="Times New Roman" w:cs="Times New Roman"/>
          <w:sz w:val="28"/>
          <w:szCs w:val="28"/>
        </w:rPr>
        <w:t>0,00843; б — р</w:t>
      </w:r>
      <w:r w:rsidR="004E702C" w:rsidRPr="00156441">
        <w:rPr>
          <w:rFonts w:ascii="Times New Roman" w:hAnsi="Times New Roman" w:cs="Times New Roman"/>
          <w:sz w:val="28"/>
          <w:szCs w:val="28"/>
        </w:rPr>
        <w:t>=</w:t>
      </w:r>
      <w:r w:rsidR="00B46E01" w:rsidRPr="00156441">
        <w:rPr>
          <w:rFonts w:ascii="Times New Roman" w:hAnsi="Times New Roman" w:cs="Times New Roman"/>
          <w:sz w:val="28"/>
          <w:szCs w:val="28"/>
        </w:rPr>
        <w:t>0,00561</w:t>
      </w:r>
      <w:r w:rsidR="000042EB" w:rsidRPr="00156441">
        <w:rPr>
          <w:rFonts w:ascii="Times New Roman" w:hAnsi="Times New Roman" w:cs="Times New Roman"/>
          <w:sz w:val="28"/>
          <w:szCs w:val="28"/>
        </w:rPr>
        <w:t>)</w:t>
      </w:r>
    </w:p>
    <w:p w:rsidR="002A7D11" w:rsidRPr="00156441" w:rsidRDefault="002A7D11" w:rsidP="002A7D11">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Отримані результати дозволяють зробити висновок про те, що кластери являють собою групи пацієнтів, що відрізняються між собою за ступенем тяжкості перебігу захворювання ХОЗЛ з урахуванням наявності ГХ, тобто поділ на кластери </w:t>
      </w:r>
      <w:r w:rsidRPr="00156441">
        <w:rPr>
          <w:rFonts w:ascii="Times New Roman" w:hAnsi="Times New Roman" w:cs="Times New Roman"/>
          <w:sz w:val="28"/>
          <w:szCs w:val="28"/>
        </w:rPr>
        <w:lastRenderedPageBreak/>
        <w:t>відповідає поділу на групи пацієнтів за ступенем тяжкості клінічного перебігу ХОЗЛ у поєднанні з ГХ: 1-й кластер — більш важкий ступінь стану хворого; 2-й кластер — середній ступінь тяжкості стану хворого. При цьому інформативними і прогностично значущими показниками для хворих з поєднаним перебігом ХОЗЛ і ГХ є маркери ендотеліальної дисфункції - вміст нітратів, нітритів, S-нітрозотіолів, активності eNOS, iNOS; фактор ангіогенезу — ВЕФР; високі рівні в крові заліза, кальцію.</w:t>
      </w:r>
    </w:p>
    <w:p w:rsidR="00983656" w:rsidRDefault="00983656" w:rsidP="00983656">
      <w:pPr>
        <w:spacing w:after="0" w:line="360" w:lineRule="auto"/>
        <w:ind w:left="420"/>
        <w:contextualSpacing/>
        <w:jc w:val="both"/>
        <w:rPr>
          <w:rFonts w:ascii="Times New Roman" w:hAnsi="Times New Roman" w:cs="Times New Roman"/>
          <w:sz w:val="28"/>
          <w:szCs w:val="28"/>
        </w:rPr>
      </w:pPr>
    </w:p>
    <w:tbl>
      <w:tblPr>
        <w:tblStyle w:val="a5"/>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2"/>
        <w:gridCol w:w="4463"/>
      </w:tblGrid>
      <w:tr w:rsidR="005A450B" w:rsidTr="005A450B">
        <w:tc>
          <w:tcPr>
            <w:tcW w:w="4462" w:type="dxa"/>
          </w:tcPr>
          <w:p w:rsidR="005A450B" w:rsidRDefault="002E755E" w:rsidP="00983656">
            <w:pPr>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object w:dxaOrig="3374" w:dyaOrig="3978">
                <v:shape id="_x0000_i1055" type="#_x0000_t75" style="width:168.75pt;height:198.7pt" o:ole="" o:bordertopcolor="this">
                  <v:imagedata r:id="rId68" o:title=""/>
                  <w10:bordertop type="single" width="4"/>
                </v:shape>
                <o:OLEObject Type="Embed" ProgID="STATISTICA.Graph" ShapeID="_x0000_i1055" DrawAspect="Content" ObjectID="_1579001549" r:id="rId69">
                  <o:FieldCodes>\s</o:FieldCodes>
                </o:OLEObject>
              </w:object>
            </w:r>
          </w:p>
        </w:tc>
        <w:tc>
          <w:tcPr>
            <w:tcW w:w="4463" w:type="dxa"/>
          </w:tcPr>
          <w:p w:rsidR="005A450B" w:rsidRDefault="002E755E" w:rsidP="00983656">
            <w:pPr>
              <w:spacing w:line="360" w:lineRule="auto"/>
              <w:contextualSpacing/>
              <w:jc w:val="both"/>
              <w:rPr>
                <w:rFonts w:ascii="Times New Roman" w:hAnsi="Times New Roman" w:cs="Times New Roman"/>
                <w:sz w:val="28"/>
                <w:szCs w:val="28"/>
              </w:rPr>
            </w:pPr>
            <w:r w:rsidRPr="00156441">
              <w:rPr>
                <w:rFonts w:ascii="Times New Roman" w:hAnsi="Times New Roman" w:cs="Times New Roman"/>
                <w:sz w:val="28"/>
                <w:szCs w:val="28"/>
              </w:rPr>
              <w:object w:dxaOrig="3343" w:dyaOrig="3988">
                <v:shape id="_x0000_i1056" type="#_x0000_t75" style="width:167.6pt;height:199.3pt" o:ole="">
                  <v:imagedata r:id="rId70" o:title=""/>
                </v:shape>
                <o:OLEObject Type="Embed" ProgID="STATISTICA.Graph" ShapeID="_x0000_i1056" DrawAspect="Content" ObjectID="_1579001550" r:id="rId71">
                  <o:FieldCodes>\s</o:FieldCodes>
                </o:OLEObject>
              </w:object>
            </w:r>
          </w:p>
        </w:tc>
      </w:tr>
      <w:tr w:rsidR="005A450B" w:rsidTr="005A450B">
        <w:tc>
          <w:tcPr>
            <w:tcW w:w="4462" w:type="dxa"/>
          </w:tcPr>
          <w:p w:rsidR="005A450B" w:rsidRDefault="005A450B" w:rsidP="002A7D11">
            <w:pPr>
              <w:spacing w:line="360" w:lineRule="auto"/>
              <w:ind w:left="708" w:hanging="708"/>
              <w:contextualSpacing/>
              <w:jc w:val="center"/>
              <w:rPr>
                <w:rFonts w:ascii="Times New Roman" w:hAnsi="Times New Roman" w:cs="Times New Roman"/>
                <w:sz w:val="28"/>
                <w:szCs w:val="28"/>
              </w:rPr>
            </w:pPr>
            <w:r w:rsidRPr="00156441">
              <w:rPr>
                <w:rFonts w:ascii="Times New Roman" w:hAnsi="Times New Roman" w:cs="Times New Roman"/>
                <w:sz w:val="28"/>
                <w:szCs w:val="28"/>
              </w:rPr>
              <w:t>Рис.3</w:t>
            </w:r>
            <w:r w:rsidRPr="00156441">
              <w:rPr>
                <w:rFonts w:ascii="Times New Roman" w:hAnsi="Times New Roman" w:cs="Times New Roman"/>
                <w:sz w:val="28"/>
                <w:szCs w:val="28"/>
                <w:lang w:val="ru-RU"/>
              </w:rPr>
              <w:t xml:space="preserve">1 </w:t>
            </w:r>
            <w:r w:rsidRPr="00156441">
              <w:rPr>
                <w:rFonts w:ascii="Times New Roman" w:hAnsi="Times New Roman" w:cs="Times New Roman"/>
                <w:sz w:val="28"/>
                <w:szCs w:val="28"/>
              </w:rPr>
              <w:t>а</w:t>
            </w:r>
          </w:p>
        </w:tc>
        <w:tc>
          <w:tcPr>
            <w:tcW w:w="4463" w:type="dxa"/>
          </w:tcPr>
          <w:p w:rsidR="005A450B" w:rsidRDefault="005A450B" w:rsidP="002A7D11">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Рис. 3</w:t>
            </w:r>
            <w:r w:rsidRPr="00156441">
              <w:rPr>
                <w:rFonts w:ascii="Times New Roman" w:hAnsi="Times New Roman" w:cs="Times New Roman"/>
                <w:sz w:val="28"/>
                <w:szCs w:val="28"/>
                <w:lang w:val="ru-RU"/>
              </w:rPr>
              <w:t xml:space="preserve">1 </w:t>
            </w:r>
            <w:r w:rsidRPr="00156441">
              <w:rPr>
                <w:rFonts w:ascii="Times New Roman" w:hAnsi="Times New Roman" w:cs="Times New Roman"/>
                <w:sz w:val="28"/>
                <w:szCs w:val="28"/>
              </w:rPr>
              <w:t>б</w:t>
            </w:r>
          </w:p>
        </w:tc>
      </w:tr>
    </w:tbl>
    <w:p w:rsidR="005A450B" w:rsidRDefault="005A450B" w:rsidP="003E39B2">
      <w:pPr>
        <w:spacing w:after="0" w:line="360" w:lineRule="auto"/>
        <w:contextualSpacing/>
        <w:jc w:val="both"/>
        <w:rPr>
          <w:rFonts w:ascii="Times New Roman" w:hAnsi="Times New Roman" w:cs="Times New Roman"/>
          <w:sz w:val="28"/>
          <w:szCs w:val="28"/>
        </w:rPr>
      </w:pPr>
    </w:p>
    <w:p w:rsidR="00983656" w:rsidRDefault="00983656" w:rsidP="003E39B2">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Рис. 3</w:t>
      </w:r>
      <w:r w:rsidR="000042EB" w:rsidRPr="00156441">
        <w:rPr>
          <w:rFonts w:ascii="Times New Roman" w:hAnsi="Times New Roman" w:cs="Times New Roman"/>
          <w:sz w:val="28"/>
          <w:szCs w:val="28"/>
        </w:rPr>
        <w:t>1</w:t>
      </w:r>
      <w:r w:rsidRPr="00156441">
        <w:rPr>
          <w:rFonts w:ascii="Times New Roman" w:hAnsi="Times New Roman" w:cs="Times New Roman"/>
          <w:sz w:val="28"/>
          <w:szCs w:val="28"/>
        </w:rPr>
        <w:t>. Діаграми розмаху значень змінних для двох кластерів:</w:t>
      </w:r>
      <w:r w:rsidR="000042EB" w:rsidRPr="00156441">
        <w:rPr>
          <w:rFonts w:ascii="Times New Roman" w:hAnsi="Times New Roman" w:cs="Times New Roman"/>
          <w:sz w:val="28"/>
          <w:szCs w:val="28"/>
        </w:rPr>
        <w:t xml:space="preserve"> </w:t>
      </w:r>
      <w:r w:rsidRPr="00156441">
        <w:rPr>
          <w:rFonts w:ascii="Times New Roman" w:hAnsi="Times New Roman" w:cs="Times New Roman"/>
          <w:sz w:val="28"/>
          <w:szCs w:val="28"/>
        </w:rPr>
        <w:t xml:space="preserve">а </w:t>
      </w:r>
      <w:r w:rsidR="00FD61BA" w:rsidRPr="00156441">
        <w:rPr>
          <w:rFonts w:ascii="Times New Roman" w:hAnsi="Times New Roman" w:cs="Times New Roman"/>
          <w:sz w:val="28"/>
          <w:szCs w:val="28"/>
        </w:rPr>
        <w:t>—</w:t>
      </w:r>
      <w:r w:rsidRPr="00156441">
        <w:rPr>
          <w:rFonts w:ascii="Times New Roman" w:hAnsi="Times New Roman" w:cs="Times New Roman"/>
          <w:sz w:val="28"/>
          <w:szCs w:val="28"/>
        </w:rPr>
        <w:t xml:space="preserve"> ступінь ХОЗЛ; б </w:t>
      </w:r>
      <w:r w:rsidR="00FD61BA" w:rsidRPr="00156441">
        <w:rPr>
          <w:rFonts w:ascii="Times New Roman" w:hAnsi="Times New Roman" w:cs="Times New Roman"/>
          <w:sz w:val="28"/>
          <w:szCs w:val="28"/>
        </w:rPr>
        <w:t>—</w:t>
      </w:r>
      <w:r w:rsidRPr="00156441">
        <w:rPr>
          <w:rFonts w:ascii="Times New Roman" w:hAnsi="Times New Roman" w:cs="Times New Roman"/>
          <w:sz w:val="28"/>
          <w:szCs w:val="28"/>
        </w:rPr>
        <w:t xml:space="preserve"> тривалість ХОЗЛ.</w:t>
      </w:r>
    </w:p>
    <w:p w:rsidR="005A450B" w:rsidRPr="00156441" w:rsidRDefault="005A450B" w:rsidP="003E39B2">
      <w:pPr>
        <w:spacing w:after="0" w:line="360" w:lineRule="auto"/>
        <w:ind w:firstLine="709"/>
        <w:contextualSpacing/>
        <w:jc w:val="both"/>
        <w:rPr>
          <w:rFonts w:ascii="Times New Roman" w:hAnsi="Times New Roman" w:cs="Times New Roman"/>
          <w:sz w:val="28"/>
          <w:szCs w:val="28"/>
        </w:rPr>
      </w:pPr>
    </w:p>
    <w:p w:rsidR="00983656" w:rsidRDefault="00983656" w:rsidP="009D3F92">
      <w:pPr>
        <w:spacing w:after="0" w:line="360" w:lineRule="auto"/>
        <w:ind w:firstLine="708"/>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На рис. </w:t>
      </w:r>
      <w:r w:rsidR="000042EB" w:rsidRPr="00156441">
        <w:rPr>
          <w:rFonts w:ascii="Times New Roman" w:hAnsi="Times New Roman" w:cs="Times New Roman"/>
          <w:sz w:val="28"/>
          <w:szCs w:val="28"/>
        </w:rPr>
        <w:t>32</w:t>
      </w:r>
      <w:r w:rsidRPr="00156441">
        <w:rPr>
          <w:rFonts w:ascii="Times New Roman" w:hAnsi="Times New Roman" w:cs="Times New Roman"/>
          <w:sz w:val="28"/>
          <w:szCs w:val="28"/>
        </w:rPr>
        <w:t xml:space="preserve"> представлені діаграми розподілу по кластерам кількості пацієнтів з різними стадіями ХОЗЛ в поєднанні з ГХ і без неї. Як бачимо, 1-й кластер включає в себе більшу кількість хворих з важкими стадіями ХОЗЛ та супутньою ГХ (n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14) в порівнянні з 2-м кластером (n</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9).</w:t>
      </w:r>
    </w:p>
    <w:p w:rsidR="002A7D11" w:rsidRPr="00156441" w:rsidRDefault="002A7D11" w:rsidP="002A7D11">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На підставі отриманої кластерної структури для прогнозування ступеня тяжкості стану хворих з ХОЗЛ і ГХ можуть бути використані різні багатовимірні статистичні методи: дискримінантний аналіз[</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_Ref502743439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308</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метод дерев класифікації [</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_Ref502743454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309</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],нейронні мережі</w:t>
      </w:r>
      <w:r>
        <w:rPr>
          <w:rFonts w:ascii="Times New Roman" w:hAnsi="Times New Roman" w:cs="Times New Roman"/>
          <w:sz w:val="28"/>
          <w:szCs w:val="28"/>
        </w:rPr>
        <w:t xml:space="preserve"> </w:t>
      </w:r>
      <w:r w:rsidRPr="00156441">
        <w:rPr>
          <w:rFonts w:ascii="Times New Roman" w:hAnsi="Times New Roman" w:cs="Times New Roman"/>
          <w:sz w:val="28"/>
          <w:szCs w:val="28"/>
        </w:rPr>
        <w:t>[</w:t>
      </w:r>
      <w:r w:rsidRPr="00156441">
        <w:rPr>
          <w:rFonts w:ascii="Times New Roman" w:hAnsi="Times New Roman" w:cs="Times New Roman"/>
          <w:sz w:val="28"/>
          <w:szCs w:val="28"/>
        </w:rPr>
        <w:fldChar w:fldCharType="begin"/>
      </w:r>
      <w:r w:rsidRPr="00156441">
        <w:rPr>
          <w:rFonts w:ascii="Times New Roman" w:hAnsi="Times New Roman" w:cs="Times New Roman"/>
          <w:sz w:val="28"/>
          <w:szCs w:val="28"/>
        </w:rPr>
        <w:instrText xml:space="preserve"> REF _Ref502743478 \r \h  \* MERGEFORMAT </w:instrText>
      </w:r>
      <w:r w:rsidRPr="00156441">
        <w:rPr>
          <w:rFonts w:ascii="Times New Roman" w:hAnsi="Times New Roman" w:cs="Times New Roman"/>
          <w:sz w:val="28"/>
          <w:szCs w:val="28"/>
        </w:rPr>
      </w:r>
      <w:r w:rsidRPr="00156441">
        <w:rPr>
          <w:rFonts w:ascii="Times New Roman" w:hAnsi="Times New Roman" w:cs="Times New Roman"/>
          <w:sz w:val="28"/>
          <w:szCs w:val="28"/>
        </w:rPr>
        <w:fldChar w:fldCharType="separate"/>
      </w:r>
      <w:r w:rsidR="001C0081">
        <w:rPr>
          <w:rFonts w:ascii="Times New Roman" w:hAnsi="Times New Roman" w:cs="Times New Roman"/>
          <w:sz w:val="28"/>
          <w:szCs w:val="28"/>
        </w:rPr>
        <w:t>311</w:t>
      </w:r>
      <w:r w:rsidRPr="00156441">
        <w:rPr>
          <w:rFonts w:ascii="Times New Roman" w:hAnsi="Times New Roman" w:cs="Times New Roman"/>
          <w:sz w:val="28"/>
          <w:szCs w:val="28"/>
        </w:rPr>
        <w:fldChar w:fldCharType="end"/>
      </w:r>
      <w:r w:rsidRPr="00156441">
        <w:rPr>
          <w:rFonts w:ascii="Times New Roman" w:hAnsi="Times New Roman" w:cs="Times New Roman"/>
          <w:sz w:val="28"/>
          <w:szCs w:val="28"/>
        </w:rPr>
        <w:t xml:space="preserve">] та інші. В даному випадку, беручи до уваги числовий </w:t>
      </w:r>
      <w:r w:rsidRPr="00156441">
        <w:rPr>
          <w:rFonts w:ascii="Times New Roman" w:hAnsi="Times New Roman" w:cs="Times New Roman"/>
          <w:sz w:val="28"/>
          <w:szCs w:val="28"/>
        </w:rPr>
        <w:lastRenderedPageBreak/>
        <w:t>характер показників і їх закон розподілу, доцільним є використання саме дискримінантного аналізу, оскільки він є найбільш точним і формалізованим.</w:t>
      </w:r>
    </w:p>
    <w:p w:rsidR="002A7D11" w:rsidRPr="00156441" w:rsidRDefault="002A7D11" w:rsidP="002A7D11">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Всі процедури дискримінантного аналізу зводяться до визначення дискримінантних змінних, що є найбільш інформативними для задач класифікації, а також побудови набору канонічних дискримінантних і класифікаційних функцій для подальшого їх аналізу.</w:t>
      </w:r>
    </w:p>
    <w:p w:rsidR="002A7D11" w:rsidRPr="00156441" w:rsidRDefault="002A7D11" w:rsidP="009D3F92">
      <w:pPr>
        <w:spacing w:after="0" w:line="360" w:lineRule="auto"/>
        <w:ind w:firstLine="708"/>
        <w:contextualSpacing/>
        <w:jc w:val="both"/>
        <w:rPr>
          <w:rFonts w:ascii="Times New Roman" w:hAnsi="Times New Roman" w:cs="Times New Roman"/>
          <w:sz w:val="28"/>
          <w:szCs w:val="28"/>
        </w:rPr>
      </w:pPr>
    </w:p>
    <w:p w:rsidR="00983656" w:rsidRPr="00156441" w:rsidRDefault="00983656" w:rsidP="002E755E">
      <w:pPr>
        <w:spacing w:line="360" w:lineRule="auto"/>
        <w:contextualSpacing/>
        <w:jc w:val="center"/>
        <w:rPr>
          <w:rFonts w:ascii="Times New Roman" w:hAnsi="Times New Roman" w:cs="Times New Roman"/>
          <w:sz w:val="28"/>
          <w:szCs w:val="28"/>
        </w:rPr>
      </w:pPr>
      <w:r w:rsidRPr="00156441">
        <w:rPr>
          <w:rFonts w:ascii="Times New Roman" w:hAnsi="Times New Roman" w:cs="Times New Roman"/>
          <w:noProof/>
          <w:sz w:val="28"/>
          <w:szCs w:val="28"/>
          <w:lang w:val="ru-RU" w:eastAsia="ru-RU"/>
        </w:rPr>
        <w:drawing>
          <wp:inline distT="0" distB="0" distL="0" distR="0" wp14:anchorId="36D51E8F" wp14:editId="290231C3">
            <wp:extent cx="6075766" cy="6192609"/>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01485" cy="6218822"/>
                    </a:xfrm>
                    <a:prstGeom prst="rect">
                      <a:avLst/>
                    </a:prstGeom>
                    <a:noFill/>
                    <a:ln>
                      <a:noFill/>
                    </a:ln>
                  </pic:spPr>
                </pic:pic>
              </a:graphicData>
            </a:graphic>
          </wp:inline>
        </w:drawing>
      </w:r>
    </w:p>
    <w:p w:rsidR="00983656" w:rsidRPr="00156441" w:rsidRDefault="000042EB" w:rsidP="009D3F92">
      <w:pPr>
        <w:spacing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Рис. 32</w:t>
      </w:r>
      <w:r w:rsidR="00983656" w:rsidRPr="00156441">
        <w:rPr>
          <w:rFonts w:ascii="Times New Roman" w:hAnsi="Times New Roman" w:cs="Times New Roman"/>
          <w:sz w:val="28"/>
          <w:szCs w:val="28"/>
        </w:rPr>
        <w:t>. Діаграма розподілу по кластерам хворих на ХОЗЛ у поєднанні з ГХ і без неї.</w:t>
      </w:r>
    </w:p>
    <w:p w:rsidR="00983656" w:rsidRPr="00156441" w:rsidRDefault="00983656" w:rsidP="009D3F92">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lastRenderedPageBreak/>
        <w:t>Відбір дискримінантних змінних з 25 вхідних стандартизованих показників, отриманих на етапі кластерного аналізу, проходив покроково методом виключення змінних відповідно до їх рівнем толерантності (міра надмірності змінних для класифікації).</w:t>
      </w:r>
    </w:p>
    <w:p w:rsidR="00983656" w:rsidRDefault="00983656" w:rsidP="009D3F92">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Класифікація тяжкості стану будь-якого хворого з ХОЗЛ проводилася на підставі класифікаційної функції для цього хворого. Хворий ставився до того кластеру (групі тяжкості стану), для якого чисельне значення класифікаційної функції максимально. Класифікаційні функції обчислювалися за формулами:</w:t>
      </w:r>
    </w:p>
    <w:p w:rsidR="002A7D11" w:rsidRPr="00156441" w:rsidRDefault="002A7D11" w:rsidP="009D3F92">
      <w:pPr>
        <w:spacing w:after="0" w:line="360" w:lineRule="auto"/>
        <w:ind w:firstLine="709"/>
        <w:contextualSpacing/>
        <w:jc w:val="both"/>
        <w:rPr>
          <w:rFonts w:ascii="Times New Roman" w:hAnsi="Times New Roman" w:cs="Times New Roman"/>
          <w:sz w:val="28"/>
          <w:szCs w:val="28"/>
        </w:rPr>
      </w:pPr>
    </w:p>
    <w:p w:rsidR="00983656" w:rsidRDefault="00983656" w:rsidP="000042EB">
      <w:pPr>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Y</w:t>
      </w:r>
      <w:r w:rsidRPr="00156441">
        <w:rPr>
          <w:rFonts w:ascii="Times New Roman" w:hAnsi="Times New Roman" w:cs="Times New Roman"/>
          <w:sz w:val="28"/>
          <w:szCs w:val="28"/>
          <w:vertAlign w:val="subscript"/>
        </w:rPr>
        <w:t>1кластер</w:t>
      </w:r>
      <w:r w:rsidR="000042EB" w:rsidRPr="00156441">
        <w:rPr>
          <w:rFonts w:ascii="Times New Roman" w:hAnsi="Times New Roman" w:cs="Times New Roman"/>
          <w:sz w:val="28"/>
          <w:szCs w:val="28"/>
        </w:rPr>
        <w:t>=</w:t>
      </w:r>
      <w:r w:rsidR="006344C2" w:rsidRPr="00156441">
        <w:rPr>
          <w:rFonts w:ascii="Times New Roman" w:hAnsi="Times New Roman" w:cs="Times New Roman"/>
          <w:sz w:val="28"/>
          <w:szCs w:val="28"/>
        </w:rPr>
        <w:t>113,32+1,223</w:t>
      </w:r>
      <w:r w:rsidR="00BE49BD" w:rsidRPr="00156441">
        <w:rPr>
          <w:rFonts w:ascii="Times New Roman" w:hAnsi="Times New Roman" w:cs="Times New Roman"/>
          <w:sz w:val="28"/>
          <w:szCs w:val="28"/>
        </w:rPr>
        <w:t>×</w:t>
      </w:r>
      <w:r w:rsidR="006344C2" w:rsidRPr="00156441">
        <w:rPr>
          <w:rFonts w:ascii="Times New Roman" w:hAnsi="Times New Roman" w:cs="Times New Roman"/>
          <w:sz w:val="28"/>
          <w:szCs w:val="28"/>
        </w:rPr>
        <w:t>«Hb»</w:t>
      </w:r>
      <w:r w:rsidRPr="00156441">
        <w:rPr>
          <w:rFonts w:ascii="Times New Roman" w:hAnsi="Times New Roman" w:cs="Times New Roman"/>
          <w:sz w:val="28"/>
          <w:szCs w:val="28"/>
        </w:rPr>
        <w:t>+0,043</w:t>
      </w:r>
      <w:r w:rsidR="00BE49BD" w:rsidRPr="00156441">
        <w:rPr>
          <w:rFonts w:ascii="Times New Roman" w:hAnsi="Times New Roman" w:cs="Times New Roman"/>
          <w:sz w:val="28"/>
          <w:szCs w:val="28"/>
        </w:rPr>
        <w:t>×</w:t>
      </w:r>
      <w:r w:rsidRPr="00156441">
        <w:rPr>
          <w:rFonts w:ascii="Times New Roman" w:hAnsi="Times New Roman" w:cs="Times New Roman"/>
          <w:sz w:val="28"/>
          <w:szCs w:val="28"/>
        </w:rPr>
        <w:t>«ВЕФР»+3,18</w:t>
      </w:r>
      <w:r w:rsidR="00BE49BD" w:rsidRPr="00156441">
        <w:rPr>
          <w:rFonts w:ascii="Times New Roman" w:hAnsi="Times New Roman" w:cs="Times New Roman"/>
          <w:sz w:val="28"/>
          <w:szCs w:val="28"/>
        </w:rPr>
        <w:t>×</w:t>
      </w:r>
      <w:r w:rsidRPr="00156441">
        <w:rPr>
          <w:rFonts w:ascii="Times New Roman" w:hAnsi="Times New Roman" w:cs="Times New Roman"/>
          <w:sz w:val="28"/>
          <w:szCs w:val="28"/>
        </w:rPr>
        <w:t>«iNOS»+0,612</w:t>
      </w:r>
      <w:r w:rsidR="00BE49BD" w:rsidRPr="00156441">
        <w:rPr>
          <w:rFonts w:ascii="Times New Roman" w:hAnsi="Times New Roman" w:cs="Times New Roman"/>
          <w:sz w:val="28"/>
          <w:szCs w:val="28"/>
        </w:rPr>
        <w:t>×</w:t>
      </w:r>
      <w:r w:rsidRPr="00156441">
        <w:rPr>
          <w:rFonts w:ascii="Times New Roman" w:hAnsi="Times New Roman" w:cs="Times New Roman"/>
          <w:sz w:val="28"/>
          <w:szCs w:val="28"/>
        </w:rPr>
        <w:t>«NO</w:t>
      </w:r>
      <w:r w:rsidRPr="00156441">
        <w:rPr>
          <w:rFonts w:ascii="Times New Roman" w:hAnsi="Times New Roman" w:cs="Times New Roman"/>
          <w:sz w:val="28"/>
          <w:szCs w:val="28"/>
          <w:vertAlign w:val="subscript"/>
        </w:rPr>
        <w:t>2</w:t>
      </w:r>
      <w:r w:rsidRPr="00156441">
        <w:rPr>
          <w:rFonts w:ascii="Times New Roman" w:hAnsi="Times New Roman" w:cs="Times New Roman"/>
          <w:sz w:val="28"/>
          <w:szCs w:val="28"/>
        </w:rPr>
        <w:t>»</w:t>
      </w:r>
      <w:r w:rsidR="00BE49BD" w:rsidRPr="00156441">
        <w:rPr>
          <w:rFonts w:ascii="Times New Roman" w:hAnsi="Times New Roman" w:cs="Times New Roman"/>
          <w:sz w:val="28"/>
          <w:szCs w:val="28"/>
        </w:rPr>
        <w:t>+</w:t>
      </w:r>
      <w:r w:rsidR="000042EB" w:rsidRPr="00156441">
        <w:rPr>
          <w:rFonts w:ascii="Times New Roman" w:hAnsi="Times New Roman" w:cs="Times New Roman"/>
          <w:sz w:val="28"/>
          <w:szCs w:val="28"/>
        </w:rPr>
        <w:t xml:space="preserve"> </w:t>
      </w:r>
      <w:r w:rsidR="00BE49BD" w:rsidRPr="00156441">
        <w:rPr>
          <w:rFonts w:ascii="Times New Roman" w:hAnsi="Times New Roman" w:cs="Times New Roman"/>
          <w:sz w:val="28"/>
          <w:szCs w:val="28"/>
        </w:rPr>
        <w:t>2,38×«S-нітрозотіол»+</w:t>
      </w:r>
      <w:r w:rsidRPr="00156441">
        <w:rPr>
          <w:rFonts w:ascii="Times New Roman" w:hAnsi="Times New Roman" w:cs="Times New Roman"/>
          <w:sz w:val="28"/>
          <w:szCs w:val="28"/>
        </w:rPr>
        <w:t>0,043</w:t>
      </w:r>
      <w:r w:rsidR="00BE49BD" w:rsidRPr="00156441">
        <w:rPr>
          <w:rFonts w:ascii="Times New Roman" w:hAnsi="Times New Roman" w:cs="Times New Roman"/>
          <w:sz w:val="28"/>
          <w:szCs w:val="28"/>
        </w:rPr>
        <w:t>×</w:t>
      </w:r>
      <w:r w:rsidRPr="00156441">
        <w:rPr>
          <w:rFonts w:ascii="Times New Roman" w:hAnsi="Times New Roman" w:cs="Times New Roman"/>
          <w:sz w:val="28"/>
          <w:szCs w:val="28"/>
        </w:rPr>
        <w:t>«NO</w:t>
      </w:r>
      <w:r w:rsidRPr="00156441">
        <w:rPr>
          <w:rFonts w:ascii="Times New Roman" w:hAnsi="Times New Roman" w:cs="Times New Roman"/>
          <w:sz w:val="28"/>
          <w:szCs w:val="28"/>
          <w:vertAlign w:val="subscript"/>
        </w:rPr>
        <w:t>3</w:t>
      </w:r>
      <w:r w:rsidRPr="00156441">
        <w:rPr>
          <w:rFonts w:ascii="Times New Roman" w:hAnsi="Times New Roman" w:cs="Times New Roman"/>
          <w:sz w:val="28"/>
          <w:szCs w:val="28"/>
        </w:rPr>
        <w:t>»;</w:t>
      </w:r>
    </w:p>
    <w:p w:rsidR="002A7D11" w:rsidRPr="00156441" w:rsidRDefault="002A7D11" w:rsidP="000042EB">
      <w:pPr>
        <w:spacing w:after="0" w:line="360" w:lineRule="auto"/>
        <w:contextualSpacing/>
        <w:jc w:val="center"/>
        <w:rPr>
          <w:rFonts w:ascii="Times New Roman" w:hAnsi="Times New Roman" w:cs="Times New Roman"/>
          <w:sz w:val="28"/>
          <w:szCs w:val="28"/>
        </w:rPr>
      </w:pPr>
    </w:p>
    <w:p w:rsidR="00983656" w:rsidRDefault="00983656" w:rsidP="000042EB">
      <w:pPr>
        <w:spacing w:after="0"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Y</w:t>
      </w:r>
      <w:r w:rsidR="000042EB" w:rsidRPr="00156441">
        <w:rPr>
          <w:rFonts w:ascii="Times New Roman" w:hAnsi="Times New Roman" w:cs="Times New Roman"/>
          <w:sz w:val="28"/>
          <w:szCs w:val="28"/>
          <w:vertAlign w:val="subscript"/>
        </w:rPr>
        <w:t>2</w:t>
      </w:r>
      <w:r w:rsidRPr="00156441">
        <w:rPr>
          <w:rFonts w:ascii="Times New Roman" w:hAnsi="Times New Roman" w:cs="Times New Roman"/>
          <w:sz w:val="28"/>
          <w:szCs w:val="28"/>
          <w:vertAlign w:val="subscript"/>
        </w:rPr>
        <w:t>кластер</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123,26</w:t>
      </w:r>
      <w:r w:rsidR="00BE49BD" w:rsidRPr="00156441">
        <w:rPr>
          <w:rFonts w:ascii="Times New Roman" w:hAnsi="Times New Roman" w:cs="Times New Roman"/>
          <w:sz w:val="28"/>
          <w:szCs w:val="28"/>
        </w:rPr>
        <w:t>+1,27×«Hb»+0,032×«АсТ»</w:t>
      </w:r>
      <w:r w:rsidRPr="00156441">
        <w:rPr>
          <w:rFonts w:ascii="Times New Roman" w:hAnsi="Times New Roman" w:cs="Times New Roman"/>
          <w:sz w:val="28"/>
          <w:szCs w:val="28"/>
        </w:rPr>
        <w:t>+0,05</w:t>
      </w:r>
      <w:r w:rsidR="000042EB" w:rsidRPr="00156441">
        <w:rPr>
          <w:rFonts w:ascii="Times New Roman" w:hAnsi="Times New Roman" w:cs="Times New Roman"/>
          <w:sz w:val="28"/>
          <w:szCs w:val="28"/>
        </w:rPr>
        <w:t>×«ВЕФР»</w:t>
      </w:r>
      <w:r w:rsidR="00BE49BD" w:rsidRPr="00156441">
        <w:rPr>
          <w:rFonts w:ascii="Times New Roman" w:hAnsi="Times New Roman" w:cs="Times New Roman"/>
          <w:sz w:val="28"/>
          <w:szCs w:val="28"/>
        </w:rPr>
        <w:t>+3,6×</w:t>
      </w:r>
      <w:r w:rsidRPr="00156441">
        <w:rPr>
          <w:rFonts w:ascii="Times New Roman" w:hAnsi="Times New Roman" w:cs="Times New Roman"/>
          <w:sz w:val="28"/>
          <w:szCs w:val="28"/>
        </w:rPr>
        <w:t>«iNOS»</w:t>
      </w:r>
      <w:r w:rsidR="00BE49BD" w:rsidRPr="00156441">
        <w:rPr>
          <w:rFonts w:ascii="Times New Roman" w:hAnsi="Times New Roman" w:cs="Times New Roman"/>
          <w:sz w:val="28"/>
          <w:szCs w:val="28"/>
        </w:rPr>
        <w:t>+0,537×</w:t>
      </w:r>
      <w:r w:rsidRPr="00156441">
        <w:rPr>
          <w:rFonts w:ascii="Times New Roman" w:hAnsi="Times New Roman" w:cs="Times New Roman"/>
          <w:sz w:val="28"/>
          <w:szCs w:val="28"/>
        </w:rPr>
        <w:t>«NO</w:t>
      </w:r>
      <w:r w:rsidRPr="00156441">
        <w:rPr>
          <w:rFonts w:ascii="Times New Roman" w:hAnsi="Times New Roman" w:cs="Times New Roman"/>
          <w:sz w:val="28"/>
          <w:szCs w:val="28"/>
          <w:vertAlign w:val="subscript"/>
        </w:rPr>
        <w:t>2</w:t>
      </w:r>
      <w:r w:rsidR="00BE49BD" w:rsidRPr="00156441">
        <w:rPr>
          <w:rFonts w:ascii="Times New Roman" w:hAnsi="Times New Roman" w:cs="Times New Roman"/>
          <w:sz w:val="28"/>
          <w:szCs w:val="28"/>
        </w:rPr>
        <w:t>+4×«S-нітрозотіол»+0,008×</w:t>
      </w:r>
      <w:r w:rsidRPr="00156441">
        <w:rPr>
          <w:rFonts w:ascii="Times New Roman" w:hAnsi="Times New Roman" w:cs="Times New Roman"/>
          <w:sz w:val="28"/>
          <w:szCs w:val="28"/>
        </w:rPr>
        <w:t>«NO</w:t>
      </w:r>
      <w:r w:rsidRPr="00156441">
        <w:rPr>
          <w:rFonts w:ascii="Times New Roman" w:hAnsi="Times New Roman" w:cs="Times New Roman"/>
          <w:sz w:val="28"/>
          <w:szCs w:val="28"/>
          <w:vertAlign w:val="subscript"/>
        </w:rPr>
        <w:t>3</w:t>
      </w:r>
      <w:r w:rsidRPr="00156441">
        <w:rPr>
          <w:rFonts w:ascii="Times New Roman" w:hAnsi="Times New Roman" w:cs="Times New Roman"/>
          <w:sz w:val="28"/>
          <w:szCs w:val="28"/>
        </w:rPr>
        <w:t>»;</w:t>
      </w:r>
    </w:p>
    <w:p w:rsidR="00983656" w:rsidRDefault="00983656" w:rsidP="003E39B2">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де Hb </w:t>
      </w:r>
      <w:r w:rsidR="004D581D" w:rsidRPr="00156441">
        <w:rPr>
          <w:rFonts w:ascii="Times New Roman" w:hAnsi="Times New Roman" w:cs="Times New Roman"/>
          <w:sz w:val="28"/>
          <w:szCs w:val="28"/>
        </w:rPr>
        <w:t>—</w:t>
      </w:r>
      <w:r w:rsidRPr="00156441">
        <w:rPr>
          <w:rFonts w:ascii="Times New Roman" w:hAnsi="Times New Roman" w:cs="Times New Roman"/>
          <w:sz w:val="28"/>
          <w:szCs w:val="28"/>
        </w:rPr>
        <w:t xml:space="preserve"> концентрація гемоглобіну в крові; ВЕФР </w:t>
      </w:r>
      <w:r w:rsidR="004D581D" w:rsidRPr="00156441">
        <w:rPr>
          <w:rFonts w:ascii="Times New Roman" w:hAnsi="Times New Roman" w:cs="Times New Roman"/>
          <w:sz w:val="28"/>
          <w:szCs w:val="28"/>
        </w:rPr>
        <w:t>—</w:t>
      </w:r>
      <w:r w:rsidRPr="00156441">
        <w:rPr>
          <w:rFonts w:ascii="Times New Roman" w:hAnsi="Times New Roman" w:cs="Times New Roman"/>
          <w:sz w:val="28"/>
          <w:szCs w:val="28"/>
        </w:rPr>
        <w:t xml:space="preserve"> величина васкулоендотеліального фактор</w:t>
      </w:r>
      <w:r w:rsidR="004D581D" w:rsidRPr="00156441">
        <w:rPr>
          <w:rFonts w:ascii="Times New Roman" w:hAnsi="Times New Roman" w:cs="Times New Roman"/>
          <w:sz w:val="28"/>
          <w:szCs w:val="28"/>
        </w:rPr>
        <w:t>у</w:t>
      </w:r>
      <w:r w:rsidRPr="00156441">
        <w:rPr>
          <w:rFonts w:ascii="Times New Roman" w:hAnsi="Times New Roman" w:cs="Times New Roman"/>
          <w:sz w:val="28"/>
          <w:szCs w:val="28"/>
        </w:rPr>
        <w:t xml:space="preserve"> росту; iNOS </w:t>
      </w:r>
      <w:r w:rsidR="004D581D" w:rsidRPr="00156441">
        <w:rPr>
          <w:rFonts w:ascii="Times New Roman" w:hAnsi="Times New Roman" w:cs="Times New Roman"/>
          <w:sz w:val="28"/>
          <w:szCs w:val="28"/>
        </w:rPr>
        <w:t>—</w:t>
      </w:r>
      <w:r w:rsidR="002601BC" w:rsidRPr="00156441">
        <w:rPr>
          <w:rFonts w:ascii="Times New Roman" w:hAnsi="Times New Roman" w:cs="Times New Roman"/>
          <w:sz w:val="28"/>
          <w:szCs w:val="28"/>
        </w:rPr>
        <w:t xml:space="preserve"> активність iNOS; NO</w:t>
      </w:r>
      <w:r w:rsidR="002601BC" w:rsidRPr="00156441">
        <w:rPr>
          <w:rFonts w:ascii="Times New Roman" w:hAnsi="Times New Roman" w:cs="Times New Roman"/>
          <w:sz w:val="28"/>
          <w:szCs w:val="28"/>
          <w:vertAlign w:val="subscript"/>
        </w:rPr>
        <w:t>2</w:t>
      </w:r>
      <w:r w:rsidR="002601BC" w:rsidRPr="00156441">
        <w:rPr>
          <w:rFonts w:ascii="Times New Roman" w:hAnsi="Times New Roman" w:cs="Times New Roman"/>
          <w:sz w:val="28"/>
          <w:szCs w:val="28"/>
        </w:rPr>
        <w:t>, NO</w:t>
      </w:r>
      <w:r w:rsidR="002601BC" w:rsidRPr="00156441">
        <w:rPr>
          <w:rFonts w:ascii="Times New Roman" w:hAnsi="Times New Roman" w:cs="Times New Roman"/>
          <w:sz w:val="28"/>
          <w:szCs w:val="28"/>
          <w:vertAlign w:val="subscript"/>
        </w:rPr>
        <w:t>3</w:t>
      </w:r>
      <w:r w:rsidRPr="00156441">
        <w:rPr>
          <w:rFonts w:ascii="Times New Roman" w:hAnsi="Times New Roman" w:cs="Times New Roman"/>
          <w:sz w:val="28"/>
          <w:szCs w:val="28"/>
        </w:rPr>
        <w:t xml:space="preserve">, S-нітрозотіолів, АсТ </w:t>
      </w:r>
      <w:r w:rsidR="004D581D" w:rsidRPr="00156441">
        <w:rPr>
          <w:rFonts w:ascii="Times New Roman" w:hAnsi="Times New Roman" w:cs="Times New Roman"/>
          <w:sz w:val="28"/>
          <w:szCs w:val="28"/>
        </w:rPr>
        <w:t>—</w:t>
      </w:r>
      <w:r w:rsidRPr="00156441">
        <w:rPr>
          <w:rFonts w:ascii="Times New Roman" w:hAnsi="Times New Roman" w:cs="Times New Roman"/>
          <w:sz w:val="28"/>
          <w:szCs w:val="28"/>
        </w:rPr>
        <w:t xml:space="preserve"> концентрації.</w:t>
      </w:r>
    </w:p>
    <w:p w:rsidR="002A7D11" w:rsidRPr="00156441" w:rsidRDefault="002A7D11" w:rsidP="003E39B2">
      <w:pPr>
        <w:spacing w:after="0" w:line="360" w:lineRule="auto"/>
        <w:ind w:firstLine="709"/>
        <w:contextualSpacing/>
        <w:jc w:val="both"/>
        <w:rPr>
          <w:rFonts w:ascii="Times New Roman" w:hAnsi="Times New Roman" w:cs="Times New Roman"/>
          <w:sz w:val="28"/>
          <w:szCs w:val="28"/>
        </w:rPr>
      </w:pPr>
    </w:p>
    <w:p w:rsidR="00983656" w:rsidRPr="00156441" w:rsidRDefault="00983656" w:rsidP="003E39B2">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Про точність дискримінантної моделі та її ефективність можна судити за результатами апостеріорної класифікації. Тобто передбачається, що ступінь тяжкості захворювання нам не відома, і ми намагаємося її спрогнозувати на основі отриманих класифікаційних функцій. Результати такого аналізу в цілому по всій вибірці і окремо по групах дають дуже високу точність класифікації: по всій вибірці (n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98) - 83,3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по 1-й групі (1-й кластер, n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44) - 81,8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по 2-й групі (2-й кластер, n </w:t>
      </w:r>
      <w:r w:rsidR="004E702C" w:rsidRPr="00156441">
        <w:rPr>
          <w:rFonts w:ascii="Times New Roman" w:hAnsi="Times New Roman" w:cs="Times New Roman"/>
          <w:sz w:val="28"/>
          <w:szCs w:val="28"/>
        </w:rPr>
        <w:t>=</w:t>
      </w:r>
      <w:r w:rsidRPr="00156441">
        <w:rPr>
          <w:rFonts w:ascii="Times New Roman" w:hAnsi="Times New Roman" w:cs="Times New Roman"/>
          <w:sz w:val="28"/>
          <w:szCs w:val="28"/>
        </w:rPr>
        <w:t>54) - 85,9</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w:t>
      </w:r>
    </w:p>
    <w:p w:rsidR="00983656" w:rsidRPr="00156441" w:rsidRDefault="00983656" w:rsidP="002D19D0">
      <w:pPr>
        <w:spacing w:line="360" w:lineRule="auto"/>
        <w:ind w:firstLine="708"/>
        <w:contextualSpacing/>
        <w:jc w:val="center"/>
        <w:rPr>
          <w:rFonts w:ascii="Times New Roman" w:hAnsi="Times New Roman" w:cs="Times New Roman"/>
          <w:sz w:val="28"/>
          <w:szCs w:val="28"/>
        </w:rPr>
      </w:pPr>
      <w:r w:rsidRPr="00156441">
        <w:rPr>
          <w:rFonts w:ascii="Times New Roman" w:hAnsi="Times New Roman" w:cs="Times New Roman"/>
          <w:sz w:val="28"/>
          <w:szCs w:val="28"/>
        </w:rPr>
        <w:t>Матриця класифікації по 2 кластерам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2819"/>
        <w:gridCol w:w="1620"/>
        <w:gridCol w:w="1903"/>
      </w:tblGrid>
      <w:tr w:rsidR="00156441" w:rsidRPr="00156441" w:rsidTr="00C216F5">
        <w:trPr>
          <w:jc w:val="center"/>
        </w:trPr>
        <w:tc>
          <w:tcPr>
            <w:tcW w:w="3071" w:type="dxa"/>
            <w:vAlign w:val="bottom"/>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Група</w:t>
            </w:r>
          </w:p>
        </w:tc>
        <w:tc>
          <w:tcPr>
            <w:tcW w:w="6342" w:type="dxa"/>
            <w:gridSpan w:val="3"/>
          </w:tcPr>
          <w:p w:rsidR="00983656" w:rsidRPr="00156441" w:rsidRDefault="00983656" w:rsidP="00C216F5">
            <w:pPr>
              <w:spacing w:after="0" w:line="360" w:lineRule="auto"/>
              <w:ind w:firstLine="45"/>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Матриця класифікації</w:t>
            </w:r>
          </w:p>
          <w:p w:rsidR="00983656" w:rsidRPr="00156441" w:rsidRDefault="00983656" w:rsidP="00C216F5">
            <w:pPr>
              <w:spacing w:after="0" w:line="360" w:lineRule="auto"/>
              <w:ind w:firstLine="45"/>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Рядки: спостережувані кластери</w:t>
            </w:r>
          </w:p>
          <w:p w:rsidR="00983656" w:rsidRPr="00156441" w:rsidRDefault="00983656" w:rsidP="00C216F5">
            <w:pPr>
              <w:spacing w:after="0" w:line="360" w:lineRule="auto"/>
              <w:ind w:firstLine="45"/>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Стовпці: передбачені кластери</w:t>
            </w:r>
          </w:p>
        </w:tc>
      </w:tr>
      <w:tr w:rsidR="002A7D11" w:rsidRPr="00156441" w:rsidTr="009C556E">
        <w:trPr>
          <w:jc w:val="center"/>
        </w:trPr>
        <w:tc>
          <w:tcPr>
            <w:tcW w:w="9413" w:type="dxa"/>
            <w:gridSpan w:val="4"/>
            <w:vAlign w:val="bottom"/>
          </w:tcPr>
          <w:p w:rsidR="002A7D11" w:rsidRPr="002A7D11" w:rsidRDefault="002A7D11" w:rsidP="001611A8">
            <w:pPr>
              <w:spacing w:after="0" w:line="360" w:lineRule="auto"/>
              <w:ind w:firstLine="45"/>
              <w:contextualSpacing/>
              <w:jc w:val="right"/>
              <w:rPr>
                <w:rFonts w:ascii="Times New Roman" w:eastAsia="Times New Roman" w:hAnsi="Times New Roman" w:cs="Times New Roman"/>
                <w:i/>
                <w:sz w:val="28"/>
                <w:szCs w:val="28"/>
                <w:lang w:eastAsia="ru-RU"/>
              </w:rPr>
            </w:pPr>
            <w:r w:rsidRPr="002A7D11">
              <w:rPr>
                <w:rFonts w:ascii="Times New Roman" w:eastAsia="Times New Roman" w:hAnsi="Times New Roman" w:cs="Times New Roman"/>
                <w:i/>
                <w:sz w:val="28"/>
                <w:szCs w:val="28"/>
                <w:lang w:eastAsia="ru-RU"/>
              </w:rPr>
              <w:lastRenderedPageBreak/>
              <w:t>Продовження таблиці</w:t>
            </w:r>
            <w:r w:rsidR="001611A8">
              <w:rPr>
                <w:rFonts w:ascii="Times New Roman" w:eastAsia="Times New Roman" w:hAnsi="Times New Roman" w:cs="Times New Roman"/>
                <w:i/>
                <w:sz w:val="28"/>
                <w:szCs w:val="28"/>
                <w:lang w:eastAsia="ru-RU"/>
              </w:rPr>
              <w:t xml:space="preserve"> матриці класифікації</w:t>
            </w:r>
          </w:p>
        </w:tc>
      </w:tr>
      <w:tr w:rsidR="00156441" w:rsidRPr="00156441" w:rsidTr="00C216F5">
        <w:trPr>
          <w:jc w:val="center"/>
        </w:trPr>
        <w:tc>
          <w:tcPr>
            <w:tcW w:w="3071"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p>
        </w:tc>
        <w:tc>
          <w:tcPr>
            <w:tcW w:w="2819"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Відсоток правильних,</w:t>
            </w:r>
            <w:r w:rsidR="00C70355" w:rsidRPr="00156441">
              <w:rPr>
                <w:rFonts w:ascii="Times New Roman" w:eastAsia="Times New Roman" w:hAnsi="Times New Roman" w:cs="Times New Roman"/>
                <w:sz w:val="28"/>
                <w:szCs w:val="28"/>
                <w:lang w:eastAsia="ru-RU"/>
              </w:rPr>
              <w:t> %</w:t>
            </w:r>
          </w:p>
        </w:tc>
        <w:tc>
          <w:tcPr>
            <w:tcW w:w="1620"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Кластер 1</w:t>
            </w:r>
          </w:p>
        </w:tc>
        <w:tc>
          <w:tcPr>
            <w:tcW w:w="1903"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Кластер 2</w:t>
            </w:r>
          </w:p>
        </w:tc>
      </w:tr>
      <w:tr w:rsidR="00156441" w:rsidRPr="00156441" w:rsidTr="00C216F5">
        <w:trPr>
          <w:trHeight w:val="275"/>
          <w:jc w:val="center"/>
        </w:trPr>
        <w:tc>
          <w:tcPr>
            <w:tcW w:w="3071"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Кластер 1</w:t>
            </w:r>
          </w:p>
        </w:tc>
        <w:tc>
          <w:tcPr>
            <w:tcW w:w="2819"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81,8</w:t>
            </w:r>
          </w:p>
        </w:tc>
        <w:tc>
          <w:tcPr>
            <w:tcW w:w="1620"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36</w:t>
            </w:r>
          </w:p>
        </w:tc>
        <w:tc>
          <w:tcPr>
            <w:tcW w:w="1903"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8</w:t>
            </w:r>
          </w:p>
        </w:tc>
      </w:tr>
      <w:tr w:rsidR="00156441" w:rsidRPr="00156441" w:rsidTr="00C216F5">
        <w:trPr>
          <w:jc w:val="center"/>
        </w:trPr>
        <w:tc>
          <w:tcPr>
            <w:tcW w:w="3071"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Кластер 2</w:t>
            </w:r>
          </w:p>
        </w:tc>
        <w:tc>
          <w:tcPr>
            <w:tcW w:w="2819"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85,9</w:t>
            </w:r>
          </w:p>
        </w:tc>
        <w:tc>
          <w:tcPr>
            <w:tcW w:w="1620"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8</w:t>
            </w:r>
          </w:p>
        </w:tc>
        <w:tc>
          <w:tcPr>
            <w:tcW w:w="1903"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46</w:t>
            </w:r>
          </w:p>
        </w:tc>
      </w:tr>
      <w:tr w:rsidR="00156441" w:rsidRPr="00156441" w:rsidTr="00C216F5">
        <w:trPr>
          <w:jc w:val="center"/>
        </w:trPr>
        <w:tc>
          <w:tcPr>
            <w:tcW w:w="3071"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Всього</w:t>
            </w:r>
          </w:p>
        </w:tc>
        <w:tc>
          <w:tcPr>
            <w:tcW w:w="2819"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83,7</w:t>
            </w:r>
          </w:p>
        </w:tc>
        <w:tc>
          <w:tcPr>
            <w:tcW w:w="1620"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44</w:t>
            </w:r>
          </w:p>
        </w:tc>
        <w:tc>
          <w:tcPr>
            <w:tcW w:w="1903" w:type="dxa"/>
          </w:tcPr>
          <w:p w:rsidR="00983656" w:rsidRPr="00156441" w:rsidRDefault="00983656" w:rsidP="00C216F5">
            <w:pPr>
              <w:spacing w:after="0" w:line="360" w:lineRule="auto"/>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54</w:t>
            </w:r>
          </w:p>
        </w:tc>
      </w:tr>
    </w:tbl>
    <w:p w:rsidR="00804F04" w:rsidRPr="00156441" w:rsidRDefault="00804F04" w:rsidP="006344C2">
      <w:pPr>
        <w:spacing w:after="0" w:line="360" w:lineRule="auto"/>
        <w:contextualSpacing/>
        <w:jc w:val="both"/>
        <w:rPr>
          <w:rFonts w:ascii="Times New Roman" w:eastAsia="Times New Roman" w:hAnsi="Times New Roman" w:cs="Times New Roman"/>
          <w:sz w:val="28"/>
          <w:szCs w:val="28"/>
          <w:lang w:eastAsia="ru-RU"/>
        </w:rPr>
      </w:pP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Узагальнення результатів дослідження, наведених у даному розділі роботи, дозволяє зробити наступні висновки.</w:t>
      </w:r>
    </w:p>
    <w:p w:rsidR="00732200" w:rsidRPr="00156441" w:rsidRDefault="00732200" w:rsidP="00732200">
      <w:pPr>
        <w:tabs>
          <w:tab w:val="left" w:pos="1643"/>
        </w:tabs>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1. </w:t>
      </w:r>
      <w:r w:rsidR="006344C2" w:rsidRPr="00156441">
        <w:rPr>
          <w:rFonts w:ascii="Times New Roman" w:eastAsia="Times New Roman" w:hAnsi="Times New Roman" w:cs="Times New Roman"/>
          <w:sz w:val="28"/>
          <w:szCs w:val="28"/>
          <w:lang w:eastAsia="ru-RU"/>
        </w:rPr>
        <w:t>У хворих з ХОЗЛ, поєднаним з ГХ, визначається зниження по відношенню до контролю і пацієнтів з ізольованим перебігом захворювання</w:t>
      </w:r>
      <w:r w:rsidR="009C6C87" w:rsidRPr="00156441">
        <w:rPr>
          <w:rFonts w:ascii="Times New Roman" w:eastAsia="Times New Roman" w:hAnsi="Times New Roman" w:cs="Times New Roman"/>
          <w:sz w:val="28"/>
          <w:szCs w:val="28"/>
          <w:lang w:eastAsia="ru-RU"/>
        </w:rPr>
        <w:t xml:space="preserve"> </w:t>
      </w:r>
      <w:r w:rsidR="006344C2" w:rsidRPr="00156441">
        <w:rPr>
          <w:rFonts w:ascii="Times New Roman" w:eastAsia="Times New Roman" w:hAnsi="Times New Roman" w:cs="Times New Roman"/>
          <w:sz w:val="28"/>
          <w:szCs w:val="28"/>
          <w:lang w:eastAsia="ru-RU"/>
        </w:rPr>
        <w:t>рівня плазмового вазоактивного інтестинального пептиду та підвищення</w:t>
      </w:r>
      <w:r w:rsidR="009C6C87" w:rsidRPr="00156441">
        <w:rPr>
          <w:rFonts w:ascii="Times New Roman" w:eastAsia="Times New Roman" w:hAnsi="Times New Roman" w:cs="Times New Roman"/>
          <w:sz w:val="28"/>
          <w:szCs w:val="28"/>
          <w:lang w:eastAsia="ru-RU"/>
        </w:rPr>
        <w:t xml:space="preserve"> </w:t>
      </w:r>
      <w:r w:rsidR="006344C2" w:rsidRPr="00156441">
        <w:rPr>
          <w:rFonts w:ascii="Times New Roman" w:eastAsia="Times New Roman" w:hAnsi="Times New Roman" w:cs="Times New Roman"/>
          <w:sz w:val="28"/>
          <w:szCs w:val="28"/>
          <w:lang w:eastAsia="ru-RU"/>
        </w:rPr>
        <w:t>рівня сироваткового васкулоендотеліального фактор</w:t>
      </w:r>
      <w:r w:rsidR="00C216F5" w:rsidRPr="00156441">
        <w:rPr>
          <w:rFonts w:ascii="Times New Roman" w:eastAsia="Times New Roman" w:hAnsi="Times New Roman" w:cs="Times New Roman"/>
          <w:sz w:val="28"/>
          <w:szCs w:val="28"/>
          <w:lang w:eastAsia="ru-RU"/>
        </w:rPr>
        <w:t>у</w:t>
      </w:r>
      <w:r w:rsidR="006344C2" w:rsidRPr="00156441">
        <w:rPr>
          <w:rFonts w:ascii="Times New Roman" w:eastAsia="Times New Roman" w:hAnsi="Times New Roman" w:cs="Times New Roman"/>
          <w:sz w:val="28"/>
          <w:szCs w:val="28"/>
          <w:lang w:eastAsia="ru-RU"/>
        </w:rPr>
        <w:t xml:space="preserve"> росту, що свідчить про важливу ланку патогенезу ХОЗЛ і роль у розвитку серцево-судинних захворювань.</w:t>
      </w:r>
    </w:p>
    <w:p w:rsidR="00732200" w:rsidRPr="00156441" w:rsidRDefault="00732200" w:rsidP="00732200">
      <w:pPr>
        <w:tabs>
          <w:tab w:val="left" w:pos="720"/>
          <w:tab w:val="left" w:pos="1643"/>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lang w:eastAsia="ru-RU"/>
        </w:rPr>
        <w:t xml:space="preserve">2. </w:t>
      </w:r>
      <w:r w:rsidRPr="00156441">
        <w:rPr>
          <w:rFonts w:ascii="Times New Roman" w:eastAsia="Times New Roman" w:hAnsi="Times New Roman" w:cs="Times New Roman"/>
          <w:sz w:val="28"/>
          <w:szCs w:val="28"/>
          <w:shd w:val="clear" w:color="auto" w:fill="FFFFFF"/>
          <w:lang w:eastAsia="ru-RU"/>
        </w:rPr>
        <w:t>У пацієнтів з ХОЗЛ, поєднаним з ГХ, спостерігаються зміни у функціонуванні протеолітичних систем крові</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ренін-ангіотензинової та калікреїн-кінінової, що підтверджується</w:t>
      </w:r>
      <w:r w:rsidR="009C6C87"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підвищенням активності у крові</w:t>
      </w:r>
      <w:r w:rsidR="009C6C87"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реніну</w:t>
      </w:r>
      <w:r w:rsidRPr="00156441">
        <w:rPr>
          <w:rFonts w:ascii="Times New Roman" w:eastAsia="Times New Roman" w:hAnsi="Times New Roman" w:cs="Times New Roman"/>
          <w:sz w:val="28"/>
          <w:szCs w:val="28"/>
          <w:lang w:eastAsia="ru-RU"/>
        </w:rPr>
        <w:t xml:space="preserve">, ангіотензинперетворювального ферменту, калікреїну, карбоксипептидази N, </w:t>
      </w:r>
      <w:r w:rsidRPr="00156441">
        <w:rPr>
          <w:rFonts w:ascii="Times New Roman" w:eastAsia="Times New Roman" w:hAnsi="Times New Roman" w:cs="Times New Roman"/>
          <w:sz w:val="28"/>
          <w:szCs w:val="28"/>
          <w:shd w:val="clear" w:color="auto" w:fill="FFFFFF"/>
          <w:lang w:eastAsia="ru-RU"/>
        </w:rPr>
        <w:t xml:space="preserve">вмісту </w:t>
      </w:r>
      <w:r w:rsidRPr="00156441">
        <w:rPr>
          <w:rFonts w:ascii="Times New Roman" w:eastAsia="Times New Roman" w:hAnsi="Times New Roman" w:cs="Times New Roman"/>
          <w:sz w:val="28"/>
          <w:szCs w:val="28"/>
          <w:lang w:eastAsia="ru-RU"/>
        </w:rPr>
        <w:t xml:space="preserve">калікреїногену, </w:t>
      </w:r>
      <w:r w:rsidRPr="00156441">
        <w:rPr>
          <w:rFonts w:ascii="Times New Roman" w:eastAsia="Times New Roman" w:hAnsi="Times New Roman" w:cs="Times New Roman"/>
          <w:sz w:val="28"/>
          <w:szCs w:val="28"/>
          <w:shd w:val="clear" w:color="auto" w:fill="FFFFFF"/>
          <w:lang w:eastAsia="ru-RU"/>
        </w:rPr>
        <w:t>альдостерону та вазопресину. Ріст артеріального тиску у пацієнтів основної групи, ймовірно, пов</w:t>
      </w:r>
      <w:r w:rsidR="00FC48A2" w:rsidRPr="00156441">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язаний з підвищенням активності АПФ, що має здатність руйнувати міцний вазодилятатор брадикінін та вивільнювати міцний вазоконстриктор ангіотензин II, через реалізацію ефектів якого формується стан хронічної активації ендотелію з наступним розвитком його дисфункції.</w:t>
      </w: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lang w:eastAsia="ru-RU"/>
        </w:rPr>
        <w:t>3. У хворих з ХОЗЛ, поєднаним з ГХ, спостерігається підвищення сироваткових катехоламінів</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дофаміну, норадреналіну, адреналіну, що</w:t>
      </w:r>
      <w:r w:rsidRPr="00156441">
        <w:rPr>
          <w:rFonts w:ascii="Times New Roman" w:eastAsia="Times New Roman" w:hAnsi="Times New Roman" w:cs="Times New Roman"/>
          <w:sz w:val="28"/>
          <w:szCs w:val="28"/>
          <w:shd w:val="clear" w:color="auto" w:fill="FFFFFF"/>
          <w:lang w:eastAsia="ru-RU"/>
        </w:rPr>
        <w:t xml:space="preserve"> свідчить про порушення метаболічних функцій легень та ролі симпатоадреналової системи у виникненні та прогресуванні артеріальної гіпертензії.</w:t>
      </w:r>
    </w:p>
    <w:p w:rsidR="006344C2"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4. </w:t>
      </w:r>
      <w:r w:rsidR="006344C2" w:rsidRPr="00156441">
        <w:rPr>
          <w:rFonts w:ascii="Times New Roman" w:eastAsia="Times New Roman" w:hAnsi="Times New Roman" w:cs="Times New Roman"/>
          <w:sz w:val="28"/>
          <w:szCs w:val="28"/>
          <w:lang w:eastAsia="ru-RU"/>
        </w:rPr>
        <w:t xml:space="preserve">У хворих на ХОЗЛ у сполученні з ГХ відбувається порушення синтезу оксиду азоту зі збільшенням рівня у крові нітритів/нітратів, S-нітрозотіолів, активності NOS (особливо індуцибельної ізоформи), що відображує, з одного боку, </w:t>
      </w:r>
      <w:r w:rsidR="006344C2" w:rsidRPr="00156441">
        <w:rPr>
          <w:rFonts w:ascii="Times New Roman" w:eastAsia="Times New Roman" w:hAnsi="Times New Roman" w:cs="Times New Roman"/>
          <w:sz w:val="28"/>
          <w:szCs w:val="28"/>
          <w:lang w:eastAsia="ru-RU"/>
        </w:rPr>
        <w:lastRenderedPageBreak/>
        <w:t>напруження компенсаторних реакцій ендотелію судин, а з іншого боку</w:t>
      </w:r>
      <w:r w:rsidR="00C33995" w:rsidRPr="00156441">
        <w:rPr>
          <w:rFonts w:ascii="Times New Roman" w:eastAsia="Times New Roman" w:hAnsi="Times New Roman" w:cs="Times New Roman"/>
          <w:sz w:val="28"/>
          <w:szCs w:val="28"/>
          <w:lang w:val="en-US" w:eastAsia="ru-RU"/>
        </w:rPr>
        <w:t> </w:t>
      </w:r>
      <w:r w:rsidR="009C6C87" w:rsidRPr="00156441">
        <w:rPr>
          <w:rFonts w:ascii="Times New Roman" w:eastAsia="Times New Roman" w:hAnsi="Times New Roman" w:cs="Times New Roman"/>
          <w:sz w:val="28"/>
          <w:szCs w:val="28"/>
          <w:lang w:eastAsia="ru-RU"/>
        </w:rPr>
        <w:t xml:space="preserve">— </w:t>
      </w:r>
      <w:r w:rsidR="006344C2" w:rsidRPr="00156441">
        <w:rPr>
          <w:rFonts w:ascii="Times New Roman" w:eastAsia="Times New Roman" w:hAnsi="Times New Roman" w:cs="Times New Roman"/>
          <w:sz w:val="28"/>
          <w:szCs w:val="28"/>
          <w:lang w:eastAsia="ru-RU"/>
        </w:rPr>
        <w:t>участь у реалізації оксидативного стресу. Активація синтезу оксиду азоту при ХОЗЛ у сполученні з ГХ в умовах оксидативного стресу може призвести до прогресування цієї коморбідної патології.</w:t>
      </w: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5.</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У хворих на ХОЗЛ у сполученні з ГХ порушується баланс біогенних елементів, що підтверджується підвищенням вище фізіологічної норми у переважної кількості осіб</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рівня у сироватці крові кальцію, магнію, заліза на тлі нормального рівня магнію. При порівнянні з ізольованим перебігом ХОЗЛ рівень заліза, кальцію, фосфору мав тенденцію до незначного, але вірогідного підвищення. Виявлені зміни вмісту заліза, кальцію, фосфору є суттєвою причиною посилення вільнорадикальних реакцій при виснаженні антиоксидантних ресурсів, порушення енергетичного гомеостазу та адаптаційних механізмів.</w:t>
      </w:r>
    </w:p>
    <w:p w:rsidR="006344C2" w:rsidRPr="00156441" w:rsidRDefault="00732200" w:rsidP="006344C2">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6. При ХОЗЛ у сполученні з ГХ відбувається порушення структурно-функціонального стану клітинних мембран багатьох органів та тканин, що підтверджується підвищенням вище фізіологічної норми активності органоспецифічних ферментів у сироватці крові</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КФК, МВ-КФК, ГГТП, ЛДГ, АлАТ, АсАТ, α-амілази, лужної фосфатази (по відношенню до групи порівняння вірогідне підвищення активності характерно для КФК, МВ-КФК, ГГТП, ЛДГ).</w:t>
      </w:r>
    </w:p>
    <w:p w:rsidR="006344C2" w:rsidRPr="00156441" w:rsidRDefault="006344C2" w:rsidP="006344C2">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7. У хворих з поєднаним перебігом</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ХОЗЛ і ГХ було виявлено структурно-функціональні зміни міокарду, що характеризуються формуванням гіпертрофічних типів ремоделювання та формування діастолічною дисфункцією шлуночків I типу.</w:t>
      </w:r>
      <w:r w:rsidR="009C6C87" w:rsidRPr="00156441">
        <w:rPr>
          <w:rFonts w:ascii="Times New Roman" w:eastAsia="Times New Roman" w:hAnsi="Times New Roman" w:cs="Times New Roman"/>
          <w:sz w:val="28"/>
          <w:szCs w:val="28"/>
          <w:lang w:eastAsia="ru-RU"/>
        </w:rPr>
        <w:t xml:space="preserve"> </w:t>
      </w:r>
    </w:p>
    <w:p w:rsidR="00524AB5" w:rsidRPr="00156441" w:rsidRDefault="006344C2" w:rsidP="006344C2">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8. </w:t>
      </w:r>
      <w:r w:rsidR="00524AB5" w:rsidRPr="00156441">
        <w:rPr>
          <w:rFonts w:ascii="Times New Roman" w:eastAsia="Times New Roman" w:hAnsi="Times New Roman" w:cs="Times New Roman"/>
          <w:sz w:val="28"/>
          <w:szCs w:val="28"/>
          <w:lang w:eastAsia="ru-RU"/>
        </w:rPr>
        <w:t>Класифікація тяжкості стану будь-якого хворого на ХОЗЛ може проводитись на підставі встановлених розрахункових класифікаційних функцій Y</w:t>
      </w:r>
      <w:r w:rsidR="00524AB5" w:rsidRPr="00156441">
        <w:rPr>
          <w:rFonts w:ascii="Times New Roman" w:eastAsia="Times New Roman" w:hAnsi="Times New Roman" w:cs="Times New Roman"/>
          <w:sz w:val="28"/>
          <w:szCs w:val="28"/>
          <w:vertAlign w:val="subscript"/>
          <w:lang w:eastAsia="ru-RU"/>
        </w:rPr>
        <w:t xml:space="preserve">1 кластер </w:t>
      </w:r>
      <w:r w:rsidR="00524AB5" w:rsidRPr="00156441">
        <w:rPr>
          <w:rFonts w:ascii="Times New Roman" w:eastAsia="Times New Roman" w:hAnsi="Times New Roman" w:cs="Times New Roman"/>
          <w:sz w:val="28"/>
          <w:szCs w:val="28"/>
          <w:lang w:eastAsia="ru-RU"/>
        </w:rPr>
        <w:t>та Y</w:t>
      </w:r>
      <w:r w:rsidR="00524AB5" w:rsidRPr="00156441">
        <w:rPr>
          <w:rFonts w:ascii="Times New Roman" w:eastAsia="Times New Roman" w:hAnsi="Times New Roman" w:cs="Times New Roman"/>
          <w:sz w:val="28"/>
          <w:szCs w:val="28"/>
          <w:vertAlign w:val="subscript"/>
          <w:lang w:eastAsia="ru-RU"/>
        </w:rPr>
        <w:t xml:space="preserve">2 кластер </w:t>
      </w:r>
      <w:r w:rsidR="003D483E" w:rsidRPr="00156441">
        <w:rPr>
          <w:rFonts w:ascii="Times New Roman" w:eastAsia="Times New Roman" w:hAnsi="Times New Roman" w:cs="Times New Roman"/>
          <w:sz w:val="28"/>
          <w:szCs w:val="28"/>
          <w:lang w:eastAsia="ru-RU"/>
        </w:rPr>
        <w:t>для даного хворого. Хворий відноситься до того кластеру (групі тяжкості стану), для якого числ</w:t>
      </w:r>
      <w:r w:rsidR="00C216F5" w:rsidRPr="00156441">
        <w:rPr>
          <w:rFonts w:ascii="Times New Roman" w:eastAsia="Times New Roman" w:hAnsi="Times New Roman" w:cs="Times New Roman"/>
          <w:sz w:val="28"/>
          <w:szCs w:val="28"/>
          <w:lang w:eastAsia="ru-RU"/>
        </w:rPr>
        <w:t>ов</w:t>
      </w:r>
      <w:r w:rsidR="003D483E" w:rsidRPr="00156441">
        <w:rPr>
          <w:rFonts w:ascii="Times New Roman" w:eastAsia="Times New Roman" w:hAnsi="Times New Roman" w:cs="Times New Roman"/>
          <w:sz w:val="28"/>
          <w:szCs w:val="28"/>
          <w:lang w:eastAsia="ru-RU"/>
        </w:rPr>
        <w:t>е значення класифікаційної функції максимальне.</w:t>
      </w:r>
    </w:p>
    <w:p w:rsidR="003D483E" w:rsidRPr="00156441" w:rsidRDefault="003D483E" w:rsidP="006344C2">
      <w:pPr>
        <w:spacing w:after="0" w:line="360" w:lineRule="auto"/>
        <w:ind w:firstLine="720"/>
        <w:contextualSpacing/>
        <w:jc w:val="both"/>
        <w:rPr>
          <w:rFonts w:ascii="Times New Roman" w:eastAsia="Times New Roman" w:hAnsi="Times New Roman" w:cs="Times New Roman"/>
          <w:sz w:val="28"/>
          <w:szCs w:val="28"/>
          <w:lang w:eastAsia="ru-RU"/>
        </w:rPr>
      </w:pPr>
    </w:p>
    <w:p w:rsidR="00732200" w:rsidRPr="00156441" w:rsidRDefault="00732200" w:rsidP="00732200">
      <w:pPr>
        <w:spacing w:after="0" w:line="360" w:lineRule="auto"/>
        <w:ind w:firstLine="720"/>
        <w:contextualSpacing/>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Основні результати дослідження, що наведені у розділі опублікова</w:t>
      </w:r>
      <w:r w:rsidR="00C216F5" w:rsidRPr="00156441">
        <w:rPr>
          <w:rFonts w:ascii="Times New Roman" w:eastAsia="Times New Roman" w:hAnsi="Times New Roman" w:cs="Times New Roman"/>
          <w:sz w:val="28"/>
          <w:szCs w:val="28"/>
          <w:lang w:eastAsia="ru-RU"/>
        </w:rPr>
        <w:t xml:space="preserve">ні у </w:t>
      </w:r>
      <w:r w:rsidRPr="00156441">
        <w:rPr>
          <w:rFonts w:ascii="Times New Roman" w:eastAsia="Times New Roman" w:hAnsi="Times New Roman" w:cs="Times New Roman"/>
          <w:sz w:val="28"/>
          <w:szCs w:val="28"/>
          <w:lang w:eastAsia="ru-RU"/>
        </w:rPr>
        <w:t>наукових фахових виданнях та були відображені у тезах, доповідях та обговорені на науково-практичних конференціях.</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lastRenderedPageBreak/>
        <w:t>1.</w:t>
      </w:r>
      <w:r w:rsidRPr="00156441">
        <w:rPr>
          <w:rFonts w:ascii="Times New Roman" w:eastAsia="Times New Roman" w:hAnsi="Times New Roman" w:cs="Times New Roman"/>
          <w:sz w:val="28"/>
          <w:szCs w:val="28"/>
          <w:shd w:val="clear" w:color="auto" w:fill="FFFFFF"/>
          <w:lang w:eastAsia="ru-RU"/>
        </w:rPr>
        <w:tab/>
        <w:t>Істоміна О. В. Рівень органоспецифічних ферментів у хворих на хронічне обструктивне захворювання легень у поєднанні з гіпертонічною хворобою</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О. В. Істоміна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Вісник проблем біології та медицини</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Випуск 1, Том 2 (127)</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83</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85.</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2.</w:t>
      </w:r>
      <w:r w:rsidRPr="00156441">
        <w:rPr>
          <w:rFonts w:ascii="Times New Roman" w:eastAsia="Times New Roman" w:hAnsi="Times New Roman" w:cs="Times New Roman"/>
          <w:sz w:val="28"/>
          <w:szCs w:val="28"/>
          <w:shd w:val="clear" w:color="auto" w:fill="FFFFFF"/>
          <w:lang w:eastAsia="ru-RU"/>
        </w:rPr>
        <w:tab/>
        <w:t>Істоміна О. В. Стан вазоактивних пептидів, гормонів і нейромедіаторів у хворих на хронічне обструктивне захворювання легень у поєднанні з гіпертонічною хворобою</w:t>
      </w:r>
      <w:r w:rsidR="009C6C87"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В. А. Капустник, О. В. Істоміна</w:t>
      </w:r>
      <w:r w:rsidR="00B46E01"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Здобутки клінічної і експериментальної медицини</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 (26)</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56</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60.</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3.</w:t>
      </w:r>
      <w:r w:rsidRPr="00156441">
        <w:rPr>
          <w:rFonts w:ascii="Times New Roman" w:eastAsia="Times New Roman" w:hAnsi="Times New Roman" w:cs="Times New Roman"/>
          <w:sz w:val="28"/>
          <w:szCs w:val="28"/>
          <w:shd w:val="clear" w:color="auto" w:fill="FFFFFF"/>
          <w:lang w:eastAsia="ru-RU"/>
        </w:rPr>
        <w:tab/>
        <w:t>Istomina О. Endothelial dysfunction in patients with chronic obsrtructive pulmonary disease with concomitant hypertension</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V.</w:t>
      </w:r>
      <w:r w:rsidR="009C6C87"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Kapustnik, O. Istomina</w:t>
      </w:r>
      <w:r w:rsidR="00B46E01"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Georgian medical news</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No 7</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8 (256</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257)</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Р. 29</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33.</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4.</w:t>
      </w:r>
      <w:r w:rsidRPr="00156441">
        <w:rPr>
          <w:rFonts w:ascii="Times New Roman" w:eastAsia="Times New Roman" w:hAnsi="Times New Roman" w:cs="Times New Roman"/>
          <w:sz w:val="28"/>
          <w:szCs w:val="28"/>
          <w:shd w:val="clear" w:color="auto" w:fill="FFFFFF"/>
          <w:lang w:eastAsia="ru-RU"/>
        </w:rPr>
        <w:tab/>
        <w:t>Истомина О. В. Обмен биогенных элементов</w:t>
      </w:r>
      <w:r w:rsidR="009C6C87"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у больных хроническим обструктивным заболеванием легких с сопутствующей гипертонической болезнью</w:t>
      </w:r>
      <w:r w:rsidR="009C6C87"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В. А. Капустник, О. В. Истомина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Журнал клінічних та експериментальних медичних досліджень</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Том 4, №3</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396</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401.</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5.</w:t>
      </w:r>
      <w:r w:rsidRPr="00156441">
        <w:rPr>
          <w:rFonts w:ascii="Times New Roman" w:eastAsia="Times New Roman" w:hAnsi="Times New Roman" w:cs="Times New Roman"/>
          <w:sz w:val="28"/>
          <w:szCs w:val="28"/>
          <w:shd w:val="clear" w:color="auto" w:fill="FFFFFF"/>
          <w:lang w:eastAsia="ru-RU"/>
        </w:rPr>
        <w:tab/>
        <w:t>Істоміна О. В. Математико</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статистичний аналіз прогнозування ступеня тяжкості хворих на хронічне обструктивне захворювання легень з супутньою гіпертонічною хворобою</w:t>
      </w:r>
      <w:r w:rsidR="009C6C87"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В. А. Капустник, О. В. Істоміна,</w:t>
      </w:r>
      <w:r w:rsidR="009C6C87"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О. В. Зайцева.</w:t>
      </w:r>
      <w:r w:rsidR="00B46E01"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Вісник проблем біології та медицини</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2017</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№2(136)</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46–51.</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6.</w:t>
      </w:r>
      <w:r w:rsidRPr="00156441">
        <w:rPr>
          <w:rFonts w:ascii="Times New Roman" w:eastAsia="Times New Roman" w:hAnsi="Times New Roman" w:cs="Times New Roman"/>
          <w:sz w:val="28"/>
          <w:szCs w:val="28"/>
          <w:shd w:val="clear" w:color="auto" w:fill="FFFFFF"/>
          <w:lang w:eastAsia="ru-RU"/>
        </w:rPr>
        <w:tab/>
        <w:t>Истомина О. В. Функциональная оценка миокарда у пациентов с хроническим обструктивным заболеванием легких и гипертонической болезнью/В.А. Капустник, О.Г. Мельник, О.Л. Архипкина,</w:t>
      </w:r>
      <w:r w:rsidR="009C6C87"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О.В.Истомина,</w:t>
      </w:r>
      <w:r w:rsidR="009C6C87"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Е.И. Санина].</w:t>
      </w:r>
      <w:r w:rsidR="00B46E01"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Міжнародний медичний журнал</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2017</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№1 (89), Том 23</w:t>
      </w:r>
      <w:r w:rsidR="009C6C87" w:rsidRPr="00156441">
        <w:rPr>
          <w:rFonts w:ascii="Times New Roman" w:eastAsia="Times New Roman" w:hAnsi="Times New Roman" w:cs="Times New Roman"/>
          <w:sz w:val="28"/>
          <w:szCs w:val="28"/>
          <w:shd w:val="clear" w:color="auto" w:fill="FFFFFF"/>
          <w:lang w:eastAsia="ru-RU"/>
        </w:rPr>
        <w:t xml:space="preserve"> —</w:t>
      </w:r>
      <w:r w:rsidR="00F44EE4" w:rsidRPr="00156441">
        <w:rPr>
          <w:rFonts w:ascii="Times New Roman" w:eastAsia="Times New Roman" w:hAnsi="Times New Roman" w:cs="Times New Roman"/>
          <w:sz w:val="28"/>
          <w:szCs w:val="28"/>
          <w:shd w:val="clear" w:color="auto" w:fill="FFFFFF"/>
          <w:lang w:eastAsia="ru-RU"/>
        </w:rPr>
        <w:t xml:space="preserve"> С. </w:t>
      </w:r>
      <w:r w:rsidRPr="00156441">
        <w:rPr>
          <w:rFonts w:ascii="Times New Roman" w:eastAsia="Times New Roman" w:hAnsi="Times New Roman" w:cs="Times New Roman"/>
          <w:sz w:val="28"/>
          <w:szCs w:val="28"/>
          <w:shd w:val="clear" w:color="auto" w:fill="FFFFFF"/>
          <w:lang w:eastAsia="ru-RU"/>
        </w:rPr>
        <w:t>21–25.</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7.</w:t>
      </w:r>
      <w:r w:rsidRPr="00156441">
        <w:rPr>
          <w:rFonts w:ascii="Times New Roman" w:eastAsia="Times New Roman" w:hAnsi="Times New Roman" w:cs="Times New Roman"/>
          <w:sz w:val="28"/>
          <w:szCs w:val="28"/>
          <w:shd w:val="clear" w:color="auto" w:fill="FFFFFF"/>
          <w:lang w:eastAsia="ru-RU"/>
        </w:rPr>
        <w:tab/>
        <w:t>Істоміна О. В. Рівень васкулярного ендотеліального фактора росту у хворих на хронічне обструктивне захворювання легень з супутньою гіпертонічною хворобою</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В. А. Капустник, О. В. Істоміна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Експериментальна і клінічна медицина</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№4 (73)</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54</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57.</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8.</w:t>
      </w:r>
      <w:r w:rsidRPr="00156441">
        <w:rPr>
          <w:rFonts w:ascii="Times New Roman" w:eastAsia="Times New Roman" w:hAnsi="Times New Roman" w:cs="Times New Roman"/>
          <w:sz w:val="28"/>
          <w:szCs w:val="28"/>
          <w:shd w:val="clear" w:color="auto" w:fill="FFFFFF"/>
          <w:lang w:eastAsia="ru-RU"/>
        </w:rPr>
        <w:tab/>
        <w:t xml:space="preserve">Истомина О. В. Изменение уровня катехоламинов у больных хроническим обструктивным заболеванием легких в сочетании с гипертонической </w:t>
      </w:r>
      <w:r w:rsidRPr="00156441">
        <w:rPr>
          <w:rFonts w:ascii="Times New Roman" w:eastAsia="Times New Roman" w:hAnsi="Times New Roman" w:cs="Times New Roman"/>
          <w:sz w:val="28"/>
          <w:szCs w:val="28"/>
          <w:shd w:val="clear" w:color="auto" w:fill="FFFFFF"/>
          <w:lang w:eastAsia="ru-RU"/>
        </w:rPr>
        <w:lastRenderedPageBreak/>
        <w:t>болезнью</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В. А. Капустник, О. В. Истомина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Матеріали научно</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практичної конференції з міжнародною участю «Щорічні терапевтичні читання: профілактика неінфекційних захворювань на перехресті терапевтичних наук, 21 квітня 2016 р</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Харків</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138.</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9.</w:t>
      </w:r>
      <w:r w:rsidRPr="00156441">
        <w:rPr>
          <w:rFonts w:ascii="Times New Roman" w:eastAsia="Times New Roman" w:hAnsi="Times New Roman" w:cs="Times New Roman"/>
          <w:sz w:val="28"/>
          <w:szCs w:val="28"/>
          <w:shd w:val="clear" w:color="auto" w:fill="FFFFFF"/>
          <w:lang w:eastAsia="ru-RU"/>
        </w:rPr>
        <w:tab/>
        <w:t>Istomina O. Right ventricular dysfunction in patients with COPD and hypertension diaease</w:t>
      </w:r>
      <w:r w:rsidR="009C6C87"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t>О. Arkhipkina, О. Istomina</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Медицина третього тисячоліття: збірник тез міжвузівської конференції молодих вчених та студентів, 16</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17 січня 2017 р</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Харків: ХНМУ</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2017</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93.</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10.</w:t>
      </w:r>
      <w:r w:rsidRPr="00156441">
        <w:rPr>
          <w:rFonts w:ascii="Times New Roman" w:eastAsia="Times New Roman" w:hAnsi="Times New Roman" w:cs="Times New Roman"/>
          <w:sz w:val="28"/>
          <w:szCs w:val="28"/>
          <w:shd w:val="clear" w:color="auto" w:fill="FFFFFF"/>
          <w:lang w:eastAsia="ru-RU"/>
        </w:rPr>
        <w:tab/>
        <w:t xml:space="preserve"> Истомина О. В. Динамика экспрессии VEGF у больных хроническим обструктивным заболеванием легких с сопутствующей гипертонической болезнью</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О. В. Истомина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Медицина третього тисячоліття: Збірник тез міжвузівської конференції молодих вчених та студентів, 16</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17 січня 2017р</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Харків: ХНМУ</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2017</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124</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125.</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11.</w:t>
      </w:r>
      <w:r w:rsidRPr="00156441">
        <w:rPr>
          <w:rFonts w:ascii="Times New Roman" w:eastAsia="Times New Roman" w:hAnsi="Times New Roman" w:cs="Times New Roman"/>
          <w:sz w:val="28"/>
          <w:szCs w:val="28"/>
          <w:shd w:val="clear" w:color="auto" w:fill="FFFFFF"/>
          <w:lang w:eastAsia="ru-RU"/>
        </w:rPr>
        <w:tab/>
        <w:t xml:space="preserve"> Истомина О. В. Определение эндотелиальной дисфункции на основании показателей обмена оксид азота</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О. В. Истомина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Медицина третього тисячоліття: Збірник тез міжвузівської конференції молодих вчених та студентів, 19 січня 2016 р</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Харків: ХНМУ</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2017</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 xml:space="preserve">114. </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12.</w:t>
      </w:r>
      <w:r w:rsidRPr="00156441">
        <w:rPr>
          <w:rFonts w:ascii="Times New Roman" w:eastAsia="Times New Roman" w:hAnsi="Times New Roman" w:cs="Times New Roman"/>
          <w:sz w:val="28"/>
          <w:szCs w:val="28"/>
          <w:shd w:val="clear" w:color="auto" w:fill="FFFFFF"/>
          <w:lang w:eastAsia="ru-RU"/>
        </w:rPr>
        <w:tab/>
        <w:t xml:space="preserve"> Истомина О. В. Структурные изменения левого желудочка у больных хроническим обструктивным заболеванием легких и гипертонической болезнью</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О. Л. Архипкина, О. В. Истомина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Сборник IV международной научно</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практической конференции студентов и молодых ученых «Наука и медицина: современный взгляд молодежи», 20</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21 апреля 2017 г</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Алмати</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12</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 xml:space="preserve">13. </w:t>
      </w:r>
    </w:p>
    <w:p w:rsidR="003D483E"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13.</w:t>
      </w:r>
      <w:r w:rsidRPr="00156441">
        <w:rPr>
          <w:rFonts w:ascii="Times New Roman" w:eastAsia="Times New Roman" w:hAnsi="Times New Roman" w:cs="Times New Roman"/>
          <w:sz w:val="28"/>
          <w:szCs w:val="28"/>
          <w:shd w:val="clear" w:color="auto" w:fill="FFFFFF"/>
          <w:lang w:eastAsia="ru-RU"/>
        </w:rPr>
        <w:tab/>
        <w:t xml:space="preserve"> Истомина О.В. Состояние вазоактивных пептидов у больных хроническим обструктивным заболеванием легких с сопутствующей гипертонической болезнью</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О. В. Истомина, О. Л. Архипкина</w:t>
      </w:r>
      <w:r w:rsidR="00B46E01"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Сборник IV международной научно</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практической конференции студентов и молодых ученых «Наука и медицина: современный взгляд молодежи», 20</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21 апреля 2017 г</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Алмати</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32</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 xml:space="preserve">33. </w:t>
      </w:r>
    </w:p>
    <w:p w:rsidR="00732200" w:rsidRPr="00156441" w:rsidRDefault="003D483E" w:rsidP="002E755E">
      <w:pPr>
        <w:tabs>
          <w:tab w:val="left" w:pos="1134"/>
        </w:tabs>
        <w:spacing w:after="0" w:line="360" w:lineRule="auto"/>
        <w:ind w:firstLine="720"/>
        <w:contextualSpacing/>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14.</w:t>
      </w:r>
      <w:r w:rsidRPr="00156441">
        <w:rPr>
          <w:rFonts w:ascii="Times New Roman" w:eastAsia="Times New Roman" w:hAnsi="Times New Roman" w:cs="Times New Roman"/>
          <w:sz w:val="28"/>
          <w:szCs w:val="28"/>
          <w:shd w:val="clear" w:color="auto" w:fill="FFFFFF"/>
          <w:lang w:eastAsia="ru-RU"/>
        </w:rPr>
        <w:tab/>
        <w:t xml:space="preserve"> Istomina O. V. Endothelial dysfunction in patients with chronic obstructive pulmonary disease with concomitant hypertension</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V.A. Kapustnuk, O.V.Istomina</w:t>
      </w:r>
      <w:r w:rsidR="00B46E01" w:rsidRPr="00156441">
        <w:rPr>
          <w:rFonts w:ascii="Times New Roman" w:eastAsia="Times New Roman" w:hAnsi="Times New Roman" w:cs="Times New Roman"/>
          <w:sz w:val="28"/>
          <w:szCs w:val="28"/>
          <w:shd w:val="clear" w:color="auto" w:fill="FFFFFF"/>
          <w:lang w:eastAsia="ru-RU"/>
        </w:rPr>
        <w:t xml:space="preserve"> //</w:t>
      </w:r>
      <w:r w:rsidR="00C216F5" w:rsidRPr="00156441">
        <w:rPr>
          <w:rFonts w:ascii="Times New Roman" w:eastAsia="Times New Roman" w:hAnsi="Times New Roman" w:cs="Times New Roman"/>
          <w:sz w:val="28"/>
          <w:szCs w:val="28"/>
          <w:shd w:val="clear" w:color="auto" w:fill="FFFFFF"/>
          <w:lang w:eastAsia="ru-RU"/>
        </w:rPr>
        <w:t xml:space="preserve"> </w:t>
      </w:r>
      <w:r w:rsidRPr="00156441">
        <w:rPr>
          <w:rFonts w:ascii="Times New Roman" w:eastAsia="Times New Roman" w:hAnsi="Times New Roman" w:cs="Times New Roman"/>
          <w:sz w:val="28"/>
          <w:szCs w:val="28"/>
          <w:shd w:val="clear" w:color="auto" w:fill="FFFFFF"/>
          <w:lang w:eastAsia="ru-RU"/>
        </w:rPr>
        <w:lastRenderedPageBreak/>
        <w:t>«Медична наука та клінічна практика</w:t>
      </w:r>
      <w:r w:rsidR="009C6C87" w:rsidRPr="00156441">
        <w:rPr>
          <w:rFonts w:ascii="Times New Roman" w:eastAsia="Times New Roman" w:hAnsi="Times New Roman" w:cs="Times New Roman"/>
          <w:sz w:val="28"/>
          <w:szCs w:val="28"/>
          <w:shd w:val="clear" w:color="auto" w:fill="FFFFFF"/>
          <w:lang w:eastAsia="ru-RU"/>
        </w:rPr>
        <w:t xml:space="preserve"> — </w:t>
      </w:r>
      <w:r w:rsidRPr="00156441">
        <w:rPr>
          <w:rFonts w:ascii="Times New Roman" w:eastAsia="Times New Roman" w:hAnsi="Times New Roman" w:cs="Times New Roman"/>
          <w:sz w:val="28"/>
          <w:szCs w:val="28"/>
          <w:shd w:val="clear" w:color="auto" w:fill="FFFFFF"/>
          <w:lang w:eastAsia="ru-RU"/>
        </w:rPr>
        <w:t>2016»: Матеріали науково</w:t>
      </w:r>
      <w:r w:rsidR="00723800">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практичної конференції з участю міжнародних спеціалістів, присвяченої Дню науки, 20 травня 2016 р</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Харків</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13.</w:t>
      </w:r>
    </w:p>
    <w:bookmarkEnd w:id="14"/>
    <w:p w:rsidR="00C216F5" w:rsidRPr="00156441" w:rsidRDefault="00C216F5">
      <w:pPr>
        <w:rPr>
          <w:rFonts w:ascii="Times New Roman" w:hAnsi="Times New Roman" w:cs="Times New Roman"/>
          <w:b/>
          <w:sz w:val="28"/>
          <w:szCs w:val="28"/>
        </w:rPr>
      </w:pPr>
      <w:r w:rsidRPr="00156441">
        <w:rPr>
          <w:rFonts w:ascii="Times New Roman" w:hAnsi="Times New Roman" w:cs="Times New Roman"/>
          <w:b/>
          <w:sz w:val="28"/>
          <w:szCs w:val="28"/>
        </w:rPr>
        <w:br w:type="page"/>
      </w:r>
    </w:p>
    <w:p w:rsidR="00AC7375" w:rsidRPr="009D2378" w:rsidRDefault="001E52F1" w:rsidP="00AC7375">
      <w:pPr>
        <w:pStyle w:val="a4"/>
        <w:spacing w:after="0" w:line="360" w:lineRule="auto"/>
        <w:ind w:left="0" w:firstLine="709"/>
        <w:jc w:val="center"/>
        <w:rPr>
          <w:rFonts w:ascii="Times New Roman" w:hAnsi="Times New Roman" w:cs="Times New Roman"/>
          <w:b/>
          <w:sz w:val="28"/>
          <w:szCs w:val="28"/>
        </w:rPr>
      </w:pPr>
      <w:bookmarkStart w:id="22" w:name="Analiz"/>
      <w:r w:rsidRPr="00156441">
        <w:rPr>
          <w:rFonts w:ascii="Times New Roman" w:hAnsi="Times New Roman" w:cs="Times New Roman"/>
          <w:b/>
          <w:sz w:val="28"/>
          <w:szCs w:val="28"/>
        </w:rPr>
        <w:lastRenderedPageBreak/>
        <w:t>АНАЛІЗ ТА УЗАГАЛЬНЕННЯ РЕЗУЛЬТАТІВ ДОСЛІДЖЕННЯ</w:t>
      </w:r>
    </w:p>
    <w:bookmarkEnd w:id="22"/>
    <w:p w:rsidR="001E52F1" w:rsidRPr="00156441" w:rsidRDefault="001E52F1" w:rsidP="00C216F5">
      <w:pPr>
        <w:tabs>
          <w:tab w:val="left" w:pos="720"/>
          <w:tab w:val="left" w:pos="1643"/>
        </w:tabs>
        <w:spacing w:after="0" w:line="360" w:lineRule="auto"/>
        <w:ind w:firstLine="709"/>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До факторів, що визначають розвиток ендотеліальної дисфункції при ХОЗЛ відносяться гіпоксія, підвищення вмісту деяких біологічно активних речовин та ін. З іншого боку, поширеність серед хворих на ХОЗЛ серцево-судинної патології з ураженням ендотелію більше, ніж у цілому в популяції. Тому питання про причинно-наслідкові зв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язки в розвитку ендотеліальної дисфункції у пацієнтів з ХОЗЛ залишається до кінця не вирішеним [</w:t>
      </w:r>
      <w:r w:rsidR="00C216F5" w:rsidRPr="00156441">
        <w:rPr>
          <w:rFonts w:ascii="Times New Roman" w:eastAsia="Times New Roman" w:hAnsi="Times New Roman" w:cs="Times New Roman"/>
          <w:sz w:val="28"/>
          <w:szCs w:val="28"/>
          <w:lang w:eastAsia="ru-RU"/>
        </w:rPr>
        <w:fldChar w:fldCharType="begin"/>
      </w:r>
      <w:r w:rsidR="00C216F5" w:rsidRPr="00156441">
        <w:rPr>
          <w:rFonts w:ascii="Times New Roman" w:eastAsia="Times New Roman" w:hAnsi="Times New Roman" w:cs="Times New Roman"/>
          <w:sz w:val="28"/>
          <w:szCs w:val="28"/>
          <w:lang w:eastAsia="ru-RU"/>
        </w:rPr>
        <w:instrText xml:space="preserve"> REF _Ref502744425 \r \h </w:instrText>
      </w:r>
      <w:r w:rsidR="00F44EE4" w:rsidRPr="00156441">
        <w:rPr>
          <w:rFonts w:ascii="Times New Roman" w:eastAsia="Times New Roman" w:hAnsi="Times New Roman" w:cs="Times New Roman"/>
          <w:sz w:val="28"/>
          <w:szCs w:val="28"/>
          <w:lang w:eastAsia="ru-RU"/>
        </w:rPr>
        <w:instrText xml:space="preserve"> \* MERGEFORMAT </w:instrText>
      </w:r>
      <w:r w:rsidR="00C216F5" w:rsidRPr="00156441">
        <w:rPr>
          <w:rFonts w:ascii="Times New Roman" w:eastAsia="Times New Roman" w:hAnsi="Times New Roman" w:cs="Times New Roman"/>
          <w:sz w:val="28"/>
          <w:szCs w:val="28"/>
          <w:lang w:eastAsia="ru-RU"/>
        </w:rPr>
      </w:r>
      <w:r w:rsidR="00C216F5"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312</w:t>
      </w:r>
      <w:r w:rsidR="00C216F5"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w:t>
      </w:r>
    </w:p>
    <w:p w:rsidR="00850D46" w:rsidRPr="00156441" w:rsidRDefault="00850D46" w:rsidP="00850D46">
      <w:pPr>
        <w:tabs>
          <w:tab w:val="left" w:pos="720"/>
          <w:tab w:val="left" w:pos="1643"/>
        </w:tabs>
        <w:spacing w:after="0" w:line="360" w:lineRule="auto"/>
        <w:ind w:firstLine="709"/>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До міцних системних вазодилятаторів відноситься ВІП, біологічні ефекти якого реалізуються через специфічні рецептори, локалізовані, зокрема, на макрофагах, що оточують капіляри, та субінтимі легеневих артерій, вен. Доведено, що ВІП бере участь у іннервації дихальних шляхів, регуляції бронхіального тонусу та має здатність протидіяти бронхоспазму при ХОЗЛ [331]. Представляло інтерес визначити вміст ВІП у крові хворих на ХОЗЛ у сполученні з ГХ. Результати свідчать про зниження його рівня у середньому в 2,0 рази по відношенню як до контролю, так й хворих з ізольованим перебігом ХОЗЛ, що блокує прояв його вазодилятуючого ефекту, сприяючи розвитку гіпертензії. Можна погодитися з думкою деяких дослідників [332], що зменшення рівня плазмового ВІП у хворих на ХОЗЛ у сполученні з ГХ, на відміну від хворих з ізольованим перебігом ХОЗЛ, у яких таких змін не виявляється, відіграє певну роль у патофізіологічних процесах розвитку ГХ на тлі ХОЗЛ. У літературі існує точка зору [3], що зниження ВІП може виникати внаслідок запального процесу у дихальних шляхах, який супроводжується підвищенням рівня та активності запальних клітин, продукуючих пептидази, у тому числі й такі, що руйнують ВІП. Підвищення активності такого процесу сприятиме формуванню гіперреактивності дихальних шляхів і рефлекторного бронхоспазму у хворих з обструктивною патологією.</w:t>
      </w:r>
    </w:p>
    <w:p w:rsidR="00850D46" w:rsidRPr="00156441" w:rsidRDefault="00850D46" w:rsidP="00850D46">
      <w:pPr>
        <w:tabs>
          <w:tab w:val="left" w:pos="720"/>
          <w:tab w:val="left" w:pos="1643"/>
        </w:tabs>
        <w:spacing w:after="0" w:line="360" w:lineRule="auto"/>
        <w:ind w:firstLine="709"/>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У підтримці стабільності ендотелію важлива роль належить ВЕФР [287]. Крім того, для ВЕФР доводиться ініціальна роль в активації ангіогенезу, реалізації </w:t>
      </w:r>
      <w:r w:rsidR="00723800" w:rsidRPr="00156441">
        <w:rPr>
          <w:rFonts w:ascii="Times New Roman" w:eastAsia="Times New Roman" w:hAnsi="Times New Roman" w:cs="Times New Roman"/>
          <w:sz w:val="28"/>
          <w:szCs w:val="28"/>
          <w:lang w:eastAsia="ru-RU"/>
        </w:rPr>
        <w:t>вазодилятуючого</w:t>
      </w:r>
      <w:r w:rsidRPr="00156441">
        <w:rPr>
          <w:rFonts w:ascii="Times New Roman" w:eastAsia="Times New Roman" w:hAnsi="Times New Roman" w:cs="Times New Roman"/>
          <w:sz w:val="28"/>
          <w:szCs w:val="28"/>
          <w:lang w:eastAsia="ru-RU"/>
        </w:rPr>
        <w:t xml:space="preserve"> ефекту та прозапальної дії [288]. Науковими дослідженнями встановлено, що основними шляхами ініціації ВЕФР ангіогенезу є стимулювання проліферації клітин ендотелію, збільшення проникності судин, генерування </w:t>
      </w:r>
      <w:r w:rsidRPr="00156441">
        <w:rPr>
          <w:rFonts w:ascii="Times New Roman" w:eastAsia="Times New Roman" w:hAnsi="Times New Roman" w:cs="Times New Roman"/>
          <w:sz w:val="28"/>
          <w:szCs w:val="28"/>
          <w:lang w:eastAsia="ru-RU"/>
        </w:rPr>
        <w:lastRenderedPageBreak/>
        <w:t>продукції оксиду азоту через активування NO-синтази, розширення кровоносних судин [333]. Також у науковій літературі є поодинокі дані щодо вірогідного підвищення рівня ВЕФР у сироватці крові хворих на ГХ в порівнянні з практично здоровими особами [334]. Доведений також у хворих на ГХ взаємозв’язок між підвищенням у крові вмісту ВЕФР та ангіотензину II і асоціація ВЕФР з жорсткістю артерій еластичного типу [335].</w:t>
      </w:r>
    </w:p>
    <w:p w:rsidR="00850D46" w:rsidRPr="00156441" w:rsidRDefault="00850D46" w:rsidP="00850D46">
      <w:pPr>
        <w:tabs>
          <w:tab w:val="left" w:pos="720"/>
          <w:tab w:val="left" w:pos="1643"/>
        </w:tabs>
        <w:spacing w:after="0" w:line="360" w:lineRule="auto"/>
        <w:ind w:firstLine="709"/>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хворих на ХОЗЛ у сполученні з ГХ по відношенню до умовно здорових осіб спостерігається вірогідне підвищення рівня ВЕФР у середньому в 1,9 рази. У хворих з ізольованим перебігом ХОЗЛ також відмічається вірогідне підвищення цього показника в середньому в 1,4 рази. Вміст ВЕФР у хворих з коморбідною патологією виявляється вірогідно підвищеним у середньому в 1,3 рази й по відношенню до хворих з ізольованим перебігом ХОЗЛ. Підвищений вміст сироваткового ВЕФР у пацієнтів з ХОЗЛ у сполученні з ГХ можна розглядати як компенсаторну реакцію, спрямовану на нормалізацію гемодинаміки. На думку деяких авторів 288], така реакція зі збільшенням продукції ВЕФР як проангіогенного фактор</w:t>
      </w:r>
      <w:r w:rsidR="00723800">
        <w:rPr>
          <w:rFonts w:ascii="Times New Roman" w:eastAsia="Times New Roman" w:hAnsi="Times New Roman" w:cs="Times New Roman"/>
          <w:sz w:val="28"/>
          <w:szCs w:val="28"/>
          <w:lang w:eastAsia="ru-RU"/>
        </w:rPr>
        <w:t>у</w:t>
      </w:r>
      <w:r w:rsidRPr="00156441">
        <w:rPr>
          <w:rFonts w:ascii="Times New Roman" w:eastAsia="Times New Roman" w:hAnsi="Times New Roman" w:cs="Times New Roman"/>
          <w:sz w:val="28"/>
          <w:szCs w:val="28"/>
          <w:lang w:eastAsia="ru-RU"/>
        </w:rPr>
        <w:t xml:space="preserve"> призводить, перш за все, до ураження стінки судин, а не до фізіологічного ангіогенезу, так як відбувається на тлі артеріальної гіпертензії. З іншого боку, такий результат може бути пов’язаний й з кисневою недостатністю у хворих на ХОЗЛ, особливо при сполученні з ГХ, яку розглядають як потужний стимул експресії ВЕФР [289].</w:t>
      </w:r>
    </w:p>
    <w:p w:rsidR="001E52F1" w:rsidRPr="00156441" w:rsidRDefault="001E52F1" w:rsidP="001E52F1">
      <w:pPr>
        <w:tabs>
          <w:tab w:val="left" w:pos="720"/>
          <w:tab w:val="left" w:pos="1643"/>
        </w:tabs>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регуляції ендотеліально-вазальної системи організму беруть участь</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протеолітичні системи крові</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ренін-ангіотензинова та</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калікреїн-кінінова, що регулюють синтез і деградацію вазоактивних пептидів</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брадикініну і ангіотензину II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_Ref502744869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328</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1E52F1" w:rsidRPr="00156441" w:rsidRDefault="001E52F1" w:rsidP="001E52F1">
      <w:pPr>
        <w:tabs>
          <w:tab w:val="left" w:pos="720"/>
          <w:tab w:val="left" w:pos="1643"/>
        </w:tabs>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Ренін-ангіотензинова система є складно організованою з рядом взаємодіючих факторів (реніну, ангіотензиногену, ангіотензину I, АПФ, ангіотензину II та ін.), яка умовно поділяється на циркулюючу (її складові транспортуються у крові) та локальну (її складові присутні у судинах, міокарді, головному мозку, нирках). Активація ренін-ангіотензинової системи починається з вивільнення реніну при стимуляції адренорецепторів юкстагломерулярного </w:t>
      </w:r>
      <w:r w:rsidRPr="00156441">
        <w:rPr>
          <w:rFonts w:ascii="Times New Roman" w:eastAsia="Times New Roman" w:hAnsi="Times New Roman" w:cs="Times New Roman"/>
          <w:sz w:val="28"/>
          <w:szCs w:val="28"/>
          <w:lang w:eastAsia="ru-RU"/>
        </w:rPr>
        <w:lastRenderedPageBreak/>
        <w:t>апарату нирок, падінням тиску у судинах ниркових клубочків, зниженням рівня натрію та підвищенням рівня калію у плазмі крові. Через ферментативну дію реніну та АПФ ангіотензиноген перетворюється на біологічно активні речовини</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ангіотензин I і ангіотензин II. У кров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яному руслі ангіотензин II переважно</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утворюється під дією АПФ, що розташований на люмінальній поверхні ендотеліальних клітин. Ангіотензин II є головним ланцюгом ренін-ангіотензинової системи, його основними ефектами є вазоконстрикція артерій та артеріол, посилення секреції наднирковими залозами альдостерону та катехоламінів, підвищення реабсорбції натрію та води у нирках, підвищення тонусу гладеньких м</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язів артерій, артеріол і вен та ін.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_Ref502744898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329</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p>
    <w:p w:rsidR="001E52F1" w:rsidRPr="00156441" w:rsidRDefault="001E52F1" w:rsidP="001E52F1">
      <w:pPr>
        <w:tabs>
          <w:tab w:val="left" w:pos="720"/>
          <w:tab w:val="left" w:pos="1643"/>
        </w:tabs>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Слід відзначити, що найбільші рівні АПФ виявляються на поверхні ендотеліальних клітин судин легень, внаслідок чого значна частина ангіотензину II утворюється при проходженні крові через легені. Доведено, що ангіотензин II крім ефектів прямого впливу на тонус судин та індукції вивільнення медіаторів на периферії, здатний проникати у мозок, що супроводжується центральною активацією симпатичної системи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_Ref502744911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330</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1E52F1" w:rsidRPr="00156441" w:rsidRDefault="001E52F1" w:rsidP="001E52F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обстежених пацієнтів з ХОЗЛ у сполученні з ГХ відбувається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 xml:space="preserve">підвищення активності плазмового реніну в середньому в 1,8 </w:t>
      </w:r>
      <w:r w:rsidR="00F3176C" w:rsidRPr="00156441">
        <w:rPr>
          <w:rFonts w:ascii="Times New Roman" w:eastAsia="Times New Roman" w:hAnsi="Times New Roman" w:cs="Times New Roman"/>
          <w:sz w:val="28"/>
          <w:szCs w:val="28"/>
          <w:lang w:eastAsia="ru-RU"/>
        </w:rPr>
        <w:t>рази</w:t>
      </w:r>
      <w:r w:rsidRPr="00156441">
        <w:rPr>
          <w:rFonts w:ascii="Times New Roman" w:eastAsia="Times New Roman" w:hAnsi="Times New Roman" w:cs="Times New Roman"/>
          <w:sz w:val="28"/>
          <w:szCs w:val="28"/>
          <w:lang w:eastAsia="ru-RU"/>
        </w:rPr>
        <w:t xml:space="preserve"> при порівнянні з контролем, тоді як у пацієнтів з ХОЗЛ при відсутності ГХ таких подій не відбувається. Наслідком збільшення активності реніну стає підвищення у хворих основної групи активності АПФ в середньому в 2,</w:t>
      </w:r>
      <w:r w:rsidR="005D61D5" w:rsidRPr="00156441">
        <w:rPr>
          <w:rFonts w:ascii="Times New Roman" w:eastAsia="Times New Roman" w:hAnsi="Times New Roman" w:cs="Times New Roman"/>
          <w:sz w:val="28"/>
          <w:szCs w:val="28"/>
          <w:lang w:eastAsia="ru-RU"/>
        </w:rPr>
        <w:t>0 та 1,7 рази</w:t>
      </w:r>
      <w:r w:rsidRPr="00156441">
        <w:rPr>
          <w:rFonts w:ascii="Times New Roman" w:eastAsia="Times New Roman" w:hAnsi="Times New Roman" w:cs="Times New Roman"/>
          <w:sz w:val="28"/>
          <w:szCs w:val="28"/>
          <w:lang w:eastAsia="ru-RU"/>
        </w:rPr>
        <w:t xml:space="preserve"> при порівнянні з контролем та пацієнтами з ХОЗЛ без сполучення з ГХ. При цьому у пацієнтів з ізольованим перебігом ХОЗЛ активність АПФ підвищується н</w:t>
      </w:r>
      <w:r w:rsidR="005D61D5" w:rsidRPr="00156441">
        <w:rPr>
          <w:rFonts w:ascii="Times New Roman" w:eastAsia="Times New Roman" w:hAnsi="Times New Roman" w:cs="Times New Roman"/>
          <w:sz w:val="28"/>
          <w:szCs w:val="28"/>
          <w:lang w:eastAsia="ru-RU"/>
        </w:rPr>
        <w:t>езначно (в середньому в 1,2 рази</w:t>
      </w:r>
      <w:r w:rsidRPr="00156441">
        <w:rPr>
          <w:rFonts w:ascii="Times New Roman" w:eastAsia="Times New Roman" w:hAnsi="Times New Roman" w:cs="Times New Roman"/>
          <w:sz w:val="28"/>
          <w:szCs w:val="28"/>
          <w:lang w:eastAsia="ru-RU"/>
        </w:rPr>
        <w:t>). Такі результати дозволяють передбачати у обстежених хворих з коморбідною патологією підвищення синтезу головного представника ренін-ангіотензинової системи</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ангіотензину II, одним із ефектів якого є стимулювання синтезу та секреції гормонів, що беруть участь у регуляції водно-електролітного обміну організму. Останнє підтверджується збільшенням у плазмі крові хворих на ХОЗЛ у сполученні з ГХ по відношенню до умовно-здорових осіб і хворих з ізольованим перебігом ХОЗЛ рівня альдостерон</w:t>
      </w:r>
      <w:r w:rsidR="005D61D5" w:rsidRPr="00156441">
        <w:rPr>
          <w:rFonts w:ascii="Times New Roman" w:eastAsia="Times New Roman" w:hAnsi="Times New Roman" w:cs="Times New Roman"/>
          <w:sz w:val="28"/>
          <w:szCs w:val="28"/>
          <w:lang w:eastAsia="ru-RU"/>
        </w:rPr>
        <w:t>у (в середньому в 2,2 і 1,9 рази</w:t>
      </w:r>
      <w:r w:rsidRPr="00156441">
        <w:rPr>
          <w:rFonts w:ascii="Times New Roman" w:eastAsia="Times New Roman" w:hAnsi="Times New Roman" w:cs="Times New Roman"/>
          <w:sz w:val="28"/>
          <w:szCs w:val="28"/>
          <w:lang w:eastAsia="ru-RU"/>
        </w:rPr>
        <w:t xml:space="preserve"> відповідно) </w:t>
      </w:r>
      <w:r w:rsidR="005D61D5" w:rsidRPr="00156441">
        <w:rPr>
          <w:rFonts w:ascii="Times New Roman" w:eastAsia="Times New Roman" w:hAnsi="Times New Roman" w:cs="Times New Roman"/>
          <w:sz w:val="28"/>
          <w:szCs w:val="28"/>
          <w:lang w:eastAsia="ru-RU"/>
        </w:rPr>
        <w:t xml:space="preserve">та </w:t>
      </w:r>
      <w:r w:rsidR="005D61D5" w:rsidRPr="00156441">
        <w:rPr>
          <w:rFonts w:ascii="Times New Roman" w:eastAsia="Times New Roman" w:hAnsi="Times New Roman" w:cs="Times New Roman"/>
          <w:sz w:val="28"/>
          <w:szCs w:val="28"/>
          <w:lang w:eastAsia="ru-RU"/>
        </w:rPr>
        <w:lastRenderedPageBreak/>
        <w:t>вазопресину (в 1,4 і 1,2 рази</w:t>
      </w:r>
      <w:r w:rsidRPr="00156441">
        <w:rPr>
          <w:rFonts w:ascii="Times New Roman" w:eastAsia="Times New Roman" w:hAnsi="Times New Roman" w:cs="Times New Roman"/>
          <w:sz w:val="28"/>
          <w:szCs w:val="28"/>
          <w:lang w:eastAsia="ru-RU"/>
        </w:rPr>
        <w:t>). При цьому у хворих на ХОЗЛ без сполучення з ГХ не спостерігається при порівнянні з контролем змін вмісту альдостерону, тоді як для вазопресину відмічається несуттєве під</w:t>
      </w:r>
      <w:r w:rsidR="005D61D5" w:rsidRPr="00156441">
        <w:rPr>
          <w:rFonts w:ascii="Times New Roman" w:eastAsia="Times New Roman" w:hAnsi="Times New Roman" w:cs="Times New Roman"/>
          <w:sz w:val="28"/>
          <w:szCs w:val="28"/>
          <w:lang w:eastAsia="ru-RU"/>
        </w:rPr>
        <w:t>вищення (в середньому в 1,2 рази</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p>
    <w:p w:rsidR="001E52F1" w:rsidRPr="00156441" w:rsidRDefault="001E52F1" w:rsidP="001E52F1">
      <w:pPr>
        <w:spacing w:after="0" w:line="360" w:lineRule="auto"/>
        <w:ind w:firstLine="720"/>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 xml:space="preserve">Отже, у пацієнтів основної групи відбувається активація ренін-ангіотензинової системи, наслідком якої є стимулювання </w:t>
      </w:r>
      <w:r w:rsidRPr="00156441">
        <w:rPr>
          <w:rFonts w:ascii="Times New Roman" w:eastAsia="Times New Roman" w:hAnsi="Times New Roman" w:cs="Times New Roman"/>
          <w:sz w:val="28"/>
          <w:szCs w:val="28"/>
          <w:lang w:eastAsia="ru-RU"/>
        </w:rPr>
        <w:t>вазоконстрикторних ефектів зі структурними змінами серця і судин,</w:t>
      </w:r>
      <w:r w:rsidRPr="00156441">
        <w:rPr>
          <w:rFonts w:ascii="Times New Roman" w:eastAsia="Times New Roman" w:hAnsi="Times New Roman" w:cs="Times New Roman"/>
          <w:bCs/>
          <w:sz w:val="28"/>
          <w:szCs w:val="28"/>
          <w:lang w:eastAsia="ru-RU"/>
        </w:rPr>
        <w:t xml:space="preserve"> виникнення гіпонатріємії та затримці води внаслідок стимулювання секреції альдостерону та вазопресину. За даними літератури [</w:t>
      </w:r>
      <w:r w:rsidR="00F3176C" w:rsidRPr="00156441">
        <w:rPr>
          <w:rFonts w:ascii="Times New Roman" w:eastAsia="Times New Roman" w:hAnsi="Times New Roman" w:cs="Times New Roman"/>
          <w:bCs/>
          <w:sz w:val="28"/>
          <w:szCs w:val="28"/>
          <w:lang w:eastAsia="ru-RU"/>
        </w:rPr>
        <w:fldChar w:fldCharType="begin"/>
      </w:r>
      <w:r w:rsidR="00F3176C" w:rsidRPr="00156441">
        <w:rPr>
          <w:rFonts w:ascii="Times New Roman" w:eastAsia="Times New Roman" w:hAnsi="Times New Roman" w:cs="Times New Roman"/>
          <w:bCs/>
          <w:sz w:val="28"/>
          <w:szCs w:val="28"/>
          <w:lang w:eastAsia="ru-RU"/>
        </w:rPr>
        <w:instrText xml:space="preserve"> REF _Ref502744929 \r \h </w:instrText>
      </w:r>
      <w:r w:rsidR="00F44EE4" w:rsidRPr="00156441">
        <w:rPr>
          <w:rFonts w:ascii="Times New Roman" w:eastAsia="Times New Roman" w:hAnsi="Times New Roman" w:cs="Times New Roman"/>
          <w:bCs/>
          <w:sz w:val="28"/>
          <w:szCs w:val="28"/>
          <w:lang w:eastAsia="ru-RU"/>
        </w:rPr>
        <w:instrText xml:space="preserve"> \* MERGEFORMAT </w:instrText>
      </w:r>
      <w:r w:rsidR="00F3176C" w:rsidRPr="00156441">
        <w:rPr>
          <w:rFonts w:ascii="Times New Roman" w:eastAsia="Times New Roman" w:hAnsi="Times New Roman" w:cs="Times New Roman"/>
          <w:bCs/>
          <w:sz w:val="28"/>
          <w:szCs w:val="28"/>
          <w:lang w:eastAsia="ru-RU"/>
        </w:rPr>
      </w:r>
      <w:r w:rsidR="00F3176C" w:rsidRPr="00156441">
        <w:rPr>
          <w:rFonts w:ascii="Times New Roman" w:eastAsia="Times New Roman" w:hAnsi="Times New Roman" w:cs="Times New Roman"/>
          <w:bCs/>
          <w:sz w:val="28"/>
          <w:szCs w:val="28"/>
          <w:lang w:eastAsia="ru-RU"/>
        </w:rPr>
        <w:fldChar w:fldCharType="separate"/>
      </w:r>
      <w:r w:rsidR="001C0081">
        <w:rPr>
          <w:rFonts w:ascii="Times New Roman" w:eastAsia="Times New Roman" w:hAnsi="Times New Roman" w:cs="Times New Roman"/>
          <w:bCs/>
          <w:sz w:val="28"/>
          <w:szCs w:val="28"/>
          <w:lang w:eastAsia="ru-RU"/>
        </w:rPr>
        <w:t>331</w:t>
      </w:r>
      <w:r w:rsidR="00F3176C" w:rsidRPr="00156441">
        <w:rPr>
          <w:rFonts w:ascii="Times New Roman" w:eastAsia="Times New Roman" w:hAnsi="Times New Roman" w:cs="Times New Roman"/>
          <w:bCs/>
          <w:sz w:val="28"/>
          <w:szCs w:val="28"/>
          <w:lang w:eastAsia="ru-RU"/>
        </w:rPr>
        <w:fldChar w:fldCharType="end"/>
      </w:r>
      <w:r w:rsidRPr="00156441">
        <w:rPr>
          <w:rFonts w:ascii="Times New Roman" w:eastAsia="Times New Roman" w:hAnsi="Times New Roman" w:cs="Times New Roman"/>
          <w:bCs/>
          <w:sz w:val="28"/>
          <w:szCs w:val="28"/>
          <w:lang w:eastAsia="ru-RU"/>
        </w:rPr>
        <w:t>], дослідження стану ренін-ангіотензинової системи у пацієнтів з ХОЗЛ в основному зосереджувались при наявності наочних симптомів затримці рідини в організмі; тому дані щодо частоти, з якою ренін-ангіотензинова система активується у загальній популяції ХОЗЛ, є обмеженими. За одержаними результатами, у пацієнтів групи порівняння активація цієї протеолітичної системи крові є незначною на відміну від пацієнтів основної групи. Прогресування затримці натрію та води при ХОЗЛ у сполученні з ГХ</w:t>
      </w:r>
      <w:r w:rsidR="009C6C87" w:rsidRPr="00156441">
        <w:rPr>
          <w:rFonts w:ascii="Times New Roman" w:eastAsia="Times New Roman" w:hAnsi="Times New Roman" w:cs="Times New Roman"/>
          <w:bCs/>
          <w:sz w:val="28"/>
          <w:szCs w:val="28"/>
          <w:lang w:eastAsia="ru-RU"/>
        </w:rPr>
        <w:t xml:space="preserve"> — </w:t>
      </w:r>
      <w:r w:rsidRPr="00156441">
        <w:rPr>
          <w:rFonts w:ascii="Times New Roman" w:eastAsia="Times New Roman" w:hAnsi="Times New Roman" w:cs="Times New Roman"/>
          <w:bCs/>
          <w:sz w:val="28"/>
          <w:szCs w:val="28"/>
          <w:lang w:eastAsia="ru-RU"/>
        </w:rPr>
        <w:t>є негативною прогностичною ознакою. Крім того, збільшений рівень альдостерону може спровокувати</w:t>
      </w:r>
      <w:r w:rsidRPr="00156441">
        <w:rPr>
          <w:rFonts w:ascii="Times New Roman" w:eastAsia="Times New Roman" w:hAnsi="Times New Roman" w:cs="Times New Roman"/>
          <w:sz w:val="28"/>
          <w:szCs w:val="28"/>
          <w:lang w:eastAsia="ru-RU"/>
        </w:rPr>
        <w:t xml:space="preserve"> дисфункцію багаторецепторних механізмів регуляції артеріального тиску та спотенціювати пресорну дію катехоламінів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_Ref502744956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329</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w:t>
      </w:r>
    </w:p>
    <w:p w:rsidR="001E52F1" w:rsidRPr="00156441" w:rsidRDefault="001E52F1" w:rsidP="001E52F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До важливих механізмів регуляції системного судинного тиску та водно-електролітного обміну є калікреїн-кінінова система, яка також умовно поділяється на циркулюючу та локальну [</w:t>
      </w:r>
      <w:r w:rsidR="00F3176C" w:rsidRPr="00156441">
        <w:rPr>
          <w:rFonts w:ascii="Times New Roman" w:eastAsia="Times New Roman" w:hAnsi="Times New Roman" w:cs="Times New Roman"/>
          <w:sz w:val="28"/>
          <w:szCs w:val="28"/>
          <w:bdr w:val="none" w:sz="0" w:space="0" w:color="auto" w:frame="1"/>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_Ref502745034 \r \h </w:instrText>
      </w:r>
      <w:r w:rsidR="00F44EE4" w:rsidRPr="00156441">
        <w:rPr>
          <w:rFonts w:ascii="Times New Roman" w:eastAsia="Times New Roman" w:hAnsi="Times New Roman" w:cs="Times New Roman"/>
          <w:sz w:val="28"/>
          <w:szCs w:val="28"/>
          <w:bdr w:val="none" w:sz="0" w:space="0" w:color="auto" w:frame="1"/>
          <w:lang w:eastAsia="ru-RU"/>
        </w:rPr>
        <w:instrText xml:space="preserve"> \* MERGEFORMAT </w:instrText>
      </w:r>
      <w:r w:rsidR="00F3176C" w:rsidRPr="00156441">
        <w:rPr>
          <w:rFonts w:ascii="Times New Roman" w:eastAsia="Times New Roman" w:hAnsi="Times New Roman" w:cs="Times New Roman"/>
          <w:sz w:val="28"/>
          <w:szCs w:val="28"/>
          <w:bdr w:val="none" w:sz="0" w:space="0" w:color="auto" w:frame="1"/>
          <w:lang w:eastAsia="ru-RU"/>
        </w:rPr>
      </w:r>
      <w:r w:rsidR="00F3176C" w:rsidRPr="00156441">
        <w:rPr>
          <w:rFonts w:ascii="Times New Roman" w:eastAsia="Times New Roman" w:hAnsi="Times New Roman" w:cs="Times New Roman"/>
          <w:sz w:val="28"/>
          <w:szCs w:val="28"/>
          <w:bdr w:val="none" w:sz="0" w:space="0" w:color="auto" w:frame="1"/>
          <w:lang w:eastAsia="ru-RU"/>
        </w:rPr>
        <w:fldChar w:fldCharType="separate"/>
      </w:r>
      <w:r w:rsidR="001C0081">
        <w:rPr>
          <w:rFonts w:ascii="Times New Roman" w:eastAsia="Times New Roman" w:hAnsi="Times New Roman" w:cs="Times New Roman"/>
          <w:sz w:val="28"/>
          <w:szCs w:val="28"/>
          <w:lang w:eastAsia="ru-RU"/>
        </w:rPr>
        <w:t>296</w:t>
      </w:r>
      <w:r w:rsidR="00F3176C" w:rsidRPr="00156441">
        <w:rPr>
          <w:rFonts w:ascii="Times New Roman" w:eastAsia="Times New Roman" w:hAnsi="Times New Roman" w:cs="Times New Roman"/>
          <w:sz w:val="28"/>
          <w:szCs w:val="28"/>
          <w:bdr w:val="none" w:sz="0" w:space="0" w:color="auto" w:frame="1"/>
          <w:lang w:eastAsia="ru-RU"/>
        </w:rPr>
        <w:fldChar w:fldCharType="end"/>
      </w:r>
      <w:r w:rsidRPr="00156441">
        <w:rPr>
          <w:rFonts w:ascii="Times New Roman" w:eastAsia="Times New Roman" w:hAnsi="Times New Roman" w:cs="Times New Roman"/>
          <w:sz w:val="28"/>
          <w:szCs w:val="28"/>
          <w:lang w:eastAsia="ru-RU"/>
        </w:rPr>
        <w:t>]. Представниками біохімічного каскаду перетворень у цій системі є калікреїноген, калікреїни, кініногени, кініни та ін. Специфічні ферменти каталізують перетворення калікреїногену на калікреїн, що, у свою чергу, стимулює трансформацію кініногенів у кініни. Основними ефектами останніх є вазодилятація та гіпотензивна дія за рахунок безпосереднього впливу на стінки артерій та стимулювання вивільнення ендотелієм оксиду азоту, простациклінів, простагландинів. Слід відзначити, що кініни сприяють також підвищенню екскреції з сечею води та натрію, зменшенню секреції наднирковими залозами адреналіну та симпатичною нервовою системою норадреналіну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_Ref502745059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295</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1E52F1" w:rsidRPr="00156441" w:rsidRDefault="001E52F1" w:rsidP="001E52F1">
      <w:pPr>
        <w:shd w:val="clear" w:color="auto" w:fill="FFFFFF"/>
        <w:spacing w:after="0" w:line="360" w:lineRule="auto"/>
        <w:ind w:firstLine="720"/>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 xml:space="preserve">У обстежених хворих на ХОЗЛ з ГХ у плазмі крові визначається при порівнянні з контролем збільшення вмісту калікреїногену та активності калікреїну </w:t>
      </w:r>
      <w:r w:rsidRPr="00156441">
        <w:rPr>
          <w:rFonts w:ascii="Times New Roman" w:eastAsia="Times New Roman" w:hAnsi="Times New Roman" w:cs="Times New Roman"/>
          <w:bCs/>
          <w:sz w:val="28"/>
          <w:szCs w:val="28"/>
          <w:lang w:eastAsia="ru-RU"/>
        </w:rPr>
        <w:lastRenderedPageBreak/>
        <w:t xml:space="preserve">в середньому в 1,9 </w:t>
      </w:r>
      <w:r w:rsidR="005D61D5" w:rsidRPr="00156441">
        <w:rPr>
          <w:rFonts w:ascii="Times New Roman" w:eastAsia="Times New Roman" w:hAnsi="Times New Roman" w:cs="Times New Roman"/>
          <w:bCs/>
          <w:sz w:val="28"/>
          <w:szCs w:val="28"/>
          <w:lang w:eastAsia="ru-RU"/>
        </w:rPr>
        <w:t>та 2,3 рази</w:t>
      </w:r>
      <w:r w:rsidRPr="00156441">
        <w:rPr>
          <w:rFonts w:ascii="Times New Roman" w:eastAsia="Times New Roman" w:hAnsi="Times New Roman" w:cs="Times New Roman"/>
          <w:bCs/>
          <w:sz w:val="28"/>
          <w:szCs w:val="28"/>
          <w:lang w:eastAsia="ru-RU"/>
        </w:rPr>
        <w:t xml:space="preserve"> відповідно. При цьому у хворих з ізольованим перебігом ХОЗЛ спостерігається аналогічна зміна показників</w:t>
      </w:r>
      <w:r w:rsidR="009C6C87" w:rsidRPr="00156441">
        <w:rPr>
          <w:rFonts w:ascii="Times New Roman" w:eastAsia="Times New Roman" w:hAnsi="Times New Roman" w:cs="Times New Roman"/>
          <w:bCs/>
          <w:sz w:val="28"/>
          <w:szCs w:val="28"/>
          <w:lang w:eastAsia="ru-RU"/>
        </w:rPr>
        <w:t xml:space="preserve"> — </w:t>
      </w:r>
      <w:r w:rsidR="005D61D5" w:rsidRPr="00156441">
        <w:rPr>
          <w:rFonts w:ascii="Times New Roman" w:eastAsia="Times New Roman" w:hAnsi="Times New Roman" w:cs="Times New Roman"/>
          <w:bCs/>
          <w:sz w:val="28"/>
          <w:szCs w:val="28"/>
          <w:lang w:eastAsia="ru-RU"/>
        </w:rPr>
        <w:t>в середньому в 1,6 та 1,4 рази</w:t>
      </w:r>
      <w:r w:rsidRPr="00156441">
        <w:rPr>
          <w:rFonts w:ascii="Times New Roman" w:eastAsia="Times New Roman" w:hAnsi="Times New Roman" w:cs="Times New Roman"/>
          <w:bCs/>
          <w:sz w:val="28"/>
          <w:szCs w:val="28"/>
          <w:lang w:eastAsia="ru-RU"/>
        </w:rPr>
        <w:t>. Такі результати дозволяють припустити</w:t>
      </w:r>
      <w:r w:rsidR="009C6C87" w:rsidRPr="00156441">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bCs/>
          <w:sz w:val="28"/>
          <w:szCs w:val="28"/>
          <w:lang w:eastAsia="ru-RU"/>
        </w:rPr>
        <w:t>активацію калікреїн-кінінової системи. Але</w:t>
      </w:r>
      <w:r w:rsidRPr="00156441">
        <w:rPr>
          <w:rFonts w:ascii="Times New Roman" w:eastAsia="Times New Roman" w:hAnsi="Times New Roman" w:cs="Times New Roman"/>
          <w:sz w:val="28"/>
          <w:szCs w:val="28"/>
          <w:lang w:eastAsia="ru-RU"/>
        </w:rPr>
        <w:t xml:space="preserve"> у</w:t>
      </w:r>
      <w:r w:rsidRPr="00156441">
        <w:rPr>
          <w:rFonts w:ascii="Times New Roman" w:eastAsia="Times New Roman" w:hAnsi="Times New Roman" w:cs="Times New Roman"/>
          <w:bCs/>
          <w:sz w:val="28"/>
          <w:szCs w:val="28"/>
          <w:lang w:eastAsia="ru-RU"/>
        </w:rPr>
        <w:t xml:space="preserve"> пацієнтів з ХОЗЛ у сполученні з ГХ при порівнянні з контролем і хворими з ізольованим перебігом захворювання виявляється </w:t>
      </w:r>
      <w:r w:rsidRPr="00156441">
        <w:rPr>
          <w:rFonts w:ascii="Times New Roman" w:eastAsia="Times New Roman" w:hAnsi="Times New Roman" w:cs="Times New Roman"/>
          <w:sz w:val="28"/>
          <w:szCs w:val="28"/>
          <w:lang w:eastAsia="ru-RU"/>
        </w:rPr>
        <w:t>підвищення активності к</w:t>
      </w:r>
      <w:r w:rsidRPr="00156441">
        <w:rPr>
          <w:rFonts w:ascii="Times New Roman" w:eastAsia="Times New Roman" w:hAnsi="Times New Roman" w:cs="Times New Roman"/>
          <w:bCs/>
          <w:sz w:val="28"/>
          <w:szCs w:val="28"/>
          <w:lang w:eastAsia="ru-RU"/>
        </w:rPr>
        <w:t>арбоксипептидази N</w:t>
      </w:r>
      <w:r w:rsidR="005D61D5" w:rsidRPr="00156441">
        <w:rPr>
          <w:rFonts w:ascii="Times New Roman" w:eastAsia="Times New Roman" w:hAnsi="Times New Roman" w:cs="Times New Roman"/>
          <w:bCs/>
          <w:sz w:val="28"/>
          <w:szCs w:val="28"/>
          <w:lang w:eastAsia="ru-RU"/>
        </w:rPr>
        <w:t xml:space="preserve"> в середньому в 1,6 та 1,4 рази</w:t>
      </w:r>
      <w:r w:rsidRPr="00156441">
        <w:rPr>
          <w:rFonts w:ascii="Times New Roman" w:eastAsia="Times New Roman" w:hAnsi="Times New Roman" w:cs="Times New Roman"/>
          <w:bCs/>
          <w:sz w:val="28"/>
          <w:szCs w:val="28"/>
          <w:lang w:eastAsia="ru-RU"/>
        </w:rPr>
        <w:t xml:space="preserve"> відповідно, тоді як у пацієнтів з ізольованим перебігом ХОЗЛ активність ферменту практично дорівнює значенням контролю.</w:t>
      </w:r>
      <w:r w:rsidR="009C6C87" w:rsidRPr="00156441">
        <w:rPr>
          <w:rFonts w:ascii="Times New Roman" w:eastAsia="Times New Roman" w:hAnsi="Times New Roman" w:cs="Times New Roman"/>
          <w:bCs/>
          <w:sz w:val="28"/>
          <w:szCs w:val="28"/>
          <w:lang w:eastAsia="ru-RU"/>
        </w:rPr>
        <w:t xml:space="preserve"> </w:t>
      </w:r>
    </w:p>
    <w:p w:rsidR="001E52F1" w:rsidRPr="00156441" w:rsidRDefault="001E52F1" w:rsidP="001E52F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t xml:space="preserve">Отже, саме </w:t>
      </w:r>
      <w:r w:rsidRPr="00156441">
        <w:rPr>
          <w:rFonts w:ascii="Times New Roman" w:eastAsia="Times New Roman" w:hAnsi="Times New Roman" w:cs="Times New Roman"/>
          <w:sz w:val="28"/>
          <w:szCs w:val="28"/>
          <w:lang w:eastAsia="ru-RU"/>
        </w:rPr>
        <w:t>підвищення активності карбоксипептидази N, а також й АПФ (</w:t>
      </w:r>
      <w:r w:rsidRPr="00156441">
        <w:rPr>
          <w:rFonts w:ascii="Times New Roman" w:eastAsia="Times New Roman" w:hAnsi="Times New Roman" w:cs="Times New Roman"/>
          <w:bCs/>
          <w:sz w:val="28"/>
          <w:szCs w:val="28"/>
          <w:lang w:eastAsia="ru-RU"/>
        </w:rPr>
        <w:t>ферментів руйнування кінінів, а звідси зниження їх ефектів) у хворих на ХОЗЛ у сполученні з ГХ дозволяє припустити поступове</w:t>
      </w:r>
      <w:r w:rsidRPr="00156441">
        <w:rPr>
          <w:rFonts w:ascii="Times New Roman" w:eastAsia="Times New Roman" w:hAnsi="Times New Roman" w:cs="Times New Roman"/>
          <w:sz w:val="28"/>
          <w:szCs w:val="28"/>
          <w:lang w:eastAsia="ru-RU"/>
        </w:rPr>
        <w:t xml:space="preserve"> виснаження адаптаційного потенціалу калікреїн-кінінової системи з формуванням дефіциту вазодилатуючих факторів і, як наслідок, розвитком ендотеліальної дисфункції [</w:t>
      </w:r>
      <w:r w:rsidR="00F3176C" w:rsidRPr="00156441">
        <w:rPr>
          <w:rFonts w:ascii="Times New Roman" w:eastAsia="Times New Roman" w:hAnsi="Times New Roman" w:cs="Times New Roman"/>
          <w:sz w:val="28"/>
          <w:szCs w:val="28"/>
          <w:bdr w:val="none" w:sz="0" w:space="0" w:color="auto" w:frame="1"/>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_Ref502745034 \r \h </w:instrText>
      </w:r>
      <w:r w:rsidR="00F3176C" w:rsidRPr="00156441">
        <w:rPr>
          <w:rFonts w:ascii="Times New Roman" w:eastAsia="Times New Roman" w:hAnsi="Times New Roman" w:cs="Times New Roman"/>
          <w:sz w:val="28"/>
          <w:szCs w:val="28"/>
          <w:bdr w:val="none" w:sz="0" w:space="0" w:color="auto" w:frame="1"/>
          <w:lang w:eastAsia="ru-RU"/>
        </w:rPr>
        <w:instrText xml:space="preserve"> \* MERGEFORMAT </w:instrText>
      </w:r>
      <w:r w:rsidR="00F3176C" w:rsidRPr="00156441">
        <w:rPr>
          <w:rFonts w:ascii="Times New Roman" w:eastAsia="Times New Roman" w:hAnsi="Times New Roman" w:cs="Times New Roman"/>
          <w:sz w:val="28"/>
          <w:szCs w:val="28"/>
          <w:bdr w:val="none" w:sz="0" w:space="0" w:color="auto" w:frame="1"/>
          <w:lang w:eastAsia="ru-RU"/>
        </w:rPr>
      </w:r>
      <w:r w:rsidR="00F3176C" w:rsidRPr="00156441">
        <w:rPr>
          <w:rFonts w:ascii="Times New Roman" w:eastAsia="Times New Roman" w:hAnsi="Times New Roman" w:cs="Times New Roman"/>
          <w:sz w:val="28"/>
          <w:szCs w:val="28"/>
          <w:bdr w:val="none" w:sz="0" w:space="0" w:color="auto" w:frame="1"/>
          <w:lang w:eastAsia="ru-RU"/>
        </w:rPr>
        <w:fldChar w:fldCharType="separate"/>
      </w:r>
      <w:r w:rsidR="001C0081">
        <w:rPr>
          <w:rFonts w:ascii="Times New Roman" w:eastAsia="Times New Roman" w:hAnsi="Times New Roman" w:cs="Times New Roman"/>
          <w:sz w:val="28"/>
          <w:szCs w:val="28"/>
          <w:lang w:eastAsia="ru-RU"/>
        </w:rPr>
        <w:t>296</w:t>
      </w:r>
      <w:r w:rsidR="00F3176C" w:rsidRPr="00156441">
        <w:rPr>
          <w:rFonts w:ascii="Times New Roman" w:eastAsia="Times New Roman" w:hAnsi="Times New Roman" w:cs="Times New Roman"/>
          <w:sz w:val="28"/>
          <w:szCs w:val="28"/>
          <w:bdr w:val="none" w:sz="0" w:space="0" w:color="auto" w:frame="1"/>
          <w:lang w:eastAsia="ru-RU"/>
        </w:rPr>
        <w:fldChar w:fldCharType="end"/>
      </w:r>
      <w:r w:rsidRPr="00156441">
        <w:rPr>
          <w:rFonts w:ascii="Times New Roman" w:eastAsia="Times New Roman" w:hAnsi="Times New Roman" w:cs="Times New Roman"/>
          <w:sz w:val="28"/>
          <w:szCs w:val="28"/>
          <w:lang w:eastAsia="ru-RU"/>
        </w:rPr>
        <w:t xml:space="preserve">]. </w:t>
      </w:r>
    </w:p>
    <w:p w:rsidR="001E52F1" w:rsidRPr="00156441" w:rsidRDefault="001E52F1" w:rsidP="001E52F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Виявлена активація у хворих на ХОЗЛ з ГХ ренін-ангіотензинової системи є фактором, що сприяє через ефекти її головного представника ангіотензину II посиленню вивільнення адреналіну та норадреналіну наднирковими залозами, норадреналіну симпатичними нервовими закінченнями. У сироватці крові обстежених хворих з коморбідною патологією визначається підвищення (р&lt;0,001)</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по відношенню до контролю та групи порівняння рівня катехоламінів:</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дофамін</w:t>
      </w:r>
      <w:r w:rsidR="005D61D5" w:rsidRPr="00156441">
        <w:rPr>
          <w:rFonts w:ascii="Times New Roman" w:eastAsia="Times New Roman" w:hAnsi="Times New Roman" w:cs="Times New Roman"/>
          <w:sz w:val="28"/>
          <w:szCs w:val="28"/>
          <w:lang w:eastAsia="ru-RU"/>
        </w:rPr>
        <w:t>у в середньому в 2,3 та 1,5 рази</w:t>
      </w:r>
      <w:r w:rsidRPr="00156441">
        <w:rPr>
          <w:rFonts w:ascii="Times New Roman" w:eastAsia="Times New Roman" w:hAnsi="Times New Roman" w:cs="Times New Roman"/>
          <w:sz w:val="28"/>
          <w:szCs w:val="28"/>
          <w:lang w:eastAsia="ru-RU"/>
        </w:rPr>
        <w:t>, н</w:t>
      </w:r>
      <w:r w:rsidR="005D61D5" w:rsidRPr="00156441">
        <w:rPr>
          <w:rFonts w:ascii="Times New Roman" w:eastAsia="Times New Roman" w:hAnsi="Times New Roman" w:cs="Times New Roman"/>
          <w:sz w:val="28"/>
          <w:szCs w:val="28"/>
          <w:lang w:eastAsia="ru-RU"/>
        </w:rPr>
        <w:t>орадреналіну</w:t>
      </w:r>
      <w:r w:rsidR="009C6C87" w:rsidRPr="00156441">
        <w:rPr>
          <w:rFonts w:ascii="Times New Roman" w:eastAsia="Times New Roman" w:hAnsi="Times New Roman" w:cs="Times New Roman"/>
          <w:sz w:val="28"/>
          <w:szCs w:val="28"/>
          <w:lang w:eastAsia="ru-RU"/>
        </w:rPr>
        <w:t xml:space="preserve"> — </w:t>
      </w:r>
      <w:r w:rsidR="005D61D5" w:rsidRPr="00156441">
        <w:rPr>
          <w:rFonts w:ascii="Times New Roman" w:eastAsia="Times New Roman" w:hAnsi="Times New Roman" w:cs="Times New Roman"/>
          <w:sz w:val="28"/>
          <w:szCs w:val="28"/>
          <w:lang w:eastAsia="ru-RU"/>
        </w:rPr>
        <w:t>в 1,9 та 1,3 рази</w:t>
      </w:r>
      <w:r w:rsidRPr="00156441">
        <w:rPr>
          <w:rFonts w:ascii="Times New Roman" w:eastAsia="Times New Roman" w:hAnsi="Times New Roman" w:cs="Times New Roman"/>
          <w:sz w:val="28"/>
          <w:szCs w:val="28"/>
          <w:lang w:eastAsia="ru-RU"/>
        </w:rPr>
        <w:t>, адреналіну</w:t>
      </w:r>
      <w:r w:rsidR="009C6C87" w:rsidRPr="00156441">
        <w:rPr>
          <w:rFonts w:ascii="Times New Roman" w:eastAsia="Times New Roman" w:hAnsi="Times New Roman" w:cs="Times New Roman"/>
          <w:sz w:val="28"/>
          <w:szCs w:val="28"/>
          <w:lang w:eastAsia="ru-RU"/>
        </w:rPr>
        <w:t xml:space="preserve"> — </w:t>
      </w:r>
      <w:r w:rsidR="005D61D5" w:rsidRPr="00156441">
        <w:rPr>
          <w:rFonts w:ascii="Times New Roman" w:eastAsia="Times New Roman" w:hAnsi="Times New Roman" w:cs="Times New Roman"/>
          <w:sz w:val="28"/>
          <w:szCs w:val="28"/>
          <w:lang w:eastAsia="ru-RU"/>
        </w:rPr>
        <w:t>в 3,1 та 1,6 рази</w:t>
      </w:r>
      <w:r w:rsidRPr="00156441">
        <w:rPr>
          <w:rFonts w:ascii="Times New Roman" w:eastAsia="Times New Roman" w:hAnsi="Times New Roman" w:cs="Times New Roman"/>
          <w:sz w:val="28"/>
          <w:szCs w:val="28"/>
          <w:lang w:eastAsia="ru-RU"/>
        </w:rPr>
        <w:t xml:space="preserve"> відповідно. Слід підкреслити, що у хворих на ХОЗЛ при відсутності ГХ рівень катехоламінів у сироватці крові також збільшується, але менш виражено. </w:t>
      </w: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 У деяких літературних джерелах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_Ref502745156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332</w:t>
      </w:r>
      <w:r w:rsidR="00F3176C" w:rsidRPr="00156441">
        <w:rPr>
          <w:rFonts w:ascii="Times New Roman" w:eastAsia="Times New Roman" w:hAnsi="Times New Roman" w:cs="Times New Roman"/>
          <w:sz w:val="28"/>
          <w:szCs w:val="28"/>
          <w:lang w:eastAsia="ru-RU"/>
        </w:rPr>
        <w:fldChar w:fldCharType="end"/>
      </w:r>
      <w:r w:rsidR="00F3176C" w:rsidRPr="00156441">
        <w:rPr>
          <w:rFonts w:ascii="Times New Roman" w:eastAsia="Times New Roman" w:hAnsi="Times New Roman" w:cs="Times New Roman"/>
          <w:sz w:val="28"/>
          <w:szCs w:val="28"/>
          <w:lang w:eastAsia="ru-RU"/>
        </w:rPr>
        <w:t xml:space="preserve">,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_Ref502745157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333</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висловлюється точка зору щодо провідної ролі кисневої недостатності як основного механізму розвитку ГХ у хворих на ХОЗЛ. Виникнення гіпоксичного стану супроводжується, як правило, значною активацією симпатичного відділу вегетативної нервової системи з подальшим підвищенням рівня катехоламінів. Зниження напруження кисню в крові та тканинах стимулює хеморецептори судин, викликаючи посилення аферентних збуджувальних впливів на центральні вегетативні нейрони та еферентної симпатичної вазоконстрикторної активності на периферії. Слід відмітити, що </w:t>
      </w:r>
      <w:r w:rsidRPr="00156441">
        <w:rPr>
          <w:rFonts w:ascii="Times New Roman" w:eastAsia="Times New Roman" w:hAnsi="Times New Roman" w:cs="Times New Roman"/>
          <w:sz w:val="28"/>
          <w:szCs w:val="28"/>
          <w:lang w:eastAsia="ru-RU"/>
        </w:rPr>
        <w:lastRenderedPageBreak/>
        <w:t>підвищення концентрації катехоламінів у хворих на ХОЗЛ у сполученні з ГХ може призвести до збільшення чутливості судин до вазопресину, рівень якого також збільшується у обстежених хворих. Характерною особливістю вазопресину є його виразний вазоконстрикторний вплив на судини.</w:t>
      </w:r>
    </w:p>
    <w:p w:rsidR="00850D46" w:rsidRPr="00156441" w:rsidRDefault="00850D46" w:rsidP="00850D46">
      <w:pPr>
        <w:tabs>
          <w:tab w:val="left" w:pos="720"/>
          <w:tab w:val="left" w:pos="1643"/>
        </w:tabs>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Серед основних біологічно активних речовин, що синтезуються ендотелієм, є оксид азоту. За нормальних функціональних умов ламінарний кров’яний тік або його тиск на судинну стінку є стимулом для секреції клітинами ендотелію еNOS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_Ref502744507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313</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З іншого боку, оксид азоту є одним із важливих медіаторів дихальної системи, що активно вивчається при легеневих захворюваннях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_Ref502744523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314</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w:t>
      </w:r>
    </w:p>
    <w:p w:rsidR="00850D46" w:rsidRPr="00156441" w:rsidRDefault="00850D46" w:rsidP="00850D46">
      <w:pPr>
        <w:tabs>
          <w:tab w:val="left" w:pos="720"/>
          <w:tab w:val="left" w:pos="1643"/>
        </w:tabs>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Однією із задач даного дослідження було вивчення стану системи оксиду азоту за рівнем в крові хворих на ХОЗЛ у сполученні з ГХ стабільних метаболітів нітритів, нітратів, S-НТ та активності NOS. Дані наукової літератури щодо змін синтезу та метаболізму оксиду азоту у хворих на ХОЗЛ досить суперечливі. За результатами ряду досліджень при ХОЗЛ відбувається підвищення синтезу оксиду азоту залежно від тяжкості перебігу захворювання та його загострення [</w:t>
      </w:r>
      <w:r w:rsidR="003B436B">
        <w:rPr>
          <w:rFonts w:ascii="Times New Roman" w:eastAsia="Times New Roman" w:hAnsi="Times New Roman" w:cs="Times New Roman"/>
          <w:sz w:val="28"/>
          <w:szCs w:val="28"/>
          <w:lang w:eastAsia="ru-RU"/>
        </w:rPr>
        <w:fldChar w:fldCharType="begin"/>
      </w:r>
      <w:r w:rsidR="003B436B">
        <w:rPr>
          <w:rFonts w:ascii="Times New Roman" w:eastAsia="Times New Roman" w:hAnsi="Times New Roman" w:cs="Times New Roman"/>
          <w:sz w:val="28"/>
          <w:szCs w:val="28"/>
          <w:lang w:eastAsia="ru-RU"/>
        </w:rPr>
        <w:instrText xml:space="preserve"> REF _Ref503519867 \r \h </w:instrText>
      </w:r>
      <w:r w:rsidR="003B436B">
        <w:rPr>
          <w:rFonts w:ascii="Times New Roman" w:eastAsia="Times New Roman" w:hAnsi="Times New Roman" w:cs="Times New Roman"/>
          <w:sz w:val="28"/>
          <w:szCs w:val="28"/>
          <w:lang w:eastAsia="ru-RU"/>
        </w:rPr>
      </w:r>
      <w:r w:rsidR="003B436B">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314</w:t>
      </w:r>
      <w:r w:rsidR="003B436B">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за результатами інших експериментальних робіт — зниження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_Ref502744581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315</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Складність інтерпретації результатів щодо синтезу та метаболізму оксиду азоту пов’язана, по-перше, з його участю в регуляції цілого ряду фізіологічних процесів (наприклад, вазодилятації, нейротрансмісії, агрегації тромбоцитів, тонусу гладких м’язів, імунного статусу, експресії генів), а по-друге, з участю у розвитку оксидативного стресу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_Ref502744612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316</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_Ref502744613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317</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w:t>
      </w:r>
    </w:p>
    <w:p w:rsidR="00850D46" w:rsidRPr="00156441" w:rsidRDefault="00850D46" w:rsidP="00850D46">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Існує декілька шляхів метаболізму оксиду азоту. Основним серед них є реакція з гемопротеїнами, зокрема з гемовмісним ензимом гуанілатциклазою, гемоглобіном еритроцитів з утворенням метгемоглобіну; у кінцевому результаті оксид азоту перетворюється на іон нітриту, який за присутності гемового заліза перетворюється на більш стабільний іон нітрату. Інший шлях метаболізму оксиду азоту (особливо за умов інтенсифікації вільнорадикальних реакцій) — взаємодія з супероксидним аніон-радикалом з утворенням пероксинітриту та гідроксильного радикалу. Останні є високо реакційними, з деструктивними властивостями по відношенню до білків і ліпідів, до того ж пероксинітрит є потужними </w:t>
      </w:r>
      <w:r w:rsidRPr="00156441">
        <w:rPr>
          <w:rFonts w:ascii="Times New Roman" w:eastAsia="Times New Roman" w:hAnsi="Times New Roman" w:cs="Times New Roman"/>
          <w:sz w:val="28"/>
          <w:szCs w:val="28"/>
          <w:lang w:eastAsia="ru-RU"/>
        </w:rPr>
        <w:lastRenderedPageBreak/>
        <w:t>вазоконстриктором. Третій шлях метаболізму оксиду азоту — утворення нітрозотіолів і дінітрозильних комплексів негемового заліза, які розглядаються як депо-форма оксиду азоту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_Ref502744663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318</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_Ref502744664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320</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Концентрація оксиду азоту — є головним фактором його біологічних ефектів. При низьких концентраціях переважають, як правило, прямі ефекти, спрямовані на підтримку гомеостазу серцево-судинної, дихальної та нервової систем. При підвищенні концентрації оксиду азоту — переважають непрямі ефекти, зумовлені, перш за все, утворенням пероксинітриту.</w:t>
      </w:r>
    </w:p>
    <w:p w:rsidR="00850D46" w:rsidRPr="00156441" w:rsidRDefault="00850D46" w:rsidP="00850D46">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плазмі крові обстежених хворих на ХОЗЛ з ГХ у загальній картині виявляється підвищення майже в 2,0/2,4 рази концентрації нітритів/нітратів порівняно з умовно-здоровими пацієнтами та в 1,5/1,6 рази — порівняно з хворими на ХОЗЛ у відсутності ГХ. Дані літератури щодо змін рівня кінцевих метаболітів оксиду азоту при ХОЗЛ та артеріальній гіпертензії є досить неоднозначними: за одними роботами має місце зниження в крові нітритів/нітратів при ендотеліальній дисфункції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_Ref502744696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321</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за іншими — підвищення при запальних захворюваннях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_Ref502744707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322</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Але одержані результати щодо вмісту у плазмі крові нітритів/нітратів з одного боку, дозволяють констатувати інтенсифікацію синтезу оксиду азоту у хворих на ХОЗЛ у сполученні з ГХ і паралельно з цим порушення ендотеліальної функції особливо за підвищеним вмістом нітритів. За даними літератури [</w:t>
      </w:r>
      <w:r w:rsidR="003B436B">
        <w:rPr>
          <w:rFonts w:ascii="Times New Roman" w:eastAsia="Times New Roman" w:hAnsi="Times New Roman" w:cs="Times New Roman"/>
          <w:sz w:val="28"/>
          <w:szCs w:val="28"/>
          <w:lang w:eastAsia="ru-RU"/>
        </w:rPr>
        <w:fldChar w:fldCharType="begin"/>
      </w:r>
      <w:r w:rsidR="003B436B">
        <w:rPr>
          <w:rFonts w:ascii="Times New Roman" w:eastAsia="Times New Roman" w:hAnsi="Times New Roman" w:cs="Times New Roman"/>
          <w:sz w:val="28"/>
          <w:szCs w:val="28"/>
          <w:lang w:eastAsia="ru-RU"/>
        </w:rPr>
        <w:instrText xml:space="preserve"> REF _Ref503519914 \r \h </w:instrText>
      </w:r>
      <w:r w:rsidR="003B436B">
        <w:rPr>
          <w:rFonts w:ascii="Times New Roman" w:eastAsia="Times New Roman" w:hAnsi="Times New Roman" w:cs="Times New Roman"/>
          <w:sz w:val="28"/>
          <w:szCs w:val="28"/>
          <w:lang w:eastAsia="ru-RU"/>
        </w:rPr>
      </w:r>
      <w:r w:rsidR="003B436B">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321</w:t>
      </w:r>
      <w:r w:rsidR="003B436B">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вміст нітратів є менш інформативним у цьому плані, тому що залежить від харчового раціону. З іншого боку, підвищення нітритів/нітратів в крові можна розглядати як реакцію напруження адаптивних вазодилатуючих механізмів на цих стадіях перебігу ХОЗЛ, але при подальшому розвитку хвороби та артеріальної гіпертензії надлишок оксиду азоту може змінитися на прогресуюче зниження його продукції з наступним потенціюванням вазоконстрикторних реакцій.</w:t>
      </w:r>
    </w:p>
    <w:p w:rsidR="00850D46" w:rsidRPr="00156441" w:rsidRDefault="00850D46" w:rsidP="00850D46">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У хворих на ХОЗЛ з ГХ у загальному плані спостерігається посилення взаємодії оксиду азоту з тіоловими групами, що підтверджується суттєвим підвищенням у плазмі крові вмісту S-НТ порівняно з контролем (в 3,6 рази) та хворими з ізольованим перебігом ХОЗЛ (в 1,8 рази). Такі результати опосередковано свідчать про утворення активних метаболітів оксиду азоту (пероксинітриту, нітрозонію, нітроксилу), що здатні чинити пошкоджувальну дію </w:t>
      </w:r>
      <w:r w:rsidRPr="00156441">
        <w:rPr>
          <w:rFonts w:ascii="Times New Roman" w:eastAsia="Times New Roman" w:hAnsi="Times New Roman" w:cs="Times New Roman"/>
          <w:sz w:val="28"/>
          <w:szCs w:val="28"/>
          <w:lang w:eastAsia="ru-RU"/>
        </w:rPr>
        <w:lastRenderedPageBreak/>
        <w:t>на клітини судинного ендотелію. Також збільшення утворення S-НТ можна пов’язати з активацією іNOS. У плазмі крові хворих на ХОЗЛ з ГХ відмічається суттєве підвищення активності саме цієї форми NOS — в 3,4 рази по відношенню до контролю та в 1,7 раза по відношенню до групи хворих на ХОЗЛ у відсутності ГХ. На цьому тлі виявляється також й підвищення активності еNOS, але менш виражено, в середньому в 2,0 та 1,4 рази.</w:t>
      </w:r>
    </w:p>
    <w:p w:rsidR="00850D46" w:rsidRPr="00156441" w:rsidRDefault="00850D46" w:rsidP="00850D46">
      <w:pPr>
        <w:tabs>
          <w:tab w:val="left" w:pos="720"/>
          <w:tab w:val="left" w:pos="1643"/>
        </w:tabs>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Доведено, що iNOS продукує оксид азоту в кількості, яка на кілька порядків перевищує продукцію оксиду азоту за дії eNOS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_Ref502744754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323</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Тому в умовах активації iNOS при ХОЗЛ з ГХ надлишковий рівень нітритів/нітратів скоріше відображає інтенсивність синтезу оксиду азоту саме за дії цієї ізоформи ферменту. У результаті утворюється більша, ніж у нормі, кількість оксиду азоту, про що свідчить збільшення його кінцевих метаболітів. Але слід зазначити, що у патогенезі ХОЗЛ важливе місце відводиться активації вільнорадикальних процесів на тлі виснаження антиоксидантних ресурсів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_Ref502744767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324</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Тому підвищення стабільних метаболітів оксиду азоту в крові хворих на ХОЗЛ у сполученні з ГХ, ймовірно, пов’язано з експресією іNOS у відповідь на вплив активних форм кисню. Підвищення синтезу оксиду азоту внаслідок підвищення активності іNOS може чинити опосередкований констрикторний вплив через активацію судинної проникності та викликати запальний набряк в результаті підвищення активних форм кисню та прозапальних медіаторів.</w:t>
      </w:r>
    </w:p>
    <w:p w:rsidR="00850D46" w:rsidRPr="00156441" w:rsidRDefault="00850D46" w:rsidP="00850D46">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Отже, підвищення активності iNOS у хворих на ХОЗЛ з ГХ та синтезу внаслідок цього оксиду азоту у кількостях, перевищуючих його синтез за допомогою eNOS, має, з одного боку, адаптаційне значення, спрямоване на поліпшення перфузії тканин, а з іншого боку — надлишок оксиду азоту є більш небезпечним, ніж його недостатність. При високих концентраціях оксиду азоту утворюються пероксинітритний аніон та пероксинітритна кислота, що викликає утворення токсичного гідроксильного радикалу. Внаслідок цього накопичуються токсичні вільні радикали з подальшим переокисленням ліпідів клітинних мембран, поглиблюється запалення дихальних шляхів за рахунок підвищення судинної проникності. При активації вільнорадикального окислення оксид азоту бере участь </w:t>
      </w:r>
      <w:r w:rsidRPr="00156441">
        <w:rPr>
          <w:rFonts w:ascii="Times New Roman" w:eastAsia="Times New Roman" w:hAnsi="Times New Roman" w:cs="Times New Roman"/>
          <w:sz w:val="28"/>
          <w:szCs w:val="28"/>
          <w:lang w:eastAsia="ru-RU"/>
        </w:rPr>
        <w:lastRenderedPageBreak/>
        <w:t>в утворенні вільних радикалів, здатних викликати токсичне пошкодження дихальних шляхів і посилювати запалення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_Ref502744798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325</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p>
    <w:p w:rsidR="00850D46" w:rsidRPr="00156441" w:rsidRDefault="00850D46" w:rsidP="00850D46">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літературних джерелах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_Ref502744817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326</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_Ref502744818 \r \h  \* MERGEFORMAT </w:instrText>
      </w:r>
      <w:r w:rsidRPr="00156441">
        <w:rPr>
          <w:rFonts w:ascii="Times New Roman" w:eastAsia="Times New Roman" w:hAnsi="Times New Roman" w:cs="Times New Roman"/>
          <w:sz w:val="28"/>
          <w:szCs w:val="28"/>
          <w:lang w:eastAsia="ru-RU"/>
        </w:rPr>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327</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висловлюється точка зору щодо підвищення артеріального тиску у хворих на ХОЗЛ за рахунок негативних впливів кисневої недостатності на функцію ендотелію, що є однією з головних причин активізації процесів вільнорадикального окислення, перекисного окислення ліпідів та розвитку оксидативного стресу. Саме ендотеліальна дисфункція та оксидативний стрес розглядаються як сполучні ланки між ХОЗЛ і ГХ. Доведено, що інтенсифікація процесів ліпопероксидації суттєво впливає на структурно-функціональні властивості клітинних мембран, модифікуючий ефект продуктів ліпопероксидації реалізується через вазоконстрикцію судин та підвищення периферичного опору. Крім того, тканина легень, на відміну від інших органів, містить значну кількість ненасичених жирних кислот — субстратів ліпопероксидації [</w:t>
      </w:r>
      <w:r w:rsidR="003B436B">
        <w:rPr>
          <w:rFonts w:ascii="Times New Roman" w:eastAsia="Times New Roman" w:hAnsi="Times New Roman" w:cs="Times New Roman"/>
          <w:sz w:val="28"/>
          <w:szCs w:val="28"/>
          <w:lang w:eastAsia="ru-RU"/>
        </w:rPr>
        <w:fldChar w:fldCharType="begin"/>
      </w:r>
      <w:r w:rsidR="003B436B">
        <w:rPr>
          <w:rFonts w:ascii="Times New Roman" w:eastAsia="Times New Roman" w:hAnsi="Times New Roman" w:cs="Times New Roman"/>
          <w:sz w:val="28"/>
          <w:szCs w:val="28"/>
          <w:lang w:eastAsia="ru-RU"/>
        </w:rPr>
        <w:instrText xml:space="preserve"> REF _Ref503519963 \r \h </w:instrText>
      </w:r>
      <w:r w:rsidR="003B436B">
        <w:rPr>
          <w:rFonts w:ascii="Times New Roman" w:eastAsia="Times New Roman" w:hAnsi="Times New Roman" w:cs="Times New Roman"/>
          <w:sz w:val="28"/>
          <w:szCs w:val="28"/>
          <w:lang w:eastAsia="ru-RU"/>
        </w:rPr>
      </w:r>
      <w:r w:rsidR="003B436B">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328</w:t>
      </w:r>
      <w:r w:rsidR="003B436B">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fldChar w:fldCharType="begin"/>
      </w:r>
      <w:r w:rsidRPr="00156441">
        <w:rPr>
          <w:rFonts w:ascii="Times New Roman" w:eastAsia="Times New Roman" w:hAnsi="Times New Roman" w:cs="Times New Roman"/>
          <w:sz w:val="28"/>
          <w:szCs w:val="28"/>
          <w:lang w:eastAsia="ru-RU"/>
        </w:rPr>
        <w:instrText xml:space="preserve"> REF _Ref502744846 \r \h  \* MERGEFORMAT </w:instrText>
      </w:r>
      <w:r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b/>
          <w:bCs/>
          <w:sz w:val="28"/>
          <w:szCs w:val="28"/>
          <w:lang w:eastAsia="ru-RU"/>
        </w:rPr>
        <w:t>Помилка! Джерело посилання не знайдено.</w:t>
      </w:r>
      <w:r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З іншого боку, у патогенезі ХОЗЛ провідне місце належить хронічному запаленню, що зачіпляє всі структури легеневої тканини, ініціація та підтримка якого опосередковано підсилює утворення вільних радикалів зі збільшенням ендотелійпошкоджувальних стимулів. З цього приводу можна передбачати, що при ХОЗЛ у сполученні з ГХ виникає патологічне порочне коло, основними ланками якого є системна гіпоксія, хронічне системне запалення, пошкодження ендотелію судин, активація оксидативного стресу. </w:t>
      </w:r>
    </w:p>
    <w:p w:rsidR="001E52F1" w:rsidRPr="00156441" w:rsidRDefault="001E52F1" w:rsidP="001E52F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формуванні багатьох патологічних процесів особливе місце відводиться біогенним елементам. У літературі є поодинокі дані щодо стану їх обміну при серцево-легеневих захворюваннях. Ураховуючи той факт, що біогенні елементи беруть активну участь у широкому спектрі біохімічних і фізіологічних процесів, порушення яких відіграє важливу роль у патогенезі захворювань, представляло інтерес визначити у сироватці крові хворих на ХОЗЛ у сполученні з ГХ вміст кальцію, заліза, фосфору та магнію</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біогенних елементів, з якими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язані вільнорадикальні процеси, антиоксидантна активність, енергетичний гомеостаз та адаптаційні реакції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_Ref502738266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302</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p>
    <w:p w:rsidR="001E52F1" w:rsidRPr="00156441" w:rsidRDefault="001E52F1" w:rsidP="001E52F1">
      <w:pPr>
        <w:spacing w:after="0" w:line="360" w:lineRule="auto"/>
        <w:ind w:firstLine="708"/>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bCs/>
          <w:sz w:val="28"/>
          <w:szCs w:val="28"/>
          <w:lang w:eastAsia="ru-RU"/>
        </w:rPr>
        <w:lastRenderedPageBreak/>
        <w:t xml:space="preserve">Для хворих з ХОЗЛ у поєднанні з ГХ визначається вірогідне </w:t>
      </w:r>
      <w:r w:rsidRPr="00156441">
        <w:rPr>
          <w:rFonts w:ascii="Times New Roman" w:eastAsia="Times New Roman" w:hAnsi="Times New Roman" w:cs="Times New Roman"/>
          <w:sz w:val="28"/>
          <w:szCs w:val="28"/>
          <w:lang w:eastAsia="ru-RU"/>
        </w:rPr>
        <w:t xml:space="preserve">(р&lt;0,001) при порівнянні з хворими на ХОЗЛ у відсутності ГХ підвищення вмісту сироваткового кальцію в середньому в 1,2 </w:t>
      </w:r>
      <w:r w:rsidR="00723800" w:rsidRPr="00156441">
        <w:rPr>
          <w:rFonts w:ascii="Times New Roman" w:eastAsia="Times New Roman" w:hAnsi="Times New Roman" w:cs="Times New Roman"/>
          <w:sz w:val="28"/>
          <w:szCs w:val="28"/>
          <w:lang w:eastAsia="ru-RU"/>
        </w:rPr>
        <w:t>рази</w:t>
      </w:r>
      <w:r w:rsidRPr="00156441">
        <w:rPr>
          <w:rFonts w:ascii="Times New Roman" w:eastAsia="Times New Roman" w:hAnsi="Times New Roman" w:cs="Times New Roman"/>
          <w:sz w:val="28"/>
          <w:szCs w:val="28"/>
          <w:lang w:eastAsia="ru-RU"/>
        </w:rPr>
        <w:t>. Причому практично у всіх пацієнтів (96</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основної групи рівень кальцію виходить за межі фізіологічної норми. Збільшений вміст кальцію у хворих з коморбідною патологією може опосередковано свідчити про системне пошкодження клітинних мембран, у тому числі й гладеньких м</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 xml:space="preserve">язів судин, збільшення їх скорочувальної здатності, що негативно впливає на мікроциркуляцію та регіональний </w:t>
      </w:r>
      <w:r w:rsidR="00F3176C" w:rsidRPr="00156441">
        <w:rPr>
          <w:rFonts w:ascii="Times New Roman" w:eastAsia="Times New Roman" w:hAnsi="Times New Roman" w:cs="Times New Roman"/>
          <w:sz w:val="28"/>
          <w:szCs w:val="28"/>
          <w:lang w:eastAsia="ru-RU"/>
        </w:rPr>
        <w:t>кров</w:t>
      </w:r>
      <w:r w:rsidR="00850D46" w:rsidRPr="00156441">
        <w:rPr>
          <w:rFonts w:ascii="Times New Roman" w:eastAsia="Times New Roman" w:hAnsi="Times New Roman" w:cs="Times New Roman"/>
          <w:sz w:val="28"/>
          <w:szCs w:val="28"/>
          <w:lang w:eastAsia="ru-RU"/>
        </w:rPr>
        <w:t>ообіг</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p>
    <w:p w:rsidR="001E52F1" w:rsidRPr="00156441" w:rsidRDefault="001E52F1" w:rsidP="001E52F1">
      <w:pPr>
        <w:spacing w:after="0" w:line="360" w:lineRule="auto"/>
        <w:ind w:firstLine="720"/>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sz w:val="28"/>
          <w:szCs w:val="28"/>
          <w:lang w:eastAsia="ru-RU"/>
        </w:rPr>
        <w:t>У сироватці крові пацієнтів з ХОЗЛ у сполученні з ГХ спостерігається також вірогідне по відношенню до пацієнтів з ізольованим перебігом ХОЗЛ підвищення концентрації</w:t>
      </w:r>
      <w:r w:rsidR="005D61D5" w:rsidRPr="00156441">
        <w:rPr>
          <w:rFonts w:ascii="Times New Roman" w:eastAsia="Times New Roman" w:hAnsi="Times New Roman" w:cs="Times New Roman"/>
          <w:sz w:val="28"/>
          <w:szCs w:val="28"/>
          <w:lang w:eastAsia="ru-RU"/>
        </w:rPr>
        <w:t xml:space="preserve"> фосфору в середньому в 1,2 рази</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у 67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хворих</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реєструється її збільшення вище фізіологічної норми, що дозволяє говорити про напруження пристосувальних реакцій організму,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язане з порушенням метаболічних та енергетичних процесів, де фосфор відіграє важливу роль.</w:t>
      </w:r>
      <w:r w:rsidR="009C6C87" w:rsidRPr="00156441">
        <w:rPr>
          <w:rFonts w:ascii="Times New Roman" w:eastAsia="Times New Roman" w:hAnsi="Times New Roman" w:cs="Times New Roman"/>
          <w:sz w:val="28"/>
          <w:szCs w:val="28"/>
          <w:lang w:eastAsia="ru-RU"/>
        </w:rPr>
        <w:t xml:space="preserve"> </w:t>
      </w:r>
    </w:p>
    <w:p w:rsidR="001E52F1" w:rsidRPr="00156441" w:rsidRDefault="001E52F1" w:rsidP="001E52F1">
      <w:pPr>
        <w:spacing w:after="0" w:line="360" w:lineRule="auto"/>
        <w:ind w:firstLine="708"/>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літературі є дані щодо порушення фосфорно-кальцієвого обміну у хворих на ХОЗЛ, які автори пояснюють особливостями патофізіологічних змін захворювання, а саме дисбалансом між активністю стрес-реалізуючих факторів і станом стрес-лімітуючих систем, що призводить до виснаження резерву компенсаторно-пристосувальних механізмів й, як наслідок, до порушень кальцій-регулюючих систем [</w:t>
      </w:r>
      <w:r w:rsidR="00F3176C" w:rsidRPr="00156441">
        <w:rPr>
          <w:rFonts w:ascii="Times New Roman" w:eastAsia="Times New Roman" w:hAnsi="Times New Roman" w:cs="Times New Roman"/>
          <w:sz w:val="28"/>
          <w:szCs w:val="28"/>
          <w:lang w:eastAsia="ru-RU"/>
        </w:rPr>
        <w:fldChar w:fldCharType="begin"/>
      </w:r>
      <w:r w:rsidR="00F3176C" w:rsidRPr="00156441">
        <w:rPr>
          <w:rFonts w:ascii="Times New Roman" w:eastAsia="Times New Roman" w:hAnsi="Times New Roman" w:cs="Times New Roman"/>
          <w:sz w:val="28"/>
          <w:szCs w:val="28"/>
          <w:lang w:eastAsia="ru-RU"/>
        </w:rPr>
        <w:instrText xml:space="preserve"> REF _Ref502745492 \r \h </w:instrText>
      </w:r>
      <w:r w:rsidR="00F44EE4" w:rsidRPr="00156441">
        <w:rPr>
          <w:rFonts w:ascii="Times New Roman" w:eastAsia="Times New Roman" w:hAnsi="Times New Roman" w:cs="Times New Roman"/>
          <w:sz w:val="28"/>
          <w:szCs w:val="28"/>
          <w:lang w:eastAsia="ru-RU"/>
        </w:rPr>
        <w:instrText xml:space="preserve"> \* MERGEFORMAT </w:instrText>
      </w:r>
      <w:r w:rsidR="00F3176C" w:rsidRPr="00156441">
        <w:rPr>
          <w:rFonts w:ascii="Times New Roman" w:eastAsia="Times New Roman" w:hAnsi="Times New Roman" w:cs="Times New Roman"/>
          <w:sz w:val="28"/>
          <w:szCs w:val="28"/>
          <w:lang w:eastAsia="ru-RU"/>
        </w:rPr>
      </w:r>
      <w:r w:rsidR="00F3176C" w:rsidRPr="00156441">
        <w:rPr>
          <w:rFonts w:ascii="Times New Roman" w:eastAsia="Times New Roman" w:hAnsi="Times New Roman" w:cs="Times New Roman"/>
          <w:sz w:val="28"/>
          <w:szCs w:val="28"/>
          <w:lang w:eastAsia="ru-RU"/>
        </w:rPr>
        <w:fldChar w:fldCharType="separate"/>
      </w:r>
      <w:r w:rsidR="001C0081">
        <w:rPr>
          <w:rFonts w:ascii="Times New Roman" w:eastAsia="Times New Roman" w:hAnsi="Times New Roman" w:cs="Times New Roman"/>
          <w:sz w:val="28"/>
          <w:szCs w:val="28"/>
          <w:lang w:eastAsia="ru-RU"/>
        </w:rPr>
        <w:t>339</w:t>
      </w:r>
      <w:r w:rsidR="00F3176C" w:rsidRPr="00156441">
        <w:rPr>
          <w:rFonts w:ascii="Times New Roman" w:eastAsia="Times New Roman" w:hAnsi="Times New Roman" w:cs="Times New Roman"/>
          <w:sz w:val="28"/>
          <w:szCs w:val="28"/>
          <w:lang w:eastAsia="ru-RU"/>
        </w:rPr>
        <w:fldChar w:fldCharType="end"/>
      </w:r>
      <w:r w:rsidRPr="00156441">
        <w:rPr>
          <w:rFonts w:ascii="Times New Roman" w:eastAsia="Times New Roman" w:hAnsi="Times New Roman" w:cs="Times New Roman"/>
          <w:sz w:val="28"/>
          <w:szCs w:val="28"/>
          <w:lang w:eastAsia="ru-RU"/>
        </w:rPr>
        <w:t xml:space="preserve">]. </w:t>
      </w:r>
    </w:p>
    <w:p w:rsidR="001E52F1" w:rsidRPr="00156441" w:rsidRDefault="001E52F1" w:rsidP="001E52F1">
      <w:pPr>
        <w:spacing w:after="0" w:line="360" w:lineRule="auto"/>
        <w:ind w:firstLine="708"/>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У хворих основної групи по відношенню до групи порівняння визначається вірогідне (р=0,0016) підвищення вмісту сироватковог</w:t>
      </w:r>
      <w:r w:rsidR="005D61D5" w:rsidRPr="00156441">
        <w:rPr>
          <w:rFonts w:ascii="Times New Roman" w:eastAsia="Times New Roman" w:hAnsi="Times New Roman" w:cs="Times New Roman"/>
          <w:sz w:val="28"/>
          <w:szCs w:val="28"/>
          <w:lang w:eastAsia="ru-RU"/>
        </w:rPr>
        <w:t>о заліза в середньому в 1,3 рази</w:t>
      </w:r>
      <w:r w:rsidRPr="00156441">
        <w:rPr>
          <w:rFonts w:ascii="Times New Roman" w:eastAsia="Times New Roman" w:hAnsi="Times New Roman" w:cs="Times New Roman"/>
          <w:sz w:val="28"/>
          <w:szCs w:val="28"/>
          <w:lang w:eastAsia="ru-RU"/>
        </w:rPr>
        <w:t>. У 47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осіб цієї групи рівень біогенного елементу</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вище фізіологічної норми.</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Підвищення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заліза, особливо виражене при коморбідній серцево-легеневій патології, є негативною ознакою,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язаною, наприклад, з його здатністю стимулювати продукування активних форм кисню</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ініціаторів</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 xml:space="preserve">вільнорадикальних реакцій, перекисного окислення ліпідів. </w:t>
      </w: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 При зіставленні рівня магнію у хворих основної групи та групи порівняння вірогідних відмінностей не виявляється, але у незначної кількості пацієнтів обох груп спостерігається підвищення концентрації цього біогенного елементу по </w:t>
      </w:r>
      <w:r w:rsidRPr="00156441">
        <w:rPr>
          <w:rFonts w:ascii="Times New Roman" w:eastAsia="Times New Roman" w:hAnsi="Times New Roman" w:cs="Times New Roman"/>
          <w:sz w:val="28"/>
          <w:szCs w:val="28"/>
          <w:lang w:eastAsia="ru-RU"/>
        </w:rPr>
        <w:lastRenderedPageBreak/>
        <w:t>відношенню до фізіологічної норми, що можна розглядати як адаптаційну реакцію у відповідь на гіпоксичний стан та активацію вільнорадикальних реакцій.</w:t>
      </w:r>
    </w:p>
    <w:p w:rsidR="001E52F1" w:rsidRPr="00156441" w:rsidRDefault="001E52F1" w:rsidP="001E52F1">
      <w:pPr>
        <w:spacing w:after="0" w:line="360" w:lineRule="auto"/>
        <w:ind w:firstLine="720"/>
        <w:jc w:val="both"/>
        <w:rPr>
          <w:rFonts w:ascii="Times New Roman" w:eastAsia="Times New Roman" w:hAnsi="Times New Roman" w:cs="Times New Roman"/>
          <w:bCs/>
          <w:sz w:val="28"/>
          <w:szCs w:val="28"/>
          <w:lang w:eastAsia="ru-RU"/>
        </w:rPr>
      </w:pPr>
      <w:r w:rsidRPr="00156441">
        <w:rPr>
          <w:rFonts w:ascii="Times New Roman" w:eastAsia="Times New Roman" w:hAnsi="Times New Roman" w:cs="Times New Roman"/>
          <w:bCs/>
          <w:sz w:val="28"/>
          <w:szCs w:val="28"/>
          <w:lang w:eastAsia="ru-RU"/>
        </w:rPr>
        <w:t>Отже, у патогенез коморбідної серцево-легеневої патології задіяні порушення обміну біогенних елементів, причому важливу роль у її розвитку відіграють не стільки зміни метаболізму кожного з біогенних елементів, скільки порушення їх балансу у цілому [</w:t>
      </w:r>
      <w:r w:rsidR="00F3176C" w:rsidRPr="00156441">
        <w:rPr>
          <w:rFonts w:ascii="Times New Roman" w:eastAsia="Times New Roman" w:hAnsi="Times New Roman" w:cs="Times New Roman"/>
          <w:bCs/>
          <w:sz w:val="28"/>
          <w:szCs w:val="28"/>
          <w:lang w:eastAsia="ru-RU"/>
        </w:rPr>
        <w:fldChar w:fldCharType="begin"/>
      </w:r>
      <w:r w:rsidR="00F3176C" w:rsidRPr="00156441">
        <w:rPr>
          <w:rFonts w:ascii="Times New Roman" w:eastAsia="Times New Roman" w:hAnsi="Times New Roman" w:cs="Times New Roman"/>
          <w:bCs/>
          <w:sz w:val="28"/>
          <w:szCs w:val="28"/>
          <w:lang w:eastAsia="ru-RU"/>
        </w:rPr>
        <w:instrText xml:space="preserve"> REF _Ref502745516 \r \h </w:instrText>
      </w:r>
      <w:r w:rsidR="00F44EE4" w:rsidRPr="00156441">
        <w:rPr>
          <w:rFonts w:ascii="Times New Roman" w:eastAsia="Times New Roman" w:hAnsi="Times New Roman" w:cs="Times New Roman"/>
          <w:bCs/>
          <w:sz w:val="28"/>
          <w:szCs w:val="28"/>
          <w:lang w:eastAsia="ru-RU"/>
        </w:rPr>
        <w:instrText xml:space="preserve"> \* MERGEFORMAT </w:instrText>
      </w:r>
      <w:r w:rsidR="00F3176C" w:rsidRPr="00156441">
        <w:rPr>
          <w:rFonts w:ascii="Times New Roman" w:eastAsia="Times New Roman" w:hAnsi="Times New Roman" w:cs="Times New Roman"/>
          <w:bCs/>
          <w:sz w:val="28"/>
          <w:szCs w:val="28"/>
          <w:lang w:eastAsia="ru-RU"/>
        </w:rPr>
      </w:r>
      <w:r w:rsidR="00F3176C" w:rsidRPr="00156441">
        <w:rPr>
          <w:rFonts w:ascii="Times New Roman" w:eastAsia="Times New Roman" w:hAnsi="Times New Roman" w:cs="Times New Roman"/>
          <w:bCs/>
          <w:sz w:val="28"/>
          <w:szCs w:val="28"/>
          <w:lang w:eastAsia="ru-RU"/>
        </w:rPr>
        <w:fldChar w:fldCharType="separate"/>
      </w:r>
      <w:r w:rsidR="001C0081">
        <w:rPr>
          <w:rFonts w:ascii="Times New Roman" w:eastAsia="Times New Roman" w:hAnsi="Times New Roman" w:cs="Times New Roman"/>
          <w:bCs/>
          <w:sz w:val="28"/>
          <w:szCs w:val="28"/>
          <w:lang w:eastAsia="ru-RU"/>
        </w:rPr>
        <w:t>340</w:t>
      </w:r>
      <w:r w:rsidR="00F3176C" w:rsidRPr="00156441">
        <w:rPr>
          <w:rFonts w:ascii="Times New Roman" w:eastAsia="Times New Roman" w:hAnsi="Times New Roman" w:cs="Times New Roman"/>
          <w:bCs/>
          <w:sz w:val="28"/>
          <w:szCs w:val="28"/>
          <w:lang w:eastAsia="ru-RU"/>
        </w:rPr>
        <w:fldChar w:fldCharType="end"/>
      </w:r>
      <w:r w:rsidRPr="00156441">
        <w:rPr>
          <w:rFonts w:ascii="Times New Roman" w:eastAsia="Times New Roman" w:hAnsi="Times New Roman" w:cs="Times New Roman"/>
          <w:bCs/>
          <w:sz w:val="28"/>
          <w:szCs w:val="28"/>
          <w:lang w:eastAsia="ru-RU"/>
        </w:rPr>
        <w:t>]. Напевно, своєчасна корекція порушень балансу біогенних елементів при ХОЗЛ у сполученні з ГХ дозволить суттєво знизити тяжкість та частоту ускладнень.</w:t>
      </w: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Прогноз тяжкості перебігу ХОЗЛ у значній мірі визначається супутніми змінами з боку не лише кардіоваскулярної, але й інших систем організму людини та поєднаних з ними порушеннями тканинного обміну, стану внутрішніх органів, що є прогностично несприятливим фактором. Результати свідчать про вірогідне підвищення у сироватці крові хворих основної групи по відношенню до групи порівняння загальної активності креатинфосфокінази (КФК) в середньому в 1,2 </w:t>
      </w:r>
      <w:r w:rsidR="00F3176C" w:rsidRPr="00156441">
        <w:rPr>
          <w:rFonts w:ascii="Times New Roman" w:eastAsia="Times New Roman" w:hAnsi="Times New Roman" w:cs="Times New Roman"/>
          <w:sz w:val="28"/>
          <w:szCs w:val="28"/>
          <w:lang w:eastAsia="ru-RU"/>
        </w:rPr>
        <w:t>рази</w:t>
      </w:r>
      <w:r w:rsidRPr="00156441">
        <w:rPr>
          <w:rFonts w:ascii="Times New Roman" w:eastAsia="Times New Roman" w:hAnsi="Times New Roman" w:cs="Times New Roman"/>
          <w:sz w:val="28"/>
          <w:szCs w:val="28"/>
          <w:lang w:eastAsia="ru-RU"/>
        </w:rPr>
        <w:t xml:space="preserve"> та особливо МВ-ізоф</w:t>
      </w:r>
      <w:r w:rsidR="005D61D5" w:rsidRPr="00156441">
        <w:rPr>
          <w:rFonts w:ascii="Times New Roman" w:eastAsia="Times New Roman" w:hAnsi="Times New Roman" w:cs="Times New Roman"/>
          <w:sz w:val="28"/>
          <w:szCs w:val="28"/>
          <w:lang w:eastAsia="ru-RU"/>
        </w:rPr>
        <w:t>орми цього ферменту</w:t>
      </w:r>
      <w:r w:rsidR="009C6C87" w:rsidRPr="00156441">
        <w:rPr>
          <w:rFonts w:ascii="Times New Roman" w:eastAsia="Times New Roman" w:hAnsi="Times New Roman" w:cs="Times New Roman"/>
          <w:sz w:val="28"/>
          <w:szCs w:val="28"/>
          <w:lang w:eastAsia="ru-RU"/>
        </w:rPr>
        <w:t xml:space="preserve"> — </w:t>
      </w:r>
      <w:r w:rsidR="005D61D5" w:rsidRPr="00156441">
        <w:rPr>
          <w:rFonts w:ascii="Times New Roman" w:eastAsia="Times New Roman" w:hAnsi="Times New Roman" w:cs="Times New Roman"/>
          <w:sz w:val="28"/>
          <w:szCs w:val="28"/>
          <w:lang w:eastAsia="ru-RU"/>
        </w:rPr>
        <w:t>в 2,0 рази</w:t>
      </w:r>
      <w:r w:rsidRPr="00156441">
        <w:rPr>
          <w:rFonts w:ascii="Times New Roman" w:eastAsia="Times New Roman" w:hAnsi="Times New Roman" w:cs="Times New Roman"/>
          <w:sz w:val="28"/>
          <w:szCs w:val="28"/>
          <w:lang w:eastAsia="ru-RU"/>
        </w:rPr>
        <w:t xml:space="preserve"> (р&lt;0,001). У 73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випадків ХОЗЛ у сполученні з ГХ активність загальної КФК виходить за межі фізіологічної норми, тоді як для МВ-КФК це характерно у 93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випадків.</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По відношенню до хворих групи порівняння вірогідним виявляється підвищення активності у сироватці крові ГГТП (у середньому в 1,8 раз</w:t>
      </w:r>
      <w:r w:rsidR="005D61D5" w:rsidRPr="00156441">
        <w:rPr>
          <w:rFonts w:ascii="Times New Roman" w:eastAsia="Times New Roman" w:hAnsi="Times New Roman" w:cs="Times New Roman"/>
          <w:sz w:val="28"/>
          <w:szCs w:val="28"/>
          <w:lang w:eastAsia="ru-RU"/>
        </w:rPr>
        <w:t>и</w:t>
      </w:r>
      <w:r w:rsidRPr="00156441">
        <w:rPr>
          <w:rFonts w:ascii="Times New Roman" w:eastAsia="Times New Roman" w:hAnsi="Times New Roman" w:cs="Times New Roman"/>
          <w:sz w:val="28"/>
          <w:szCs w:val="28"/>
          <w:lang w:eastAsia="ru-RU"/>
        </w:rPr>
        <w:t>) і ЛДГ (у 1,3 раз</w:t>
      </w:r>
      <w:r w:rsidR="005D61D5" w:rsidRPr="00156441">
        <w:rPr>
          <w:rFonts w:ascii="Times New Roman" w:eastAsia="Times New Roman" w:hAnsi="Times New Roman" w:cs="Times New Roman"/>
          <w:sz w:val="28"/>
          <w:szCs w:val="28"/>
          <w:lang w:eastAsia="ru-RU"/>
        </w:rPr>
        <w:t>и</w:t>
      </w:r>
      <w:r w:rsidRPr="00156441">
        <w:rPr>
          <w:rFonts w:ascii="Times New Roman" w:eastAsia="Times New Roman" w:hAnsi="Times New Roman" w:cs="Times New Roman"/>
          <w:sz w:val="28"/>
          <w:szCs w:val="28"/>
          <w:lang w:eastAsia="ru-RU"/>
        </w:rPr>
        <w:t>). У 34 пацієнтів (62</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з ХОЗЛ у сполученні з ГХ</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вище фізіологічної норми спостерігається активність ГГТП , у 49 хворих (89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активність ЛДГ, у 35 хворих (64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активність АсАТ та АлАТ, у 48 хворих (87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активність лужної фосфатази.</w:t>
      </w:r>
      <w:r w:rsidR="009C6C87" w:rsidRPr="00156441">
        <w:rPr>
          <w:rFonts w:ascii="Times New Roman" w:eastAsia="Times New Roman" w:hAnsi="Times New Roman" w:cs="Times New Roman"/>
          <w:sz w:val="28"/>
          <w:szCs w:val="28"/>
          <w:lang w:eastAsia="ru-RU"/>
        </w:rPr>
        <w:t xml:space="preserve"> </w:t>
      </w: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Одержані результати щодо активності органоспецифічних ферментів у крові обстежених хворих, особливо у випадку поєднання ХОЗЛ з ГХ, свідчать про розвиток мембранної патології, яка супроводжується надходженням у кров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яне русло органоспецифічних ферментів. Особливо це стосується МВ-КФК, ЛДГ, лужної фосфатази, амінотрансфераз, ГГТП. З іншого боку, такі зміни віддзеркалюють напруження компенсаторно-адаптаційних реакцій.</w:t>
      </w:r>
      <w:r w:rsidR="009C6C87" w:rsidRPr="00156441">
        <w:rPr>
          <w:rFonts w:ascii="Times New Roman" w:eastAsia="Times New Roman" w:hAnsi="Times New Roman" w:cs="Times New Roman"/>
          <w:sz w:val="28"/>
          <w:szCs w:val="28"/>
          <w:lang w:eastAsia="ru-RU"/>
        </w:rPr>
        <w:t xml:space="preserve"> </w:t>
      </w:r>
    </w:p>
    <w:p w:rsidR="009F6F70" w:rsidRPr="00156441" w:rsidRDefault="002A2F36"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lastRenderedPageBreak/>
        <w:t>У групи хворих на ХОЗЛ в поєднанні з ГХ було виявлено більш значущі зміни показників відносно групи контролю. Було встановлено зростання розміру КДР ЛШ на 8,51</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ТЗС ЛШ на 33,3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ТМШП на 44,4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ІММ ЛШ</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на 40</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та ВТС ЛШ на 25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товщини передньої стінки ПЖ на 40</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та підвищення СТЛА на 38,9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 У хворих з ізольованим перебігом ХОЗЛ виявлено достовірне збільшення ТЗС ЛШ на 22,2</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і ТМШП на 33,3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ММ ЛШ</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на 32,4</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ВТС ЛШ на 25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товщини передньої стінки ПЖ на 23,2</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та підвищення СТЛА на 26,6</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у порівнянні з контролем. Достовірного зростання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КДР ЛШ не відзначалось, хоч й була тенденція до його збільшення.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При порівнянні отриманих даних ЕхоКГ у хворих на коморбідну патологію з групою ізольованого ХОЗЛ було виявлено збільшення КДР ЛШ на 6,25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ТЗС ЛШ на 9</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і ТМШП на 8,3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Достовірної різниці в показниках ІММ ЛШ та ВТС ЛШ встановлено не було. Виявлено потовщення стінки ПШ на 13,6</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(р&lt;0,05) та СТЛА на 9,7</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Таким чином в основній групі гіпертрофічні типи ремоделювання зустрічались у 55,5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концентричне ремоделювання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у 36,1</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та нормальна геометрія зустрічалась у 8,3</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випадків, тоді як у </w:t>
      </w:r>
      <w:r w:rsidR="00F3176C" w:rsidRPr="00156441">
        <w:rPr>
          <w:rFonts w:ascii="Times New Roman" w:eastAsia="Times New Roman" w:hAnsi="Times New Roman" w:cs="Times New Roman"/>
          <w:sz w:val="28"/>
          <w:szCs w:val="28"/>
          <w:lang w:eastAsia="ru-RU"/>
        </w:rPr>
        <w:t>групі</w:t>
      </w:r>
      <w:r w:rsidRPr="00156441">
        <w:rPr>
          <w:rFonts w:ascii="Times New Roman" w:eastAsia="Times New Roman" w:hAnsi="Times New Roman" w:cs="Times New Roman"/>
          <w:sz w:val="28"/>
          <w:szCs w:val="28"/>
          <w:lang w:eastAsia="ru-RU"/>
        </w:rPr>
        <w:t xml:space="preserve"> порівняння у 36</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48</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та 16</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відповідно</w:t>
      </w:r>
      <w:r w:rsidR="00B1632E" w:rsidRPr="00156441">
        <w:rPr>
          <w:rFonts w:ascii="Times New Roman" w:eastAsia="Times New Roman" w:hAnsi="Times New Roman" w:cs="Times New Roman"/>
          <w:sz w:val="28"/>
          <w:szCs w:val="28"/>
          <w:lang w:eastAsia="ru-RU"/>
        </w:rPr>
        <w:t>.</w:t>
      </w:r>
    </w:p>
    <w:p w:rsidR="00AC7CE0" w:rsidRPr="00156441" w:rsidRDefault="00AC7CE0" w:rsidP="00AC7CE0">
      <w:pPr>
        <w:pStyle w:val="a4"/>
        <w:spacing w:after="0" w:line="360" w:lineRule="auto"/>
        <w:ind w:left="0" w:firstLine="708"/>
        <w:jc w:val="both"/>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Порушення систолічної функції ЛШ (зниження ФВ менш 45</w:t>
      </w:r>
      <w:r w:rsidR="00C70355" w:rsidRPr="00156441">
        <w:rPr>
          <w:rFonts w:ascii="Times New Roman" w:eastAsia="Times New Roman" w:hAnsi="Times New Roman" w:cs="Times New Roman"/>
          <w:sz w:val="28"/>
          <w:szCs w:val="28"/>
          <w:lang w:eastAsia="ru-RU"/>
        </w:rPr>
        <w:t> %</w:t>
      </w:r>
      <w:r w:rsidRPr="00156441">
        <w:rPr>
          <w:rFonts w:ascii="Times New Roman" w:eastAsia="Times New Roman" w:hAnsi="Times New Roman" w:cs="Times New Roman"/>
          <w:sz w:val="28"/>
          <w:szCs w:val="28"/>
          <w:lang w:eastAsia="ru-RU"/>
        </w:rPr>
        <w:t xml:space="preserve">) не було встановлено </w:t>
      </w:r>
      <w:r w:rsidR="001E0F2F" w:rsidRPr="00156441">
        <w:rPr>
          <w:rFonts w:ascii="Times New Roman" w:eastAsia="Times New Roman" w:hAnsi="Times New Roman" w:cs="Times New Roman"/>
          <w:sz w:val="28"/>
          <w:szCs w:val="28"/>
          <w:lang w:eastAsia="ru-RU"/>
        </w:rPr>
        <w:t>ні</w:t>
      </w:r>
      <w:r w:rsidRPr="00156441">
        <w:rPr>
          <w:rFonts w:ascii="Times New Roman" w:eastAsia="Times New Roman" w:hAnsi="Times New Roman" w:cs="Times New Roman"/>
          <w:sz w:val="28"/>
          <w:szCs w:val="28"/>
          <w:lang w:eastAsia="ru-RU"/>
        </w:rPr>
        <w:t xml:space="preserve"> у одного пацієнта ХОЗЛ, однак у порівнянні з групою контролю було виявлено зниження цього показника, більш у основній групі.</w:t>
      </w:r>
      <w:r w:rsidRPr="00156441">
        <w:rPr>
          <w:rFonts w:ascii="Times New Roman" w:hAnsi="Times New Roman" w:cs="Times New Roman"/>
          <w:sz w:val="28"/>
          <w:szCs w:val="28"/>
        </w:rPr>
        <w:t xml:space="preserve"> При оцінці систолічної функції ПШ використовувався показник фракції зміни площі перерізу правого шлуночку, яка знаходилась у межах фі</w:t>
      </w:r>
      <w:r w:rsidR="001E0F2F" w:rsidRPr="00156441">
        <w:rPr>
          <w:rFonts w:ascii="Times New Roman" w:hAnsi="Times New Roman" w:cs="Times New Roman"/>
          <w:sz w:val="28"/>
          <w:szCs w:val="28"/>
        </w:rPr>
        <w:t>зі</w:t>
      </w:r>
      <w:r w:rsidRPr="00156441">
        <w:rPr>
          <w:rFonts w:ascii="Times New Roman" w:hAnsi="Times New Roman" w:cs="Times New Roman"/>
          <w:sz w:val="28"/>
          <w:szCs w:val="28"/>
        </w:rPr>
        <w:t>ологічної норма (</w:t>
      </w:r>
      <w:r w:rsidR="009C6C87" w:rsidRPr="00156441">
        <w:rPr>
          <w:rFonts w:ascii="Times New Roman" w:hAnsi="Times New Roman" w:cs="Times New Roman"/>
          <w:sz w:val="28"/>
          <w:szCs w:val="28"/>
        </w:rPr>
        <w:t>&lt;</w:t>
      </w:r>
      <w:r w:rsidRPr="00156441">
        <w:rPr>
          <w:rFonts w:ascii="Times New Roman" w:hAnsi="Times New Roman" w:cs="Times New Roman"/>
          <w:sz w:val="28"/>
          <w:szCs w:val="28"/>
        </w:rPr>
        <w:t>30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у всіх обстежених групах. Однак, ФЗПП була статистично нижче у основній групі (42,1± 0,98; р&lt;0,05) відносно як</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до групи хворих з ізольованим перебігом ХОЗЛ так й до групи контролю (57,7±1,18; р&lt;0,05), так й у групі порівняння виявлено зниження показника (46,1±0,87; р&lt;0,05) відносно контролю.</w:t>
      </w:r>
    </w:p>
    <w:p w:rsidR="00AC7CE0" w:rsidRPr="00156441" w:rsidRDefault="00E5710C" w:rsidP="00AC7CE0">
      <w:pPr>
        <w:pStyle w:val="a4"/>
        <w:spacing w:after="0" w:line="360" w:lineRule="auto"/>
        <w:ind w:left="0" w:firstLine="708"/>
        <w:jc w:val="both"/>
        <w:rPr>
          <w:rFonts w:ascii="Times New Roman" w:hAnsi="Times New Roman" w:cs="Times New Roman"/>
          <w:sz w:val="28"/>
          <w:szCs w:val="28"/>
        </w:rPr>
      </w:pPr>
      <w:r w:rsidRPr="00156441">
        <w:rPr>
          <w:rFonts w:ascii="Times New Roman" w:hAnsi="Times New Roman" w:cs="Times New Roman"/>
          <w:sz w:val="28"/>
          <w:szCs w:val="28"/>
        </w:rPr>
        <w:t>Порушення діастолічної дисфункції реєструвалось у переважної більшості обстежених</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97,2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 основній групі та 68</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у групі порівняння. Переважав I тип </w:t>
      </w:r>
      <w:r w:rsidRPr="00156441">
        <w:rPr>
          <w:rFonts w:ascii="Times New Roman" w:hAnsi="Times New Roman" w:cs="Times New Roman"/>
          <w:sz w:val="28"/>
          <w:szCs w:val="28"/>
        </w:rPr>
        <w:lastRenderedPageBreak/>
        <w:t>ДД,</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псевдонормальний тип наповнення ЛШ відмічався у 2,7</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та 32</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випадків відповідно. </w:t>
      </w:r>
      <w:r w:rsidR="00F3176C" w:rsidRPr="00156441">
        <w:rPr>
          <w:rFonts w:ascii="Times New Roman" w:hAnsi="Times New Roman" w:cs="Times New Roman"/>
          <w:sz w:val="28"/>
          <w:szCs w:val="28"/>
        </w:rPr>
        <w:t>Рестриктивний</w:t>
      </w:r>
      <w:r w:rsidRPr="00156441">
        <w:rPr>
          <w:rFonts w:ascii="Times New Roman" w:hAnsi="Times New Roman" w:cs="Times New Roman"/>
          <w:sz w:val="28"/>
          <w:szCs w:val="28"/>
        </w:rPr>
        <w:t xml:space="preserve"> тип ДД ЛШ не визначався.</w:t>
      </w:r>
    </w:p>
    <w:p w:rsidR="00EC6FA9" w:rsidRPr="00156441" w:rsidRDefault="00E5710C" w:rsidP="00EC6FA9">
      <w:pPr>
        <w:spacing w:after="0" w:line="360" w:lineRule="auto"/>
        <w:jc w:val="both"/>
        <w:rPr>
          <w:rFonts w:ascii="Times New Roman" w:hAnsi="Times New Roman" w:cs="Times New Roman"/>
          <w:sz w:val="28"/>
          <w:szCs w:val="28"/>
        </w:rPr>
      </w:pPr>
      <w:r w:rsidRPr="00156441">
        <w:rPr>
          <w:rFonts w:ascii="Times New Roman" w:hAnsi="Times New Roman" w:cs="Times New Roman"/>
          <w:sz w:val="28"/>
          <w:szCs w:val="28"/>
        </w:rPr>
        <w:t>Співвідношення Е/А ТМДП у хвоних на ХОЗЛ в поєднанні з ГХ склало 0,7±0,02 та було достовірно нижчим ніж у групи умовно здорових</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1,2±0,04 (р&lt;0,05). Співвідношення Е/А ТМДП у хворих на ХОЗЛ був на 50</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знижений відносно групи умовно здорових обстежених (р&lt;0,05). При </w:t>
      </w:r>
      <w:r w:rsidR="00F3176C" w:rsidRPr="00156441">
        <w:rPr>
          <w:rFonts w:ascii="Times New Roman" w:hAnsi="Times New Roman" w:cs="Times New Roman"/>
          <w:sz w:val="28"/>
          <w:szCs w:val="28"/>
        </w:rPr>
        <w:t>співставленні</w:t>
      </w:r>
      <w:r w:rsidRPr="00156441">
        <w:rPr>
          <w:rFonts w:ascii="Times New Roman" w:hAnsi="Times New Roman" w:cs="Times New Roman"/>
          <w:sz w:val="28"/>
          <w:szCs w:val="28"/>
        </w:rPr>
        <w:t xml:space="preserve"> основної групи та групи порівняння було виявлено зниження співвідношення Е/А на 12,5</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(р&lt;0,05). </w:t>
      </w:r>
    </w:p>
    <w:p w:rsidR="00AC7CE0" w:rsidRPr="00156441" w:rsidRDefault="00EC6FA9" w:rsidP="00EC6FA9">
      <w:pPr>
        <w:spacing w:after="0" w:line="360" w:lineRule="auto"/>
        <w:ind w:firstLine="708"/>
        <w:jc w:val="both"/>
        <w:rPr>
          <w:rFonts w:ascii="Times New Roman" w:hAnsi="Times New Roman" w:cs="Times New Roman"/>
          <w:sz w:val="28"/>
          <w:szCs w:val="28"/>
        </w:rPr>
      </w:pPr>
      <w:r w:rsidRPr="00156441">
        <w:rPr>
          <w:rFonts w:ascii="Times New Roman" w:hAnsi="Times New Roman" w:cs="Times New Roman"/>
          <w:sz w:val="28"/>
          <w:szCs w:val="28"/>
        </w:rPr>
        <w:t>У обстежених хворих на поєднану патологію було виявлено зменшення піку Е ТТДП на 12,9</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у співставленні з групою порівняння, та на 32,4</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відносно контролю (р&lt;0,05).</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У групі хворих з ізольованим перебігом ХОЗЛ пік Е ТТДП був на 22,3</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нижчим ніж у групі умовно здорових. Максимальна швидкість пізнього наповнення не мала статистично достовірних змін в жодній з груп. Співвідношення Е/А ТТДП у хворих на ХОЗЛ в поєднанні з ГХ було менше на 36,6</w:t>
      </w:r>
      <w:r w:rsidR="00C70355" w:rsidRPr="00156441">
        <w:rPr>
          <w:rFonts w:ascii="Times New Roman" w:hAnsi="Times New Roman" w:cs="Times New Roman"/>
          <w:sz w:val="28"/>
          <w:szCs w:val="28"/>
        </w:rPr>
        <w:t> %</w:t>
      </w:r>
      <w:r w:rsidRPr="00156441">
        <w:rPr>
          <w:rFonts w:ascii="Times New Roman" w:hAnsi="Times New Roman" w:cs="Times New Roman"/>
          <w:sz w:val="28"/>
          <w:szCs w:val="28"/>
        </w:rPr>
        <w:t xml:space="preserve"> відносно групи контролю , та на 22,2</w:t>
      </w:r>
      <w:r w:rsidR="00C70355" w:rsidRPr="00156441">
        <w:rPr>
          <w:rFonts w:ascii="Times New Roman" w:hAnsi="Times New Roman" w:cs="Times New Roman"/>
          <w:sz w:val="28"/>
          <w:szCs w:val="28"/>
        </w:rPr>
        <w:t> %</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відносно групи зіставлення.</w:t>
      </w:r>
    </w:p>
    <w:p w:rsidR="003D1E20" w:rsidRPr="00156441" w:rsidRDefault="003D1E20" w:rsidP="003D1E20">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Для реалізації алгоритму прогнозування ступеня тяжкості стану хворих на ХОЗЛ в поєднанні з ГХ було розроблено </w:t>
      </w:r>
      <w:r w:rsidR="00F3176C" w:rsidRPr="00156441">
        <w:rPr>
          <w:rFonts w:ascii="Times New Roman" w:eastAsia="Times New Roman" w:hAnsi="Times New Roman" w:cs="Times New Roman"/>
          <w:sz w:val="28"/>
          <w:szCs w:val="28"/>
          <w:lang w:eastAsia="ru-RU"/>
        </w:rPr>
        <w:t>класифікаційні</w:t>
      </w:r>
      <w:r w:rsidRPr="00156441">
        <w:rPr>
          <w:rFonts w:ascii="Times New Roman" w:eastAsia="Times New Roman" w:hAnsi="Times New Roman" w:cs="Times New Roman"/>
          <w:sz w:val="28"/>
          <w:szCs w:val="28"/>
          <w:lang w:eastAsia="ru-RU"/>
        </w:rPr>
        <w:t xml:space="preserve"> функції на підставі використання дискримінантного аналізу. В якості першого кроку ми використовували метод кластерного аналізу для знаходження однорідних груп. Попередньо були розглянуті кореляційні </w:t>
      </w:r>
      <w:r w:rsidR="00F3176C" w:rsidRPr="00156441">
        <w:rPr>
          <w:rFonts w:ascii="Times New Roman" w:eastAsia="Times New Roman" w:hAnsi="Times New Roman" w:cs="Times New Roman"/>
          <w:sz w:val="28"/>
          <w:szCs w:val="28"/>
          <w:lang w:eastAsia="ru-RU"/>
        </w:rPr>
        <w:t>зв’язки</w:t>
      </w:r>
      <w:r w:rsidRPr="00156441">
        <w:rPr>
          <w:rFonts w:ascii="Times New Roman" w:eastAsia="Times New Roman" w:hAnsi="Times New Roman" w:cs="Times New Roman"/>
          <w:sz w:val="28"/>
          <w:szCs w:val="28"/>
          <w:lang w:eastAsia="ru-RU"/>
        </w:rPr>
        <w:t xml:space="preserve"> між всіма вихідними показниками. В результаті, для кластерного аналізу було використано 25 показників. Використання </w:t>
      </w:r>
      <w:r w:rsidR="00F3176C" w:rsidRPr="00156441">
        <w:rPr>
          <w:rFonts w:ascii="Times New Roman" w:eastAsia="Times New Roman" w:hAnsi="Times New Roman" w:cs="Times New Roman"/>
          <w:sz w:val="28"/>
          <w:szCs w:val="28"/>
          <w:lang w:eastAsia="ru-RU"/>
        </w:rPr>
        <w:t>ієрархічних</w:t>
      </w:r>
      <w:r w:rsidRPr="00156441">
        <w:rPr>
          <w:rFonts w:ascii="Times New Roman" w:eastAsia="Times New Roman" w:hAnsi="Times New Roman" w:cs="Times New Roman"/>
          <w:sz w:val="28"/>
          <w:szCs w:val="28"/>
          <w:lang w:eastAsia="ru-RU"/>
        </w:rPr>
        <w:t xml:space="preserve"> процедур кластерного аналізу дозволило виявити дві групи пацієнтів, різноманітних з будь-яких причин. </w:t>
      </w:r>
    </w:p>
    <w:p w:rsidR="003D1E20" w:rsidRPr="00156441" w:rsidRDefault="003D1E20" w:rsidP="001E0F2F">
      <w:pPr>
        <w:spacing w:after="0" w:line="360" w:lineRule="auto"/>
        <w:ind w:firstLine="709"/>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Використання методу дивізіонного аналізу к-середніх дозволило також отримати якісний склад кожного кластеру, тобто віднести кожного хворого до відповідного кластеру. Приймаючи до уваги числовий характер показників та їх закон розподілення, доцільним було використання саме дискримінантного аналізу, оскільки він є найбільш точним і формалізованим. Відбір дискримінантних змінних з 25 вхідних стандартизованих показників, отриманих на етапі кластерного аналізу, проходив покроково методом виключення змінних відповідно до їх рівнем толерантності (міра надмірності змінних для класифікації). Класифікація тяжкості </w:t>
      </w:r>
      <w:r w:rsidRPr="00156441">
        <w:rPr>
          <w:rFonts w:ascii="Times New Roman" w:eastAsia="Times New Roman" w:hAnsi="Times New Roman" w:cs="Times New Roman"/>
          <w:sz w:val="28"/>
          <w:szCs w:val="28"/>
          <w:lang w:eastAsia="ru-RU"/>
        </w:rPr>
        <w:lastRenderedPageBreak/>
        <w:t>стану будь-якого хворого з ХОЗЛ проводилася на підставі класифікаційної функції для цього хворого. Хворий ставився до того кластеру (групі тяжкості стану), для якого чисельне значення класифікаційної функції максимально. Якщо</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значення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Y</w:t>
      </w:r>
      <w:r w:rsidRPr="00156441">
        <w:rPr>
          <w:rFonts w:ascii="Times New Roman" w:eastAsia="Times New Roman" w:hAnsi="Times New Roman" w:cs="Times New Roman"/>
          <w:sz w:val="28"/>
          <w:szCs w:val="28"/>
          <w:vertAlign w:val="subscript"/>
          <w:lang w:eastAsia="ru-RU"/>
        </w:rPr>
        <w:t>1кластер</w:t>
      </w:r>
      <w:r w:rsidRPr="00156441">
        <w:rPr>
          <w:rFonts w:ascii="Times New Roman" w:eastAsia="Times New Roman" w:hAnsi="Times New Roman" w:cs="Times New Roman"/>
          <w:sz w:val="28"/>
          <w:szCs w:val="28"/>
          <w:lang w:eastAsia="ru-RU"/>
        </w:rPr>
        <w:t>&gt;Y</w:t>
      </w:r>
      <w:r w:rsidRPr="00156441">
        <w:rPr>
          <w:rFonts w:ascii="Times New Roman" w:eastAsia="Times New Roman" w:hAnsi="Times New Roman" w:cs="Times New Roman"/>
          <w:sz w:val="28"/>
          <w:szCs w:val="28"/>
          <w:vertAlign w:val="subscript"/>
          <w:lang w:eastAsia="ru-RU"/>
        </w:rPr>
        <w:t>2 кластер</w:t>
      </w:r>
      <w:r w:rsidRPr="00156441">
        <w:rPr>
          <w:rFonts w:ascii="Times New Roman" w:eastAsia="Times New Roman" w:hAnsi="Times New Roman" w:cs="Times New Roman"/>
          <w:sz w:val="28"/>
          <w:szCs w:val="28"/>
          <w:lang w:eastAsia="ru-RU"/>
        </w:rPr>
        <w:t>, то прогнозується більш тяжка ступінь стану хворого; якщо значення</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Y</w:t>
      </w:r>
      <w:r w:rsidRPr="00156441">
        <w:rPr>
          <w:rFonts w:ascii="Times New Roman" w:eastAsia="Times New Roman" w:hAnsi="Times New Roman" w:cs="Times New Roman"/>
          <w:sz w:val="28"/>
          <w:szCs w:val="28"/>
          <w:vertAlign w:val="subscript"/>
          <w:lang w:eastAsia="ru-RU"/>
        </w:rPr>
        <w:t>2 кластер</w:t>
      </w:r>
      <w:r w:rsidR="001E0F2F" w:rsidRPr="00156441">
        <w:rPr>
          <w:rFonts w:ascii="Times New Roman" w:eastAsia="Times New Roman" w:hAnsi="Times New Roman" w:cs="Times New Roman"/>
          <w:sz w:val="28"/>
          <w:szCs w:val="28"/>
          <w:lang w:eastAsia="ru-RU"/>
        </w:rPr>
        <w:t>&gt;</w:t>
      </w:r>
      <w:r w:rsidRPr="00156441">
        <w:rPr>
          <w:rFonts w:ascii="Times New Roman" w:eastAsia="Times New Roman" w:hAnsi="Times New Roman" w:cs="Times New Roman"/>
          <w:sz w:val="28"/>
          <w:szCs w:val="28"/>
          <w:lang w:eastAsia="ru-RU"/>
        </w:rPr>
        <w:t>Y</w:t>
      </w:r>
      <w:r w:rsidRPr="00156441">
        <w:rPr>
          <w:rFonts w:ascii="Times New Roman" w:eastAsia="Times New Roman" w:hAnsi="Times New Roman" w:cs="Times New Roman"/>
          <w:sz w:val="28"/>
          <w:szCs w:val="28"/>
          <w:vertAlign w:val="subscript"/>
          <w:lang w:eastAsia="ru-RU"/>
        </w:rPr>
        <w:t>1кластер</w:t>
      </w:r>
      <w:r w:rsidRPr="00156441">
        <w:rPr>
          <w:rFonts w:ascii="Times New Roman" w:eastAsia="Times New Roman" w:hAnsi="Times New Roman" w:cs="Times New Roman"/>
          <w:sz w:val="28"/>
          <w:szCs w:val="28"/>
          <w:lang w:eastAsia="ru-RU"/>
        </w:rPr>
        <w:t xml:space="preserve">, то прогнозується середня ступінь тяжкості стану хворого. </w:t>
      </w: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Із сукупності одержаних результатів цікавим було виокремити найбільш значимі показники для діагностики саме ендотеліальної дисфункції. Для цього було розраховано коефіцієнти відхилення, перш за все, показників стану </w:t>
      </w:r>
      <w:r w:rsidR="00F3176C" w:rsidRPr="00156441">
        <w:rPr>
          <w:rFonts w:ascii="Times New Roman" w:eastAsia="Times New Roman" w:hAnsi="Times New Roman" w:cs="Times New Roman"/>
          <w:sz w:val="28"/>
          <w:szCs w:val="28"/>
          <w:lang w:eastAsia="ru-RU"/>
        </w:rPr>
        <w:t>симпатоадреналової</w:t>
      </w:r>
      <w:r w:rsidRPr="00156441">
        <w:rPr>
          <w:rFonts w:ascii="Times New Roman" w:eastAsia="Times New Roman" w:hAnsi="Times New Roman" w:cs="Times New Roman"/>
          <w:sz w:val="28"/>
          <w:szCs w:val="28"/>
          <w:lang w:eastAsia="ru-RU"/>
        </w:rPr>
        <w:t>, ренін-ангіотензинової та калікреїн-кінінової систем</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 xml:space="preserve">співвідношення значення показника в основній групі до значення показника у контролі та групі порівняння з наступним їх відображенням на діаграмах (рис. </w:t>
      </w:r>
      <w:r w:rsidR="00850D46" w:rsidRPr="00156441">
        <w:rPr>
          <w:rFonts w:ascii="Times New Roman" w:eastAsia="Times New Roman" w:hAnsi="Times New Roman" w:cs="Times New Roman"/>
          <w:sz w:val="28"/>
          <w:szCs w:val="28"/>
          <w:lang w:eastAsia="ru-RU"/>
        </w:rPr>
        <w:t>33</w:t>
      </w:r>
      <w:r w:rsidRPr="00156441">
        <w:rPr>
          <w:rFonts w:ascii="Times New Roman" w:eastAsia="Times New Roman" w:hAnsi="Times New Roman" w:cs="Times New Roman"/>
          <w:sz w:val="28"/>
          <w:szCs w:val="28"/>
          <w:lang w:eastAsia="ru-RU"/>
        </w:rPr>
        <w:t xml:space="preserve">). </w:t>
      </w:r>
    </w:p>
    <w:p w:rsidR="001E52F1" w:rsidRPr="00156441" w:rsidRDefault="001E52F1" w:rsidP="001E52F1">
      <w:pPr>
        <w:shd w:val="clear" w:color="auto" w:fill="FFFFFF"/>
        <w:spacing w:before="90" w:after="90" w:line="203" w:lineRule="atLeast"/>
        <w:jc w:val="center"/>
        <w:rPr>
          <w:rFonts w:ascii="Times New Roman" w:eastAsia="Times New Roman" w:hAnsi="Times New Roman" w:cs="Times New Roman"/>
          <w:sz w:val="28"/>
          <w:szCs w:val="28"/>
          <w:u w:val="single"/>
          <w:lang w:eastAsia="ru-RU"/>
        </w:rPr>
      </w:pPr>
      <w:r w:rsidRPr="00156441">
        <w:rPr>
          <w:rFonts w:ascii="Times New Roman" w:eastAsia="Times New Roman" w:hAnsi="Times New Roman" w:cs="Times New Roman"/>
          <w:noProof/>
          <w:sz w:val="28"/>
          <w:szCs w:val="28"/>
          <w:lang w:val="ru-RU" w:eastAsia="ru-RU"/>
        </w:rPr>
        <w:drawing>
          <wp:inline distT="0" distB="0" distL="0" distR="0" wp14:anchorId="543BC933" wp14:editId="14A28EAF">
            <wp:extent cx="6048375" cy="4496937"/>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E52F1" w:rsidRPr="00156441" w:rsidRDefault="00850D46"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Рис. 33</w:t>
      </w:r>
      <w:r w:rsidR="001E52F1" w:rsidRPr="00156441">
        <w:rPr>
          <w:rFonts w:ascii="Times New Roman" w:eastAsia="Times New Roman" w:hAnsi="Times New Roman" w:cs="Times New Roman"/>
          <w:sz w:val="28"/>
          <w:szCs w:val="28"/>
          <w:lang w:eastAsia="ru-RU"/>
        </w:rPr>
        <w:t xml:space="preserve">. Коефіцієнти відхилення показників стану </w:t>
      </w:r>
      <w:r w:rsidR="00F3176C" w:rsidRPr="00156441">
        <w:rPr>
          <w:rFonts w:ascii="Times New Roman" w:eastAsia="Times New Roman" w:hAnsi="Times New Roman" w:cs="Times New Roman"/>
          <w:sz w:val="28"/>
          <w:szCs w:val="28"/>
          <w:lang w:eastAsia="ru-RU"/>
        </w:rPr>
        <w:t>симпатоадреналової</w:t>
      </w:r>
      <w:r w:rsidR="001E52F1" w:rsidRPr="00156441">
        <w:rPr>
          <w:rFonts w:ascii="Times New Roman" w:eastAsia="Times New Roman" w:hAnsi="Times New Roman" w:cs="Times New Roman"/>
          <w:sz w:val="28"/>
          <w:szCs w:val="28"/>
          <w:lang w:eastAsia="ru-RU"/>
        </w:rPr>
        <w:t xml:space="preserve"> системи та системи оксиду азоту у хворих на ХОЗЛ в поєднанні з ГХ від контролю та групи порівняння</w:t>
      </w: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lastRenderedPageBreak/>
        <w:t xml:space="preserve">Так, у випадку </w:t>
      </w:r>
      <w:r w:rsidR="00F3176C" w:rsidRPr="00156441">
        <w:rPr>
          <w:rFonts w:ascii="Times New Roman" w:eastAsia="Times New Roman" w:hAnsi="Times New Roman" w:cs="Times New Roman"/>
          <w:sz w:val="28"/>
          <w:szCs w:val="28"/>
          <w:lang w:eastAsia="ru-RU"/>
        </w:rPr>
        <w:t>симпатоадреналової</w:t>
      </w:r>
      <w:r w:rsidRPr="00156441">
        <w:rPr>
          <w:rFonts w:ascii="Times New Roman" w:eastAsia="Times New Roman" w:hAnsi="Times New Roman" w:cs="Times New Roman"/>
          <w:sz w:val="28"/>
          <w:szCs w:val="28"/>
          <w:lang w:eastAsia="ru-RU"/>
        </w:rPr>
        <w:t xml:space="preserve"> системи значне відхилення як від контролю, так й групи порівняння, у хворих основної групи характерно для адреналіну, а у випадку системи оксиду азоту</w:t>
      </w:r>
      <w:r w:rsidR="009C6C87" w:rsidRPr="00156441">
        <w:rPr>
          <w:rFonts w:ascii="Times New Roman" w:eastAsia="Times New Roman" w:hAnsi="Times New Roman" w:cs="Times New Roman"/>
          <w:sz w:val="28"/>
          <w:szCs w:val="28"/>
          <w:lang w:eastAsia="ru-RU"/>
        </w:rPr>
        <w:t xml:space="preserve"> — </w:t>
      </w:r>
      <w:r w:rsidRPr="00156441">
        <w:rPr>
          <w:rFonts w:ascii="Times New Roman" w:eastAsia="Times New Roman" w:hAnsi="Times New Roman" w:cs="Times New Roman"/>
          <w:sz w:val="28"/>
          <w:szCs w:val="28"/>
          <w:lang w:eastAsia="ru-RU"/>
        </w:rPr>
        <w:t>індуцибельної ізоформи NO-синтази. Окремо слід відзначити діагностичну значимість визначення у хворих на ХОЗЛ з ГХ вмісту ВІП (коефіцієнт відхилення по відношенню до контролю та групи порівняння значно менше одиниці, що свідчить про його зниження). Серед показників ренін-ангіотензинової та кілікреїн-кінінової систем у пацієнтів з ХОЗЛ у сполученні з ГХ діагностичну значущість може мати активність АПФ і карбоксипептидази N.</w:t>
      </w:r>
      <w:r w:rsidR="009C6C87" w:rsidRPr="00156441">
        <w:rPr>
          <w:rFonts w:ascii="Times New Roman" w:eastAsia="Times New Roman" w:hAnsi="Times New Roman" w:cs="Times New Roman"/>
          <w:sz w:val="28"/>
          <w:szCs w:val="28"/>
          <w:lang w:eastAsia="ru-RU"/>
        </w:rPr>
        <w:t xml:space="preserve"> </w:t>
      </w:r>
    </w:p>
    <w:p w:rsidR="001E52F1" w:rsidRPr="00156441" w:rsidRDefault="001E52F1" w:rsidP="001E52F1">
      <w:pPr>
        <w:tabs>
          <w:tab w:val="left" w:pos="1043"/>
        </w:tabs>
        <w:spacing w:after="0" w:line="240" w:lineRule="auto"/>
        <w:jc w:val="center"/>
        <w:rPr>
          <w:rFonts w:ascii="Times New Roman" w:eastAsia="Times New Roman" w:hAnsi="Times New Roman" w:cs="Times New Roman"/>
          <w:sz w:val="28"/>
          <w:szCs w:val="28"/>
          <w:lang w:eastAsia="ru-RU"/>
        </w:rPr>
      </w:pPr>
      <w:r w:rsidRPr="00156441">
        <w:rPr>
          <w:rFonts w:ascii="Times New Roman" w:eastAsia="Times New Roman" w:hAnsi="Times New Roman" w:cs="Times New Roman"/>
          <w:noProof/>
          <w:sz w:val="28"/>
          <w:szCs w:val="28"/>
          <w:lang w:val="ru-RU" w:eastAsia="ru-RU"/>
        </w:rPr>
        <w:drawing>
          <wp:inline distT="0" distB="0" distL="0" distR="0" wp14:anchorId="3B488B4B" wp14:editId="69148D2B">
            <wp:extent cx="5953125" cy="4960961"/>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1E52F1" w:rsidRPr="00156441" w:rsidRDefault="001E52F1" w:rsidP="001E52F1">
      <w:pPr>
        <w:tabs>
          <w:tab w:val="left" w:pos="1043"/>
        </w:tabs>
        <w:spacing w:after="0" w:line="240" w:lineRule="auto"/>
        <w:rPr>
          <w:rFonts w:ascii="Times New Roman" w:eastAsia="Times New Roman" w:hAnsi="Times New Roman" w:cs="Times New Roman"/>
          <w:sz w:val="28"/>
          <w:szCs w:val="28"/>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Рис. 2. Коефіцієнти відхилення показників стану ренін-ангіотензинової та калікреїн-кінінової систем у хворих на ХОЗЛ в поєднанні з ГХ від контролю та групи порівняння</w:t>
      </w:r>
    </w:p>
    <w:p w:rsidR="001E52F1" w:rsidRPr="00184106" w:rsidRDefault="001E52F1" w:rsidP="00184106">
      <w:pPr>
        <w:spacing w:after="0" w:line="360" w:lineRule="auto"/>
        <w:ind w:firstLine="720"/>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lastRenderedPageBreak/>
        <w:t xml:space="preserve">Наведений вище аналіз одержаних результатів відображає патогенетичні ланки розвитку ХОЗЛ у сполученні з ГХ, узагальнення яких наведено на </w:t>
      </w:r>
      <w:r w:rsidR="00850D46" w:rsidRPr="00156441">
        <w:rPr>
          <w:rFonts w:ascii="Times New Roman" w:eastAsia="Times New Roman" w:hAnsi="Times New Roman" w:cs="Times New Roman"/>
          <w:sz w:val="28"/>
          <w:szCs w:val="28"/>
          <w:lang w:eastAsia="ru-RU"/>
        </w:rPr>
        <w:t>рис. 34</w:t>
      </w:r>
      <w:r w:rsidR="00184106">
        <w:rPr>
          <w:rFonts w:ascii="Times New Roman" w:eastAsia="Times New Roman" w:hAnsi="Times New Roman" w:cs="Times New Roman"/>
          <w:sz w:val="28"/>
          <w:szCs w:val="28"/>
          <w:lang w:eastAsia="ru-RU"/>
        </w:rPr>
        <w:t>.</w:t>
      </w:r>
    </w:p>
    <w:p w:rsidR="00723800" w:rsidRPr="00156441" w:rsidRDefault="009720A3"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noProof/>
          <w:sz w:val="28"/>
          <w:szCs w:val="28"/>
          <w:lang w:val="ru-RU" w:eastAsia="ru-RU"/>
        </w:rPr>
        <mc:AlternateContent>
          <mc:Choice Requires="wpg">
            <w:drawing>
              <wp:anchor distT="0" distB="0" distL="114300" distR="114300" simplePos="0" relativeHeight="251659264" behindDoc="0" locked="0" layoutInCell="1" allowOverlap="1" wp14:anchorId="54788B0E" wp14:editId="2F7B6929">
                <wp:simplePos x="0" y="0"/>
                <wp:positionH relativeFrom="column">
                  <wp:posOffset>-321803</wp:posOffset>
                </wp:positionH>
                <wp:positionV relativeFrom="paragraph">
                  <wp:posOffset>-4417</wp:posOffset>
                </wp:positionV>
                <wp:extent cx="6410325" cy="7153275"/>
                <wp:effectExtent l="0" t="0" r="28575" b="28575"/>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7153275"/>
                          <a:chOff x="0" y="-85724"/>
                          <a:chExt cx="6410325" cy="7058024"/>
                        </a:xfrm>
                      </wpg:grpSpPr>
                      <wps:wsp>
                        <wps:cNvPr id="5" name="Поле 36"/>
                        <wps:cNvSpPr txBox="1">
                          <a:spLocks noChangeArrowheads="1"/>
                        </wps:cNvSpPr>
                        <wps:spPr bwMode="auto">
                          <a:xfrm>
                            <a:off x="1943100" y="3543300"/>
                            <a:ext cx="2286000" cy="4572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sz w:val="36"/>
                                  <w:szCs w:val="36"/>
                                </w:rPr>
                              </w:pPr>
                              <w:r w:rsidRPr="005C11DF">
                                <w:rPr>
                                  <w:rFonts w:ascii="Times New Roman" w:hAnsi="Times New Roman" w:cs="Times New Roman"/>
                                  <w:b/>
                                  <w:sz w:val="36"/>
                                  <w:szCs w:val="36"/>
                                </w:rPr>
                                <w:t xml:space="preserve"> ХОЗЛ+ГХ</w:t>
                              </w:r>
                            </w:p>
                          </w:txbxContent>
                        </wps:txbx>
                        <wps:bodyPr rot="0" vert="horz" wrap="square" lIns="91440" tIns="45720" rIns="91440" bIns="45720" anchor="t" anchorCtr="0" upright="1">
                          <a:noAutofit/>
                        </wps:bodyPr>
                      </wps:wsp>
                      <wps:wsp>
                        <wps:cNvPr id="6" name="Прямоугольник 58"/>
                        <wps:cNvSpPr>
                          <a:spLocks noChangeArrowheads="1"/>
                        </wps:cNvSpPr>
                        <wps:spPr bwMode="auto">
                          <a:xfrm>
                            <a:off x="914400" y="-85724"/>
                            <a:ext cx="4581525" cy="657224"/>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Порушення функціонування</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ренін-ангіотензинової та калікреїн-кінінової систем</w:t>
                              </w:r>
                            </w:p>
                          </w:txbxContent>
                        </wps:txbx>
                        <wps:bodyPr rot="0" vert="horz" wrap="square" lIns="91440" tIns="45720" rIns="91440" bIns="45720" anchor="t" anchorCtr="0" upright="1">
                          <a:noAutofit/>
                        </wps:bodyPr>
                      </wps:wsp>
                      <wps:wsp>
                        <wps:cNvPr id="7" name="Поле 56"/>
                        <wps:cNvSpPr txBox="1">
                          <a:spLocks noChangeArrowheads="1"/>
                        </wps:cNvSpPr>
                        <wps:spPr bwMode="auto">
                          <a:xfrm>
                            <a:off x="457200" y="685800"/>
                            <a:ext cx="2514600" cy="863757"/>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rPr>
                              </w:pPr>
                              <w:r w:rsidRPr="005C11DF">
                                <w:rPr>
                                  <w:rFonts w:ascii="Times New Roman" w:hAnsi="Times New Roman" w:cs="Times New Roman"/>
                                  <w:sz w:val="28"/>
                                  <w:szCs w:val="28"/>
                                </w:rPr>
                                <w:t>↑ ренін</w:t>
                              </w:r>
                              <w:r w:rsidRPr="005C11DF">
                                <w:rPr>
                                  <w:rFonts w:ascii="Times New Roman" w:hAnsi="Times New Roman" w:cs="Times New Roman"/>
                                </w:rPr>
                                <w:t xml:space="preserve">, </w:t>
                              </w:r>
                              <w:r w:rsidRPr="005C11DF">
                                <w:rPr>
                                  <w:rFonts w:ascii="Times New Roman" w:hAnsi="Times New Roman" w:cs="Times New Roman"/>
                                  <w:b/>
                                </w:rPr>
                                <w:t xml:space="preserve">↑АПФ→ </w:t>
                              </w: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i/>
                                  <w:sz w:val="28"/>
                                  <w:szCs w:val="28"/>
                                </w:rPr>
                                <w:t xml:space="preserve">↑ ангіотензин </w:t>
                              </w:r>
                              <w:r w:rsidRPr="005C11DF">
                                <w:rPr>
                                  <w:rFonts w:ascii="Times New Roman" w:hAnsi="Times New Roman" w:cs="Times New Roman"/>
                                  <w:i/>
                                  <w:sz w:val="28"/>
                                  <w:szCs w:val="28"/>
                                  <w:lang w:val="en-US"/>
                                </w:rPr>
                                <w:t>II</w:t>
                              </w:r>
                              <w:r w:rsidRPr="005C11DF">
                                <w:rPr>
                                  <w:rFonts w:ascii="Times New Roman" w:hAnsi="Times New Roman" w:cs="Times New Roman"/>
                                  <w:b/>
                                </w:rPr>
                                <w:t xml:space="preserve">→ </w:t>
                              </w:r>
                              <w:r w:rsidRPr="005C11DF">
                                <w:rPr>
                                  <w:rFonts w:ascii="Times New Roman" w:hAnsi="Times New Roman" w:cs="Times New Roman"/>
                                  <w:sz w:val="28"/>
                                  <w:szCs w:val="28"/>
                                </w:rPr>
                                <w:t>↑альдостерон, ↑ АДГ</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p w:rsidR="008E20E1" w:rsidRPr="005C11DF" w:rsidRDefault="008E20E1" w:rsidP="001E52F1">
                              <w:pPr>
                                <w:jc w:val="center"/>
                                <w:rPr>
                                  <w:rFonts w:ascii="Times New Roman" w:hAnsi="Times New Roman" w:cs="Times New Roman"/>
                                </w:rPr>
                              </w:pPr>
                            </w:p>
                          </w:txbxContent>
                        </wps:txbx>
                        <wps:bodyPr rot="0" vert="horz" wrap="square" lIns="91440" tIns="45720" rIns="91440" bIns="45720" anchor="t" anchorCtr="0" upright="1">
                          <a:noAutofit/>
                        </wps:bodyPr>
                      </wps:wsp>
                      <wps:wsp>
                        <wps:cNvPr id="8" name="Поле 57"/>
                        <wps:cNvSpPr txBox="1">
                          <a:spLocks noChangeArrowheads="1"/>
                        </wps:cNvSpPr>
                        <wps:spPr bwMode="auto">
                          <a:xfrm>
                            <a:off x="3200400" y="685800"/>
                            <a:ext cx="2971800" cy="8001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rPr>
                              </w:pPr>
                              <w:r w:rsidRPr="005C11DF">
                                <w:rPr>
                                  <w:rFonts w:ascii="Times New Roman" w:hAnsi="Times New Roman" w:cs="Times New Roman"/>
                                  <w:sz w:val="28"/>
                                  <w:szCs w:val="28"/>
                                </w:rPr>
                                <w:t xml:space="preserve">↑ калікреїноген, ↑ калікреїн </w:t>
                              </w:r>
                              <w:r w:rsidRPr="005C11DF">
                                <w:rPr>
                                  <w:rFonts w:ascii="Times New Roman" w:hAnsi="Times New Roman" w:cs="Times New Roman"/>
                                  <w:b/>
                                </w:rPr>
                                <w:t>→</w:t>
                              </w:r>
                            </w:p>
                            <w:p w:rsidR="008E20E1" w:rsidRPr="005C11DF" w:rsidRDefault="008E20E1" w:rsidP="001E52F1">
                              <w:pPr>
                                <w:jc w:val="center"/>
                                <w:rPr>
                                  <w:rFonts w:ascii="Times New Roman" w:hAnsi="Times New Roman" w:cs="Times New Roman"/>
                                  <w:i/>
                                  <w:sz w:val="28"/>
                                  <w:szCs w:val="28"/>
                                </w:rPr>
                              </w:pPr>
                              <w:r w:rsidRPr="005C11DF">
                                <w:rPr>
                                  <w:rFonts w:ascii="Times New Roman" w:hAnsi="Times New Roman" w:cs="Times New Roman"/>
                                  <w:sz w:val="28"/>
                                  <w:szCs w:val="28"/>
                                </w:rPr>
                                <w:t xml:space="preserve"> </w:t>
                              </w:r>
                              <w:r w:rsidRPr="005C11DF">
                                <w:rPr>
                                  <w:rFonts w:ascii="Times New Roman" w:hAnsi="Times New Roman" w:cs="Times New Roman"/>
                                  <w:i/>
                                  <w:sz w:val="28"/>
                                  <w:szCs w:val="28"/>
                                </w:rPr>
                                <w:t>↑ брадикінін</w:t>
                              </w:r>
                            </w:p>
                            <w:p w:rsidR="008E20E1" w:rsidRPr="005C11DF" w:rsidRDefault="008E20E1" w:rsidP="001E52F1">
                              <w:pPr>
                                <w:jc w:val="center"/>
                                <w:rPr>
                                  <w:rFonts w:ascii="Times New Roman" w:hAnsi="Times New Roman" w:cs="Times New Roman"/>
                                  <w:b/>
                                </w:rPr>
                              </w:pPr>
                              <w:r w:rsidRPr="005C11DF">
                                <w:rPr>
                                  <w:rFonts w:ascii="Times New Roman" w:hAnsi="Times New Roman" w:cs="Times New Roman"/>
                                  <w:b/>
                                </w:rPr>
                                <w:t xml:space="preserve">↑ карбоксипептидаза </w:t>
                              </w:r>
                              <w:r w:rsidRPr="005C11DF">
                                <w:rPr>
                                  <w:rFonts w:ascii="Times New Roman" w:hAnsi="Times New Roman" w:cs="Times New Roman"/>
                                  <w:b/>
                                  <w:lang w:val="en-US"/>
                                </w:rPr>
                                <w:t>N</w:t>
                              </w:r>
                            </w:p>
                          </w:txbxContent>
                        </wps:txbx>
                        <wps:bodyPr rot="0" vert="horz" wrap="square" lIns="91440" tIns="45720" rIns="91440" bIns="45720" anchor="t" anchorCtr="0" upright="1">
                          <a:noAutofit/>
                        </wps:bodyPr>
                      </wps:wsp>
                      <wps:wsp>
                        <wps:cNvPr id="9" name="Поле 47"/>
                        <wps:cNvSpPr txBox="1">
                          <a:spLocks noChangeArrowheads="1"/>
                        </wps:cNvSpPr>
                        <wps:spPr bwMode="auto">
                          <a:xfrm>
                            <a:off x="114300" y="2400300"/>
                            <a:ext cx="2971800" cy="10287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 xml:space="preserve">Активація </w:t>
                              </w:r>
                            </w:p>
                            <w:p w:rsidR="008E20E1" w:rsidRPr="005C11DF" w:rsidRDefault="008E20E1" w:rsidP="001E52F1">
                              <w:pPr>
                                <w:jc w:val="center"/>
                                <w:rPr>
                                  <w:rFonts w:ascii="Times New Roman" w:hAnsi="Times New Roman" w:cs="Times New Roman"/>
                                  <w:i/>
                                </w:rPr>
                              </w:pPr>
                              <w:r w:rsidRPr="005C11DF">
                                <w:rPr>
                                  <w:rFonts w:ascii="Times New Roman" w:hAnsi="Times New Roman" w:cs="Times New Roman"/>
                                  <w:i/>
                                </w:rPr>
                                <w:t>симпатоадреналової системи</w:t>
                              </w:r>
                            </w:p>
                            <w:p w:rsidR="008E20E1" w:rsidRPr="005C11DF" w:rsidRDefault="008E20E1" w:rsidP="001E52F1">
                              <w:pPr>
                                <w:jc w:val="center"/>
                                <w:rPr>
                                  <w:rFonts w:ascii="Times New Roman" w:hAnsi="Times New Roman" w:cs="Times New Roman"/>
                                  <w:i/>
                                </w:rPr>
                              </w:pPr>
                              <w:r w:rsidRPr="005C11DF">
                                <w:rPr>
                                  <w:rFonts w:ascii="Times New Roman" w:hAnsi="Times New Roman" w:cs="Times New Roman"/>
                                  <w:b/>
                                </w:rPr>
                                <w:t>↑ адреналін</w:t>
                              </w:r>
                              <w:r w:rsidRPr="005C11DF">
                                <w:rPr>
                                  <w:rFonts w:ascii="Times New Roman" w:hAnsi="Times New Roman" w:cs="Times New Roman"/>
                                  <w:sz w:val="28"/>
                                  <w:szCs w:val="28"/>
                                </w:rPr>
                                <w:t>, норадреналін, дофамін</w:t>
                              </w: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rPr>
                                <w:t xml:space="preserve"> </w:t>
                              </w:r>
                            </w:p>
                            <w:p w:rsidR="008E20E1" w:rsidRPr="005C11DF" w:rsidRDefault="008E20E1" w:rsidP="001E52F1">
                              <w:pPr>
                                <w:jc w:val="center"/>
                                <w:rPr>
                                  <w:rFonts w:ascii="Times New Roman" w:hAnsi="Times New Roman" w:cs="Times New Roman"/>
                                </w:rPr>
                              </w:pPr>
                            </w:p>
                          </w:txbxContent>
                        </wps:txbx>
                        <wps:bodyPr rot="0" vert="horz" wrap="square" lIns="91440" tIns="45720" rIns="91440" bIns="45720" anchor="t" anchorCtr="0" upright="1">
                          <a:noAutofit/>
                        </wps:bodyPr>
                      </wps:wsp>
                      <wps:wsp>
                        <wps:cNvPr id="10" name="Поле 45"/>
                        <wps:cNvSpPr txBox="1">
                          <a:spLocks noChangeArrowheads="1"/>
                        </wps:cNvSpPr>
                        <wps:spPr bwMode="auto">
                          <a:xfrm>
                            <a:off x="3200400" y="2432459"/>
                            <a:ext cx="2628900" cy="539067"/>
                          </a:xfrm>
                          <a:prstGeom prst="rect">
                            <a:avLst/>
                          </a:prstGeom>
                          <a:solidFill>
                            <a:srgbClr val="FFFFFF"/>
                          </a:solidFill>
                          <a:ln w="9525">
                            <a:solidFill>
                              <a:srgbClr val="000000"/>
                            </a:solidFill>
                            <a:miter lim="800000"/>
                            <a:headEnd/>
                            <a:tailEnd/>
                          </a:ln>
                        </wps:spPr>
                        <wps:txbx>
                          <w:txbxContent>
                            <w:p w:rsidR="008E20E1" w:rsidRPr="005C11DF" w:rsidRDefault="008E20E1" w:rsidP="007C1462">
                              <w:pPr>
                                <w:pStyle w:val="a3"/>
                                <w:jc w:val="center"/>
                                <w:rPr>
                                  <w:rFonts w:ascii="Times New Roman" w:hAnsi="Times New Roman" w:cs="Times New Roman"/>
                                  <w:b/>
                                  <w:i/>
                                </w:rPr>
                              </w:pPr>
                              <w:r w:rsidRPr="005C11DF">
                                <w:rPr>
                                  <w:rFonts w:ascii="Times New Roman" w:hAnsi="Times New Roman" w:cs="Times New Roman"/>
                                  <w:b/>
                                  <w:i/>
                                </w:rPr>
                                <w:t>Зниження</w:t>
                              </w:r>
                            </w:p>
                            <w:p w:rsidR="008E20E1" w:rsidRPr="005C11DF" w:rsidRDefault="008E20E1" w:rsidP="007C1462">
                              <w:pPr>
                                <w:pStyle w:val="a3"/>
                                <w:jc w:val="center"/>
                                <w:rPr>
                                  <w:rFonts w:ascii="Times New Roman" w:hAnsi="Times New Roman" w:cs="Times New Roman"/>
                                  <w:b/>
                                </w:rPr>
                              </w:pPr>
                              <w:r w:rsidRPr="005C11DF">
                                <w:rPr>
                                  <w:rFonts w:ascii="Times New Roman" w:hAnsi="Times New Roman" w:cs="Times New Roman"/>
                                  <w:b/>
                                </w:rPr>
                                <w:t>вазодилятуючих ефектів</w:t>
                              </w:r>
                            </w:p>
                            <w:p w:rsidR="008E20E1" w:rsidRPr="005C11DF" w:rsidRDefault="008E20E1" w:rsidP="001E52F1">
                              <w:pPr>
                                <w:jc w:val="center"/>
                                <w:rPr>
                                  <w:rFonts w:ascii="Times New Roman" w:hAnsi="Times New Roman" w:cs="Times New Roman"/>
                                </w:rPr>
                              </w:pP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rPr>
                                <w:t xml:space="preserve"> </w:t>
                              </w:r>
                            </w:p>
                            <w:p w:rsidR="008E20E1" w:rsidRPr="005C11DF" w:rsidRDefault="008E20E1" w:rsidP="001E52F1">
                              <w:pPr>
                                <w:jc w:val="center"/>
                                <w:rPr>
                                  <w:rFonts w:ascii="Times New Roman" w:hAnsi="Times New Roman" w:cs="Times New Roman"/>
                                </w:rPr>
                              </w:pPr>
                            </w:p>
                          </w:txbxContent>
                        </wps:txbx>
                        <wps:bodyPr rot="0" vert="horz" wrap="square" lIns="91440" tIns="45720" rIns="91440" bIns="45720" anchor="t" anchorCtr="0" upright="1">
                          <a:noAutofit/>
                        </wps:bodyPr>
                      </wps:wsp>
                      <wps:wsp>
                        <wps:cNvPr id="11" name="Выноска со стрелкой вниз 34"/>
                        <wps:cNvSpPr>
                          <a:spLocks noChangeArrowheads="1"/>
                        </wps:cNvSpPr>
                        <wps:spPr bwMode="auto">
                          <a:xfrm>
                            <a:off x="1828800" y="4000500"/>
                            <a:ext cx="1143000" cy="114300"/>
                          </a:xfrm>
                          <a:prstGeom prst="downArrowCallout">
                            <a:avLst>
                              <a:gd name="adj1" fmla="val 250000"/>
                              <a:gd name="adj2" fmla="val 250000"/>
                              <a:gd name="adj3" fmla="val 16667"/>
                              <a:gd name="adj4" fmla="val 66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2" name="Поле 15"/>
                        <wps:cNvSpPr txBox="1">
                          <a:spLocks noChangeArrowheads="1"/>
                        </wps:cNvSpPr>
                        <wps:spPr bwMode="auto">
                          <a:xfrm>
                            <a:off x="571500" y="4800600"/>
                            <a:ext cx="2286000" cy="342900"/>
                          </a:xfrm>
                          <a:prstGeom prst="rect">
                            <a:avLst/>
                          </a:prstGeom>
                          <a:solidFill>
                            <a:srgbClr val="FFFFFF"/>
                          </a:solidFill>
                          <a:ln w="222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ХРОНІЧНЕ ЗАПАЛЕННЯ</w:t>
                              </w:r>
                            </w:p>
                          </w:txbxContent>
                        </wps:txbx>
                        <wps:bodyPr rot="0" vert="horz" wrap="square" lIns="91440" tIns="45720" rIns="91440" bIns="45720" anchor="t" anchorCtr="0" upright="1">
                          <a:noAutofit/>
                        </wps:bodyPr>
                      </wps:wsp>
                      <wps:wsp>
                        <wps:cNvPr id="13" name="Выноска со стрелкой вниз 11"/>
                        <wps:cNvSpPr>
                          <a:spLocks noChangeArrowheads="1"/>
                        </wps:cNvSpPr>
                        <wps:spPr bwMode="auto">
                          <a:xfrm>
                            <a:off x="1143000" y="5143500"/>
                            <a:ext cx="914400" cy="114300"/>
                          </a:xfrm>
                          <a:prstGeom prst="downArrowCallout">
                            <a:avLst>
                              <a:gd name="adj1" fmla="val 200000"/>
                              <a:gd name="adj2" fmla="val 200000"/>
                              <a:gd name="adj3" fmla="val 16667"/>
                              <a:gd name="adj4" fmla="val 66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4" name="Прямая соединительная линия 60"/>
                        <wps:cNvCnPr>
                          <a:cxnSpLocks noChangeShapeType="1"/>
                        </wps:cNvCnPr>
                        <wps:spPr bwMode="auto">
                          <a:xfrm>
                            <a:off x="0" y="228600"/>
                            <a:ext cx="0" cy="285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Прямая соединительная линия 62"/>
                        <wps:cNvCnPr>
                          <a:cxnSpLocks noChangeShapeType="1"/>
                        </wps:cNvCnPr>
                        <wps:spPr bwMode="auto">
                          <a:xfrm>
                            <a:off x="6400800" y="228600"/>
                            <a:ext cx="0" cy="6515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Прямая соединительная линия 59"/>
                        <wps:cNvCnPr>
                          <a:cxnSpLocks noChangeShapeType="1"/>
                        </wps:cNvCnPr>
                        <wps:spPr bwMode="auto">
                          <a:xfrm>
                            <a:off x="0" y="22860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Прямая соединительная линия 40"/>
                        <wps:cNvCnPr>
                          <a:cxnSpLocks noChangeShapeType="1"/>
                        </wps:cNvCnPr>
                        <wps:spPr bwMode="auto">
                          <a:xfrm>
                            <a:off x="0" y="3086100"/>
                            <a:ext cx="1143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Стрелка вверх 55"/>
                        <wps:cNvSpPr>
                          <a:spLocks noChangeArrowheads="1"/>
                        </wps:cNvSpPr>
                        <wps:spPr bwMode="auto">
                          <a:xfrm rot="10800000">
                            <a:off x="1485900" y="571500"/>
                            <a:ext cx="3200400" cy="114300"/>
                          </a:xfrm>
                          <a:prstGeom prst="up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Стрелка вверх 53"/>
                        <wps:cNvSpPr>
                          <a:spLocks noChangeArrowheads="1"/>
                        </wps:cNvSpPr>
                        <wps:spPr bwMode="auto">
                          <a:xfrm rot="10800000">
                            <a:off x="1143000" y="1485900"/>
                            <a:ext cx="1028700" cy="114300"/>
                          </a:xfrm>
                          <a:prstGeom prst="upArrow">
                            <a:avLst>
                              <a:gd name="adj1" fmla="val 50000"/>
                              <a:gd name="adj2" fmla="val 2500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0" name="Прямоугольник 54"/>
                        <wps:cNvSpPr>
                          <a:spLocks noChangeArrowheads="1"/>
                        </wps:cNvSpPr>
                        <wps:spPr bwMode="auto">
                          <a:xfrm>
                            <a:off x="571500" y="1600200"/>
                            <a:ext cx="1943100" cy="6858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rPr>
                                <w:t xml:space="preserve"> </w:t>
                              </w:r>
                              <w:r w:rsidRPr="005C11DF">
                                <w:rPr>
                                  <w:rFonts w:ascii="Times New Roman" w:hAnsi="Times New Roman" w:cs="Times New Roman"/>
                                  <w:b/>
                                  <w:i/>
                                  <w:sz w:val="28"/>
                                  <w:szCs w:val="28"/>
                                </w:rPr>
                                <w:t>посилення вазоконстрикторних ефектів</w:t>
                              </w:r>
                            </w:p>
                          </w:txbxContent>
                        </wps:txbx>
                        <wps:bodyPr rot="0" vert="horz" wrap="square" lIns="91440" tIns="45720" rIns="91440" bIns="45720" anchor="t" anchorCtr="0" upright="1">
                          <a:noAutofit/>
                        </wps:bodyPr>
                      </wps:wsp>
                      <wps:wsp>
                        <wps:cNvPr id="21" name="Прямоугольник 52"/>
                        <wps:cNvSpPr>
                          <a:spLocks noChangeArrowheads="1"/>
                        </wps:cNvSpPr>
                        <wps:spPr bwMode="auto">
                          <a:xfrm>
                            <a:off x="2628900" y="1600200"/>
                            <a:ext cx="2743200" cy="6858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sz w:val="28"/>
                                  <w:szCs w:val="28"/>
                                </w:rPr>
                              </w:pPr>
                              <w:r w:rsidRPr="005C11DF">
                                <w:rPr>
                                  <w:rFonts w:ascii="Times New Roman" w:hAnsi="Times New Roman" w:cs="Times New Roman"/>
                                  <w:b/>
                                </w:rPr>
                                <w:t>↑АПФ</w:t>
                              </w:r>
                              <w:r w:rsidRPr="005C11DF">
                                <w:rPr>
                                  <w:rFonts w:ascii="Times New Roman" w:hAnsi="Times New Roman" w:cs="Times New Roman"/>
                                  <w:b/>
                                  <w:lang w:val="en-US"/>
                                </w:rPr>
                                <w:t xml:space="preserve">, </w:t>
                              </w:r>
                              <w:r w:rsidRPr="005C11DF">
                                <w:rPr>
                                  <w:rFonts w:ascii="Times New Roman" w:hAnsi="Times New Roman" w:cs="Times New Roman"/>
                                  <w:b/>
                                </w:rPr>
                                <w:t xml:space="preserve">↑ карбоксипептидаза </w:t>
                              </w:r>
                              <w:r w:rsidRPr="005C11DF">
                                <w:rPr>
                                  <w:rFonts w:ascii="Times New Roman" w:hAnsi="Times New Roman" w:cs="Times New Roman"/>
                                  <w:b/>
                                  <w:lang w:val="en-US"/>
                                </w:rPr>
                                <w:t xml:space="preserve">N </w:t>
                              </w:r>
                              <w:r w:rsidRPr="005C11DF">
                                <w:rPr>
                                  <w:rFonts w:ascii="Times New Roman" w:hAnsi="Times New Roman" w:cs="Times New Roman"/>
                                  <w:b/>
                                  <w:sz w:val="28"/>
                                  <w:szCs w:val="28"/>
                                </w:rPr>
                                <w:t>→</w:t>
                              </w:r>
                              <w:r w:rsidRPr="005C11DF">
                                <w:rPr>
                                  <w:rFonts w:ascii="Times New Roman" w:hAnsi="Times New Roman" w:cs="Times New Roman"/>
                                  <w:b/>
                                  <w:sz w:val="28"/>
                                  <w:szCs w:val="28"/>
                                  <w:lang w:val="en-US"/>
                                </w:rPr>
                                <w:t xml:space="preserve"> </w:t>
                              </w:r>
                              <w:r w:rsidRPr="005C11DF">
                                <w:rPr>
                                  <w:rFonts w:ascii="Times New Roman" w:hAnsi="Times New Roman" w:cs="Times New Roman"/>
                                  <w:sz w:val="28"/>
                                  <w:szCs w:val="28"/>
                                </w:rPr>
                                <w:t>зниження ефектів брадикініну</w:t>
                              </w:r>
                            </w:p>
                            <w:p w:rsidR="008E20E1" w:rsidRPr="005C11DF" w:rsidRDefault="008E20E1" w:rsidP="001E52F1">
                              <w:pPr>
                                <w:jc w:val="center"/>
                                <w:rPr>
                                  <w:rFonts w:ascii="Times New Roman" w:hAnsi="Times New Roman" w:cs="Times New Roman"/>
                                  <w:b/>
                                  <w:sz w:val="28"/>
                                  <w:szCs w:val="28"/>
                                </w:rPr>
                              </w:pP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txbxContent>
                        </wps:txbx>
                        <wps:bodyPr rot="0" vert="horz" wrap="square" lIns="91440" tIns="45720" rIns="91440" bIns="45720" anchor="t" anchorCtr="0" upright="1">
                          <a:noAutofit/>
                        </wps:bodyPr>
                      </wps:wsp>
                      <wps:wsp>
                        <wps:cNvPr id="22" name="Стрелка вверх 50"/>
                        <wps:cNvSpPr>
                          <a:spLocks noChangeArrowheads="1"/>
                        </wps:cNvSpPr>
                        <wps:spPr bwMode="auto">
                          <a:xfrm rot="10800000">
                            <a:off x="2743200" y="1485900"/>
                            <a:ext cx="228600" cy="114300"/>
                          </a:xfrm>
                          <a:prstGeom prst="up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Стрелка вверх 51"/>
                        <wps:cNvSpPr>
                          <a:spLocks noChangeArrowheads="1"/>
                        </wps:cNvSpPr>
                        <wps:spPr bwMode="auto">
                          <a:xfrm rot="10800000">
                            <a:off x="3314700" y="1485900"/>
                            <a:ext cx="228600" cy="114300"/>
                          </a:xfrm>
                          <a:prstGeom prst="up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Стрелка вверх 44"/>
                        <wps:cNvSpPr>
                          <a:spLocks noChangeArrowheads="1"/>
                        </wps:cNvSpPr>
                        <wps:spPr bwMode="auto">
                          <a:xfrm rot="10800000">
                            <a:off x="3657600" y="2286000"/>
                            <a:ext cx="1028700" cy="114300"/>
                          </a:xfrm>
                          <a:prstGeom prst="upArrow">
                            <a:avLst>
                              <a:gd name="adj1" fmla="val 50000"/>
                              <a:gd name="adj2" fmla="val 25000"/>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25" name="Стрелка вверх 46"/>
                        <wps:cNvSpPr>
                          <a:spLocks noChangeArrowheads="1"/>
                        </wps:cNvSpPr>
                        <wps:spPr bwMode="auto">
                          <a:xfrm>
                            <a:off x="1143000" y="2286000"/>
                            <a:ext cx="1028700" cy="114300"/>
                          </a:xfrm>
                          <a:prstGeom prst="upArrow">
                            <a:avLst>
                              <a:gd name="adj1" fmla="val 50000"/>
                              <a:gd name="adj2" fmla="val 25000"/>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26" name="Стрелка вверх 37"/>
                        <wps:cNvSpPr>
                          <a:spLocks noChangeArrowheads="1"/>
                        </wps:cNvSpPr>
                        <wps:spPr bwMode="auto">
                          <a:xfrm>
                            <a:off x="800100" y="3429000"/>
                            <a:ext cx="4572000" cy="114300"/>
                          </a:xfrm>
                          <a:prstGeom prst="up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Поле 24"/>
                        <wps:cNvSpPr txBox="1">
                          <a:spLocks noChangeArrowheads="1"/>
                        </wps:cNvSpPr>
                        <wps:spPr bwMode="auto">
                          <a:xfrm>
                            <a:off x="1714500" y="4114800"/>
                            <a:ext cx="1257300" cy="342900"/>
                          </a:xfrm>
                          <a:prstGeom prst="rect">
                            <a:avLst/>
                          </a:prstGeom>
                          <a:solidFill>
                            <a:srgbClr val="FFFFFF"/>
                          </a:solidFill>
                          <a:ln w="222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ГІПОКСІЯ</w:t>
                              </w:r>
                            </w:p>
                          </w:txbxContent>
                        </wps:txbx>
                        <wps:bodyPr rot="0" vert="horz" wrap="square" lIns="91440" tIns="45720" rIns="91440" bIns="45720" anchor="t" anchorCtr="0" upright="1">
                          <a:noAutofit/>
                        </wps:bodyPr>
                      </wps:wsp>
                      <wps:wsp>
                        <wps:cNvPr id="28" name="Прямая соединительная линия 26"/>
                        <wps:cNvCnPr>
                          <a:cxnSpLocks noChangeShapeType="1"/>
                        </wps:cNvCnPr>
                        <wps:spPr bwMode="auto">
                          <a:xfrm flipH="1">
                            <a:off x="457200" y="411480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Прямая соединительная линия 38"/>
                        <wps:cNvCnPr>
                          <a:cxnSpLocks noChangeShapeType="1"/>
                        </wps:cNvCnPr>
                        <wps:spPr bwMode="auto">
                          <a:xfrm flipV="1">
                            <a:off x="457200" y="342900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Поле 28"/>
                        <wps:cNvSpPr txBox="1">
                          <a:spLocks noChangeArrowheads="1"/>
                        </wps:cNvSpPr>
                        <wps:spPr bwMode="auto">
                          <a:xfrm>
                            <a:off x="457200" y="4229100"/>
                            <a:ext cx="800100" cy="3429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sz w:val="28"/>
                                  <w:szCs w:val="28"/>
                                </w:rPr>
                                <w:t>↑ ВЕФР</w:t>
                              </w:r>
                            </w:p>
                          </w:txbxContent>
                        </wps:txbx>
                        <wps:bodyPr rot="0" vert="horz" wrap="square" lIns="91440" tIns="45720" rIns="91440" bIns="45720" anchor="t" anchorCtr="0" upright="1">
                          <a:noAutofit/>
                        </wps:bodyPr>
                      </wps:wsp>
                      <wps:wsp>
                        <wps:cNvPr id="31" name="Прямая соединительная линия 27"/>
                        <wps:cNvCnPr>
                          <a:cxnSpLocks noChangeShapeType="1"/>
                        </wps:cNvCnPr>
                        <wps:spPr bwMode="auto">
                          <a:xfrm flipH="1">
                            <a:off x="1257300" y="434340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Поле 42"/>
                        <wps:cNvSpPr txBox="1">
                          <a:spLocks noChangeArrowheads="1"/>
                        </wps:cNvSpPr>
                        <wps:spPr bwMode="auto">
                          <a:xfrm>
                            <a:off x="3200400" y="3086100"/>
                            <a:ext cx="3086100" cy="3429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sz w:val="18"/>
                                  <w:szCs w:val="18"/>
                                </w:rPr>
                              </w:pPr>
                              <w:r w:rsidRPr="005C11DF">
                                <w:rPr>
                                  <w:rFonts w:ascii="Times New Roman" w:hAnsi="Times New Roman" w:cs="Times New Roman"/>
                                  <w:sz w:val="28"/>
                                  <w:szCs w:val="28"/>
                                </w:rPr>
                                <w:t xml:space="preserve"> </w:t>
                              </w:r>
                              <w:r w:rsidRPr="005C11DF">
                                <w:rPr>
                                  <w:rFonts w:ascii="Times New Roman" w:hAnsi="Times New Roman" w:cs="Times New Roman"/>
                                  <w:b/>
                                  <w:sz w:val="18"/>
                                  <w:szCs w:val="18"/>
                                </w:rPr>
                                <w:t>↓вазоактивного інтестинального пептиду</w:t>
                              </w:r>
                            </w:p>
                          </w:txbxContent>
                        </wps:txbx>
                        <wps:bodyPr rot="0" vert="horz" wrap="square" lIns="91440" tIns="45720" rIns="91440" bIns="45720" anchor="t" anchorCtr="0" upright="1">
                          <a:noAutofit/>
                        </wps:bodyPr>
                      </wps:wsp>
                      <wps:wsp>
                        <wps:cNvPr id="33" name="Стрелка вверх 41"/>
                        <wps:cNvSpPr>
                          <a:spLocks noChangeArrowheads="1"/>
                        </wps:cNvSpPr>
                        <wps:spPr bwMode="auto">
                          <a:xfrm>
                            <a:off x="4000500" y="2971800"/>
                            <a:ext cx="228600" cy="114300"/>
                          </a:xfrm>
                          <a:prstGeom prst="upArrow">
                            <a:avLst>
                              <a:gd name="adj1" fmla="val 50000"/>
                              <a:gd name="adj2" fmla="val 25000"/>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34" name="Выноска со стрелкой вниз 35"/>
                        <wps:cNvSpPr>
                          <a:spLocks noChangeArrowheads="1"/>
                        </wps:cNvSpPr>
                        <wps:spPr bwMode="auto">
                          <a:xfrm>
                            <a:off x="3086100" y="4000500"/>
                            <a:ext cx="1143000" cy="114300"/>
                          </a:xfrm>
                          <a:prstGeom prst="downArrowCallout">
                            <a:avLst>
                              <a:gd name="adj1" fmla="val 250000"/>
                              <a:gd name="adj2" fmla="val 250000"/>
                              <a:gd name="adj3" fmla="val 16667"/>
                              <a:gd name="adj4" fmla="val 66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5" name="Поле 25"/>
                        <wps:cNvSpPr txBox="1">
                          <a:spLocks noChangeArrowheads="1"/>
                        </wps:cNvSpPr>
                        <wps:spPr bwMode="auto">
                          <a:xfrm>
                            <a:off x="3086100" y="4114800"/>
                            <a:ext cx="2171700" cy="342900"/>
                          </a:xfrm>
                          <a:prstGeom prst="rect">
                            <a:avLst/>
                          </a:prstGeom>
                          <a:solidFill>
                            <a:srgbClr val="FFFFFF"/>
                          </a:solidFill>
                          <a:ln w="25400">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ОКСИДАТИВНИЙ СТРЕС</w:t>
                              </w:r>
                            </w:p>
                          </w:txbxContent>
                        </wps:txbx>
                        <wps:bodyPr rot="0" vert="horz" wrap="square" lIns="91440" tIns="45720" rIns="91440" bIns="45720" anchor="t" anchorCtr="0" upright="1">
                          <a:noAutofit/>
                        </wps:bodyPr>
                      </wps:wsp>
                      <wps:wsp>
                        <wps:cNvPr id="36" name="Прямоугольник 10"/>
                        <wps:cNvSpPr>
                          <a:spLocks noChangeArrowheads="1"/>
                        </wps:cNvSpPr>
                        <wps:spPr bwMode="auto">
                          <a:xfrm>
                            <a:off x="3200400" y="5029200"/>
                            <a:ext cx="2057400" cy="11430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 xml:space="preserve">Активація </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системи оксиду азоту</w:t>
                              </w:r>
                            </w:p>
                            <w:p w:rsidR="008E20E1" w:rsidRPr="005C11DF" w:rsidRDefault="008E20E1" w:rsidP="001E52F1">
                              <w:pPr>
                                <w:jc w:val="center"/>
                                <w:rPr>
                                  <w:rFonts w:ascii="Times New Roman" w:hAnsi="Times New Roman" w:cs="Times New Roman"/>
                                  <w:b/>
                                </w:rPr>
                              </w:pPr>
                              <w:r w:rsidRPr="005C11DF">
                                <w:rPr>
                                  <w:rFonts w:ascii="Times New Roman" w:hAnsi="Times New Roman" w:cs="Times New Roman"/>
                                  <w:sz w:val="28"/>
                                  <w:szCs w:val="28"/>
                                </w:rPr>
                                <w:t xml:space="preserve">↑ </w:t>
                              </w:r>
                              <w:r w:rsidRPr="005C11DF">
                                <w:rPr>
                                  <w:rFonts w:ascii="Times New Roman" w:hAnsi="Times New Roman" w:cs="Times New Roman"/>
                                  <w:sz w:val="28"/>
                                  <w:szCs w:val="28"/>
                                  <w:lang w:val="en-US"/>
                                </w:rPr>
                                <w:t>eNOS</w:t>
                              </w:r>
                              <w:r w:rsidRPr="005C11DF">
                                <w:rPr>
                                  <w:rFonts w:ascii="Times New Roman" w:hAnsi="Times New Roman" w:cs="Times New Roman"/>
                                </w:rPr>
                                <w:t xml:space="preserve">, </w:t>
                              </w:r>
                              <w:r w:rsidRPr="005C11DF">
                                <w:rPr>
                                  <w:rFonts w:ascii="Times New Roman" w:hAnsi="Times New Roman" w:cs="Times New Roman"/>
                                  <w:b/>
                                </w:rPr>
                                <w:t>↑</w:t>
                              </w:r>
                              <w:r w:rsidRPr="005C11DF">
                                <w:rPr>
                                  <w:rFonts w:ascii="Times New Roman" w:hAnsi="Times New Roman" w:cs="Times New Roman"/>
                                  <w:b/>
                                  <w:lang w:val="en-US"/>
                                </w:rPr>
                                <w:t>iNOS</w:t>
                              </w:r>
                              <w:r w:rsidRPr="005C11DF">
                                <w:rPr>
                                  <w:rFonts w:ascii="Times New Roman" w:hAnsi="Times New Roman" w:cs="Times New Roman"/>
                                  <w:b/>
                                </w:rPr>
                                <w:t xml:space="preserve"> </w:t>
                              </w:r>
                            </w:p>
                            <w:p w:rsidR="008E20E1" w:rsidRPr="005C11DF" w:rsidRDefault="008E20E1" w:rsidP="001E52F1">
                              <w:pPr>
                                <w:jc w:val="center"/>
                                <w:rPr>
                                  <w:rFonts w:ascii="Times New Roman" w:hAnsi="Times New Roman" w:cs="Times New Roman"/>
                                  <w:b/>
                                </w:rPr>
                              </w:pPr>
                              <w:r w:rsidRPr="005C11DF">
                                <w:rPr>
                                  <w:rFonts w:ascii="Times New Roman" w:hAnsi="Times New Roman" w:cs="Times New Roman"/>
                                  <w:sz w:val="28"/>
                                  <w:szCs w:val="28"/>
                                </w:rPr>
                                <w:t>↑ нітрити/нітрати</w:t>
                              </w:r>
                              <w:r w:rsidRPr="005C11DF">
                                <w:rPr>
                                  <w:rFonts w:ascii="Times New Roman" w:hAnsi="Times New Roman" w:cs="Times New Roman"/>
                                  <w:b/>
                                </w:rPr>
                                <w:t xml:space="preserve"> </w:t>
                              </w: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sz w:val="28"/>
                                  <w:szCs w:val="28"/>
                                </w:rPr>
                                <w:t xml:space="preserve">↑ </w:t>
                              </w:r>
                              <w:r w:rsidRPr="005C11DF">
                                <w:rPr>
                                  <w:rFonts w:ascii="Times New Roman" w:hAnsi="Times New Roman" w:cs="Times New Roman"/>
                                  <w:sz w:val="28"/>
                                  <w:szCs w:val="28"/>
                                  <w:lang w:val="en-US"/>
                                </w:rPr>
                                <w:t>S</w:t>
                              </w:r>
                              <w:r w:rsidRPr="005C11DF">
                                <w:rPr>
                                  <w:rFonts w:ascii="Times New Roman" w:hAnsi="Times New Roman" w:cs="Times New Roman"/>
                                  <w:sz w:val="28"/>
                                  <w:szCs w:val="28"/>
                                </w:rPr>
                                <w:t xml:space="preserve">-нітрозотіоли </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txbxContent>
                        </wps:txbx>
                        <wps:bodyPr rot="0" vert="horz" wrap="square" lIns="91440" tIns="45720" rIns="91440" bIns="45720" anchor="t" anchorCtr="0" upright="1">
                          <a:noAutofit/>
                        </wps:bodyPr>
                      </wps:wsp>
                      <wps:wsp>
                        <wps:cNvPr id="37" name="Стрелка вверх 16"/>
                        <wps:cNvSpPr>
                          <a:spLocks noChangeArrowheads="1"/>
                        </wps:cNvSpPr>
                        <wps:spPr bwMode="auto">
                          <a:xfrm>
                            <a:off x="4000500" y="4914900"/>
                            <a:ext cx="228600" cy="114300"/>
                          </a:xfrm>
                          <a:prstGeom prst="up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Прямоугольник 19"/>
                        <wps:cNvSpPr>
                          <a:spLocks noChangeArrowheads="1"/>
                        </wps:cNvSpPr>
                        <wps:spPr bwMode="auto">
                          <a:xfrm>
                            <a:off x="3200400" y="4572000"/>
                            <a:ext cx="2171700" cy="3429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rPr>
                              </w:pPr>
                              <w:r w:rsidRPr="005C11DF">
                                <w:rPr>
                                  <w:rFonts w:ascii="Times New Roman" w:hAnsi="Times New Roman" w:cs="Times New Roman"/>
                                  <w:b/>
                                </w:rPr>
                                <w:t>↑</w:t>
                              </w:r>
                              <w:r w:rsidRPr="005C11DF">
                                <w:rPr>
                                  <w:rFonts w:ascii="Times New Roman" w:hAnsi="Times New Roman" w:cs="Times New Roman"/>
                                  <w:b/>
                                  <w:lang w:val="en-US"/>
                                </w:rPr>
                                <w:t>iNOS</w:t>
                              </w:r>
                              <w:r w:rsidRPr="005C11DF">
                                <w:rPr>
                                  <w:rFonts w:ascii="Times New Roman" w:hAnsi="Times New Roman" w:cs="Times New Roman"/>
                                  <w:b/>
                                </w:rPr>
                                <w:t xml:space="preserve">, </w:t>
                              </w:r>
                              <w:r w:rsidRPr="005C11DF">
                                <w:rPr>
                                  <w:rFonts w:ascii="Times New Roman" w:hAnsi="Times New Roman" w:cs="Times New Roman"/>
                                  <w:sz w:val="28"/>
                                  <w:szCs w:val="28"/>
                                </w:rPr>
                                <w:t xml:space="preserve">↑ </w:t>
                              </w:r>
                              <w:r w:rsidRPr="005C11DF">
                                <w:rPr>
                                  <w:rFonts w:ascii="Times New Roman" w:hAnsi="Times New Roman" w:cs="Times New Roman"/>
                                  <w:sz w:val="28"/>
                                  <w:szCs w:val="28"/>
                                  <w:lang w:val="en-US"/>
                                </w:rPr>
                                <w:t>S</w:t>
                              </w:r>
                              <w:r w:rsidRPr="005C11DF">
                                <w:rPr>
                                  <w:rFonts w:ascii="Times New Roman" w:hAnsi="Times New Roman" w:cs="Times New Roman"/>
                                  <w:sz w:val="28"/>
                                  <w:szCs w:val="28"/>
                                </w:rPr>
                                <w:t xml:space="preserve">-нітрозотіоли </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txbxContent>
                        </wps:txbx>
                        <wps:bodyPr rot="0" vert="horz" wrap="square" lIns="91440" tIns="45720" rIns="91440" bIns="45720" anchor="t" anchorCtr="0" upright="1">
                          <a:noAutofit/>
                        </wps:bodyPr>
                      </wps:wsp>
                      <wps:wsp>
                        <wps:cNvPr id="39" name="Стрелка вверх 17"/>
                        <wps:cNvSpPr>
                          <a:spLocks noChangeArrowheads="1"/>
                        </wps:cNvSpPr>
                        <wps:spPr bwMode="auto">
                          <a:xfrm>
                            <a:off x="4114800" y="4457700"/>
                            <a:ext cx="114300" cy="114300"/>
                          </a:xfrm>
                          <a:prstGeom prst="up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Стрелка вниз 18"/>
                        <wps:cNvSpPr>
                          <a:spLocks noChangeArrowheads="1"/>
                        </wps:cNvSpPr>
                        <wps:spPr bwMode="auto">
                          <a:xfrm>
                            <a:off x="3886200" y="4457700"/>
                            <a:ext cx="114300" cy="1143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Поле 12"/>
                        <wps:cNvSpPr txBox="1">
                          <a:spLocks noChangeArrowheads="1"/>
                        </wps:cNvSpPr>
                        <wps:spPr bwMode="auto">
                          <a:xfrm>
                            <a:off x="571500" y="5257800"/>
                            <a:ext cx="2286000" cy="685800"/>
                          </a:xfrm>
                          <a:prstGeom prst="rect">
                            <a:avLst/>
                          </a:prstGeom>
                          <a:solidFill>
                            <a:srgbClr val="FFFFFF"/>
                          </a:solidFill>
                          <a:ln w="952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пошкоджувальна дія</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sz w:val="28"/>
                                  <w:szCs w:val="28"/>
                                </w:rPr>
                                <w:t>на клітини судинного ендотелію</w:t>
                              </w:r>
                            </w:p>
                          </w:txbxContent>
                        </wps:txbx>
                        <wps:bodyPr rot="0" vert="horz" wrap="square" lIns="91440" tIns="45720" rIns="91440" bIns="45720" anchor="t" anchorCtr="0" upright="1">
                          <a:noAutofit/>
                        </wps:bodyPr>
                      </wps:wsp>
                      <wps:wsp>
                        <wps:cNvPr id="42" name="Прямая соединительная линия 20"/>
                        <wps:cNvCnPr>
                          <a:cxnSpLocks noChangeShapeType="1"/>
                        </wps:cNvCnPr>
                        <wps:spPr bwMode="auto">
                          <a:xfrm flipH="1">
                            <a:off x="3086100" y="4686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Прямая соединительная линия 21"/>
                        <wps:cNvCnPr>
                          <a:cxnSpLocks noChangeShapeType="1"/>
                        </wps:cNvCnPr>
                        <wps:spPr bwMode="auto">
                          <a:xfrm>
                            <a:off x="3086100" y="468630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Прямая соединительная линия 9"/>
                        <wps:cNvCnPr>
                          <a:cxnSpLocks noChangeShapeType="1"/>
                        </wps:cNvCnPr>
                        <wps:spPr bwMode="auto">
                          <a:xfrm flipH="1">
                            <a:off x="2857500" y="54864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Прямая соединительная линия 6"/>
                        <wps:cNvCnPr>
                          <a:cxnSpLocks noChangeShapeType="1"/>
                        </wps:cNvCnPr>
                        <wps:spPr bwMode="auto">
                          <a:xfrm>
                            <a:off x="1714500" y="640080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Прямая соединительная линия 31"/>
                        <wps:cNvCnPr>
                          <a:cxnSpLocks noChangeShapeType="1"/>
                        </wps:cNvCnPr>
                        <wps:spPr bwMode="auto">
                          <a:xfrm flipH="1" flipV="1">
                            <a:off x="5715000" y="4343400"/>
                            <a:ext cx="0" cy="2057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Прямая соединительная линия 8"/>
                        <wps:cNvCnPr>
                          <a:cxnSpLocks noChangeShapeType="1"/>
                        </wps:cNvCnPr>
                        <wps:spPr bwMode="auto">
                          <a:xfrm flipV="1">
                            <a:off x="1714500" y="59436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Прямая соединительная линия 30"/>
                        <wps:cNvCnPr>
                          <a:cxnSpLocks noChangeShapeType="1"/>
                        </wps:cNvCnPr>
                        <wps:spPr bwMode="auto">
                          <a:xfrm flipH="1">
                            <a:off x="5257800" y="434340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Выноска со стрелкой вниз 7"/>
                        <wps:cNvSpPr>
                          <a:spLocks noChangeArrowheads="1"/>
                        </wps:cNvSpPr>
                        <wps:spPr bwMode="auto">
                          <a:xfrm>
                            <a:off x="342900" y="6515100"/>
                            <a:ext cx="5600700" cy="114300"/>
                          </a:xfrm>
                          <a:prstGeom prst="downArrowCallout">
                            <a:avLst>
                              <a:gd name="adj1" fmla="val 1225000"/>
                              <a:gd name="adj2" fmla="val 1225000"/>
                              <a:gd name="adj3" fmla="val 16667"/>
                              <a:gd name="adj4" fmla="val 66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50" name="Поле 1"/>
                        <wps:cNvSpPr txBox="1">
                          <a:spLocks noChangeArrowheads="1"/>
                        </wps:cNvSpPr>
                        <wps:spPr bwMode="auto">
                          <a:xfrm>
                            <a:off x="342900" y="6629400"/>
                            <a:ext cx="5600700" cy="342900"/>
                          </a:xfrm>
                          <a:prstGeom prst="rect">
                            <a:avLst/>
                          </a:prstGeom>
                          <a:solidFill>
                            <a:srgbClr val="FFFFFF"/>
                          </a:solidFill>
                          <a:ln w="28575">
                            <a:solidFill>
                              <a:srgbClr val="000000"/>
                            </a:solidFill>
                            <a:miter lim="800000"/>
                            <a:headEnd/>
                            <a:tailEnd/>
                          </a:ln>
                        </wps:spPr>
                        <wps:txb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sz w:val="28"/>
                                  <w:szCs w:val="28"/>
                                </w:rPr>
                                <w:t xml:space="preserve">ЕНДОТЕЛІАЛЬНА ДИСФУНКЦІЯ </w:t>
                              </w:r>
                            </w:p>
                          </w:txbxContent>
                        </wps:txbx>
                        <wps:bodyPr rot="0" vert="horz" wrap="square" lIns="91440" tIns="45720" rIns="91440" bIns="45720" anchor="t" anchorCtr="0" upright="1">
                          <a:noAutofit/>
                        </wps:bodyPr>
                      </wps:wsp>
                      <wps:wsp>
                        <wps:cNvPr id="51" name="Прямая соединительная линия 61"/>
                        <wps:cNvCnPr>
                          <a:cxnSpLocks noChangeShapeType="1"/>
                        </wps:cNvCnPr>
                        <wps:spPr bwMode="auto">
                          <a:xfrm>
                            <a:off x="5600700" y="22860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Прямая соединительная линия 2"/>
                        <wps:cNvCnPr>
                          <a:cxnSpLocks noChangeShapeType="1"/>
                        </wps:cNvCnPr>
                        <wps:spPr bwMode="auto">
                          <a:xfrm flipH="1">
                            <a:off x="5943600" y="674370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Прямая соединительная линия 39"/>
                        <wps:cNvCnPr>
                          <a:cxnSpLocks noChangeShapeType="1"/>
                        </wps:cNvCnPr>
                        <wps:spPr bwMode="auto">
                          <a:xfrm>
                            <a:off x="114300" y="3429000"/>
                            <a:ext cx="0" cy="3429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Прямая соединительная линия 3"/>
                        <wps:cNvCnPr>
                          <a:cxnSpLocks noChangeShapeType="1"/>
                        </wps:cNvCnPr>
                        <wps:spPr bwMode="auto">
                          <a:xfrm>
                            <a:off x="114300" y="68580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Прямая соединительная линия 22"/>
                        <wps:cNvCnPr>
                          <a:cxnSpLocks noChangeShapeType="1"/>
                        </wps:cNvCnPr>
                        <wps:spPr bwMode="auto">
                          <a:xfrm>
                            <a:off x="2400300" y="4457700"/>
                            <a:ext cx="0" cy="34290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Прямая соединительная линия 13"/>
                        <wps:cNvCnPr>
                          <a:cxnSpLocks noChangeShapeType="1"/>
                        </wps:cNvCnPr>
                        <wps:spPr bwMode="auto">
                          <a:xfrm flipH="1">
                            <a:off x="228600" y="5029200"/>
                            <a:ext cx="3429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57" name="Прямая соединительная линия 14"/>
                        <wps:cNvCnPr>
                          <a:cxnSpLocks noChangeShapeType="1"/>
                        </wps:cNvCnPr>
                        <wps:spPr bwMode="auto">
                          <a:xfrm>
                            <a:off x="228600" y="5029200"/>
                            <a:ext cx="0" cy="171450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58" name="Прямая соединительная линия 4"/>
                        <wps:cNvCnPr>
                          <a:cxnSpLocks noChangeShapeType="1"/>
                        </wps:cNvCnPr>
                        <wps:spPr bwMode="auto">
                          <a:xfrm>
                            <a:off x="228600" y="67437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Прямая соединительная линия 29"/>
                        <wps:cNvCnPr>
                          <a:cxnSpLocks noChangeShapeType="1"/>
                        </wps:cNvCnPr>
                        <wps:spPr bwMode="auto">
                          <a:xfrm flipH="1">
                            <a:off x="2971800" y="4229100"/>
                            <a:ext cx="11430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Прямая соединительная линия 5"/>
                        <wps:cNvCnPr>
                          <a:cxnSpLocks noChangeShapeType="1"/>
                        </wps:cNvCnPr>
                        <wps:spPr bwMode="auto">
                          <a:xfrm>
                            <a:off x="5943600" y="6629400"/>
                            <a:ext cx="2286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61" name="Прямая соединительная линия 32"/>
                        <wps:cNvCnPr>
                          <a:cxnSpLocks noChangeShapeType="1"/>
                        </wps:cNvCnPr>
                        <wps:spPr bwMode="auto">
                          <a:xfrm flipV="1">
                            <a:off x="6172200" y="4114800"/>
                            <a:ext cx="0" cy="251460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62" name="Прямая соединительная линия 33"/>
                        <wps:cNvCnPr>
                          <a:cxnSpLocks noChangeShapeType="1"/>
                        </wps:cNvCnPr>
                        <wps:spPr bwMode="auto">
                          <a:xfrm flipH="1">
                            <a:off x="5267325" y="4114800"/>
                            <a:ext cx="914400" cy="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Прямая соединительная линия 23"/>
                        <wps:cNvCnPr>
                          <a:cxnSpLocks noChangeShapeType="1"/>
                        </wps:cNvCnPr>
                        <wps:spPr bwMode="auto">
                          <a:xfrm>
                            <a:off x="466725" y="4495800"/>
                            <a:ext cx="0" cy="5658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Прямая соединительная линия 48"/>
                        <wps:cNvCnPr>
                          <a:cxnSpLocks noChangeShapeType="1"/>
                        </wps:cNvCnPr>
                        <wps:spPr bwMode="auto">
                          <a:xfrm flipV="1">
                            <a:off x="123825" y="1866900"/>
                            <a:ext cx="0" cy="565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Прямая соединительная линия 43"/>
                        <wps:cNvCnPr>
                          <a:cxnSpLocks noChangeShapeType="1"/>
                        </wps:cNvCnPr>
                        <wps:spPr bwMode="auto">
                          <a:xfrm>
                            <a:off x="5838825" y="2667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Прямая соединительная линия 49"/>
                        <wps:cNvCnPr>
                          <a:cxnSpLocks noChangeShapeType="1"/>
                        </wps:cNvCnPr>
                        <wps:spPr bwMode="auto">
                          <a:xfrm>
                            <a:off x="123825" y="18669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788B0E" id="Группа 4" o:spid="_x0000_s1026" style="position:absolute;left:0;text-align:left;margin-left:-25.35pt;margin-top:-.35pt;width:504.75pt;height:563.25pt;z-index:251659264" coordorigin=",-857" coordsize="64103,7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">
                <v:shapetype id="_x0000_t202" coordsize="21600,21600" o:spt="202" path="m,l,21600r21600,l21600,xe">
                  <v:stroke joinstyle="miter"/>
                  <v:path gradientshapeok="t" o:connecttype="rect"/>
                </v:shapetype>
                <v:shape id="Поле 36" o:spid="_x0000_s1027" type="#_x0000_t202" style="position:absolute;left:19431;top:35433;width:2286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8E20E1" w:rsidRPr="005C11DF" w:rsidRDefault="008E20E1" w:rsidP="001E52F1">
                        <w:pPr>
                          <w:jc w:val="center"/>
                          <w:rPr>
                            <w:rFonts w:ascii="Times New Roman" w:hAnsi="Times New Roman" w:cs="Times New Roman"/>
                            <w:b/>
                            <w:sz w:val="36"/>
                            <w:szCs w:val="36"/>
                          </w:rPr>
                        </w:pPr>
                        <w:r w:rsidRPr="005C11DF">
                          <w:rPr>
                            <w:rFonts w:ascii="Times New Roman" w:hAnsi="Times New Roman" w:cs="Times New Roman"/>
                            <w:b/>
                            <w:sz w:val="36"/>
                            <w:szCs w:val="36"/>
                          </w:rPr>
                          <w:t xml:space="preserve"> ХОЗЛ+ГХ</w:t>
                        </w:r>
                      </w:p>
                    </w:txbxContent>
                  </v:textbox>
                </v:shape>
                <v:rect id="Прямоугольник 58" o:spid="_x0000_s1028" style="position:absolute;left:9144;top:-857;width:45815;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Порушення функціонування</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ренін-ангіотензинової та калікреїн-кінінової систем</w:t>
                        </w:r>
                      </w:p>
                    </w:txbxContent>
                  </v:textbox>
                </v:rect>
                <v:shape id="Поле 56" o:spid="_x0000_s1029" type="#_x0000_t202" style="position:absolute;left:4572;top:6858;width:25146;height:8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8E20E1" w:rsidRPr="005C11DF" w:rsidRDefault="008E20E1" w:rsidP="001E52F1">
                        <w:pPr>
                          <w:jc w:val="center"/>
                          <w:rPr>
                            <w:rFonts w:ascii="Times New Roman" w:hAnsi="Times New Roman" w:cs="Times New Roman"/>
                            <w:b/>
                          </w:rPr>
                        </w:pPr>
                        <w:r w:rsidRPr="005C11DF">
                          <w:rPr>
                            <w:rFonts w:ascii="Times New Roman" w:hAnsi="Times New Roman" w:cs="Times New Roman"/>
                            <w:sz w:val="28"/>
                            <w:szCs w:val="28"/>
                          </w:rPr>
                          <w:t>↑ ренін</w:t>
                        </w:r>
                        <w:r w:rsidRPr="005C11DF">
                          <w:rPr>
                            <w:rFonts w:ascii="Times New Roman" w:hAnsi="Times New Roman" w:cs="Times New Roman"/>
                          </w:rPr>
                          <w:t xml:space="preserve">, </w:t>
                        </w:r>
                        <w:r w:rsidRPr="005C11DF">
                          <w:rPr>
                            <w:rFonts w:ascii="Times New Roman" w:hAnsi="Times New Roman" w:cs="Times New Roman"/>
                            <w:b/>
                          </w:rPr>
                          <w:t xml:space="preserve">↑АПФ→ </w:t>
                        </w: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i/>
                            <w:sz w:val="28"/>
                            <w:szCs w:val="28"/>
                          </w:rPr>
                          <w:t xml:space="preserve">↑ ангіотензин </w:t>
                        </w:r>
                        <w:r w:rsidRPr="005C11DF">
                          <w:rPr>
                            <w:rFonts w:ascii="Times New Roman" w:hAnsi="Times New Roman" w:cs="Times New Roman"/>
                            <w:i/>
                            <w:sz w:val="28"/>
                            <w:szCs w:val="28"/>
                            <w:lang w:val="en-US"/>
                          </w:rPr>
                          <w:t>II</w:t>
                        </w:r>
                        <w:r w:rsidRPr="005C11DF">
                          <w:rPr>
                            <w:rFonts w:ascii="Times New Roman" w:hAnsi="Times New Roman" w:cs="Times New Roman"/>
                            <w:b/>
                          </w:rPr>
                          <w:t xml:space="preserve">→ </w:t>
                        </w:r>
                        <w:r w:rsidRPr="005C11DF">
                          <w:rPr>
                            <w:rFonts w:ascii="Times New Roman" w:hAnsi="Times New Roman" w:cs="Times New Roman"/>
                            <w:sz w:val="28"/>
                            <w:szCs w:val="28"/>
                          </w:rPr>
                          <w:t>↑альдостерон, ↑ АДГ</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p w:rsidR="008E20E1" w:rsidRPr="005C11DF" w:rsidRDefault="008E20E1" w:rsidP="001E52F1">
                        <w:pPr>
                          <w:jc w:val="center"/>
                          <w:rPr>
                            <w:rFonts w:ascii="Times New Roman" w:hAnsi="Times New Roman" w:cs="Times New Roman"/>
                          </w:rPr>
                        </w:pPr>
                      </w:p>
                    </w:txbxContent>
                  </v:textbox>
                </v:shape>
                <v:shape id="Поле 57" o:spid="_x0000_s1030" type="#_x0000_t202" style="position:absolute;left:32004;top:6858;width:2971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8E20E1" w:rsidRPr="005C11DF" w:rsidRDefault="008E20E1" w:rsidP="001E52F1">
                        <w:pPr>
                          <w:jc w:val="center"/>
                          <w:rPr>
                            <w:rFonts w:ascii="Times New Roman" w:hAnsi="Times New Roman" w:cs="Times New Roman"/>
                          </w:rPr>
                        </w:pPr>
                        <w:r w:rsidRPr="005C11DF">
                          <w:rPr>
                            <w:rFonts w:ascii="Times New Roman" w:hAnsi="Times New Roman" w:cs="Times New Roman"/>
                            <w:sz w:val="28"/>
                            <w:szCs w:val="28"/>
                          </w:rPr>
                          <w:t xml:space="preserve">↑ калікреїноген, ↑ калікреїн </w:t>
                        </w:r>
                        <w:r w:rsidRPr="005C11DF">
                          <w:rPr>
                            <w:rFonts w:ascii="Times New Roman" w:hAnsi="Times New Roman" w:cs="Times New Roman"/>
                            <w:b/>
                          </w:rPr>
                          <w:t>→</w:t>
                        </w:r>
                      </w:p>
                      <w:p w:rsidR="008E20E1" w:rsidRPr="005C11DF" w:rsidRDefault="008E20E1" w:rsidP="001E52F1">
                        <w:pPr>
                          <w:jc w:val="center"/>
                          <w:rPr>
                            <w:rFonts w:ascii="Times New Roman" w:hAnsi="Times New Roman" w:cs="Times New Roman"/>
                            <w:i/>
                            <w:sz w:val="28"/>
                            <w:szCs w:val="28"/>
                          </w:rPr>
                        </w:pPr>
                        <w:r w:rsidRPr="005C11DF">
                          <w:rPr>
                            <w:rFonts w:ascii="Times New Roman" w:hAnsi="Times New Roman" w:cs="Times New Roman"/>
                            <w:sz w:val="28"/>
                            <w:szCs w:val="28"/>
                          </w:rPr>
                          <w:t xml:space="preserve"> </w:t>
                        </w:r>
                        <w:r w:rsidRPr="005C11DF">
                          <w:rPr>
                            <w:rFonts w:ascii="Times New Roman" w:hAnsi="Times New Roman" w:cs="Times New Roman"/>
                            <w:i/>
                            <w:sz w:val="28"/>
                            <w:szCs w:val="28"/>
                          </w:rPr>
                          <w:t>↑ брадикінін</w:t>
                        </w:r>
                      </w:p>
                      <w:p w:rsidR="008E20E1" w:rsidRPr="005C11DF" w:rsidRDefault="008E20E1" w:rsidP="001E52F1">
                        <w:pPr>
                          <w:jc w:val="center"/>
                          <w:rPr>
                            <w:rFonts w:ascii="Times New Roman" w:hAnsi="Times New Roman" w:cs="Times New Roman"/>
                            <w:b/>
                          </w:rPr>
                        </w:pPr>
                        <w:r w:rsidRPr="005C11DF">
                          <w:rPr>
                            <w:rFonts w:ascii="Times New Roman" w:hAnsi="Times New Roman" w:cs="Times New Roman"/>
                            <w:b/>
                          </w:rPr>
                          <w:t xml:space="preserve">↑ карбоксипептидаза </w:t>
                        </w:r>
                        <w:r w:rsidRPr="005C11DF">
                          <w:rPr>
                            <w:rFonts w:ascii="Times New Roman" w:hAnsi="Times New Roman" w:cs="Times New Roman"/>
                            <w:b/>
                            <w:lang w:val="en-US"/>
                          </w:rPr>
                          <w:t>N</w:t>
                        </w:r>
                      </w:p>
                    </w:txbxContent>
                  </v:textbox>
                </v:shape>
                <v:shape id="Поле 47" o:spid="_x0000_s1031" type="#_x0000_t202" style="position:absolute;left:1143;top:24003;width:29718;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 xml:space="preserve">Активація </w:t>
                        </w:r>
                      </w:p>
                      <w:p w:rsidR="008E20E1" w:rsidRPr="005C11DF" w:rsidRDefault="008E20E1" w:rsidP="001E52F1">
                        <w:pPr>
                          <w:jc w:val="center"/>
                          <w:rPr>
                            <w:rFonts w:ascii="Times New Roman" w:hAnsi="Times New Roman" w:cs="Times New Roman"/>
                            <w:i/>
                          </w:rPr>
                        </w:pPr>
                        <w:r w:rsidRPr="005C11DF">
                          <w:rPr>
                            <w:rFonts w:ascii="Times New Roman" w:hAnsi="Times New Roman" w:cs="Times New Roman"/>
                            <w:i/>
                          </w:rPr>
                          <w:t>симпатоадреналової системи</w:t>
                        </w:r>
                      </w:p>
                      <w:p w:rsidR="008E20E1" w:rsidRPr="005C11DF" w:rsidRDefault="008E20E1" w:rsidP="001E52F1">
                        <w:pPr>
                          <w:jc w:val="center"/>
                          <w:rPr>
                            <w:rFonts w:ascii="Times New Roman" w:hAnsi="Times New Roman" w:cs="Times New Roman"/>
                            <w:i/>
                          </w:rPr>
                        </w:pPr>
                        <w:r w:rsidRPr="005C11DF">
                          <w:rPr>
                            <w:rFonts w:ascii="Times New Roman" w:hAnsi="Times New Roman" w:cs="Times New Roman"/>
                            <w:b/>
                          </w:rPr>
                          <w:t>↑ адреналін</w:t>
                        </w:r>
                        <w:r w:rsidRPr="005C11DF">
                          <w:rPr>
                            <w:rFonts w:ascii="Times New Roman" w:hAnsi="Times New Roman" w:cs="Times New Roman"/>
                            <w:sz w:val="28"/>
                            <w:szCs w:val="28"/>
                          </w:rPr>
                          <w:t>, норадреналін, дофамін</w:t>
                        </w: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rPr>
                          <w:t xml:space="preserve"> </w:t>
                        </w:r>
                      </w:p>
                      <w:p w:rsidR="008E20E1" w:rsidRPr="005C11DF" w:rsidRDefault="008E20E1" w:rsidP="001E52F1">
                        <w:pPr>
                          <w:jc w:val="center"/>
                          <w:rPr>
                            <w:rFonts w:ascii="Times New Roman" w:hAnsi="Times New Roman" w:cs="Times New Roman"/>
                          </w:rPr>
                        </w:pPr>
                      </w:p>
                    </w:txbxContent>
                  </v:textbox>
                </v:shape>
                <v:shape id="Поле 45" o:spid="_x0000_s1032" type="#_x0000_t202" style="position:absolute;left:32004;top:24324;width:26289;height:5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8E20E1" w:rsidRPr="005C11DF" w:rsidRDefault="008E20E1" w:rsidP="007C1462">
                        <w:pPr>
                          <w:pStyle w:val="a3"/>
                          <w:jc w:val="center"/>
                          <w:rPr>
                            <w:rFonts w:ascii="Times New Roman" w:hAnsi="Times New Roman" w:cs="Times New Roman"/>
                            <w:b/>
                            <w:i/>
                          </w:rPr>
                        </w:pPr>
                        <w:r w:rsidRPr="005C11DF">
                          <w:rPr>
                            <w:rFonts w:ascii="Times New Roman" w:hAnsi="Times New Roman" w:cs="Times New Roman"/>
                            <w:b/>
                            <w:i/>
                          </w:rPr>
                          <w:t>Зниження</w:t>
                        </w:r>
                      </w:p>
                      <w:p w:rsidR="008E20E1" w:rsidRPr="005C11DF" w:rsidRDefault="008E20E1" w:rsidP="007C1462">
                        <w:pPr>
                          <w:pStyle w:val="a3"/>
                          <w:jc w:val="center"/>
                          <w:rPr>
                            <w:rFonts w:ascii="Times New Roman" w:hAnsi="Times New Roman" w:cs="Times New Roman"/>
                            <w:b/>
                          </w:rPr>
                        </w:pPr>
                        <w:r w:rsidRPr="005C11DF">
                          <w:rPr>
                            <w:rFonts w:ascii="Times New Roman" w:hAnsi="Times New Roman" w:cs="Times New Roman"/>
                            <w:b/>
                          </w:rPr>
                          <w:t>вазодилятуючих ефектів</w:t>
                        </w:r>
                      </w:p>
                      <w:p w:rsidR="008E20E1" w:rsidRPr="005C11DF" w:rsidRDefault="008E20E1" w:rsidP="001E52F1">
                        <w:pPr>
                          <w:jc w:val="center"/>
                          <w:rPr>
                            <w:rFonts w:ascii="Times New Roman" w:hAnsi="Times New Roman" w:cs="Times New Roman"/>
                          </w:rPr>
                        </w:pP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rPr>
                          <w:t xml:space="preserve"> </w:t>
                        </w:r>
                      </w:p>
                      <w:p w:rsidR="008E20E1" w:rsidRPr="005C11DF" w:rsidRDefault="008E20E1" w:rsidP="001E52F1">
                        <w:pPr>
                          <w:jc w:val="center"/>
                          <w:rPr>
                            <w:rFonts w:ascii="Times New Roman" w:hAnsi="Times New Roman" w:cs="Times New Roman"/>
                          </w:rPr>
                        </w:pP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34" o:spid="_x0000_s1033" type="#_x0000_t80" style="position:absolute;left:18288;top:40005;width:1143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wsEA&#10;AADbAAAADwAAAGRycy9kb3ducmV2LnhtbERPS4vCMBC+L/gfwgh7W1N1EalGKYIPWDxsFfQ4NGNb&#10;bCa1ibX++42w4G0+vufMl52pREuNKy0rGA4iEMSZ1SXnCo6H9dcUhPPIGivLpOBJDpaL3sccY20f&#10;/Ett6nMRQtjFqKDwvo6ldFlBBt3A1sSBu9jGoA+wyaVu8BHCTSVHUTSRBksODQXWtCoou6Z3o2Dn&#10;xj8bntw23fbQPtN99Z0kp7NSn/0umYHw1Pm3+N+902H+EF6/h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qsLBAAAA2wAAAA8AAAAAAAAAAAAAAAAAmAIAAGRycy9kb3du&#10;cmV2LnhtbFBLBQYAAAAABAAEAPUAAACGAwAAAAA=&#10;" strokeweight="1pt"/>
                <v:shape id="Поле 15" o:spid="_x0000_s1034" type="#_x0000_t202" style="position:absolute;left:5715;top:48006;width:2286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Af8MA&#10;AADbAAAADwAAAGRycy9kb3ducmV2LnhtbERPS2uDQBC+B/IflgnkIs1aC02xWUPIg7aHHmqS++BO&#10;VXRnxd2q+ffdQiG3+fies9lOphUD9a62rOBxFYMgLqyuuVRwOZ8eXkA4j6yxtUwKbuRgm81nG0y1&#10;HfmLhtyXIoSwS1FB5X2XSumKigy6le2IA/dte4M+wL6UuscxhJtWJnH8LA3WHBoq7GhfUdHkP0bB&#10;+DQcPg9TGX28HdfXU8JHG0WNUsvFtHsF4Wnyd/G/+12H+Qn8/RIO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uAf8MAAADbAAAADwAAAAAAAAAAAAAAAACYAgAAZHJzL2Rv&#10;d25yZXYueG1sUEsFBgAAAAAEAAQA9QAAAIgDAAAAAA==&#10;" strokeweight="1.75pt">
                  <v:textbo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ХРОНІЧНЕ ЗАПАЛЕННЯ</w:t>
                        </w:r>
                      </w:p>
                    </w:txbxContent>
                  </v:textbox>
                </v:shape>
                <v:shape id="Выноска со стрелкой вниз 11" o:spid="_x0000_s1035" type="#_x0000_t80" style="position:absolute;left:11430;top:51435;width:9144;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GRLsMA&#10;AADbAAAADwAAAGRycy9kb3ducmV2LnhtbERPTWvCQBC9C/0PyxS8mU21hBJdJRS0gvRgUmiPQ3ZM&#10;QrOzaXYbk3/fLQje5vE+Z7MbTSsG6l1jWcFTFIMgLq1uuFLwUewXLyCcR9bYWiYFEznYbR9mG0y1&#10;vfKZhtxXIoSwS1FB7X2XSunKmgy6yHbEgbvY3qAPsK+k7vEawk0rl3GcSIMNh4YaO3qtqfzOf42C&#10;o1udDpz8HMa3Ypjy9/Y5yz6/lJo/jtkahKfR38U391GH+Sv4/yUc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GRLsMAAADbAAAADwAAAAAAAAAAAAAAAACYAgAAZHJzL2Rv&#10;d25yZXYueG1sUEsFBgAAAAAEAAQA9QAAAIgDAAAAAA==&#10;" strokeweight="1pt"/>
                <v:line id="Прямая соединительная линия 60" o:spid="_x0000_s1036" style="position:absolute;visibility:visible;mso-wrap-style:square" from="0,2286" to="0,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Прямая соединительная линия 62" o:spid="_x0000_s1037" style="position:absolute;visibility:visible;mso-wrap-style:square" from="64008,2286" to="64008,6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Прямая соединительная линия 59" o:spid="_x0000_s1038" style="position:absolute;visibility:visible;mso-wrap-style:square" from="0,2286" to="9144,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Прямая соединительная линия 40" o:spid="_x0000_s1039" style="position:absolute;visibility:visible;mso-wrap-style:square" from="0,30861" to="1143,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VBb8AAADbAAAADwAAAGRycy9kb3ducmV2LnhtbERPTYvCMBC9L/gfwgje1lQPulSjiKCo&#10;B0GriLehGdtiMylNrPXfG0HY2zze50znrSlFQ7UrLCsY9CMQxKnVBWcKTsnq9w+E88gaS8uk4EUO&#10;5rPOzxRjbZ98oOboMxFC2MWoIPe+iqV0aU4GXd9WxIG72dqgD7DOpK7xGcJNKYdRNJIGCw4NOVa0&#10;zCm9Hx9GQdq4xoyHl61cUbJur3t73mVWqV63XUxAeGr9v/jr3ugwfwy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oVBb8AAADbAAAADwAAAAAAAAAAAAAAAACh&#10;AgAAZHJzL2Rvd25yZXYueG1sUEsFBgAAAAAEAAQA+QAAAI0DAAAAAA==&#10;" strokeweight="1pt">
                  <v:stroke endarrow="block"/>
                </v:lin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5" o:spid="_x0000_s1040" type="#_x0000_t68" style="position:absolute;left:14859;top:5715;width:32004;height:1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m7MIA&#10;AADbAAAADwAAAGRycy9kb3ducmV2LnhtbESPQWvCQBCF7wX/wzKCt7pRadHoKqUo9FRQc/A47I5J&#10;SHY2ZldN/33nUOhthvfmvW82u8G36kF9rAMbmE0zUMQ2uJpLA8X58LoEFROywzYwGfihCLvt6GWD&#10;uQtPPtLjlEolIRxzNFCl1OVaR1uRxzgNHbFo19B7TLL2pXY9PiXct3qeZe/aY83SUGFHnxXZ5nT3&#10;Bpq3wt3sYnVx30ffsIt7Wy4LYybj4WMNKtGQ/s1/119O8AVWfpEB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qbswgAAANsAAAAPAAAAAAAAAAAAAAAAAJgCAABkcnMvZG93&#10;bnJldi54bWxQSwUGAAAAAAQABAD1AAAAhwMAAAAA&#10;"/>
                <v:shape id="Стрелка вверх 53" o:spid="_x0000_s1041" type="#_x0000_t68" style="position:absolute;left:11430;top:14859;width:10287;height:1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kbcEA&#10;AADbAAAADwAAAGRycy9kb3ducmV2LnhtbERPS4vCMBC+C/sfwix401QXxFajiCAswh58gB6HZrYp&#10;NpNuE2v1128Ewdt8fM+ZLztbiZYaXzpWMBomIIhzp0suFBwPm8EUhA/IGivHpOBOHpaLj94cM+1u&#10;vKN2HwoRQ9hnqMCEUGdS+tyQRT90NXHkfl1jMUTYFFI3eIvhtpLjJJlIiyXHBoM1rQ3ll/3VKkhX&#10;j8fZ/I3O261pk/RLny6Hn5NS/c9uNQMRqAtv8cv9reP8FJ6/x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v5G3BAAAA2wAAAA8AAAAAAAAAAAAAAAAAmAIAAGRycy9kb3du&#10;cmV2LnhtbFBLBQYAAAAABAAEAPUAAACGAwAAAAA=&#10;" fillcolor="silver"/>
                <v:rect id="Прямоугольник 54" o:spid="_x0000_s1042" style="position:absolute;left:5715;top:16002;width:1943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rPr>
                          <w:t xml:space="preserve"> </w:t>
                        </w:r>
                        <w:r w:rsidRPr="005C11DF">
                          <w:rPr>
                            <w:rFonts w:ascii="Times New Roman" w:hAnsi="Times New Roman" w:cs="Times New Roman"/>
                            <w:b/>
                            <w:i/>
                            <w:sz w:val="28"/>
                            <w:szCs w:val="28"/>
                          </w:rPr>
                          <w:t>посилення вазоконстрикторних ефектів</w:t>
                        </w:r>
                      </w:p>
                    </w:txbxContent>
                  </v:textbox>
                </v:rect>
                <v:rect id="Прямоугольник 52" o:spid="_x0000_s1043" style="position:absolute;left:26289;top:16002;width:2743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8E20E1" w:rsidRPr="005C11DF" w:rsidRDefault="008E20E1" w:rsidP="001E52F1">
                        <w:pPr>
                          <w:jc w:val="center"/>
                          <w:rPr>
                            <w:rFonts w:ascii="Times New Roman" w:hAnsi="Times New Roman" w:cs="Times New Roman"/>
                            <w:sz w:val="28"/>
                            <w:szCs w:val="28"/>
                          </w:rPr>
                        </w:pPr>
                        <w:r w:rsidRPr="005C11DF">
                          <w:rPr>
                            <w:rFonts w:ascii="Times New Roman" w:hAnsi="Times New Roman" w:cs="Times New Roman"/>
                            <w:b/>
                          </w:rPr>
                          <w:t>↑АПФ</w:t>
                        </w:r>
                        <w:r w:rsidRPr="005C11DF">
                          <w:rPr>
                            <w:rFonts w:ascii="Times New Roman" w:hAnsi="Times New Roman" w:cs="Times New Roman"/>
                            <w:b/>
                            <w:lang w:val="en-US"/>
                          </w:rPr>
                          <w:t xml:space="preserve">, </w:t>
                        </w:r>
                        <w:r w:rsidRPr="005C11DF">
                          <w:rPr>
                            <w:rFonts w:ascii="Times New Roman" w:hAnsi="Times New Roman" w:cs="Times New Roman"/>
                            <w:b/>
                          </w:rPr>
                          <w:t xml:space="preserve">↑ карбоксипептидаза </w:t>
                        </w:r>
                        <w:r w:rsidRPr="005C11DF">
                          <w:rPr>
                            <w:rFonts w:ascii="Times New Roman" w:hAnsi="Times New Roman" w:cs="Times New Roman"/>
                            <w:b/>
                            <w:lang w:val="en-US"/>
                          </w:rPr>
                          <w:t xml:space="preserve">N </w:t>
                        </w:r>
                        <w:r w:rsidRPr="005C11DF">
                          <w:rPr>
                            <w:rFonts w:ascii="Times New Roman" w:hAnsi="Times New Roman" w:cs="Times New Roman"/>
                            <w:b/>
                            <w:sz w:val="28"/>
                            <w:szCs w:val="28"/>
                          </w:rPr>
                          <w:t>→</w:t>
                        </w:r>
                        <w:r w:rsidRPr="005C11DF">
                          <w:rPr>
                            <w:rFonts w:ascii="Times New Roman" w:hAnsi="Times New Roman" w:cs="Times New Roman"/>
                            <w:b/>
                            <w:sz w:val="28"/>
                            <w:szCs w:val="28"/>
                            <w:lang w:val="en-US"/>
                          </w:rPr>
                          <w:t xml:space="preserve"> </w:t>
                        </w:r>
                        <w:r w:rsidRPr="005C11DF">
                          <w:rPr>
                            <w:rFonts w:ascii="Times New Roman" w:hAnsi="Times New Roman" w:cs="Times New Roman"/>
                            <w:sz w:val="28"/>
                            <w:szCs w:val="28"/>
                          </w:rPr>
                          <w:t>зниження ефектів брадикініну</w:t>
                        </w:r>
                      </w:p>
                      <w:p w:rsidR="008E20E1" w:rsidRPr="005C11DF" w:rsidRDefault="008E20E1" w:rsidP="001E52F1">
                        <w:pPr>
                          <w:jc w:val="center"/>
                          <w:rPr>
                            <w:rFonts w:ascii="Times New Roman" w:hAnsi="Times New Roman" w:cs="Times New Roman"/>
                            <w:b/>
                            <w:sz w:val="28"/>
                            <w:szCs w:val="28"/>
                          </w:rPr>
                        </w:pP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txbxContent>
                  </v:textbox>
                </v:rect>
                <v:shape id="Стрелка вверх 50" o:spid="_x0000_s1044" type="#_x0000_t68" style="position:absolute;left:27432;top:14859;width:2286;height:1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pbu8MA&#10;AADbAAAADwAAAGRycy9kb3ducmV2LnhtbESPwWrDMBBE74X8g9hAb7UclxbHiRJKaSGnghMfclyk&#10;jW1srRxLjd2/jwqFHoeZecNs97PtxY1G3zpWsEpSEMTamZZrBdXp8ykH4QOywd4xKfghD/vd4mGL&#10;hXETl3Q7hlpECPsCFTQhDIWUXjdk0SduII7exY0WQ5RjLc2IU4TbXmZp+iotthwXGhzovSHdHb+t&#10;gu6lMlf9vD6br9J2bPyHrvNKqcfl/LYBEWgO/+G/9sEoyDL4/RJ/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pbu8MAAADbAAAADwAAAAAAAAAAAAAAAACYAgAAZHJzL2Rv&#10;d25yZXYueG1sUEsFBgAAAAAEAAQA9QAAAIgDAAAAAA==&#10;"/>
                <v:shape id="Стрелка вверх 51" o:spid="_x0000_s1045" type="#_x0000_t68" style="position:absolute;left:33147;top:14859;width:2286;height:1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b+IMMA&#10;AADbAAAADwAAAGRycy9kb3ducmV2LnhtbESPQWvCQBSE74X+h+UVvNWNhhaNrlKKgqdC0hx6fOw+&#10;k5Ds2zS7NfHfu4LQ4zAz3zDb/WQ7caHBN44VLOYJCGLtTMOVgvL7+LoC4QOywc4xKbiSh/3u+WmL&#10;mXEj53QpQiUihH2GCuoQ+kxKr2uy6OeuJ47e2Q0WQ5RDJc2AY4TbTi6T5F1abDgu1NjTZ026Lf6s&#10;gvatNL86Xf+Yr9y2bPxBV6tSqdnL9LEBEWgK/+FH+2QULFO4f4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b+IMMAAADbAAAADwAAAAAAAAAAAAAAAACYAgAAZHJzL2Rv&#10;d25yZXYueG1sUEsFBgAAAAAEAAQA9QAAAIgDAAAAAA==&#10;"/>
                <v:shape id="Стрелка вверх 44" o:spid="_x0000_s1046" type="#_x0000_t68" style="position:absolute;left:36576;top:22860;width:10287;height:1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Wy8YA&#10;AADbAAAADwAAAGRycy9kb3ducmV2LnhtbESPQWvCQBSE74X+h+UVeilmU2tVYlYpgiCUHrSiHp/Z&#10;ZzaafRuyW43/3i0Uehxm5hsmn3W2FhdqfeVYwWuSgiAunK64VLD5XvTGIHxA1lg7JgU38jCbPj7k&#10;mGl35RVd1qEUEcI+QwUmhCaT0heGLPrENcTRO7rWYoiyLaVu8Rrhtpb9NB1KixXHBYMNzQ0V5/WP&#10;VbB79/5tNW8+05fRYn86bJZm+zVQ6vmp+5iACNSF//Bfe6kV9Afw+yX+AD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NWy8YAAADbAAAADwAAAAAAAAAAAAAAAACYAgAAZHJz&#10;L2Rvd25yZXYueG1sUEsFBgAAAAAEAAQA9QAAAIsDAAAAAA==&#10;" fillcolor="#969696"/>
                <v:shape id="Стрелка вверх 46" o:spid="_x0000_s1047" type="#_x0000_t68" style="position:absolute;left:11430;top:22860;width:10287;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kGNcIA&#10;AADbAAAADwAAAGRycy9kb3ducmV2LnhtbESPQWvCQBSE7wX/w/IEb3VjxBKiq4iNYI/aevD2yD6z&#10;0ezbkN1q/PddQehxmJlvmMWqt424Uedrxwom4wQEcel0zZWCn+/tewbCB2SNjWNS8CAPq+XgbYG5&#10;dnfe0+0QKhEh7HNUYEJocyl9aciiH7uWOHpn11kMUXaV1B3eI9w2Mk2SD2mx5rhgsKWNofJ6+LUK&#10;psxfadZfnF4Xpvh0p2OVFVulRsN+PQcRqA//4Vd7pxWkM3h+i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QY1wgAAANsAAAAPAAAAAAAAAAAAAAAAAJgCAABkcnMvZG93&#10;bnJldi54bWxQSwUGAAAAAAQABAD1AAAAhwMAAAAA&#10;" fillcolor="#969696"/>
                <v:shape id="Стрелка вверх 37" o:spid="_x0000_s1048" type="#_x0000_t68" style="position:absolute;left:8001;top:34290;width:4572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INgsMA&#10;AADbAAAADwAAAGRycy9kb3ducmV2LnhtbESPT2vCQBTE74V+h+UJvdWNHlKJbkQEoQoeaoPnR/bl&#10;j2bfht01Sb+9Wyj0OMzMb5jNdjKdGMj51rKCxTwBQVxa3XKtoPg+vK9A+ICssbNMCn7IwzZ/fdlg&#10;pu3IXzRcQi0ihH2GCpoQ+kxKXzZk0M9tTxy9yjqDIUpXS+1wjHDTyWWSpNJgy3GhwZ72DZX3y8Mo&#10;KLvh6j6OZ11Nt4MsTq444qpQ6m027dYgAk3hP/zX/tQKlin8fok/QO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INgsMAAADbAAAADwAAAAAAAAAAAAAAAACYAgAAZHJzL2Rv&#10;d25yZXYueG1sUEsFBgAAAAAEAAQA9QAAAIgDAAAAAA==&#10;"/>
                <v:shape id="Поле 24" o:spid="_x0000_s1049" type="#_x0000_t202" style="position:absolute;left:17145;top:41148;width:1257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DpWsQA&#10;AADbAAAADwAAAGRycy9kb3ducmV2LnhtbESPQWvCQBSE70L/w/IKvYS6aQRToquUqqgHD7V6f2Sf&#10;STD7NmS3SfrvXUHwOMzMN8x8OZhadNS6yrKCj3EMgji3uuJCwel38/4JwnlkjbVlUvBPDpaLl9Ec&#10;M217/qHu6AsRIOwyVFB632RSurwkg25sG+LgXWxr0AfZFlK32Ae4qWUSx1NpsOKwUGJD3yXl1+Of&#10;UdBPutVhNRTRfrtOz5uE1zaKrkq9vQ5fMxCeBv8MP9o7rSBJ4f4l/A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w6VrEAAAA2wAAAA8AAAAAAAAAAAAAAAAAmAIAAGRycy9k&#10;b3ducmV2LnhtbFBLBQYAAAAABAAEAPUAAACJAwAAAAA=&#10;" strokeweight="1.75pt">
                  <v:textbo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ГІПОКСІЯ</w:t>
                        </w:r>
                      </w:p>
                    </w:txbxContent>
                  </v:textbox>
                </v:shape>
                <v:line id="Прямая соединительная линия 26" o:spid="_x0000_s1050" style="position:absolute;flip:x;visibility:visible;mso-wrap-style:square" from="4572,41148" to="17145,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Прямая соединительная линия 38" o:spid="_x0000_s1051" style="position:absolute;flip:y;visibility:visible;mso-wrap-style:square" from="4572,34290" to="4572,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nrUsMAAADbAAAADwAAAGRycy9kb3ducmV2LnhtbESPQWvCQBCF70L/wzKFXoJuqiA1dZXW&#10;KgjioerB45CdJqHZ2ZAdNf57VxA8Pt68782bzjtXqzO1ofJs4H2QgiLOva24MHDYr/ofoIIgW6w9&#10;k4ErBZjPXnpTzKy/8C+dd1KoCOGQoYFSpMm0DnlJDsPAN8TR+/OtQ4myLbRt8RLhrtbDNB1rhxXH&#10;hhIbWpSU/+9OLr6x2vLPaJR8O50kE1oeZZNqMebttfv6BCXUyfP4kV5bA8MJ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J61LDAAAA2wAAAA8AAAAAAAAAAAAA&#10;AAAAoQIAAGRycy9kb3ducmV2LnhtbFBLBQYAAAAABAAEAPkAAACRAwAAAAA=&#10;">
                  <v:stroke endarrow="block"/>
                </v:line>
                <v:shape id="Поле 28" o:spid="_x0000_s1052" type="#_x0000_t202" style="position:absolute;left:4572;top:42291;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sz w:val="28"/>
                            <w:szCs w:val="28"/>
                          </w:rPr>
                          <w:t>↑ ВЕФР</w:t>
                        </w:r>
                      </w:p>
                    </w:txbxContent>
                  </v:textbox>
                </v:shape>
                <v:line id="Прямая соединительная линия 27" o:spid="_x0000_s1053" style="position:absolute;flip:x;visibility:visible;mso-wrap-style:square" from="12573,43434" to="17145,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shape id="Поле 42" o:spid="_x0000_s1054" type="#_x0000_t202" style="position:absolute;left:32004;top:30861;width:3086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8E20E1" w:rsidRPr="005C11DF" w:rsidRDefault="008E20E1" w:rsidP="001E52F1">
                        <w:pPr>
                          <w:jc w:val="center"/>
                          <w:rPr>
                            <w:rFonts w:ascii="Times New Roman" w:hAnsi="Times New Roman" w:cs="Times New Roman"/>
                            <w:b/>
                            <w:i/>
                            <w:sz w:val="18"/>
                            <w:szCs w:val="18"/>
                          </w:rPr>
                        </w:pPr>
                        <w:r w:rsidRPr="005C11DF">
                          <w:rPr>
                            <w:rFonts w:ascii="Times New Roman" w:hAnsi="Times New Roman" w:cs="Times New Roman"/>
                            <w:sz w:val="28"/>
                            <w:szCs w:val="28"/>
                          </w:rPr>
                          <w:t xml:space="preserve"> </w:t>
                        </w:r>
                        <w:r w:rsidRPr="005C11DF">
                          <w:rPr>
                            <w:rFonts w:ascii="Times New Roman" w:hAnsi="Times New Roman" w:cs="Times New Roman"/>
                            <w:b/>
                            <w:sz w:val="18"/>
                            <w:szCs w:val="18"/>
                          </w:rPr>
                          <w:t>↓вазоактивного інтестинального пептиду</w:t>
                        </w:r>
                      </w:p>
                    </w:txbxContent>
                  </v:textbox>
                </v:shape>
                <v:shape id="Стрелка вверх 41" o:spid="_x0000_s1055" type="#_x0000_t68" style="position:absolute;left:40005;top:29718;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tB8IA&#10;AADbAAAADwAAAGRycy9kb3ducmV2LnhtbESPQWvCQBSE7wX/w/IEb3WjgRJiNiI1Qj021YO3R/Y1&#10;mzb7NmS3Gv+9Wyj0OMx8M0yxnWwvrjT6zrGC1TIBQdw43XGr4PRxeM5A+ICssXdMCu7kYVvOngrM&#10;tbvxO13r0IpYwj5HBSaEIZfSN4Ys+qUbiKP36UaLIcqxlXrEWyy3vVwnyYu02HFcMDjQq6Hmu/6x&#10;ClLm4zqbvpzeVabau8u5zaqDUov5tNuACDSF//Af/aYjl8Lvl/gDZP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a0HwgAAANsAAAAPAAAAAAAAAAAAAAAAAJgCAABkcnMvZG93&#10;bnJldi54bWxQSwUGAAAAAAQABAD1AAAAhwMAAAAA&#10;" fillcolor="#969696"/>
                <v:shape id="Выноска со стрелкой вниз 35" o:spid="_x0000_s1056" type="#_x0000_t80" style="position:absolute;left:30861;top:40005;width:1143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1VOsUA&#10;AADbAAAADwAAAGRycy9kb3ducmV2LnhtbESPQWvCQBSE7wX/w/IEb3WjESnRVYLQGCg9NBbq8ZF9&#10;TUKzb9PsGpN/3y0Uehxm5htmfxxNKwbqXWNZwWoZgSAurW64UvB+eX58AuE8ssbWMimYyMHxMHvY&#10;Y6Ltnd9oKHwlAoRdggpq77tESlfWZNAtbUccvE/bG/RB9pXUPd4D3LRyHUVbabDhsFBjR6eayq/i&#10;ZhTkLn7JePudjefLMBWv7SZNP65KLeZjugPhafT/4b92rhXEG/j9En6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VU6xQAAANsAAAAPAAAAAAAAAAAAAAAAAJgCAABkcnMv&#10;ZG93bnJldi54bWxQSwUGAAAAAAQABAD1AAAAigMAAAAA&#10;" strokeweight="1pt"/>
                <v:shape id="Поле 25" o:spid="_x0000_s1057" type="#_x0000_t202" style="position:absolute;left:30861;top:41148;width:21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C8EA&#10;AADbAAAADwAAAGRycy9kb3ducmV2LnhtbESP3YrCMBSE7xd8h3AE7zR1y6pUo8iCoIuIf3h9aI5t&#10;sTkpTbT17Y0g7OUwM98ws0VrSvGg2hWWFQwHEQji1OqCMwXn06o/AeE8ssbSMil4koPFvPM1w0Tb&#10;hg/0OPpMBAi7BBXk3leJlC7NyaAb2Io4eFdbG/RB1pnUNTYBbkr5HUUjabDgsJBjRb85pbfj3SiQ&#10;m2YXy+1+NL5s/u5n43Tcslaq122XUxCeWv8f/rTXWkH8A+8v4Q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4cwvBAAAA2wAAAA8AAAAAAAAAAAAAAAAAmAIAAGRycy9kb3du&#10;cmV2LnhtbFBLBQYAAAAABAAEAPUAAACGAwAAAAA=&#10;" strokeweight="2pt">
                  <v:textbo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ОКСИДАТИВНИЙ СТРЕС</w:t>
                        </w:r>
                      </w:p>
                    </w:txbxContent>
                  </v:textbox>
                </v:shape>
                <v:rect id="Прямоугольник 10" o:spid="_x0000_s1058" style="position:absolute;left:32004;top:50292;width:20574;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 xml:space="preserve">Активація </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системи оксиду азоту</w:t>
                        </w:r>
                      </w:p>
                      <w:p w:rsidR="008E20E1" w:rsidRPr="005C11DF" w:rsidRDefault="008E20E1" w:rsidP="001E52F1">
                        <w:pPr>
                          <w:jc w:val="center"/>
                          <w:rPr>
                            <w:rFonts w:ascii="Times New Roman" w:hAnsi="Times New Roman" w:cs="Times New Roman"/>
                            <w:b/>
                          </w:rPr>
                        </w:pPr>
                        <w:r w:rsidRPr="005C11DF">
                          <w:rPr>
                            <w:rFonts w:ascii="Times New Roman" w:hAnsi="Times New Roman" w:cs="Times New Roman"/>
                            <w:sz w:val="28"/>
                            <w:szCs w:val="28"/>
                          </w:rPr>
                          <w:t xml:space="preserve">↑ </w:t>
                        </w:r>
                        <w:r w:rsidRPr="005C11DF">
                          <w:rPr>
                            <w:rFonts w:ascii="Times New Roman" w:hAnsi="Times New Roman" w:cs="Times New Roman"/>
                            <w:sz w:val="28"/>
                            <w:szCs w:val="28"/>
                            <w:lang w:val="en-US"/>
                          </w:rPr>
                          <w:t>eNOS</w:t>
                        </w:r>
                        <w:r w:rsidRPr="005C11DF">
                          <w:rPr>
                            <w:rFonts w:ascii="Times New Roman" w:hAnsi="Times New Roman" w:cs="Times New Roman"/>
                          </w:rPr>
                          <w:t xml:space="preserve">, </w:t>
                        </w:r>
                        <w:r w:rsidRPr="005C11DF">
                          <w:rPr>
                            <w:rFonts w:ascii="Times New Roman" w:hAnsi="Times New Roman" w:cs="Times New Roman"/>
                            <w:b/>
                          </w:rPr>
                          <w:t>↑</w:t>
                        </w:r>
                        <w:r w:rsidRPr="005C11DF">
                          <w:rPr>
                            <w:rFonts w:ascii="Times New Roman" w:hAnsi="Times New Roman" w:cs="Times New Roman"/>
                            <w:b/>
                            <w:lang w:val="en-US"/>
                          </w:rPr>
                          <w:t>iNOS</w:t>
                        </w:r>
                        <w:r w:rsidRPr="005C11DF">
                          <w:rPr>
                            <w:rFonts w:ascii="Times New Roman" w:hAnsi="Times New Roman" w:cs="Times New Roman"/>
                            <w:b/>
                          </w:rPr>
                          <w:t xml:space="preserve"> </w:t>
                        </w:r>
                      </w:p>
                      <w:p w:rsidR="008E20E1" w:rsidRPr="005C11DF" w:rsidRDefault="008E20E1" w:rsidP="001E52F1">
                        <w:pPr>
                          <w:jc w:val="center"/>
                          <w:rPr>
                            <w:rFonts w:ascii="Times New Roman" w:hAnsi="Times New Roman" w:cs="Times New Roman"/>
                            <w:b/>
                          </w:rPr>
                        </w:pPr>
                        <w:r w:rsidRPr="005C11DF">
                          <w:rPr>
                            <w:rFonts w:ascii="Times New Roman" w:hAnsi="Times New Roman" w:cs="Times New Roman"/>
                            <w:sz w:val="28"/>
                            <w:szCs w:val="28"/>
                          </w:rPr>
                          <w:t>↑ нітрити/нітрати</w:t>
                        </w:r>
                        <w:r w:rsidRPr="005C11DF">
                          <w:rPr>
                            <w:rFonts w:ascii="Times New Roman" w:hAnsi="Times New Roman" w:cs="Times New Roman"/>
                            <w:b/>
                          </w:rPr>
                          <w:t xml:space="preserve"> </w:t>
                        </w:r>
                      </w:p>
                      <w:p w:rsidR="008E20E1" w:rsidRPr="005C11DF" w:rsidRDefault="008E20E1" w:rsidP="001E52F1">
                        <w:pPr>
                          <w:jc w:val="center"/>
                          <w:rPr>
                            <w:rFonts w:ascii="Times New Roman" w:hAnsi="Times New Roman" w:cs="Times New Roman"/>
                          </w:rPr>
                        </w:pPr>
                        <w:r w:rsidRPr="005C11DF">
                          <w:rPr>
                            <w:rFonts w:ascii="Times New Roman" w:hAnsi="Times New Roman" w:cs="Times New Roman"/>
                            <w:sz w:val="28"/>
                            <w:szCs w:val="28"/>
                          </w:rPr>
                          <w:t xml:space="preserve">↑ </w:t>
                        </w:r>
                        <w:r w:rsidRPr="005C11DF">
                          <w:rPr>
                            <w:rFonts w:ascii="Times New Roman" w:hAnsi="Times New Roman" w:cs="Times New Roman"/>
                            <w:sz w:val="28"/>
                            <w:szCs w:val="28"/>
                            <w:lang w:val="en-US"/>
                          </w:rPr>
                          <w:t>S</w:t>
                        </w:r>
                        <w:r w:rsidRPr="005C11DF">
                          <w:rPr>
                            <w:rFonts w:ascii="Times New Roman" w:hAnsi="Times New Roman" w:cs="Times New Roman"/>
                            <w:sz w:val="28"/>
                            <w:szCs w:val="28"/>
                          </w:rPr>
                          <w:t xml:space="preserve">-нітрозотіоли </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txbxContent>
                  </v:textbox>
                </v:rect>
                <v:shape id="Стрелка вверх 16" o:spid="_x0000_s1059" type="#_x0000_t68" style="position:absolute;left:40005;top:49149;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c+xMMA&#10;AADbAAAADwAAAGRycy9kb3ducmV2LnhtbESPQWvCQBSE74L/YXlCb7qxBSPRVUQQmoKHpqHnR/aZ&#10;RLNvw+42Sf99t1DocZiZb5j9cTKdGMj51rKC9SoBQVxZ3XKtoPy4LLcgfEDW2FkmBd/k4XiYz/aY&#10;aTvyOw1FqEWEsM9QQRNCn0npq4YM+pXtiaN3s85giNLVUjscI9x08jlJNtJgy3GhwZ7ODVWP4sso&#10;qLrh06X5Vd+m+0WWb67McVsq9bSYTjsQgabwH/5rv2oFLyn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c+xMMAAADbAAAADwAAAAAAAAAAAAAAAACYAgAAZHJzL2Rv&#10;d25yZXYueG1sUEsFBgAAAAAEAAQA9QAAAIgDAAAAAA==&#10;"/>
                <v:rect id="Прямоугольник 19" o:spid="_x0000_s1060" style="position:absolute;left:32004;top:45720;width:21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8E20E1" w:rsidRPr="005C11DF" w:rsidRDefault="008E20E1" w:rsidP="001E52F1">
                        <w:pPr>
                          <w:jc w:val="center"/>
                          <w:rPr>
                            <w:rFonts w:ascii="Times New Roman" w:hAnsi="Times New Roman" w:cs="Times New Roman"/>
                          </w:rPr>
                        </w:pPr>
                        <w:r w:rsidRPr="005C11DF">
                          <w:rPr>
                            <w:rFonts w:ascii="Times New Roman" w:hAnsi="Times New Roman" w:cs="Times New Roman"/>
                            <w:b/>
                          </w:rPr>
                          <w:t>↑</w:t>
                        </w:r>
                        <w:r w:rsidRPr="005C11DF">
                          <w:rPr>
                            <w:rFonts w:ascii="Times New Roman" w:hAnsi="Times New Roman" w:cs="Times New Roman"/>
                            <w:b/>
                            <w:lang w:val="en-US"/>
                          </w:rPr>
                          <w:t>iNOS</w:t>
                        </w:r>
                        <w:r w:rsidRPr="005C11DF">
                          <w:rPr>
                            <w:rFonts w:ascii="Times New Roman" w:hAnsi="Times New Roman" w:cs="Times New Roman"/>
                            <w:b/>
                          </w:rPr>
                          <w:t xml:space="preserve">, </w:t>
                        </w:r>
                        <w:r w:rsidRPr="005C11DF">
                          <w:rPr>
                            <w:rFonts w:ascii="Times New Roman" w:hAnsi="Times New Roman" w:cs="Times New Roman"/>
                            <w:sz w:val="28"/>
                            <w:szCs w:val="28"/>
                          </w:rPr>
                          <w:t xml:space="preserve">↑ </w:t>
                        </w:r>
                        <w:r w:rsidRPr="005C11DF">
                          <w:rPr>
                            <w:rFonts w:ascii="Times New Roman" w:hAnsi="Times New Roman" w:cs="Times New Roman"/>
                            <w:sz w:val="28"/>
                            <w:szCs w:val="28"/>
                            <w:lang w:val="en-US"/>
                          </w:rPr>
                          <w:t>S</w:t>
                        </w:r>
                        <w:r w:rsidRPr="005C11DF">
                          <w:rPr>
                            <w:rFonts w:ascii="Times New Roman" w:hAnsi="Times New Roman" w:cs="Times New Roman"/>
                            <w:sz w:val="28"/>
                            <w:szCs w:val="28"/>
                          </w:rPr>
                          <w:t xml:space="preserve">-нітрозотіоли </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rPr>
                          <w:t xml:space="preserve"> </w:t>
                        </w:r>
                      </w:p>
                    </w:txbxContent>
                  </v:textbox>
                </v:rect>
                <v:shape id="Стрелка вверх 17" o:spid="_x0000_s1061" type="#_x0000_t68" style="position:absolute;left:41148;top:44577;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PLcIA&#10;AADbAAAADwAAAGRycy9kb3ducmV2LnhtbESPQYvCMBSE74L/ITzBm6YqqNs1igjCKnhQi+dH82y7&#10;27yUJFu7/34jCB6HmfmGWW06U4uWnK8sK5iMExDEudUVFwqy6360BOEDssbaMin4Iw+bdb+3wlTb&#10;B5+pvYRCRAj7FBWUITSplD4vyaAf24Y4enfrDIYoXSG1w0eEm1pOk2QuDVYcF0psaFdS/nP5NQry&#10;ur25xeGk7933XmZHlx1wmSk1HHTbTxCBuvAOv9pfWsHsA55f4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A8twgAAANsAAAAPAAAAAAAAAAAAAAAAAJgCAABkcnMvZG93&#10;bnJldi54bWxQSwUGAAAAAAQABAD1AAAAhw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62" type="#_x0000_t67" style="position:absolute;left:38862;top:44577;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6Tb8A&#10;AADbAAAADwAAAGRycy9kb3ducmV2LnhtbERP3WrCMBS+H/gO4Qy8m0mrjK0zigwU74baBzg0Z21Y&#10;c1KSrK1vby4Gu/z4/rf72fVipBCtZw3FSoEgbryx3Gqob8eXNxAxIRvsPZOGO0XY7xZPW6yMn/hC&#10;4zW1IodwrFBDl9JQSRmbjhzGlR+IM/ftg8OUYWilCTjlcNfLUqlX6dBybuhwoM+Omp/rr9Ng65ua&#10;L+/3DRatWquv+sTBllovn+fDB4hEc/oX/7nPRsMmr89f8g+Qu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EvpNvwAAANsAAAAPAAAAAAAAAAAAAAAAAJgCAABkcnMvZG93bnJl&#10;di54bWxQSwUGAAAAAAQABAD1AAAAhAMAAAAA&#10;"/>
                <v:shape id="Поле 12" o:spid="_x0000_s1063" type="#_x0000_t202" style="position:absolute;left:5715;top:52578;width:22860;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8E20E1" w:rsidRPr="005C11DF" w:rsidRDefault="008E20E1" w:rsidP="001E52F1">
                        <w:pPr>
                          <w:jc w:val="center"/>
                          <w:rPr>
                            <w:rFonts w:ascii="Times New Roman" w:hAnsi="Times New Roman" w:cs="Times New Roman"/>
                            <w:b/>
                            <w:i/>
                            <w:sz w:val="28"/>
                            <w:szCs w:val="28"/>
                          </w:rPr>
                        </w:pPr>
                        <w:r w:rsidRPr="005C11DF">
                          <w:rPr>
                            <w:rFonts w:ascii="Times New Roman" w:hAnsi="Times New Roman" w:cs="Times New Roman"/>
                            <w:b/>
                            <w:i/>
                            <w:sz w:val="28"/>
                            <w:szCs w:val="28"/>
                          </w:rPr>
                          <w:t>пошкоджувальна дія</w:t>
                        </w:r>
                      </w:p>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sz w:val="28"/>
                            <w:szCs w:val="28"/>
                          </w:rPr>
                          <w:t>на клітини судинного ендотелію</w:t>
                        </w:r>
                      </w:p>
                    </w:txbxContent>
                  </v:textbox>
                </v:shape>
                <v:line id="Прямая соединительная линия 20" o:spid="_x0000_s1064" style="position:absolute;flip:x;visibility:visible;mso-wrap-style:square" from="30861,46863" to="32004,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42ksUAAADbAAAADwAAAGRycy9kb3ducmV2LnhtbESPQWsCMRSE70L/Q3iFXkSzihRdjSKC&#10;0IOX2rLi7bl5bpbdvKxJqtt/3xQKPQ4z8w2z2vS2FXfyoXasYDLOQBCXTtdcKfj82I/mIEJE1tg6&#10;JgXfFGCzfhqsMNfuwe90P8ZKJAiHHBWYGLtcylAashjGriNO3tV5izFJX0nt8ZHgtpXTLHuVFmtO&#10;CwY72hkqm+OXVSDnh+HNby+zpmhOp4UpyqI7H5R6ee63SxCR+vgf/mu/aQW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42ksUAAADbAAAADwAAAAAAAAAA&#10;AAAAAAChAgAAZHJzL2Rvd25yZXYueG1sUEsFBgAAAAAEAAQA+QAAAJMDAAAAAA==&#10;"/>
                <v:line id="Прямая соединительная линия 21" o:spid="_x0000_s1065" style="position:absolute;visibility:visible;mso-wrap-style:square" from="30861,46863" to="30861,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Прямая соединительная линия 9" o:spid="_x0000_s1066" style="position:absolute;flip:x;visibility:visible;mso-wrap-style:square" from="28575,54864" to="30861,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hbMQAAADbAAAADwAAAGRycy9kb3ducmV2LnhtbESPT2vCQBDF74V+h2UKvQTdtEr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6FsxAAAANsAAAAPAAAAAAAAAAAA&#10;AAAAAKECAABkcnMvZG93bnJldi54bWxQSwUGAAAAAAQABAD5AAAAkgMAAAAA&#10;">
                  <v:stroke endarrow="block"/>
                </v:line>
                <v:line id="Прямая соединительная линия 6" o:spid="_x0000_s1067" style="position:absolute;visibility:visible;mso-wrap-style:square" from="17145,64008" to="57150,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Прямая соединительная линия 31" o:spid="_x0000_s1068" style="position:absolute;flip:x y;visibility:visible;mso-wrap-style:square" from="57150,43434" to="57150,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uSesIAAADbAAAADwAAAGRycy9kb3ducmV2LnhtbESPS6vCMBSE94L/IRzBjWjqA5FqFBG8&#10;uPLiC7eH5tgWm5PS5NrqrzcXBJfDzHzDLFaNKcSDKpdbVjAcRCCIE6tzThWcT9v+DITzyBoLy6Tg&#10;SQ5Wy3ZrgbG2NR/ocfSpCBB2MSrIvC9jKV2SkUE3sCVx8G62MuiDrFKpK6wD3BRyFEVTaTDnsJBh&#10;SZuMkvvxzyhA3r/Gs3pIE/lDVzfa//bWl5tS3U6znoPw1Phv+NPeaQWTKfx/CT9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FuSesIAAADbAAAADwAAAAAAAAAAAAAA&#10;AAChAgAAZHJzL2Rvd25yZXYueG1sUEsFBgAAAAAEAAQA+QAAAJADAAAAAA==&#10;"/>
                <v:line id="Прямая соединительная линия 8" o:spid="_x0000_s1069" style="position:absolute;flip:y;visibility:visible;mso-wrap-style:square" from="17145,59436" to="17145,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U/G8UAAADbAAAADwAAAGRycy9kb3ducmV2LnhtbESPT2vCQBDF74LfYRnBS6gbq7Q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U/G8UAAADbAAAADwAAAAAAAAAA&#10;AAAAAAChAgAAZHJzL2Rvd25yZXYueG1sUEsFBgAAAAAEAAQA+QAAAJMDAAAAAA==&#10;">
                  <v:stroke endarrow="block"/>
                </v:line>
                <v:line id="Прямая соединительная линия 30" o:spid="_x0000_s1070" style="position:absolute;flip:x;visibility:visible;mso-wrap-style:square" from="52578,43434" to="57150,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shape id="Выноска со стрелкой вниз 7" o:spid="_x0000_s1071" type="#_x0000_t80" style="position:absolute;left:3429;top:65151;width:56007;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J2cUA&#10;AADbAAAADwAAAGRycy9kb3ducmV2LnhtbESPT2vCQBTE70K/w/IK3nTTKqLRVULBP1B6MAp6fGSf&#10;SWj2bcyuMX77bkHwOMzMb5jFqjOVaKlxpWUFH8MIBHFmdcm5guNhPZiCcB5ZY2WZFDzIwWr51ltg&#10;rO2d99SmPhcBwi5GBYX3dSylywoy6Ia2Jg7exTYGfZBNLnWD9wA3lfyMook0WHJYKLCmr4Ky3/Rm&#10;FOzc6HvDk+um2x7aR/pTjZPkdFaq/94lcxCeOv8KP9s7rWA8g/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eonZxQAAANsAAAAPAAAAAAAAAAAAAAAAAJgCAABkcnMv&#10;ZG93bnJldi54bWxQSwUGAAAAAAQABAD1AAAAigMAAAAA&#10;" strokeweight="1pt"/>
                <v:shape id="Поле 1" o:spid="_x0000_s1072" type="#_x0000_t202" style="position:absolute;left:3429;top:66294;width:5600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mtMAA&#10;AADbAAAADwAAAGRycy9kb3ducmV2LnhtbERPy4rCMBTdD/gP4QruxlRBHapRxAcKLmSsH3Btrm21&#10;uSlJ1Pr3k8WAy8N5zxatqcWTnK8sKxj0ExDEudUVFwrO2fb7B4QPyBpry6TgTR4W887XDFNtX/xL&#10;z1MoRAxhn6KCMoQmldLnJRn0fdsQR+5qncEQoSukdviK4aaWwyQZS4MVx4YSG1qVlN9PD6PgRpes&#10;OCwPLjtOxuvNDjf3ye2sVK/bLqcgArXhI/5377WCUVwfv8QfIO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FYmtMAAAADbAAAADwAAAAAAAAAAAAAAAACYAgAAZHJzL2Rvd25y&#10;ZXYueG1sUEsFBgAAAAAEAAQA9QAAAIUDAAAAAA==&#10;" strokeweight="2.25pt">
                  <v:textbox>
                    <w:txbxContent>
                      <w:p w:rsidR="008E20E1" w:rsidRPr="005C11DF" w:rsidRDefault="008E20E1" w:rsidP="001E52F1">
                        <w:pPr>
                          <w:jc w:val="center"/>
                          <w:rPr>
                            <w:rFonts w:ascii="Times New Roman" w:hAnsi="Times New Roman" w:cs="Times New Roman"/>
                            <w:b/>
                            <w:i/>
                          </w:rPr>
                        </w:pPr>
                        <w:r w:rsidRPr="005C11DF">
                          <w:rPr>
                            <w:rFonts w:ascii="Times New Roman" w:hAnsi="Times New Roman" w:cs="Times New Roman"/>
                            <w:b/>
                            <w:i/>
                            <w:sz w:val="28"/>
                            <w:szCs w:val="28"/>
                          </w:rPr>
                          <w:t xml:space="preserve">ЕНДОТЕЛІАЛЬНА ДИСФУНКЦІЯ </w:t>
                        </w:r>
                      </w:p>
                    </w:txbxContent>
                  </v:textbox>
                </v:shape>
                <v:line id="Прямая соединительная линия 61" o:spid="_x0000_s1073" style="position:absolute;visibility:visible;mso-wrap-style:square" from="56007,2286" to="64008,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Прямая соединительная линия 2" o:spid="_x0000_s1074" style="position:absolute;flip:x;visibility:visible;mso-wrap-style:square" from="59436,67437" to="64008,6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line id="Прямая соединительная линия 39" o:spid="_x0000_s1075" style="position:absolute;visibility:visible;mso-wrap-style:square" from="1143,34290" to="1143,6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Прямая соединительная линия 3" o:spid="_x0000_s1076" style="position:absolute;visibility:visible;mso-wrap-style:square" from="1143,68580" to="3429,6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Прямая соединительная линия 22" o:spid="_x0000_s1077" style="position:absolute;visibility:visible;mso-wrap-style:square" from="24003,44577" to="24003,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wABcMAAADbAAAADwAAAGRycy9kb3ducmV2LnhtbESPT4vCMBTE74LfITxhb5oquGg1isiu&#10;eFu26sHbs3n9g81LaWKt++k3guBxmJnfMMt1ZyrRUuNKywrGowgEcWp1ybmC4+F7OAPhPLLGyjIp&#10;eJCD9arfW2Ks7Z1/qU18LgKEXYwKCu/rWEqXFmTQjWxNHLzMNgZ9kE0udYP3ADeVnETRpzRYclgo&#10;sKZtQek1uRkFf5M8S75aHT2kPZ13+0tW6fmPUh+DbrMA4anz7/CrvdcKplN4fg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8AAXDAAAA2wAAAA8AAAAAAAAAAAAA&#10;AAAAoQIAAGRycy9kb3ducmV2LnhtbFBLBQYAAAAABAAEAPkAAACRAwAAAAA=&#10;" strokeweight="1.75pt">
                  <v:stroke endarrow="block"/>
                </v:line>
                <v:line id="Прямая соединительная линия 13" o:spid="_x0000_s1078" style="position:absolute;flip:x;visibility:visible;mso-wrap-style:square" from="2286,50292" to="5715,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j3oMIAAADbAAAADwAAAGRycy9kb3ducmV2LnhtbESPT4vCMBTE78J+h/AEb5qqKNI1FVd2&#10;0at/2POjebalzUtJYu3upzeC4HGYmd8w601vGtGR85VlBdNJAoI4t7riQsHl/DNegfABWWNjmRT8&#10;kYdN9jFYY6rtnY/UnUIhIoR9igrKENpUSp+XZNBPbEscvat1BkOUrpDa4T3CTSNnSbKUBiuOCyW2&#10;tCspr083o2BlCj89bn//a/89/6r2e+nOs06p0bDffoII1Id3+NU+aAWLJTy/xB8g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j3oMIAAADbAAAADwAAAAAAAAAAAAAA&#10;AAChAgAAZHJzL2Rvd25yZXYueG1sUEsFBgAAAAAEAAQA+QAAAJADAAAAAA==&#10;" strokeweight="2.5pt"/>
                <v:line id="Прямая соединительная линия 14" o:spid="_x0000_s1079" style="position:absolute;visibility:visible;mso-wrap-style:square" from="2286,50292" to="2286,6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9TI8IAAADbAAAADwAAAGRycy9kb3ducmV2LnhtbESP3YrCMBSE74V9h3AWvNNU8W+7RhFh&#10;QbxQ/HmAQ3O2LW1Oukm21rc3guDlMDPfMMt1Z2rRkvOlZQWjYQKCOLO65FzB9fIzWIDwAVljbZkU&#10;3MnDevXRW2Kq7Y1P1J5DLiKEfYoKihCaVEqfFWTQD21DHL1f6wyGKF0utcNbhJtajpNkJg2WHBcK&#10;bGhbUFad/42C7X5yKEfV6eio4i/u6uPh/tcq1f/sNt8gAnXhHX61d1rBdA7PL/E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9TI8IAAADbAAAADwAAAAAAAAAAAAAA&#10;AAChAgAAZHJzL2Rvd25yZXYueG1sUEsFBgAAAAAEAAQA+QAAAJADAAAAAA==&#10;" strokeweight="2.5pt"/>
                <v:line id="Прямая соединительная линия 4" o:spid="_x0000_s1080" style="position:absolute;visibility:visible;mso-wrap-style:square" from="2286,67437" to="3429,6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Прямая соединительная линия 29" o:spid="_x0000_s1081" style="position:absolute;flip:x;visibility:visible;mso-wrap-style:square" from="29718,42291" to="30861,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Ia+8IAAADbAAAADwAAAGRycy9kb3ducmV2LnhtbESPS4vCMBSF9wP+h3AFd2OqoExrUxlE&#10;wY3go+4vzbUt09yUJtbqrzcDA7M8nMfHSdeDaURPnastK5hNIxDEhdU1lwryy+7zC4TzyBoby6Tg&#10;SQ7W2egjxUTbB5+oP/tShBF2CSqovG8TKV1RkUE3tS1x8G62M+iD7EqpO3yEcdPIeRQtpcGaA6HC&#10;ljYVFT/nuwnc0+GZ9/f4dqwLuV1e44Oev7xSk/HwvQLhafD/4b/2XitYxPD7JfwAmb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Ia+8IAAADbAAAADwAAAAAAAAAAAAAA&#10;AAChAgAAZHJzL2Rvd25yZXYueG1sUEsFBgAAAAAEAAQA+QAAAJADAAAAAA==&#10;" strokeweight="2pt">
                  <v:stroke endarrow="block"/>
                </v:line>
                <v:line id="Прямая соединительная линия 5" o:spid="_x0000_s1082" style="position:absolute;visibility:visible;mso-wrap-style:square" from="59436,66294" to="61722,66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oB6r4AAADbAAAADwAAAGRycy9kb3ducmV2LnhtbERPy4rCMBTdC/5DuMLsbOowiFajiCCI&#10;C8XHB1yaa1va3NQkU+vfm4Xg8nDey3VvGtGR85VlBZMkBUGcW11xoeB23Y1nIHxA1thYJgUv8rBe&#10;DQdLzLR98pm6SyhEDGGfoYIyhDaT0uclGfSJbYkjd7fOYIjQFVI7fMZw08jfNJ1KgxXHhhJb2paU&#10;15d/o2B7+DtWk/p8clTznPvmdHw9OqV+Rv1mASJQH77ij3uvFUzj+vgl/gC5e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ugHqvgAAANsAAAAPAAAAAAAAAAAAAAAAAKEC&#10;AABkcnMvZG93bnJldi54bWxQSwUGAAAAAAQABAD5AAAAjAMAAAAA&#10;" strokeweight="2.5pt"/>
                <v:line id="Прямая соединительная линия 32" o:spid="_x0000_s1083" style="position:absolute;flip:y;visibility:visible;mso-wrap-style:square" from="61722,41148" to="61722,66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2lacIAAADbAAAADwAAAGRycy9kb3ducmV2LnhtbESPQWvCQBSE7wX/w/IEb3WTCEGiq6i0&#10;2Gu09PzIPpNg9m3Y3SZpf323IHgcZuYbZrufTCcGcr61rCBdJiCIK6tbrhV8Xt9f1yB8QNbYWSYF&#10;P+Rhv5u9bLHQduSShkuoRYSwL1BBE0JfSOmrhgz6pe2Jo3ezzmCI0tVSOxwj3HQyS5JcGmw5LjTY&#10;06mh6n75NgrWpvZpefj6vfu31bE9n6W7ZoNSi/l02IAINIVn+NH+0AryFP6/xB8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2lacIAAADbAAAADwAAAAAAAAAAAAAA&#10;AAChAgAAZHJzL2Rvd25yZXYueG1sUEsFBgAAAAAEAAQA+QAAAJADAAAAAA==&#10;" strokeweight="2.5pt"/>
                <v:line id="Прямая соединительная линия 33" o:spid="_x0000_s1084" style="position:absolute;flip:x;visibility:visible;mso-wrap-style:square" from="52673,41148" to="61817,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73ksUAAADbAAAADwAAAGRycy9kb3ducmV2LnhtbESPS2vDMBCE74H+B7GF3hK5OTjBjRzc&#10;lEIvzbOEHBdr/WitlbHU2O2vjwKBHIeZ+YZZLAfTiDN1rras4HkSgSDOra65VPB1eB/PQTiPrLGx&#10;TAr+yMEyfRgtMNG25x2d974UAcIuQQWV920ipcsrMugmtiUOXmE7gz7IrpS6wz7ATSOnURRLgzWH&#10;hQpbWlWU/+x/jYL/2TFbF/Fh9YabBk+uz14/v7dKPT0O2QsIT4O/h2/tD60gnsL1S/gBMr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73ksUAAADbAAAADwAAAAAAAAAA&#10;AAAAAAChAgAAZHJzL2Rvd25yZXYueG1sUEsFBgAAAAAEAAQA+QAAAJMDAAAAAA==&#10;" strokeweight="2.5pt">
                  <v:stroke endarrow="block"/>
                </v:line>
                <v:line id="Прямая соединительная линия 23" o:spid="_x0000_s1085" style="position:absolute;visibility:visible;mso-wrap-style:square" from="4667,44958" to="4667,5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Прямая соединительная линия 48" o:spid="_x0000_s1086" style="position:absolute;flip:y;visibility:visible;mso-wrap-style:square" from="1238,18669" to="1238,2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Прямая соединительная линия 43" o:spid="_x0000_s1087" style="position:absolute;visibility:visible;mso-wrap-style:square" from="58388,26670" to="64103,26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Прямая соединительная линия 49" o:spid="_x0000_s1088" style="position:absolute;visibility:visible;mso-wrap-style:square" from="1238,18669" to="5810,1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group>
            </w:pict>
          </mc:Fallback>
        </mc:AlternateContent>
      </w: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56441" w:rsidRPr="00156441" w:rsidRDefault="0015644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56441" w:rsidRPr="00156441" w:rsidRDefault="0015644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56441" w:rsidRPr="00156441" w:rsidRDefault="0015644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9720A3" w:rsidRDefault="009720A3"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9720A3" w:rsidRDefault="009720A3"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9720A3" w:rsidRDefault="009720A3"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9720A3" w:rsidRDefault="009720A3"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9720A3" w:rsidRDefault="009720A3"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9720A3" w:rsidRPr="00156441" w:rsidRDefault="009720A3"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56441" w:rsidRDefault="001E52F1" w:rsidP="001E52F1">
      <w:pPr>
        <w:spacing w:after="0" w:line="360" w:lineRule="auto"/>
        <w:ind w:firstLine="720"/>
        <w:jc w:val="both"/>
        <w:rPr>
          <w:rFonts w:ascii="Times New Roman" w:eastAsia="Times New Roman" w:hAnsi="Times New Roman" w:cs="Times New Roman"/>
          <w:sz w:val="28"/>
          <w:szCs w:val="28"/>
          <w:shd w:val="clear" w:color="auto" w:fill="FFFFFF"/>
          <w:lang w:eastAsia="ru-RU"/>
        </w:rPr>
      </w:pPr>
    </w:p>
    <w:p w:rsidR="001E52F1" w:rsidRPr="00184106" w:rsidRDefault="001E52F1" w:rsidP="00184106">
      <w:pPr>
        <w:spacing w:after="0" w:line="360" w:lineRule="auto"/>
        <w:ind w:firstLine="720"/>
        <w:jc w:val="both"/>
        <w:rPr>
          <w:rFonts w:ascii="Times New Roman" w:eastAsia="Times New Roman" w:hAnsi="Times New Roman" w:cs="Times New Roman"/>
          <w:sz w:val="28"/>
          <w:szCs w:val="28"/>
          <w:shd w:val="clear" w:color="auto" w:fill="FFFFFF"/>
          <w:lang w:eastAsia="ru-RU"/>
        </w:rPr>
      </w:pPr>
      <w:r w:rsidRPr="00156441">
        <w:rPr>
          <w:rFonts w:ascii="Times New Roman" w:eastAsia="Times New Roman" w:hAnsi="Times New Roman" w:cs="Times New Roman"/>
          <w:sz w:val="28"/>
          <w:szCs w:val="28"/>
          <w:shd w:val="clear" w:color="auto" w:fill="FFFFFF"/>
          <w:lang w:eastAsia="ru-RU"/>
        </w:rPr>
        <w:t>Рис. 3</w:t>
      </w:r>
      <w:r w:rsidR="00850D46" w:rsidRPr="00156441">
        <w:rPr>
          <w:rFonts w:ascii="Times New Roman" w:eastAsia="Times New Roman" w:hAnsi="Times New Roman" w:cs="Times New Roman"/>
          <w:sz w:val="28"/>
          <w:szCs w:val="28"/>
          <w:shd w:val="clear" w:color="auto" w:fill="FFFFFF"/>
          <w:lang w:eastAsia="ru-RU"/>
        </w:rPr>
        <w:t>4</w:t>
      </w:r>
      <w:r w:rsidRPr="00156441">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lang w:eastAsia="ru-RU"/>
        </w:rPr>
        <w:t xml:space="preserve"> Патогенетичні</w:t>
      </w:r>
      <w:r w:rsidRPr="00156441">
        <w:rPr>
          <w:rFonts w:ascii="Times New Roman" w:eastAsia="Times New Roman" w:hAnsi="Times New Roman" w:cs="Times New Roman"/>
          <w:bCs/>
          <w:sz w:val="28"/>
          <w:szCs w:val="28"/>
          <w:lang w:eastAsia="ru-RU"/>
        </w:rPr>
        <w:t xml:space="preserve"> ланки ХОЗЛ у сполученні з ГХ</w:t>
      </w:r>
    </w:p>
    <w:p w:rsidR="001E52F1" w:rsidRPr="00156441" w:rsidRDefault="001E52F1" w:rsidP="00156441">
      <w:pPr>
        <w:widowControl w:val="0"/>
        <w:tabs>
          <w:tab w:val="left" w:pos="1080"/>
        </w:tabs>
        <w:autoSpaceDE w:val="0"/>
        <w:autoSpaceDN w:val="0"/>
        <w:adjustRightInd w:val="0"/>
        <w:spacing w:after="0" w:line="360" w:lineRule="auto"/>
        <w:ind w:firstLine="539"/>
        <w:jc w:val="both"/>
        <w:rPr>
          <w:rFonts w:ascii="Times New Roman" w:eastAsia="Times New Roman" w:hAnsi="Times New Roman" w:cs="Times New Roman"/>
          <w:sz w:val="28"/>
          <w:szCs w:val="28"/>
          <w:lang w:eastAsia="ru-RU"/>
        </w:rPr>
      </w:pPr>
      <w:r w:rsidRPr="00156441">
        <w:rPr>
          <w:rFonts w:ascii="Times New Roman" w:eastAsia="Times New Roman" w:hAnsi="Times New Roman" w:cs="Times New Roman"/>
          <w:sz w:val="28"/>
          <w:szCs w:val="28"/>
          <w:lang w:eastAsia="ru-RU"/>
        </w:rPr>
        <w:t xml:space="preserve">Аналіз і узагальнення результатів даної роботи дозволяють зробити загальний висновок щодо розвитку у хворих на ХОЗЛ у сполученні з ГХ вираженої дисфункції ендотелію, яка зумовлена гіперактивацією симпатоадреналової та </w:t>
      </w:r>
      <w:r w:rsidRPr="00156441">
        <w:rPr>
          <w:rFonts w:ascii="Times New Roman" w:eastAsia="Times New Roman" w:hAnsi="Times New Roman" w:cs="Times New Roman"/>
          <w:sz w:val="28"/>
          <w:szCs w:val="28"/>
          <w:lang w:eastAsia="ru-RU"/>
        </w:rPr>
        <w:lastRenderedPageBreak/>
        <w:t>ренін-ангіотензинової систем, зниженням адаптаційного потенціалу калікреїн-кінінової системи та ефектів брадикініну через підвищену активацію ферментів його руйнування (АПФ і карбоксипептидази N), підвищенням синтезу оксиду азоту</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через значну активацію іNOS, пов</w:t>
      </w:r>
      <w:r w:rsidR="00FC48A2" w:rsidRPr="00156441">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язану з оксидативним стресом, розбалансуванням обміну біогенних елементів та активності органоспецифічних ферментів, і характеризується зниженням вазодилатуючих і посиленням</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 xml:space="preserve">вазоконстрикторних ефектів. При сполученні ХОЗЛ з ГХ формується патологічне порочне коло, основними ланками якого, крім ендотеліальної дисфункції, є киснева недостатність, оксидативний стрес та хронічне запалення. </w:t>
      </w:r>
    </w:p>
    <w:p w:rsidR="00934E4F" w:rsidRPr="00156441" w:rsidRDefault="001E52F1" w:rsidP="001E52F1">
      <w:pPr>
        <w:widowControl w:val="0"/>
        <w:tabs>
          <w:tab w:val="left" w:pos="1080"/>
        </w:tabs>
        <w:autoSpaceDE w:val="0"/>
        <w:autoSpaceDN w:val="0"/>
        <w:adjustRightInd w:val="0"/>
        <w:spacing w:after="0" w:line="360" w:lineRule="auto"/>
        <w:ind w:firstLine="539"/>
        <w:jc w:val="both"/>
        <w:rPr>
          <w:rFonts w:ascii="Times New Roman" w:eastAsia="Times New Roman" w:hAnsi="Times New Roman" w:cs="Times New Roman"/>
          <w:b/>
          <w:sz w:val="28"/>
          <w:szCs w:val="28"/>
          <w:lang w:eastAsia="ru-RU"/>
        </w:rPr>
      </w:pPr>
      <w:r w:rsidRPr="00156441">
        <w:rPr>
          <w:rFonts w:ascii="Times New Roman" w:eastAsia="Times New Roman" w:hAnsi="Times New Roman" w:cs="Times New Roman"/>
          <w:sz w:val="28"/>
          <w:szCs w:val="28"/>
          <w:lang w:eastAsia="ru-RU"/>
        </w:rPr>
        <w:t>Рекомендовано з метою оптимізації діагностичних і профілактичних заходів щодо пацієнтів з ХОЗЛ у сполученні з ГХ досліджувати у крові вміст адреналіну, ВІП, активність</w:t>
      </w:r>
      <w:r w:rsidR="009C6C8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iNOS, АПФ і карбоксипептидази N.</w:t>
      </w:r>
    </w:p>
    <w:p w:rsidR="00934E4F" w:rsidRPr="00156441" w:rsidRDefault="00934E4F">
      <w:pPr>
        <w:rPr>
          <w:rFonts w:ascii="Times New Roman" w:eastAsia="Times New Roman" w:hAnsi="Times New Roman" w:cs="Times New Roman"/>
          <w:b/>
          <w:sz w:val="28"/>
          <w:szCs w:val="28"/>
          <w:lang w:eastAsia="ru-RU"/>
        </w:rPr>
      </w:pPr>
      <w:r w:rsidRPr="00156441">
        <w:rPr>
          <w:rFonts w:ascii="Times New Roman" w:eastAsia="Times New Roman" w:hAnsi="Times New Roman" w:cs="Times New Roman"/>
          <w:b/>
          <w:sz w:val="28"/>
          <w:szCs w:val="28"/>
          <w:lang w:eastAsia="ru-RU"/>
        </w:rPr>
        <w:br w:type="page"/>
      </w:r>
    </w:p>
    <w:p w:rsidR="00850D46" w:rsidRPr="00156441" w:rsidRDefault="00850D46" w:rsidP="00850D46">
      <w:pPr>
        <w:jc w:val="center"/>
        <w:rPr>
          <w:rFonts w:ascii="Times New Roman" w:eastAsia="Times New Roman" w:hAnsi="Times New Roman" w:cs="Times New Roman"/>
          <w:b/>
          <w:sz w:val="28"/>
          <w:szCs w:val="28"/>
          <w:lang w:eastAsia="ru-RU"/>
        </w:rPr>
      </w:pPr>
      <w:bookmarkStart w:id="23" w:name="Vysn"/>
      <w:r w:rsidRPr="00156441">
        <w:rPr>
          <w:rFonts w:ascii="Times New Roman" w:eastAsia="Times New Roman" w:hAnsi="Times New Roman" w:cs="Times New Roman"/>
          <w:b/>
          <w:sz w:val="28"/>
          <w:szCs w:val="28"/>
          <w:lang w:eastAsia="ru-RU"/>
        </w:rPr>
        <w:lastRenderedPageBreak/>
        <w:t>ВИСНОВКИ</w:t>
      </w:r>
    </w:p>
    <w:bookmarkEnd w:id="23"/>
    <w:p w:rsidR="00AC7375" w:rsidRPr="00AC7375" w:rsidRDefault="00850D46" w:rsidP="00AC7375">
      <w:pPr>
        <w:spacing w:after="0" w:line="360" w:lineRule="auto"/>
        <w:ind w:firstLine="709"/>
        <w:contextualSpacing/>
        <w:jc w:val="both"/>
        <w:rPr>
          <w:rFonts w:ascii="Times New Roman" w:hAnsi="Times New Roman" w:cs="Times New Roman"/>
          <w:sz w:val="28"/>
          <w:szCs w:val="28"/>
        </w:rPr>
      </w:pPr>
      <w:r w:rsidRPr="00156441">
        <w:rPr>
          <w:rFonts w:ascii="Times New Roman" w:hAnsi="Times New Roman" w:cs="Times New Roman"/>
          <w:sz w:val="28"/>
          <w:szCs w:val="28"/>
        </w:rPr>
        <w:t xml:space="preserve">1. </w:t>
      </w:r>
      <w:r w:rsidR="00AC7375" w:rsidRPr="00AC7375">
        <w:rPr>
          <w:rFonts w:ascii="Times New Roman" w:hAnsi="Times New Roman" w:cs="Times New Roman"/>
          <w:sz w:val="28"/>
          <w:szCs w:val="28"/>
        </w:rPr>
        <w:t>У дисертаційній роботі наведено теоретичне обґрунтування та подано нове вирішення актуального питання сучасної терапії, а саме удосконалення ранньої діагностики та підвищення якості прогнозування поєднаного перебігу хронічного обструктивного захворювання легень та гіпертонічної хвороби на підставі вивчення маркерів ендотеліальної дисфункції.</w:t>
      </w:r>
    </w:p>
    <w:p w:rsidR="00AC7375" w:rsidRPr="00AC7375" w:rsidRDefault="00AC7375" w:rsidP="00AC7375">
      <w:pPr>
        <w:spacing w:after="0" w:line="360" w:lineRule="auto"/>
        <w:ind w:firstLine="709"/>
        <w:contextualSpacing/>
        <w:jc w:val="both"/>
        <w:rPr>
          <w:rFonts w:ascii="Times New Roman" w:hAnsi="Times New Roman" w:cs="Times New Roman"/>
          <w:sz w:val="28"/>
          <w:szCs w:val="28"/>
        </w:rPr>
      </w:pPr>
      <w:r w:rsidRPr="00AC7375">
        <w:rPr>
          <w:rFonts w:ascii="Times New Roman" w:hAnsi="Times New Roman" w:cs="Times New Roman"/>
          <w:sz w:val="28"/>
          <w:szCs w:val="28"/>
        </w:rPr>
        <w:t>2. Встановлено зниження (р&lt;0,001) у сироватці крові рівня вазоактивного інтестинального пептиду на 50,3% та підвищення (р&lt;0,001) рівня васкулоендотеліального фактору росту на 29,5% при поєднаному перебігу хронічного обструктивного захворювання легень та гіпертонічної хвороби.</w:t>
      </w:r>
    </w:p>
    <w:p w:rsidR="00AC7375" w:rsidRPr="00AC7375" w:rsidRDefault="00AC7375" w:rsidP="00AC7375">
      <w:pPr>
        <w:spacing w:after="0" w:line="360" w:lineRule="auto"/>
        <w:ind w:firstLine="709"/>
        <w:contextualSpacing/>
        <w:jc w:val="both"/>
        <w:rPr>
          <w:rFonts w:ascii="Times New Roman" w:hAnsi="Times New Roman" w:cs="Times New Roman"/>
          <w:sz w:val="28"/>
          <w:szCs w:val="28"/>
        </w:rPr>
      </w:pPr>
      <w:r w:rsidRPr="00AC7375">
        <w:rPr>
          <w:rFonts w:ascii="Times New Roman" w:hAnsi="Times New Roman" w:cs="Times New Roman"/>
          <w:sz w:val="28"/>
          <w:szCs w:val="28"/>
        </w:rPr>
        <w:t xml:space="preserve">3. З’ясовано, що за наявності хронічного обструктивного захворювання легень та гіпертонічної хвороби підвищується функціонування ренін-ангіотензинової та калікреїн-кінінової, що пов’язано з вірогідним (р&lt;0,001) збільшенням активності у крові реніну на 59,8%, ангіотензинперетворюючого ферменту на 77,3%, калікреїну на 25%, карбоксипептидази N на 47,5%, вмісту калікреїногену  на 9,7%, альдостерону на 100% та вазопресину на 25%, на відміну від  ізольованого перебігу ХОЗЛ. </w:t>
      </w:r>
    </w:p>
    <w:p w:rsidR="00AC7375" w:rsidRPr="00AC7375" w:rsidRDefault="00AC7375" w:rsidP="00AC7375">
      <w:pPr>
        <w:spacing w:after="0" w:line="360" w:lineRule="auto"/>
        <w:ind w:firstLine="709"/>
        <w:contextualSpacing/>
        <w:jc w:val="both"/>
        <w:rPr>
          <w:rFonts w:ascii="Times New Roman" w:hAnsi="Times New Roman" w:cs="Times New Roman"/>
          <w:sz w:val="28"/>
          <w:szCs w:val="28"/>
        </w:rPr>
      </w:pPr>
      <w:r w:rsidRPr="00AC7375">
        <w:rPr>
          <w:rFonts w:ascii="Times New Roman" w:hAnsi="Times New Roman" w:cs="Times New Roman"/>
          <w:sz w:val="28"/>
          <w:szCs w:val="28"/>
        </w:rPr>
        <w:t xml:space="preserve">4. Визначено підвищення (р&lt;0,001) рівня катехоламінів: дофаміну на 59,1%, норадреналіну на 33,7%, адреналіну на 57,6% у сироватці крові хворих з коморбідною серцево-легеневою патологією по відношенню до групи порівняння. </w:t>
      </w:r>
    </w:p>
    <w:p w:rsidR="00AC7375" w:rsidRPr="00AC7375" w:rsidRDefault="00AC7375" w:rsidP="00AC7375">
      <w:pPr>
        <w:spacing w:after="0" w:line="360" w:lineRule="auto"/>
        <w:ind w:firstLine="709"/>
        <w:contextualSpacing/>
        <w:jc w:val="both"/>
        <w:rPr>
          <w:rFonts w:ascii="Times New Roman" w:hAnsi="Times New Roman" w:cs="Times New Roman"/>
          <w:sz w:val="28"/>
          <w:szCs w:val="28"/>
        </w:rPr>
      </w:pPr>
      <w:r w:rsidRPr="00AC7375">
        <w:rPr>
          <w:rFonts w:ascii="Times New Roman" w:hAnsi="Times New Roman" w:cs="Times New Roman"/>
          <w:sz w:val="28"/>
          <w:szCs w:val="28"/>
        </w:rPr>
        <w:t xml:space="preserve">5. При поєднанні хронічного обструктивного захворювання легень з гіпертонічною хворобою, виявлене вірогідне підвищення (р&lt;0,001) активності у крові індуцибельної та ендотеліальної ізоформ NO-синтази 1,7 та 1,4 рази, нітритів в 1,5 та нітратів в 1,6 рази, S-нітрозотіолів в 1,8 рази. </w:t>
      </w:r>
    </w:p>
    <w:p w:rsidR="00AC7375" w:rsidRPr="00AC7375" w:rsidRDefault="00AC7375" w:rsidP="00AC7375">
      <w:pPr>
        <w:spacing w:after="0" w:line="360" w:lineRule="auto"/>
        <w:ind w:firstLine="709"/>
        <w:contextualSpacing/>
        <w:jc w:val="both"/>
        <w:rPr>
          <w:rFonts w:ascii="Times New Roman" w:hAnsi="Times New Roman" w:cs="Times New Roman"/>
          <w:sz w:val="28"/>
          <w:szCs w:val="28"/>
        </w:rPr>
      </w:pPr>
      <w:r w:rsidRPr="00AC7375">
        <w:rPr>
          <w:rFonts w:ascii="Times New Roman" w:hAnsi="Times New Roman" w:cs="Times New Roman"/>
          <w:sz w:val="28"/>
          <w:szCs w:val="28"/>
        </w:rPr>
        <w:t xml:space="preserve">6. Виявлено збільшення (р&lt;0,001) вмісту у сироватці крові кальцію на 0,2 мМ/л, фосфору на 0,25 мМ/л  та заліза на 5,9 мкМ/л при сполученні хронічного обструктивного захворювання легень по відношенню до пацієнтів з ізольованим перебігом хронічного обструктивного захворювання легень. </w:t>
      </w:r>
    </w:p>
    <w:p w:rsidR="00AC7375" w:rsidRPr="00AC7375" w:rsidRDefault="00AC7375" w:rsidP="00AC7375">
      <w:pPr>
        <w:spacing w:after="0" w:line="360" w:lineRule="auto"/>
        <w:ind w:firstLine="709"/>
        <w:contextualSpacing/>
        <w:jc w:val="both"/>
        <w:rPr>
          <w:rFonts w:ascii="Times New Roman" w:hAnsi="Times New Roman" w:cs="Times New Roman"/>
          <w:sz w:val="28"/>
          <w:szCs w:val="28"/>
        </w:rPr>
      </w:pPr>
      <w:r w:rsidRPr="00AC7375">
        <w:rPr>
          <w:rFonts w:ascii="Times New Roman" w:hAnsi="Times New Roman" w:cs="Times New Roman"/>
          <w:sz w:val="28"/>
          <w:szCs w:val="28"/>
        </w:rPr>
        <w:lastRenderedPageBreak/>
        <w:t xml:space="preserve">7. У хворих на хронічне обструктивне захворювання в поєднанні з гіпертонічною хворобою відзначаються виражені морфо-функціональні зміни міокарда лівого та правого шлуночків, за рахунок потовщення стінок, розвитку гіпертрофії та діастолічної дисфункції переважно I типу (97,2%), при цьому супроводжується збільшенням частоти гіпертрофічних типів ремоделювання лівого шлуночка (55,5%). </w:t>
      </w:r>
    </w:p>
    <w:p w:rsidR="00156441" w:rsidRPr="00156441" w:rsidRDefault="00AC7375" w:rsidP="00AC7375">
      <w:pPr>
        <w:spacing w:after="0" w:line="360" w:lineRule="auto"/>
        <w:ind w:firstLine="709"/>
        <w:contextualSpacing/>
        <w:jc w:val="both"/>
        <w:rPr>
          <w:rFonts w:ascii="Times New Roman" w:eastAsia="Times New Roman" w:hAnsi="Times New Roman" w:cs="Times New Roman"/>
          <w:b/>
          <w:sz w:val="28"/>
          <w:szCs w:val="28"/>
          <w:lang w:eastAsia="ru-RU"/>
        </w:rPr>
      </w:pPr>
      <w:r w:rsidRPr="00AC7375">
        <w:rPr>
          <w:rFonts w:ascii="Times New Roman" w:hAnsi="Times New Roman" w:cs="Times New Roman"/>
          <w:sz w:val="28"/>
          <w:szCs w:val="28"/>
        </w:rPr>
        <w:t xml:space="preserve">8. Запропоновано концепцію прогнозування ступеня тяжкості стану хворих на хронічне обструктивне захворювання легень при наявності гіпертонічної хвороби шляхом використання розроблених  класифікаційних функцій на підставі  визначення таких показників, як Hb, ВЕФР, iNOS, NO2, S-нітрозотіол, NO3, АсАТ, що сприяє ранньому виявленню осіб середнього та тяжкого ступеню. </w:t>
      </w:r>
      <w:r w:rsidR="00850D46" w:rsidRPr="00156441">
        <w:rPr>
          <w:rFonts w:ascii="Times New Roman" w:eastAsia="Times New Roman" w:hAnsi="Times New Roman" w:cs="Times New Roman"/>
          <w:b/>
          <w:sz w:val="28"/>
          <w:szCs w:val="28"/>
          <w:lang w:eastAsia="ru-RU"/>
        </w:rPr>
        <w:t xml:space="preserve"> </w:t>
      </w:r>
    </w:p>
    <w:p w:rsidR="00156441" w:rsidRPr="00156441" w:rsidRDefault="00156441">
      <w:pPr>
        <w:rPr>
          <w:rFonts w:ascii="Times New Roman" w:eastAsia="Times New Roman" w:hAnsi="Times New Roman" w:cs="Times New Roman"/>
          <w:b/>
          <w:sz w:val="28"/>
          <w:szCs w:val="28"/>
          <w:lang w:eastAsia="ru-RU"/>
        </w:rPr>
      </w:pPr>
      <w:r w:rsidRPr="00156441">
        <w:rPr>
          <w:rFonts w:ascii="Times New Roman" w:eastAsia="Times New Roman" w:hAnsi="Times New Roman" w:cs="Times New Roman"/>
          <w:b/>
          <w:sz w:val="28"/>
          <w:szCs w:val="28"/>
          <w:lang w:eastAsia="ru-RU"/>
        </w:rPr>
        <w:br w:type="page"/>
      </w:r>
    </w:p>
    <w:p w:rsidR="00850D46" w:rsidRPr="00156441" w:rsidRDefault="00850D46" w:rsidP="00156441">
      <w:pPr>
        <w:jc w:val="center"/>
        <w:rPr>
          <w:rFonts w:ascii="Times New Roman" w:eastAsia="Times New Roman" w:hAnsi="Times New Roman" w:cs="Times New Roman"/>
          <w:b/>
          <w:sz w:val="28"/>
          <w:szCs w:val="28"/>
          <w:lang w:eastAsia="ru-RU"/>
        </w:rPr>
      </w:pPr>
      <w:bookmarkStart w:id="24" w:name="Prakt_rekom"/>
      <w:r w:rsidRPr="00156441">
        <w:rPr>
          <w:rFonts w:ascii="Times New Roman" w:eastAsia="Times New Roman" w:hAnsi="Times New Roman" w:cs="Times New Roman"/>
          <w:b/>
          <w:sz w:val="28"/>
          <w:szCs w:val="28"/>
          <w:lang w:eastAsia="ru-RU"/>
        </w:rPr>
        <w:lastRenderedPageBreak/>
        <w:t>ПРАКТИЧНІ РЕКОМЕНДАЦІЇ</w:t>
      </w:r>
    </w:p>
    <w:bookmarkEnd w:id="24"/>
    <w:p w:rsidR="00AC7375" w:rsidRPr="004A1868" w:rsidRDefault="00AC7375" w:rsidP="009720A3">
      <w:pPr>
        <w:pStyle w:val="a4"/>
        <w:numPr>
          <w:ilvl w:val="0"/>
          <w:numId w:val="2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 метою</w:t>
      </w:r>
      <w:r w:rsidRPr="004A1868">
        <w:rPr>
          <w:rFonts w:ascii="Times New Roman" w:hAnsi="Times New Roman" w:cs="Times New Roman"/>
          <w:sz w:val="28"/>
          <w:szCs w:val="28"/>
        </w:rPr>
        <w:t xml:space="preserve"> ранньої діагностики, оцінки прогнозу перебігу та </w:t>
      </w:r>
      <w:r>
        <w:rPr>
          <w:rFonts w:ascii="Times New Roman" w:hAnsi="Times New Roman" w:cs="Times New Roman"/>
          <w:sz w:val="28"/>
          <w:szCs w:val="28"/>
        </w:rPr>
        <w:t>активного динамічного спостереження</w:t>
      </w:r>
      <w:r w:rsidRPr="004A1868">
        <w:rPr>
          <w:rFonts w:ascii="Times New Roman" w:hAnsi="Times New Roman" w:cs="Times New Roman"/>
          <w:sz w:val="28"/>
          <w:szCs w:val="28"/>
        </w:rPr>
        <w:t xml:space="preserve"> </w:t>
      </w:r>
      <w:r>
        <w:rPr>
          <w:rFonts w:ascii="Times New Roman" w:hAnsi="Times New Roman" w:cs="Times New Roman"/>
          <w:sz w:val="28"/>
          <w:szCs w:val="28"/>
        </w:rPr>
        <w:t>за хворими з хронічним обструктивним захворюванням</w:t>
      </w:r>
      <w:r w:rsidRPr="004A1868">
        <w:rPr>
          <w:rFonts w:ascii="Times New Roman" w:hAnsi="Times New Roman" w:cs="Times New Roman"/>
          <w:sz w:val="28"/>
          <w:szCs w:val="28"/>
        </w:rPr>
        <w:t xml:space="preserve"> легень у сполученні з ГХ, крім загальноприйнятих критеріїв рекомендується досліджувати у крові рівні адреналіну, ВІП, активність iNOS, АПФ і карбоксипептидази N</w:t>
      </w:r>
      <w:r>
        <w:rPr>
          <w:rFonts w:ascii="Times New Roman" w:hAnsi="Times New Roman" w:cs="Times New Roman"/>
          <w:sz w:val="28"/>
          <w:szCs w:val="28"/>
        </w:rPr>
        <w:t>.</w:t>
      </w:r>
    </w:p>
    <w:p w:rsidR="00AC7375" w:rsidRPr="004A21AD" w:rsidRDefault="00AC7375" w:rsidP="009720A3">
      <w:pPr>
        <w:pStyle w:val="a4"/>
        <w:numPr>
          <w:ilvl w:val="0"/>
          <w:numId w:val="24"/>
        </w:numPr>
        <w:tabs>
          <w:tab w:val="left" w:pos="0"/>
          <w:tab w:val="left" w:pos="1134"/>
        </w:tabs>
        <w:spacing w:after="0" w:line="360" w:lineRule="auto"/>
        <w:ind w:left="0" w:firstLine="709"/>
        <w:jc w:val="both"/>
        <w:rPr>
          <w:rFonts w:ascii="Times New Roman" w:hAnsi="Times New Roman" w:cs="Times New Roman"/>
          <w:sz w:val="28"/>
          <w:szCs w:val="28"/>
        </w:rPr>
      </w:pPr>
      <w:r w:rsidRPr="004A21AD">
        <w:rPr>
          <w:rFonts w:ascii="Times New Roman" w:hAnsi="Times New Roman" w:cs="Times New Roman"/>
          <w:sz w:val="28"/>
          <w:szCs w:val="28"/>
        </w:rPr>
        <w:t>Критеріями погіршення вентиляційної функції легень у хворих на ХОЗЛ в</w:t>
      </w:r>
      <w:r>
        <w:rPr>
          <w:rFonts w:ascii="Times New Roman" w:hAnsi="Times New Roman" w:cs="Times New Roman"/>
          <w:sz w:val="28"/>
          <w:szCs w:val="28"/>
        </w:rPr>
        <w:t xml:space="preserve"> </w:t>
      </w:r>
      <w:r w:rsidRPr="004A21AD">
        <w:rPr>
          <w:rFonts w:ascii="Times New Roman" w:hAnsi="Times New Roman" w:cs="Times New Roman"/>
          <w:sz w:val="28"/>
          <w:szCs w:val="28"/>
        </w:rPr>
        <w:t>поєднані з ГХ рекомендується вважати підвищення рівнів NO</w:t>
      </w:r>
      <w:r w:rsidRPr="004A21AD">
        <w:rPr>
          <w:rFonts w:ascii="Times New Roman" w:hAnsi="Times New Roman" w:cs="Times New Roman"/>
          <w:sz w:val="28"/>
          <w:szCs w:val="28"/>
          <w:vertAlign w:val="subscript"/>
        </w:rPr>
        <w:t xml:space="preserve">2 </w:t>
      </w:r>
      <w:r w:rsidRPr="004A21AD">
        <w:rPr>
          <w:rFonts w:ascii="Times New Roman" w:hAnsi="Times New Roman" w:cs="Times New Roman"/>
          <w:sz w:val="28"/>
          <w:szCs w:val="28"/>
        </w:rPr>
        <w:t>(до 32,0</w:t>
      </w:r>
      <w:r w:rsidR="009720A3">
        <w:rPr>
          <w:rFonts w:ascii="Times New Roman" w:hAnsi="Times New Roman" w:cs="Times New Roman"/>
          <w:sz w:val="28"/>
          <w:szCs w:val="28"/>
        </w:rPr>
        <w:t> </w:t>
      </w:r>
      <w:r w:rsidRPr="004A21AD">
        <w:rPr>
          <w:rFonts w:ascii="Times New Roman" w:hAnsi="Times New Roman" w:cs="Times New Roman"/>
          <w:sz w:val="28"/>
          <w:szCs w:val="28"/>
        </w:rPr>
        <w:t>мкМ/л), NO</w:t>
      </w:r>
      <w:r w:rsidRPr="004A21AD">
        <w:rPr>
          <w:rFonts w:ascii="Times New Roman" w:hAnsi="Times New Roman" w:cs="Times New Roman"/>
          <w:sz w:val="28"/>
          <w:szCs w:val="28"/>
          <w:vertAlign w:val="subscript"/>
        </w:rPr>
        <w:t xml:space="preserve">3 </w:t>
      </w:r>
      <w:r w:rsidRPr="004A21AD">
        <w:rPr>
          <w:rFonts w:ascii="Times New Roman" w:hAnsi="Times New Roman" w:cs="Times New Roman"/>
          <w:sz w:val="28"/>
          <w:szCs w:val="28"/>
        </w:rPr>
        <w:t>(до 51,3</w:t>
      </w:r>
      <w:r w:rsidRPr="004A21AD">
        <w:t xml:space="preserve"> </w:t>
      </w:r>
      <w:r w:rsidRPr="004A21AD">
        <w:rPr>
          <w:rFonts w:ascii="Times New Roman" w:hAnsi="Times New Roman" w:cs="Times New Roman"/>
          <w:sz w:val="28"/>
          <w:szCs w:val="28"/>
        </w:rPr>
        <w:t>мкМ/л)</w:t>
      </w:r>
      <w:r w:rsidRPr="004A21AD">
        <w:rPr>
          <w:rFonts w:ascii="Times New Roman" w:hAnsi="Times New Roman" w:cs="Times New Roman"/>
          <w:sz w:val="28"/>
          <w:szCs w:val="28"/>
          <w:vertAlign w:val="subscript"/>
        </w:rPr>
        <w:t xml:space="preserve"> </w:t>
      </w:r>
      <w:r w:rsidRPr="004A21AD">
        <w:rPr>
          <w:rFonts w:ascii="Times New Roman" w:hAnsi="Times New Roman" w:cs="Times New Roman"/>
          <w:sz w:val="28"/>
          <w:szCs w:val="28"/>
        </w:rPr>
        <w:t>та iNOS (до 1,2 пМ/хв</w:t>
      </w:r>
      <w:r w:rsidR="009720A3">
        <w:rPr>
          <w:rFonts w:ascii="Times New Roman" w:hAnsi="Times New Roman" w:cs="Times New Roman"/>
          <w:sz w:val="28"/>
          <w:szCs w:val="28"/>
        </w:rPr>
        <w:t>*</w:t>
      </w:r>
      <w:r w:rsidRPr="004A21AD">
        <w:rPr>
          <w:rFonts w:ascii="Times New Roman" w:hAnsi="Times New Roman" w:cs="Times New Roman"/>
          <w:sz w:val="28"/>
          <w:szCs w:val="28"/>
        </w:rPr>
        <w:t>мг білка).</w:t>
      </w:r>
    </w:p>
    <w:p w:rsidR="00AC7375" w:rsidRPr="004A1868" w:rsidRDefault="00AC7375" w:rsidP="009720A3">
      <w:pPr>
        <w:pStyle w:val="a4"/>
        <w:numPr>
          <w:ilvl w:val="0"/>
          <w:numId w:val="24"/>
        </w:numPr>
        <w:tabs>
          <w:tab w:val="left" w:pos="1134"/>
        </w:tabs>
        <w:spacing w:after="0" w:line="360" w:lineRule="auto"/>
        <w:ind w:left="0" w:firstLine="709"/>
        <w:jc w:val="both"/>
        <w:rPr>
          <w:rFonts w:ascii="Times New Roman" w:hAnsi="Times New Roman" w:cs="Times New Roman"/>
          <w:sz w:val="28"/>
          <w:szCs w:val="28"/>
        </w:rPr>
      </w:pPr>
      <w:r w:rsidRPr="004A1868">
        <w:rPr>
          <w:rFonts w:ascii="Times New Roman" w:hAnsi="Times New Roman" w:cs="Times New Roman"/>
          <w:sz w:val="28"/>
          <w:szCs w:val="28"/>
        </w:rPr>
        <w:t>Зниження рівня ВІП</w:t>
      </w:r>
      <w:r>
        <w:rPr>
          <w:rFonts w:ascii="Times New Roman" w:hAnsi="Times New Roman" w:cs="Times New Roman"/>
          <w:sz w:val="28"/>
          <w:szCs w:val="28"/>
        </w:rPr>
        <w:t xml:space="preserve"> (до </w:t>
      </w:r>
      <w:r w:rsidRPr="004A21AD">
        <w:rPr>
          <w:rFonts w:ascii="Times New Roman" w:eastAsia="Times New Roman" w:hAnsi="Times New Roman" w:cs="Times New Roman"/>
          <w:sz w:val="28"/>
          <w:szCs w:val="28"/>
          <w:lang w:eastAsia="ru-RU"/>
        </w:rPr>
        <w:t>13,1</w:t>
      </w:r>
      <w:r>
        <w:rPr>
          <w:rFonts w:ascii="Times New Roman" w:eastAsia="Times New Roman" w:hAnsi="Times New Roman" w:cs="Times New Roman"/>
          <w:sz w:val="28"/>
          <w:szCs w:val="28"/>
          <w:lang w:eastAsia="ru-RU"/>
        </w:rPr>
        <w:t xml:space="preserve"> </w:t>
      </w:r>
      <w:r w:rsidRPr="004A21AD">
        <w:rPr>
          <w:rFonts w:ascii="Times New Roman" w:eastAsia="Times New Roman" w:hAnsi="Times New Roman" w:cs="Times New Roman"/>
          <w:sz w:val="28"/>
          <w:szCs w:val="28"/>
          <w:lang w:eastAsia="ru-RU"/>
        </w:rPr>
        <w:t>нг/л</w:t>
      </w:r>
      <w:r>
        <w:rPr>
          <w:rFonts w:ascii="Times New Roman" w:hAnsi="Times New Roman" w:cs="Times New Roman"/>
          <w:sz w:val="28"/>
          <w:szCs w:val="28"/>
        </w:rPr>
        <w:t>)</w:t>
      </w:r>
      <w:r w:rsidRPr="004A1868">
        <w:rPr>
          <w:rFonts w:ascii="Times New Roman" w:hAnsi="Times New Roman" w:cs="Times New Roman"/>
          <w:sz w:val="28"/>
          <w:szCs w:val="28"/>
        </w:rPr>
        <w:t xml:space="preserve"> та збільшення ВЕФР</w:t>
      </w:r>
      <w:r>
        <w:rPr>
          <w:rFonts w:ascii="Times New Roman" w:hAnsi="Times New Roman" w:cs="Times New Roman"/>
          <w:sz w:val="28"/>
          <w:szCs w:val="28"/>
        </w:rPr>
        <w:t xml:space="preserve"> (до 79 </w:t>
      </w:r>
      <w:r w:rsidRPr="004A21AD">
        <w:rPr>
          <w:rFonts w:ascii="Times New Roman" w:eastAsia="Times New Roman" w:hAnsi="Times New Roman" w:cs="Times New Roman"/>
          <w:sz w:val="28"/>
          <w:szCs w:val="28"/>
          <w:lang w:eastAsia="ru-RU"/>
        </w:rPr>
        <w:t>мкг/мл</w:t>
      </w:r>
      <w:r>
        <w:rPr>
          <w:rFonts w:ascii="Times New Roman" w:hAnsi="Times New Roman" w:cs="Times New Roman"/>
          <w:sz w:val="28"/>
          <w:szCs w:val="28"/>
        </w:rPr>
        <w:t>) рекомендовано</w:t>
      </w:r>
      <w:r w:rsidRPr="004A1868">
        <w:rPr>
          <w:rFonts w:ascii="Times New Roman" w:hAnsi="Times New Roman" w:cs="Times New Roman"/>
          <w:sz w:val="28"/>
          <w:szCs w:val="28"/>
        </w:rPr>
        <w:t xml:space="preserve"> вважати маркерами прогресування діастолічної дисфункцій шлуночків, емфіземи легень та </w:t>
      </w:r>
      <w:r>
        <w:rPr>
          <w:rFonts w:ascii="Times New Roman" w:hAnsi="Times New Roman" w:cs="Times New Roman"/>
          <w:sz w:val="28"/>
          <w:szCs w:val="28"/>
        </w:rPr>
        <w:t>артеріальної гіпертензії</w:t>
      </w:r>
      <w:r w:rsidRPr="004A1868">
        <w:rPr>
          <w:rFonts w:ascii="Times New Roman" w:hAnsi="Times New Roman" w:cs="Times New Roman"/>
          <w:sz w:val="28"/>
          <w:szCs w:val="28"/>
        </w:rPr>
        <w:t xml:space="preserve"> </w:t>
      </w:r>
      <w:r>
        <w:rPr>
          <w:rFonts w:ascii="Times New Roman" w:hAnsi="Times New Roman" w:cs="Times New Roman"/>
          <w:sz w:val="28"/>
          <w:szCs w:val="28"/>
        </w:rPr>
        <w:t>й</w:t>
      </w:r>
      <w:r w:rsidRPr="004A1868">
        <w:rPr>
          <w:rFonts w:ascii="Times New Roman" w:hAnsi="Times New Roman" w:cs="Times New Roman"/>
          <w:sz w:val="28"/>
          <w:szCs w:val="28"/>
        </w:rPr>
        <w:t xml:space="preserve"> використовувати їх як терапевтичну мішень для пацієнтів з ХОЗЛ в поєднанні з ГХ.</w:t>
      </w:r>
    </w:p>
    <w:p w:rsidR="00AC7375" w:rsidRPr="004A1868" w:rsidRDefault="00AC7375" w:rsidP="009720A3">
      <w:pPr>
        <w:pStyle w:val="a4"/>
        <w:numPr>
          <w:ilvl w:val="0"/>
          <w:numId w:val="2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Використання розробленого </w:t>
      </w:r>
      <w:r w:rsidRPr="004A1868">
        <w:rPr>
          <w:rFonts w:ascii="Times New Roman" w:hAnsi="Times New Roman" w:cs="Times New Roman"/>
          <w:sz w:val="28"/>
          <w:szCs w:val="28"/>
        </w:rPr>
        <w:t>алгоритм</w:t>
      </w:r>
      <w:r>
        <w:rPr>
          <w:rFonts w:ascii="Times New Roman" w:hAnsi="Times New Roman" w:cs="Times New Roman"/>
          <w:sz w:val="28"/>
          <w:szCs w:val="28"/>
        </w:rPr>
        <w:t>у</w:t>
      </w:r>
      <w:r w:rsidRPr="004A1868">
        <w:rPr>
          <w:rFonts w:ascii="Times New Roman" w:hAnsi="Times New Roman" w:cs="Times New Roman"/>
          <w:sz w:val="28"/>
          <w:szCs w:val="28"/>
        </w:rPr>
        <w:t xml:space="preserve"> прогнозування </w:t>
      </w:r>
      <w:r>
        <w:rPr>
          <w:rFonts w:ascii="Times New Roman" w:hAnsi="Times New Roman" w:cs="Times New Roman"/>
          <w:sz w:val="28"/>
          <w:szCs w:val="28"/>
        </w:rPr>
        <w:t xml:space="preserve">ступеня тяжкості </w:t>
      </w:r>
      <w:r w:rsidRPr="004A1868">
        <w:rPr>
          <w:rFonts w:ascii="Times New Roman" w:hAnsi="Times New Roman" w:cs="Times New Roman"/>
          <w:sz w:val="28"/>
          <w:szCs w:val="28"/>
        </w:rPr>
        <w:t xml:space="preserve"> хронічного обструктивного захворювання легень </w:t>
      </w:r>
      <w:r>
        <w:rPr>
          <w:rFonts w:ascii="Times New Roman" w:hAnsi="Times New Roman" w:cs="Times New Roman"/>
          <w:sz w:val="28"/>
          <w:szCs w:val="28"/>
        </w:rPr>
        <w:t>за умов наявності гіпертонічної хвороби</w:t>
      </w:r>
      <w:r w:rsidRPr="004A1868">
        <w:rPr>
          <w:rFonts w:ascii="Times New Roman" w:hAnsi="Times New Roman" w:cs="Times New Roman"/>
          <w:sz w:val="28"/>
          <w:szCs w:val="28"/>
        </w:rPr>
        <w:t xml:space="preserve"> на підставі застосування класифікаційних функцій дозвол</w:t>
      </w:r>
      <w:r>
        <w:rPr>
          <w:rFonts w:ascii="Times New Roman" w:hAnsi="Times New Roman" w:cs="Times New Roman"/>
          <w:sz w:val="28"/>
          <w:szCs w:val="28"/>
        </w:rPr>
        <w:t>ить лікарю практичної системи охорони здоров’я</w:t>
      </w:r>
      <w:r w:rsidRPr="004A1868">
        <w:rPr>
          <w:rFonts w:ascii="Times New Roman" w:hAnsi="Times New Roman" w:cs="Times New Roman"/>
          <w:sz w:val="28"/>
          <w:szCs w:val="28"/>
        </w:rPr>
        <w:t xml:space="preserve"> своєчасно виявляти данні захвор</w:t>
      </w:r>
      <w:r>
        <w:rPr>
          <w:rFonts w:ascii="Times New Roman" w:hAnsi="Times New Roman" w:cs="Times New Roman"/>
          <w:sz w:val="28"/>
          <w:szCs w:val="28"/>
        </w:rPr>
        <w:t xml:space="preserve">ювання та проводити профілактичну </w:t>
      </w:r>
      <w:r w:rsidRPr="004A1868">
        <w:rPr>
          <w:rFonts w:ascii="Times New Roman" w:hAnsi="Times New Roman" w:cs="Times New Roman"/>
          <w:sz w:val="28"/>
          <w:szCs w:val="28"/>
        </w:rPr>
        <w:t xml:space="preserve"> та лікувальну корекцію.</w:t>
      </w:r>
    </w:p>
    <w:p w:rsidR="00156441" w:rsidRPr="00156441" w:rsidRDefault="00156441">
      <w:pPr>
        <w:rPr>
          <w:rFonts w:ascii="Times New Roman" w:hAnsi="Times New Roman" w:cs="Times New Roman"/>
          <w:sz w:val="28"/>
          <w:szCs w:val="28"/>
        </w:rPr>
      </w:pPr>
      <w:r w:rsidRPr="00156441">
        <w:rPr>
          <w:rFonts w:ascii="Times New Roman" w:hAnsi="Times New Roman" w:cs="Times New Roman"/>
          <w:sz w:val="28"/>
          <w:szCs w:val="28"/>
        </w:rPr>
        <w:br w:type="page"/>
      </w:r>
    </w:p>
    <w:p w:rsidR="005438B0" w:rsidRPr="00156441" w:rsidRDefault="005438B0" w:rsidP="005438B0">
      <w:pPr>
        <w:keepNext/>
        <w:keepLines/>
        <w:spacing w:after="0" w:line="360" w:lineRule="auto"/>
        <w:jc w:val="center"/>
        <w:rPr>
          <w:rFonts w:ascii="Times New Roman" w:hAnsi="Times New Roman" w:cs="Times New Roman"/>
          <w:b/>
          <w:sz w:val="28"/>
          <w:szCs w:val="28"/>
        </w:rPr>
      </w:pPr>
      <w:bookmarkStart w:id="25" w:name="Spisok_Liter"/>
      <w:r w:rsidRPr="00156441">
        <w:rPr>
          <w:rFonts w:ascii="Times New Roman" w:hAnsi="Times New Roman" w:cs="Times New Roman"/>
          <w:b/>
          <w:sz w:val="28"/>
          <w:szCs w:val="28"/>
        </w:rPr>
        <w:lastRenderedPageBreak/>
        <w:t>СПИСОК ВИК</w:t>
      </w:r>
      <w:bookmarkStart w:id="26" w:name="z03_liter"/>
      <w:bookmarkStart w:id="27" w:name="z04_liter"/>
      <w:bookmarkEnd w:id="26"/>
      <w:bookmarkEnd w:id="27"/>
      <w:r w:rsidRPr="00156441">
        <w:rPr>
          <w:rFonts w:ascii="Times New Roman" w:hAnsi="Times New Roman" w:cs="Times New Roman"/>
          <w:b/>
          <w:sz w:val="28"/>
          <w:szCs w:val="28"/>
        </w:rPr>
        <w:t>ОРИСТАНОЇ ЛІТЕРАТУРИ</w:t>
      </w:r>
    </w:p>
    <w:bookmarkEnd w:id="25"/>
    <w:p w:rsidR="005438B0" w:rsidRPr="00156441" w:rsidRDefault="005438B0" w:rsidP="005438B0">
      <w:pPr>
        <w:keepNext/>
        <w:keepLines/>
        <w:spacing w:after="0" w:line="360" w:lineRule="auto"/>
        <w:jc w:val="center"/>
        <w:rPr>
          <w:rFonts w:ascii="Times New Roman" w:hAnsi="Times New Roman" w:cs="Times New Roman"/>
          <w:b/>
          <w:sz w:val="28"/>
          <w:szCs w:val="28"/>
        </w:rPr>
      </w:pPr>
    </w:p>
    <w:p w:rsidR="00EA1D5E" w:rsidRPr="00156441" w:rsidRDefault="00EA1D5E"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 w:name="_Ref502690534"/>
      <w:bookmarkStart w:id="29" w:name="_Ref502021212"/>
      <w:r w:rsidRPr="00156441">
        <w:rPr>
          <w:rFonts w:ascii="Times New Roman" w:hAnsi="Times New Roman" w:cs="Times New Roman"/>
          <w:sz w:val="28"/>
          <w:szCs w:val="28"/>
        </w:rPr>
        <w:t>Пути взаимодействия нервной, эндокринной и иммунной систем в регуляции функций организма</w:t>
      </w:r>
      <w:r w:rsidR="009C6C87"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00156441" w:rsidRPr="00156441">
        <w:rPr>
          <w:rFonts w:ascii="Times New Roman" w:hAnsi="Times New Roman" w:cs="Times New Roman"/>
          <w:sz w:val="28"/>
          <w:szCs w:val="28"/>
        </w:rPr>
        <w:t xml:space="preserve">В. Н. </w:t>
      </w:r>
      <w:r w:rsidRPr="00156441">
        <w:rPr>
          <w:rFonts w:ascii="Times New Roman" w:hAnsi="Times New Roman" w:cs="Times New Roman"/>
          <w:sz w:val="28"/>
          <w:szCs w:val="28"/>
        </w:rPr>
        <w:t xml:space="preserve">Казаков, </w:t>
      </w:r>
      <w:r w:rsidR="00156441" w:rsidRPr="00156441">
        <w:rPr>
          <w:rFonts w:ascii="Times New Roman" w:hAnsi="Times New Roman" w:cs="Times New Roman"/>
          <w:sz w:val="28"/>
          <w:szCs w:val="28"/>
        </w:rPr>
        <w:t xml:space="preserve">М. А. </w:t>
      </w:r>
      <w:r w:rsidRPr="00156441">
        <w:rPr>
          <w:rFonts w:ascii="Times New Roman" w:hAnsi="Times New Roman" w:cs="Times New Roman"/>
          <w:sz w:val="28"/>
          <w:szCs w:val="28"/>
        </w:rPr>
        <w:t xml:space="preserve">Снегирь, </w:t>
      </w:r>
      <w:r w:rsidR="00156441" w:rsidRPr="00156441">
        <w:rPr>
          <w:rFonts w:ascii="Times New Roman" w:hAnsi="Times New Roman" w:cs="Times New Roman"/>
          <w:sz w:val="28"/>
          <w:szCs w:val="28"/>
        </w:rPr>
        <w:t xml:space="preserve">А. Г. </w:t>
      </w:r>
      <w:r w:rsidRPr="00156441">
        <w:rPr>
          <w:rFonts w:ascii="Times New Roman" w:hAnsi="Times New Roman" w:cs="Times New Roman"/>
          <w:sz w:val="28"/>
          <w:szCs w:val="28"/>
        </w:rPr>
        <w:t>Снегирь [и</w:t>
      </w:r>
      <w:r w:rsidR="00156441">
        <w:rPr>
          <w:rFonts w:ascii="Times New Roman" w:hAnsi="Times New Roman" w:cs="Times New Roman"/>
          <w:sz w:val="28"/>
          <w:szCs w:val="28"/>
          <w:lang w:val="en-US"/>
        </w:rPr>
        <w:t> </w:t>
      </w:r>
      <w:r w:rsidRPr="00156441">
        <w:rPr>
          <w:rFonts w:ascii="Times New Roman" w:hAnsi="Times New Roman" w:cs="Times New Roman"/>
          <w:sz w:val="28"/>
          <w:szCs w:val="28"/>
        </w:rPr>
        <w:t>др.]</w:t>
      </w:r>
      <w:r w:rsidR="00B46E01"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rPr>
        <w:t>Архив клинической и экспериментальной медицины</w:t>
      </w:r>
      <w:r w:rsidR="00F44EE4" w:rsidRPr="00156441">
        <w:rPr>
          <w:rFonts w:ascii="Times New Roman" w:hAnsi="Times New Roman" w:cs="Times New Roman"/>
          <w:sz w:val="28"/>
          <w:szCs w:val="28"/>
        </w:rPr>
        <w:t>.</w:t>
      </w:r>
      <w:r w:rsidR="00F44EE4" w:rsidRPr="00156441">
        <w:rPr>
          <w:rFonts w:ascii="Times New Roman" w:hAnsi="Times New Roman" w:cs="Times New Roman"/>
          <w:sz w:val="28"/>
          <w:szCs w:val="28"/>
          <w:lang w:val="ru-RU"/>
        </w:rPr>
        <w:t> </w:t>
      </w:r>
      <w:r w:rsidR="00F44EE4" w:rsidRPr="00156441">
        <w:rPr>
          <w:rFonts w:ascii="Times New Roman" w:hAnsi="Times New Roman" w:cs="Times New Roman"/>
          <w:sz w:val="28"/>
          <w:szCs w:val="28"/>
        </w:rPr>
        <w:t>—</w:t>
      </w:r>
      <w:r w:rsidR="00F44EE4" w:rsidRPr="00156441">
        <w:rPr>
          <w:rFonts w:ascii="Times New Roman" w:hAnsi="Times New Roman" w:cs="Times New Roman"/>
          <w:sz w:val="28"/>
          <w:szCs w:val="28"/>
          <w:lang w:val="ru-RU"/>
        </w:rPr>
        <w:t> </w:t>
      </w:r>
      <w:r w:rsidRPr="00156441">
        <w:rPr>
          <w:rFonts w:ascii="Times New Roman" w:hAnsi="Times New Roman" w:cs="Times New Roman"/>
          <w:sz w:val="28"/>
          <w:szCs w:val="28"/>
        </w:rPr>
        <w:t>2004</w:t>
      </w:r>
      <w:r w:rsidR="00F44EE4" w:rsidRPr="00156441">
        <w:rPr>
          <w:rFonts w:ascii="Times New Roman" w:hAnsi="Times New Roman" w:cs="Times New Roman"/>
          <w:sz w:val="28"/>
          <w:szCs w:val="28"/>
        </w:rPr>
        <w:t>.</w:t>
      </w:r>
      <w:r w:rsidR="00F44EE4" w:rsidRPr="00156441">
        <w:rPr>
          <w:rFonts w:ascii="Times New Roman" w:hAnsi="Times New Roman" w:cs="Times New Roman"/>
          <w:sz w:val="28"/>
          <w:szCs w:val="28"/>
          <w:lang w:val="ru-RU"/>
        </w:rPr>
        <w:t> </w:t>
      </w:r>
      <w:r w:rsidR="00F44EE4" w:rsidRPr="00156441">
        <w:rPr>
          <w:rFonts w:ascii="Times New Roman" w:hAnsi="Times New Roman" w:cs="Times New Roman"/>
          <w:sz w:val="28"/>
          <w:szCs w:val="28"/>
        </w:rPr>
        <w:t>—</w:t>
      </w:r>
      <w:r w:rsidR="00F44EE4" w:rsidRPr="00156441">
        <w:rPr>
          <w:rFonts w:ascii="Times New Roman" w:hAnsi="Times New Roman" w:cs="Times New Roman"/>
          <w:sz w:val="28"/>
          <w:szCs w:val="28"/>
          <w:lang w:val="ru-RU"/>
        </w:rPr>
        <w:t> </w:t>
      </w:r>
      <w:r w:rsidRPr="00156441">
        <w:rPr>
          <w:rFonts w:ascii="Times New Roman" w:hAnsi="Times New Roman" w:cs="Times New Roman"/>
          <w:sz w:val="28"/>
          <w:szCs w:val="28"/>
        </w:rPr>
        <w:t>Т. 13, № 1</w:t>
      </w:r>
      <w:r w:rsidR="00F44EE4" w:rsidRPr="00156441">
        <w:rPr>
          <w:rFonts w:ascii="Times New Roman" w:hAnsi="Times New Roman" w:cs="Times New Roman"/>
          <w:sz w:val="28"/>
          <w:szCs w:val="28"/>
        </w:rPr>
        <w:t>.</w:t>
      </w:r>
      <w:r w:rsidR="00F44EE4" w:rsidRPr="00156441">
        <w:rPr>
          <w:rFonts w:ascii="Times New Roman" w:hAnsi="Times New Roman" w:cs="Times New Roman"/>
          <w:sz w:val="28"/>
          <w:szCs w:val="28"/>
          <w:lang w:val="ru-RU"/>
        </w:rPr>
        <w:t> </w:t>
      </w:r>
      <w:r w:rsidR="00F44EE4" w:rsidRPr="00156441">
        <w:rPr>
          <w:rFonts w:ascii="Times New Roman" w:hAnsi="Times New Roman" w:cs="Times New Roman"/>
          <w:sz w:val="28"/>
          <w:szCs w:val="28"/>
        </w:rPr>
        <w:t>— С.</w:t>
      </w:r>
      <w:r w:rsidR="00F44EE4" w:rsidRPr="00156441">
        <w:rPr>
          <w:rFonts w:ascii="Times New Roman" w:hAnsi="Times New Roman" w:cs="Times New Roman"/>
          <w:sz w:val="28"/>
          <w:szCs w:val="28"/>
          <w:lang w:val="ru-RU"/>
        </w:rPr>
        <w:t> </w:t>
      </w:r>
      <w:r w:rsidRPr="00156441">
        <w:rPr>
          <w:rFonts w:ascii="Times New Roman" w:hAnsi="Times New Roman" w:cs="Times New Roman"/>
          <w:sz w:val="28"/>
          <w:szCs w:val="28"/>
        </w:rPr>
        <w:t>3</w:t>
      </w:r>
      <w:r w:rsidR="009C556E">
        <w:rPr>
          <w:rFonts w:ascii="Times New Roman" w:hAnsi="Times New Roman" w:cs="Times New Roman"/>
          <w:sz w:val="28"/>
          <w:szCs w:val="28"/>
        </w:rPr>
        <w:t>–</w:t>
      </w:r>
      <w:r w:rsidRPr="00156441">
        <w:rPr>
          <w:rFonts w:ascii="Times New Roman" w:hAnsi="Times New Roman" w:cs="Times New Roman"/>
          <w:sz w:val="28"/>
          <w:szCs w:val="28"/>
        </w:rPr>
        <w:t>10.</w:t>
      </w:r>
      <w:bookmarkEnd w:id="28"/>
    </w:p>
    <w:p w:rsidR="00EA1D5E" w:rsidRPr="00156441" w:rsidRDefault="00EA1D5E"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0" w:name="_Ref502690536"/>
      <w:r w:rsidRPr="00156441">
        <w:rPr>
          <w:rFonts w:ascii="Times New Roman" w:hAnsi="Times New Roman" w:cs="Times New Roman"/>
          <w:sz w:val="28"/>
          <w:szCs w:val="28"/>
          <w:lang w:val="en-US"/>
        </w:rPr>
        <w:t>Pshennikova</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M</w:t>
      </w:r>
      <w:r w:rsidRPr="00156441">
        <w:rPr>
          <w:rFonts w:ascii="Times New Roman" w:hAnsi="Times New Roman" w:cs="Times New Roman"/>
          <w:sz w:val="28"/>
          <w:szCs w:val="28"/>
        </w:rPr>
        <w:t>.</w:t>
      </w:r>
      <w:r w:rsidR="009C556E" w:rsidRPr="009C556E">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Kuznetsova</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B</w:t>
      </w:r>
      <w:r w:rsidRPr="00156441">
        <w:rPr>
          <w:rFonts w:ascii="Times New Roman" w:hAnsi="Times New Roman" w:cs="Times New Roman"/>
          <w:sz w:val="28"/>
          <w:szCs w:val="28"/>
        </w:rPr>
        <w:t>.</w:t>
      </w:r>
      <w:r w:rsidR="009C556E" w:rsidRPr="009C556E">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Shimkovich</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M</w:t>
      </w:r>
      <w:r w:rsidRPr="00156441">
        <w:rPr>
          <w:rFonts w:ascii="Times New Roman" w:hAnsi="Times New Roman" w:cs="Times New Roman"/>
          <w:sz w:val="28"/>
          <w:szCs w:val="28"/>
        </w:rPr>
        <w:t>.</w:t>
      </w:r>
      <w:r w:rsidR="009C556E" w:rsidRPr="009C556E">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Meerson</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F</w:t>
      </w:r>
      <w:r w:rsidRPr="00156441">
        <w:rPr>
          <w:rFonts w:ascii="Times New Roman" w:hAnsi="Times New Roman" w:cs="Times New Roman"/>
          <w:sz w:val="28"/>
          <w:szCs w:val="28"/>
        </w:rPr>
        <w:t>.</w:t>
      </w:r>
      <w:r w:rsidRPr="00156441">
        <w:rPr>
          <w:rFonts w:ascii="Times New Roman" w:hAnsi="Times New Roman" w:cs="Times New Roman"/>
          <w:sz w:val="28"/>
          <w:szCs w:val="28"/>
          <w:lang w:val="en-US"/>
        </w:rPr>
        <w:t>Z</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Adaptation</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Biology</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and</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Medicine</w:t>
      </w:r>
      <w:r w:rsidR="009C6C87"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Ed</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by</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B</w:t>
      </w:r>
      <w:r w:rsidRPr="00156441">
        <w:rPr>
          <w:rFonts w:ascii="Times New Roman" w:hAnsi="Times New Roman" w:cs="Times New Roman"/>
          <w:sz w:val="28"/>
          <w:szCs w:val="28"/>
        </w:rPr>
        <w:t>.</w:t>
      </w:r>
      <w:r w:rsidRPr="00156441">
        <w:rPr>
          <w:rFonts w:ascii="Times New Roman" w:hAnsi="Times New Roman" w:cs="Times New Roman"/>
          <w:sz w:val="28"/>
          <w:szCs w:val="28"/>
          <w:lang w:val="en-US"/>
        </w:rPr>
        <w:t>K</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Sharma</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N</w:t>
      </w:r>
      <w:r w:rsidRPr="00156441">
        <w:rPr>
          <w:rFonts w:ascii="Times New Roman" w:hAnsi="Times New Roman" w:cs="Times New Roman"/>
          <w:sz w:val="28"/>
          <w:szCs w:val="28"/>
        </w:rPr>
        <w:t xml:space="preserve">. </w:t>
      </w:r>
      <w:r w:rsidRPr="00156441">
        <w:rPr>
          <w:rFonts w:ascii="Times New Roman" w:hAnsi="Times New Roman" w:cs="Times New Roman"/>
          <w:sz w:val="28"/>
          <w:szCs w:val="28"/>
          <w:lang w:val="en-US"/>
        </w:rPr>
        <w:t>Takeda, P.K. Ganguly, P.K. Singal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New Delhi: Narosa Publ. House, 1997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Vol. 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315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325.</w:t>
      </w:r>
      <w:bookmarkEnd w:id="30"/>
    </w:p>
    <w:p w:rsidR="00156441" w:rsidRDefault="00EA1D5E"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1" w:name="_Ref502690615"/>
      <w:r w:rsidRPr="00156441">
        <w:rPr>
          <w:rFonts w:ascii="Times New Roman" w:hAnsi="Times New Roman" w:cs="Times New Roman"/>
          <w:sz w:val="28"/>
          <w:szCs w:val="28"/>
          <w:lang w:val="en-US"/>
        </w:rPr>
        <w:t>Immunoeffector and immunoregulatory activities of vasoactive intestinal peptide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00156441" w:rsidRPr="00156441">
        <w:rPr>
          <w:rFonts w:ascii="Times New Roman" w:hAnsi="Times New Roman" w:cs="Times New Roman"/>
          <w:sz w:val="28"/>
          <w:szCs w:val="28"/>
          <w:lang w:val="en-US"/>
        </w:rPr>
        <w:t>J.</w:t>
      </w:r>
      <w:r w:rsid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 xml:space="preserve">Voice, </w:t>
      </w:r>
      <w:r w:rsidR="00156441" w:rsidRPr="00156441">
        <w:rPr>
          <w:rFonts w:ascii="Times New Roman" w:hAnsi="Times New Roman" w:cs="Times New Roman"/>
          <w:sz w:val="28"/>
          <w:szCs w:val="28"/>
          <w:lang w:val="en-US"/>
        </w:rPr>
        <w:t>G.</w:t>
      </w:r>
      <w:r w:rsid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 xml:space="preserve">Dorsam, </w:t>
      </w:r>
      <w:r w:rsidR="00156441" w:rsidRPr="00156441">
        <w:rPr>
          <w:rFonts w:ascii="Times New Roman" w:hAnsi="Times New Roman" w:cs="Times New Roman"/>
          <w:sz w:val="28"/>
          <w:szCs w:val="28"/>
          <w:lang w:val="en-US"/>
        </w:rPr>
        <w:t>R.</w:t>
      </w:r>
      <w:r w:rsid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 xml:space="preserve">Chan </w:t>
      </w:r>
      <w:r w:rsidR="00156441">
        <w:rPr>
          <w:rFonts w:ascii="Times New Roman" w:hAnsi="Times New Roman" w:cs="Times New Roman"/>
          <w:sz w:val="28"/>
          <w:szCs w:val="28"/>
          <w:lang w:val="en-US"/>
        </w:rPr>
        <w:t>[</w:t>
      </w:r>
      <w:r w:rsidRPr="00156441">
        <w:rPr>
          <w:rFonts w:ascii="Times New Roman" w:hAnsi="Times New Roman" w:cs="Times New Roman"/>
          <w:sz w:val="28"/>
          <w:szCs w:val="28"/>
          <w:lang w:val="en-US"/>
        </w:rPr>
        <w:t>et al.</w:t>
      </w:r>
      <w:r w:rsidR="00156441">
        <w:rPr>
          <w:rFonts w:ascii="Times New Roman" w:hAnsi="Times New Roman" w:cs="Times New Roman"/>
          <w:sz w:val="28"/>
          <w:szCs w:val="28"/>
          <w:lang w:val="en-US"/>
        </w:rPr>
        <w:t>]</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Regulatory peptides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2002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V. 109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199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208. </w:t>
      </w:r>
    </w:p>
    <w:p w:rsidR="00EA1D5E" w:rsidRPr="00156441" w:rsidRDefault="00156441"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Madden K.</w:t>
      </w:r>
      <w:r w:rsidR="00EA1D5E" w:rsidRPr="00156441">
        <w:rPr>
          <w:rFonts w:ascii="Times New Roman" w:hAnsi="Times New Roman" w:cs="Times New Roman"/>
          <w:sz w:val="28"/>
          <w:szCs w:val="28"/>
          <w:lang w:val="en-US"/>
        </w:rPr>
        <w:t xml:space="preserve"> Experimental basis for neural</w:t>
      </w:r>
      <w:r w:rsidR="009C556E">
        <w:rPr>
          <w:rFonts w:ascii="Times New Roman" w:hAnsi="Times New Roman" w:cs="Times New Roman"/>
          <w:sz w:val="28"/>
          <w:szCs w:val="28"/>
          <w:lang w:val="en-US"/>
        </w:rPr>
        <w:t>–</w:t>
      </w:r>
      <w:r w:rsidR="00EA1D5E" w:rsidRPr="00156441">
        <w:rPr>
          <w:rFonts w:ascii="Times New Roman" w:hAnsi="Times New Roman" w:cs="Times New Roman"/>
          <w:sz w:val="28"/>
          <w:szCs w:val="28"/>
          <w:lang w:val="en-US"/>
        </w:rPr>
        <w:t>immune interactions</w:t>
      </w:r>
      <w:r>
        <w:rPr>
          <w:rFonts w:ascii="Times New Roman" w:hAnsi="Times New Roman" w:cs="Times New Roman"/>
          <w:sz w:val="28"/>
          <w:szCs w:val="28"/>
          <w:lang w:val="en-US"/>
        </w:rPr>
        <w:t xml:space="preserve"> / K. Madden</w:t>
      </w:r>
      <w:r w:rsidRPr="0015644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 </w:t>
      </w:r>
      <w:r w:rsidRPr="00156441">
        <w:rPr>
          <w:rFonts w:ascii="Times New Roman" w:hAnsi="Times New Roman" w:cs="Times New Roman"/>
          <w:sz w:val="28"/>
          <w:szCs w:val="28"/>
          <w:lang w:val="en-US"/>
        </w:rPr>
        <w:t xml:space="preserve">Felten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00EA1D5E" w:rsidRPr="00156441">
        <w:rPr>
          <w:rFonts w:ascii="Times New Roman" w:hAnsi="Times New Roman" w:cs="Times New Roman"/>
          <w:sz w:val="28"/>
          <w:szCs w:val="28"/>
          <w:lang w:val="en-US"/>
        </w:rPr>
        <w:t>Phisiol. Rev</w:t>
      </w:r>
      <w:r w:rsidR="00F44EE4" w:rsidRPr="00156441">
        <w:rPr>
          <w:rFonts w:ascii="Times New Roman" w:hAnsi="Times New Roman" w:cs="Times New Roman"/>
          <w:sz w:val="28"/>
          <w:szCs w:val="28"/>
          <w:lang w:val="en-US"/>
        </w:rPr>
        <w:t>. — </w:t>
      </w:r>
      <w:r w:rsidR="00EA1D5E" w:rsidRPr="00156441">
        <w:rPr>
          <w:rFonts w:ascii="Times New Roman" w:hAnsi="Times New Roman" w:cs="Times New Roman"/>
          <w:sz w:val="28"/>
          <w:szCs w:val="28"/>
          <w:lang w:val="en-US"/>
        </w:rPr>
        <w:t>1995</w:t>
      </w:r>
      <w:r w:rsidR="00F44EE4" w:rsidRPr="00156441">
        <w:rPr>
          <w:rFonts w:ascii="Times New Roman" w:hAnsi="Times New Roman" w:cs="Times New Roman"/>
          <w:sz w:val="28"/>
          <w:szCs w:val="28"/>
          <w:lang w:val="en-US"/>
        </w:rPr>
        <w:t>. — </w:t>
      </w:r>
      <w:r w:rsidR="00EA1D5E" w:rsidRPr="00156441">
        <w:rPr>
          <w:rFonts w:ascii="Times New Roman" w:hAnsi="Times New Roman" w:cs="Times New Roman"/>
          <w:sz w:val="28"/>
          <w:szCs w:val="28"/>
          <w:lang w:val="en-US"/>
        </w:rPr>
        <w:t>V. 75, № 1</w:t>
      </w:r>
      <w:r w:rsidR="00F44EE4" w:rsidRPr="00156441">
        <w:rPr>
          <w:rFonts w:ascii="Times New Roman" w:hAnsi="Times New Roman" w:cs="Times New Roman"/>
          <w:sz w:val="28"/>
          <w:szCs w:val="28"/>
          <w:lang w:val="en-US"/>
        </w:rPr>
        <w:t>. — </w:t>
      </w:r>
      <w:r w:rsidR="00EA1D5E" w:rsidRPr="00156441">
        <w:rPr>
          <w:rFonts w:ascii="Times New Roman" w:hAnsi="Times New Roman" w:cs="Times New Roman"/>
          <w:sz w:val="28"/>
          <w:szCs w:val="28"/>
          <w:lang w:val="en-US"/>
        </w:rPr>
        <w:t>P. 77</w:t>
      </w:r>
      <w:r w:rsidR="009C556E">
        <w:rPr>
          <w:rFonts w:ascii="Times New Roman" w:hAnsi="Times New Roman" w:cs="Times New Roman"/>
          <w:sz w:val="28"/>
          <w:szCs w:val="28"/>
          <w:lang w:val="en-US"/>
        </w:rPr>
        <w:t>–</w:t>
      </w:r>
      <w:r w:rsidR="00EA1D5E" w:rsidRPr="00156441">
        <w:rPr>
          <w:rFonts w:ascii="Times New Roman" w:hAnsi="Times New Roman" w:cs="Times New Roman"/>
          <w:sz w:val="28"/>
          <w:szCs w:val="28"/>
          <w:lang w:val="en-US"/>
        </w:rPr>
        <w:t>106.</w:t>
      </w:r>
      <w:bookmarkEnd w:id="3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2" w:name="_Ref502690742"/>
      <w:r w:rsidRPr="00156441">
        <w:rPr>
          <w:rFonts w:ascii="Times New Roman" w:hAnsi="Times New Roman" w:cs="Times New Roman"/>
          <w:sz w:val="28"/>
          <w:szCs w:val="28"/>
          <w:lang w:val="en-US"/>
        </w:rPr>
        <w:t>Feinstein A. R. The pre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therapeutic classification of co</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morbidity in chronic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R. Feinstein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Chronic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1970</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455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468.</w:t>
      </w:r>
      <w:bookmarkEnd w:id="29"/>
      <w:bookmarkEnd w:id="3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3" w:name="_Ref502021848"/>
      <w:r w:rsidRPr="00156441">
        <w:rPr>
          <w:rFonts w:ascii="Times New Roman" w:hAnsi="Times New Roman" w:cs="Times New Roman"/>
          <w:sz w:val="28"/>
          <w:szCs w:val="28"/>
          <w:lang w:val="en-US"/>
        </w:rPr>
        <w:t>How general practitioners perceive and assess self</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care in patients with multiple chronic conditions: a qualitative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A. T. Kristensen, B. Hølge</w:t>
      </w:r>
      <w:r w:rsidR="009C556E">
        <w:rPr>
          <w:rFonts w:ascii="Times New Roman" w:hAnsi="Times New Roman" w:cs="Times New Roman"/>
          <w:sz w:val="28"/>
          <w:szCs w:val="28"/>
          <w:lang w:val="en-US"/>
        </w:rPr>
        <w:t xml:space="preserve">–Hazelton, F. B. Waldorff [et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BMC Fam Pract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109.</w:t>
      </w:r>
      <w:bookmarkEnd w:id="3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w:t>
      </w:r>
      <w:bookmarkStart w:id="34" w:name="_Ref502021850"/>
      <w:r w:rsidRPr="00156441">
        <w:rPr>
          <w:rFonts w:ascii="Times New Roman" w:hAnsi="Times New Roman" w:cs="Times New Roman"/>
          <w:sz w:val="28"/>
          <w:szCs w:val="28"/>
          <w:lang w:val="en-US"/>
        </w:rPr>
        <w:t>Individual diseases or clustering of health conditions? Association between multiple chronic diseases and health</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related quality of life in adults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A. González</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Chica, C. L. Hill, T. K. Gill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Health Qual Life Outcomes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244.</w:t>
      </w:r>
      <w:bookmarkEnd w:id="3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w:t>
      </w:r>
      <w:bookmarkStart w:id="35" w:name="_Ref502021852"/>
      <w:r w:rsidRPr="00156441">
        <w:rPr>
          <w:rFonts w:ascii="Times New Roman" w:hAnsi="Times New Roman" w:cs="Times New Roman"/>
          <w:sz w:val="28"/>
          <w:szCs w:val="28"/>
          <w:lang w:val="en-US"/>
        </w:rPr>
        <w:t>Empowering people to help speak up about safety in primary care: Using codesign to involve patients and professionals in developing new interventions for patients with multimorbidity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Knowles, R. Hays, H. Senra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Health Expect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10.1111/hex.12648.</w:t>
      </w:r>
      <w:bookmarkEnd w:id="3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6" w:name="_Ref502022194"/>
      <w:r w:rsidRPr="00156441">
        <w:rPr>
          <w:rFonts w:ascii="Times New Roman" w:hAnsi="Times New Roman" w:cs="Times New Roman"/>
          <w:sz w:val="28"/>
          <w:szCs w:val="28"/>
          <w:lang w:val="en-US"/>
        </w:rPr>
        <w:t>Kraemer H. C. Statistical issues in assessing comorbidity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C. Kraemer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Stat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1995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721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733.</w:t>
      </w:r>
      <w:bookmarkEnd w:id="3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7" w:name="_Ref502022195"/>
      <w:r w:rsidRPr="00156441">
        <w:rPr>
          <w:rFonts w:ascii="Times New Roman" w:hAnsi="Times New Roman" w:cs="Times New Roman"/>
          <w:sz w:val="28"/>
          <w:szCs w:val="28"/>
          <w:lang w:val="en-US"/>
        </w:rPr>
        <w:lastRenderedPageBreak/>
        <w:t>Multimorbidity in general practice: prevalence, incidence, and determinants of co</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occurring chronic and recurrent diseases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van den Akker, F. Buntinx, J. F. Metsemakers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Clin Epidemiol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1998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51,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367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375.</w:t>
      </w:r>
      <w:bookmarkEnd w:id="3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8" w:name="_Ref502022970"/>
      <w:r w:rsidRPr="00156441">
        <w:rPr>
          <w:rFonts w:ascii="Times New Roman" w:hAnsi="Times New Roman" w:cs="Times New Roman"/>
          <w:sz w:val="28"/>
          <w:szCs w:val="28"/>
          <w:lang w:val="en-US"/>
        </w:rPr>
        <w:t>Bhalla I. P. A change in perspective: from dual diagnosis to multimorbidity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 P. Bhalla, R. A. Rosenheck</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Psychiatr Serv</w:t>
      </w:r>
      <w:r w:rsidR="00F44EE4" w:rsidRPr="00156441">
        <w:rPr>
          <w:rFonts w:ascii="Times New Roman" w:hAnsi="Times New Roman" w:cs="Times New Roman"/>
          <w:sz w:val="28"/>
          <w:szCs w:val="28"/>
          <w:lang w:val="en-US"/>
        </w:rPr>
        <w:t>. —</w:t>
      </w:r>
      <w:r w:rsidR="009C556E">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2017</w:t>
      </w:r>
      <w:r w:rsidR="009C556E">
        <w:rPr>
          <w:rFonts w:ascii="Times New Roman" w:hAnsi="Times New Roman" w:cs="Times New Roman"/>
          <w:sz w:val="28"/>
          <w:szCs w:val="28"/>
          <w:lang w:val="en-US"/>
        </w:rPr>
        <w:t xml:space="preserve">. — </w:t>
      </w:r>
      <w:r w:rsidRPr="00156441">
        <w:rPr>
          <w:rFonts w:ascii="Times New Roman" w:hAnsi="Times New Roman" w:cs="Times New Roman"/>
          <w:sz w:val="28"/>
          <w:szCs w:val="28"/>
          <w:lang w:val="en-US"/>
        </w:rPr>
        <w:t>doi:</w:t>
      </w:r>
      <w:r w:rsidR="009C556E">
        <w:rPr>
          <w:rFonts w:ascii="Times New Roman" w:hAnsi="Times New Roman" w:cs="Times New Roman"/>
          <w:sz w:val="28"/>
          <w:szCs w:val="28"/>
          <w:lang w:val="en-US"/>
        </w:rPr>
        <w:t> </w:t>
      </w:r>
      <w:r w:rsidRPr="00156441">
        <w:rPr>
          <w:rFonts w:ascii="Times New Roman" w:hAnsi="Times New Roman" w:cs="Times New Roman"/>
          <w:sz w:val="28"/>
          <w:szCs w:val="28"/>
          <w:lang w:val="en-US"/>
        </w:rPr>
        <w:t>10.1176/appi.ps.201700194.</w:t>
      </w:r>
      <w:bookmarkEnd w:id="3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39" w:name="_Ref502023087"/>
      <w:r w:rsidRPr="00156441">
        <w:rPr>
          <w:rFonts w:ascii="Times New Roman" w:hAnsi="Times New Roman" w:cs="Times New Roman"/>
          <w:sz w:val="28"/>
          <w:szCs w:val="28"/>
          <w:lang w:val="en-US"/>
        </w:rPr>
        <w:t>An international perspective on chronic multimorbidity: approaching the elephant in the room</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L. Vetrano, A. Calderón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Larrañaga, A. Marengoni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Gerontol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 Biol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Sci</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Sci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10.1093/gerona/glx178.</w:t>
      </w:r>
      <w:bookmarkEnd w:id="3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0" w:name="_Ref502023450"/>
      <w:r w:rsidRPr="00156441">
        <w:rPr>
          <w:rFonts w:ascii="Times New Roman" w:hAnsi="Times New Roman" w:cs="Times New Roman"/>
          <w:sz w:val="28"/>
          <w:szCs w:val="28"/>
          <w:lang w:val="en-US"/>
        </w:rPr>
        <w:t>Yoshida S. Approaches, tools and methods used for setting priorities in health research in the 21(st) century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Yoshida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Glob</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Health</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10.7189/jogh.06.010507 .</w:t>
      </w:r>
      <w:bookmarkEnd w:id="4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1" w:name="_Ref502023451"/>
      <w:r w:rsidRPr="00156441">
        <w:rPr>
          <w:rFonts w:ascii="Times New Roman" w:hAnsi="Times New Roman" w:cs="Times New Roman"/>
          <w:sz w:val="28"/>
          <w:szCs w:val="28"/>
          <w:lang w:val="en-US"/>
        </w:rPr>
        <w:t>Kickbusch I. Making the World Health Assembly fit for the 21st century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w:t>
      </w:r>
      <w:r w:rsidR="009C556E">
        <w:rPr>
          <w:lang w:val="en-US"/>
        </w:rPr>
        <w:t> </w:t>
      </w:r>
      <w:r w:rsidRPr="00156441">
        <w:rPr>
          <w:rFonts w:ascii="Times New Roman" w:hAnsi="Times New Roman" w:cs="Times New Roman"/>
          <w:sz w:val="28"/>
          <w:szCs w:val="28"/>
          <w:lang w:val="en-US"/>
        </w:rPr>
        <w:t>Kickbusch, M. Bonk</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10.1136/bmj.g4079.</w:t>
      </w:r>
      <w:bookmarkEnd w:id="4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2" w:name="_Ref502023636"/>
      <w:r w:rsidRPr="00156441">
        <w:rPr>
          <w:rFonts w:ascii="Times New Roman" w:hAnsi="Times New Roman" w:cs="Times New Roman"/>
          <w:sz w:val="28"/>
          <w:szCs w:val="28"/>
          <w:lang w:val="en-US"/>
        </w:rPr>
        <w:t>Young C. E. Are care plans suitable for the management of multiple conditions?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E. Young, F. M. Boyle, A. J. Mutch</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Comorb</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113.</w:t>
      </w:r>
      <w:bookmarkEnd w:id="4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3" w:name="_Ref502040093"/>
      <w:r w:rsidRPr="00156441">
        <w:rPr>
          <w:rFonts w:ascii="Times New Roman" w:hAnsi="Times New Roman" w:cs="Times New Roman"/>
          <w:sz w:val="28"/>
          <w:szCs w:val="28"/>
          <w:lang w:val="en-US"/>
        </w:rPr>
        <w:t>Quality of care for heart failure patients hospitalized for any cause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Blecker, S. K. Agarwal, P. P. Chang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Coll</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130.</w:t>
      </w:r>
      <w:bookmarkEnd w:id="4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4" w:name="_Ref502040959"/>
      <w:r w:rsidRPr="00156441">
        <w:rPr>
          <w:rFonts w:ascii="Times New Roman" w:hAnsi="Times New Roman" w:cs="Times New Roman"/>
          <w:sz w:val="28"/>
          <w:szCs w:val="28"/>
          <w:lang w:val="en-US"/>
        </w:rPr>
        <w:t>Prevalence of overestimation or underestimation of the functional capacity using MRC score as compared to 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minute walk test in patients with cardio</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respiratory disorders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 Callens, S. Graba, M. Essalhi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COPD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496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502.</w:t>
      </w:r>
      <w:bookmarkEnd w:id="4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5" w:name="_Ref502024674"/>
      <w:r w:rsidRPr="00156441">
        <w:rPr>
          <w:rFonts w:ascii="Times New Roman" w:hAnsi="Times New Roman" w:cs="Times New Roman"/>
          <w:sz w:val="28"/>
          <w:szCs w:val="28"/>
          <w:lang w:val="en-US"/>
        </w:rPr>
        <w:t>Development of an international comorbidity education framework</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Lawson, S. Pati, J. Green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Nurse Educ</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Today</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82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89.</w:t>
      </w:r>
      <w:bookmarkEnd w:id="4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6" w:name="_Ref502026827"/>
      <w:r w:rsidRPr="00156441">
        <w:rPr>
          <w:rFonts w:ascii="Times New Roman" w:hAnsi="Times New Roman" w:cs="Times New Roman"/>
          <w:sz w:val="28"/>
          <w:szCs w:val="28"/>
          <w:lang w:val="en-US"/>
        </w:rPr>
        <w:t>Clubbing in patients with fibrotic interstitial lung diseases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J. G. van Manen, L. C. Vermeer, C. C. Moor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132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226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231.</w:t>
      </w:r>
      <w:bookmarkEnd w:id="4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7" w:name="_Ref502024139"/>
      <w:r w:rsidRPr="00156441">
        <w:rPr>
          <w:rFonts w:ascii="Times New Roman" w:hAnsi="Times New Roman" w:cs="Times New Roman"/>
          <w:sz w:val="28"/>
          <w:szCs w:val="28"/>
          <w:lang w:val="en-US"/>
        </w:rPr>
        <w:lastRenderedPageBreak/>
        <w:t>Cardiovascular disease patients have increased risk for comorbidity: A 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sectional study in the Netherlands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K</w:t>
      </w:r>
      <w:r w:rsidR="00E73087">
        <w:rPr>
          <w:rFonts w:ascii="Times New Roman" w:hAnsi="Times New Roman" w:cs="Times New Roman"/>
          <w:sz w:val="28"/>
          <w:szCs w:val="28"/>
          <w:lang w:val="en-US"/>
        </w:rPr>
        <w:t>endir, M. van den Akker, R. Vos</w:t>
      </w:r>
      <w:r w:rsidRPr="00156441">
        <w:rPr>
          <w:rFonts w:ascii="Times New Roman" w:hAnsi="Times New Roman" w:cs="Times New Roman"/>
          <w:sz w:val="28"/>
          <w:szCs w:val="28"/>
          <w:lang w:val="en-US"/>
        </w:rPr>
        <w:t xml:space="preserve"> </w:t>
      </w:r>
      <w:r w:rsidR="00E73087">
        <w:rPr>
          <w:rFonts w:ascii="Times New Roman" w:hAnsi="Times New Roman" w:cs="Times New Roman"/>
          <w:sz w:val="28"/>
          <w:szCs w:val="28"/>
          <w:lang w:val="en-US"/>
        </w:rPr>
        <w:t>[et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Gen</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Pract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6.</w:t>
      </w:r>
      <w:bookmarkEnd w:id="4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8" w:name="_Ref502024914"/>
      <w:r w:rsidRPr="00156441">
        <w:rPr>
          <w:rFonts w:ascii="Times New Roman" w:hAnsi="Times New Roman" w:cs="Times New Roman"/>
          <w:sz w:val="28"/>
          <w:szCs w:val="28"/>
          <w:lang w:val="en-US"/>
        </w:rPr>
        <w:t>Comorbidity and polypharmacy in chronic heart failure: a large 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sectional study in primary care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Baron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Franco, G. McLean, F. S. Mair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Br</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Gen</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Pract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658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314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320.</w:t>
      </w:r>
      <w:bookmarkEnd w:id="4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49" w:name="_Ref502024337"/>
      <w:r w:rsidRPr="00156441">
        <w:rPr>
          <w:rFonts w:ascii="Times New Roman" w:hAnsi="Times New Roman" w:cs="Times New Roman"/>
          <w:sz w:val="28"/>
          <w:szCs w:val="28"/>
          <w:lang w:val="en-US"/>
        </w:rPr>
        <w:t>Effect of multimorbidity on quality of life in adult with cardiovascular disease: a 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sectional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Shad, A. Ashouri, T. Hasandokht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Health Qual</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Life Outcomes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240.</w:t>
      </w:r>
      <w:bookmarkEnd w:id="4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0" w:name="_Ref502025052"/>
      <w:r w:rsidRPr="00156441">
        <w:rPr>
          <w:rFonts w:ascii="Times New Roman" w:hAnsi="Times New Roman" w:cs="Times New Roman"/>
          <w:sz w:val="28"/>
          <w:szCs w:val="28"/>
          <w:lang w:val="en-US"/>
        </w:rPr>
        <w:t>Multimorbidity and health</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related quality of life (HRQoL) in a nationally representative population sample: implications of count versus cluster method for defining multimorbidity on HRQoL</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w:t>
      </w:r>
      <w:r w:rsidR="00E73087">
        <w:rPr>
          <w:rFonts w:ascii="Times New Roman" w:hAnsi="Times New Roman" w:cs="Times New Roman"/>
          <w:sz w:val="28"/>
          <w:szCs w:val="28"/>
          <w:lang w:val="en-US"/>
        </w:rPr>
        <w:t>. Wang, A. J. Palmer, F. Cocker</w:t>
      </w:r>
      <w:r w:rsidRPr="00156441">
        <w:rPr>
          <w:rFonts w:ascii="Times New Roman" w:hAnsi="Times New Roman" w:cs="Times New Roman"/>
          <w:sz w:val="28"/>
          <w:szCs w:val="28"/>
          <w:lang w:val="en-US"/>
        </w:rPr>
        <w:t xml:space="preserve"> </w:t>
      </w:r>
      <w:r w:rsidR="00E73087"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Health Qual</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Life Outcomes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w:t>
      </w:r>
      <w:bookmarkEnd w:id="5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1" w:name="_Ref502024481"/>
      <w:r w:rsidRPr="00156441">
        <w:rPr>
          <w:rFonts w:ascii="Times New Roman" w:hAnsi="Times New Roman" w:cs="Times New Roman"/>
          <w:sz w:val="28"/>
          <w:szCs w:val="28"/>
          <w:lang w:val="en-US"/>
        </w:rPr>
        <w:t>Treatment effectiveness in heart failure with comorbidity: lung disease and kidney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H. Gurwitz, D. J. Magid, D. H. Smith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E73087">
        <w:rPr>
          <w:rFonts w:ascii="Times New Roman" w:hAnsi="Times New Roman" w:cs="Times New Roman"/>
          <w:sz w:val="28"/>
          <w:szCs w:val="28"/>
          <w:lang w:val="en-US"/>
        </w:rPr>
        <w:t xml:space="preserve">. Geriatr. </w:t>
      </w:r>
      <w:r w:rsidRPr="00156441">
        <w:rPr>
          <w:rFonts w:ascii="Times New Roman" w:hAnsi="Times New Roman" w:cs="Times New Roman"/>
          <w:sz w:val="28"/>
          <w:szCs w:val="28"/>
          <w:lang w:val="en-US"/>
        </w:rPr>
        <w:t>Soc</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2610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2618.</w:t>
      </w:r>
      <w:bookmarkEnd w:id="51"/>
    </w:p>
    <w:p w:rsidR="005438B0" w:rsidRPr="00E73087"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52" w:name="_Ref476827651"/>
      <w:r w:rsidRPr="00156441">
        <w:rPr>
          <w:rFonts w:ascii="Times New Roman" w:hAnsi="Times New Roman" w:cs="Times New Roman"/>
          <w:sz w:val="28"/>
          <w:szCs w:val="28"/>
          <w:lang w:val="en-US"/>
        </w:rPr>
        <w:t>Frits M.E. Comorbidities in patients with COPD and pulmonary rehabilitation: do they matter?</w:t>
      </w:r>
      <w:r w:rsidR="00E73087">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 M.</w:t>
      </w:r>
      <w:r w:rsidR="00E73087">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 Frits, Franssen and Carolyn L. Rochester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E73087" w:rsidRP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Respir</w:t>
      </w:r>
      <w:r w:rsidR="00E73087">
        <w:rPr>
          <w:rFonts w:ascii="Times New Roman" w:hAnsi="Times New Roman" w:cs="Times New Roman"/>
          <w:sz w:val="28"/>
          <w:szCs w:val="28"/>
          <w:lang w:val="ru-RU"/>
        </w:rPr>
        <w:t>.</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Rev</w:t>
      </w:r>
      <w:r w:rsidR="00F44EE4" w:rsidRPr="00E73087">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E73087">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E73087">
        <w:rPr>
          <w:rFonts w:ascii="Times New Roman" w:hAnsi="Times New Roman" w:cs="Times New Roman"/>
          <w:sz w:val="28"/>
          <w:szCs w:val="28"/>
          <w:lang w:val="ru-RU"/>
        </w:rPr>
        <w:t>2014</w:t>
      </w:r>
      <w:r w:rsidR="00F44EE4" w:rsidRPr="00E73087">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E73087">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E73087">
        <w:rPr>
          <w:rFonts w:ascii="Times New Roman" w:hAnsi="Times New Roman" w:cs="Times New Roman"/>
          <w:sz w:val="28"/>
          <w:szCs w:val="28"/>
          <w:lang w:val="ru-RU"/>
        </w:rPr>
        <w:t>№131</w:t>
      </w:r>
      <w:r w:rsidR="00F44EE4" w:rsidRPr="00E73087">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E73087">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E73087">
        <w:rPr>
          <w:rFonts w:ascii="Times New Roman" w:hAnsi="Times New Roman" w:cs="Times New Roman"/>
          <w:sz w:val="28"/>
          <w:szCs w:val="28"/>
          <w:lang w:val="ru-RU"/>
        </w:rPr>
        <w:t>Р.131</w:t>
      </w:r>
      <w:r w:rsidR="009C556E" w:rsidRPr="00E73087">
        <w:rPr>
          <w:rFonts w:ascii="Times New Roman" w:hAnsi="Times New Roman" w:cs="Times New Roman"/>
          <w:sz w:val="28"/>
          <w:szCs w:val="28"/>
          <w:lang w:val="ru-RU"/>
        </w:rPr>
        <w:t>–</w:t>
      </w:r>
      <w:r w:rsidRPr="00E73087">
        <w:rPr>
          <w:rFonts w:ascii="Times New Roman" w:hAnsi="Times New Roman" w:cs="Times New Roman"/>
          <w:sz w:val="28"/>
          <w:szCs w:val="28"/>
          <w:lang w:val="ru-RU"/>
        </w:rPr>
        <w:t>141.</w:t>
      </w:r>
      <w:bookmarkEnd w:id="5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53" w:name="_Ref502067444"/>
      <w:r w:rsidRPr="00156441">
        <w:rPr>
          <w:rFonts w:ascii="Times New Roman" w:hAnsi="Times New Roman" w:cs="Times New Roman"/>
          <w:sz w:val="28"/>
          <w:szCs w:val="28"/>
          <w:lang w:val="ru-RU"/>
        </w:rPr>
        <w:t>Пульмонологическая</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реабилитация</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современные</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программы</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и</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перспективы</w:t>
      </w:r>
      <w:r w:rsidR="009C6C87" w:rsidRPr="00E73087">
        <w:rPr>
          <w:rFonts w:ascii="Times New Roman" w:hAnsi="Times New Roman" w:cs="Times New Roman"/>
          <w:sz w:val="28"/>
          <w:szCs w:val="28"/>
          <w:lang w:val="ru-RU"/>
        </w:rPr>
        <w:t xml:space="preserve"> /</w:t>
      </w:r>
      <w:r w:rsidR="00C216F5"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Ф</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Ю</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Мухарлямов</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М</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Г</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Сычева</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М</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w:t>
      </w:r>
      <w:r w:rsidRPr="00E73087">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Рассулова</w:t>
      </w:r>
      <w:r w:rsidR="00E73087" w:rsidRPr="00E73087">
        <w:rPr>
          <w:rFonts w:ascii="Times New Roman" w:hAnsi="Times New Roman" w:cs="Times New Roman"/>
          <w:sz w:val="28"/>
          <w:szCs w:val="28"/>
          <w:lang w:val="ru-RU"/>
        </w:rPr>
        <w:t xml:space="preserve"> [</w:t>
      </w:r>
      <w:r w:rsidR="00E73087">
        <w:rPr>
          <w:rFonts w:ascii="Times New Roman" w:hAnsi="Times New Roman" w:cs="Times New Roman"/>
          <w:sz w:val="28"/>
          <w:szCs w:val="28"/>
          <w:lang w:val="ru-RU"/>
        </w:rPr>
        <w:t>и</w:t>
      </w:r>
      <w:r w:rsidR="00E73087" w:rsidRPr="00E73087">
        <w:rPr>
          <w:rFonts w:ascii="Times New Roman" w:hAnsi="Times New Roman" w:cs="Times New Roman"/>
          <w:sz w:val="28"/>
          <w:szCs w:val="28"/>
          <w:lang w:val="ru-RU"/>
        </w:rPr>
        <w:t xml:space="preserve"> </w:t>
      </w:r>
      <w:r w:rsidR="00E73087">
        <w:rPr>
          <w:rFonts w:ascii="Times New Roman" w:hAnsi="Times New Roman" w:cs="Times New Roman"/>
          <w:sz w:val="28"/>
          <w:szCs w:val="28"/>
          <w:lang w:val="ru-RU"/>
        </w:rPr>
        <w:t>др</w:t>
      </w:r>
      <w:r w:rsidR="00E73087" w:rsidRPr="00E73087">
        <w:rPr>
          <w:rFonts w:ascii="Times New Roman" w:hAnsi="Times New Roman" w:cs="Times New Roman"/>
          <w:sz w:val="28"/>
          <w:szCs w:val="28"/>
          <w:lang w:val="ru-RU"/>
        </w:rPr>
        <w:t>.]</w:t>
      </w:r>
      <w:r w:rsidR="00B46E01" w:rsidRPr="00E73087">
        <w:rPr>
          <w:rFonts w:ascii="Times New Roman" w:hAnsi="Times New Roman" w:cs="Times New Roman"/>
          <w:sz w:val="28"/>
          <w:szCs w:val="28"/>
          <w:lang w:val="ru-RU"/>
        </w:rPr>
        <w:t xml:space="preserve"> </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Пульмонология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6</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99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105.</w:t>
      </w:r>
      <w:bookmarkEnd w:id="5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4" w:name="_Ref502059230"/>
      <w:r w:rsidRPr="00156441">
        <w:rPr>
          <w:rFonts w:ascii="Times New Roman" w:hAnsi="Times New Roman" w:cs="Times New Roman"/>
          <w:sz w:val="28"/>
          <w:szCs w:val="28"/>
          <w:lang w:val="en-US"/>
        </w:rPr>
        <w:t xml:space="preserve">Köberich S. Care dependency in patients with chronic obstructive pulmonary disease and heart failure </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 secondary data analysis of German prevalence studies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Köberich, C. Lohrmann, T. Dassen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Scand</w:t>
      </w:r>
      <w:r w:rsidR="00E73087" w:rsidRP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E73087" w:rsidRP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Caring</w:t>
      </w:r>
      <w:r w:rsidR="00E73087" w:rsidRP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Sci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665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674.</w:t>
      </w:r>
      <w:bookmarkEnd w:id="5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5" w:name="_Ref476793031"/>
      <w:r w:rsidRPr="00156441">
        <w:rPr>
          <w:rFonts w:ascii="Times New Roman" w:hAnsi="Times New Roman" w:cs="Times New Roman"/>
          <w:sz w:val="28"/>
          <w:szCs w:val="28"/>
          <w:lang w:val="en-US"/>
        </w:rPr>
        <w:t>Global Strategy for the Diagnosis, Management and Prevention of COPD, Global Initiative for Chronic Obstructive Lung Disease (GOLD) 2017 : [Електронний ресурс]</w:t>
      </w:r>
      <w:r w:rsidR="009C6C87" w:rsidRPr="00156441">
        <w:rPr>
          <w:rFonts w:ascii="Times New Roman" w:hAnsi="Times New Roman" w:cs="Times New Roman"/>
          <w:sz w:val="28"/>
          <w:szCs w:val="28"/>
          <w:lang w:val="en-US"/>
        </w:rPr>
        <w:t xml:space="preserve"> — </w:t>
      </w:r>
      <w:r w:rsidRPr="00156441">
        <w:rPr>
          <w:rFonts w:ascii="Times New Roman" w:hAnsi="Times New Roman" w:cs="Times New Roman"/>
          <w:sz w:val="28"/>
          <w:szCs w:val="28"/>
          <w:lang w:val="en-US"/>
        </w:rPr>
        <w:t>Режим доступу: http:</w:t>
      </w:r>
      <w:r w:rsidR="00B46E01" w:rsidRPr="00156441">
        <w:rPr>
          <w:rFonts w:ascii="Times New Roman" w:hAnsi="Times New Roman" w:cs="Times New Roman"/>
          <w:sz w:val="28"/>
          <w:szCs w:val="28"/>
          <w:lang w:val="en-US"/>
        </w:rPr>
        <w:t xml:space="preserve"> // </w:t>
      </w:r>
      <w:r w:rsidRPr="00156441">
        <w:rPr>
          <w:rFonts w:ascii="Times New Roman" w:hAnsi="Times New Roman" w:cs="Times New Roman"/>
          <w:sz w:val="28"/>
          <w:szCs w:val="28"/>
          <w:lang w:val="en-US"/>
        </w:rPr>
        <w:t>goldcopd.org.</w:t>
      </w:r>
      <w:bookmarkEnd w:id="5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6" w:name="_Ref476793790"/>
      <w:r w:rsidRPr="00156441">
        <w:rPr>
          <w:rFonts w:ascii="Times New Roman" w:hAnsi="Times New Roman" w:cs="Times New Roman"/>
          <w:sz w:val="28"/>
          <w:szCs w:val="28"/>
          <w:lang w:val="en-US"/>
        </w:rPr>
        <w:lastRenderedPageBreak/>
        <w:t>An official American Thoracic Society/European Respiratory Society statement: research questions in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R. Celli, M. Decramer, J. A. Wedzicha [et</w:t>
      </w:r>
      <w:r w:rsidR="00E73087" w:rsidRPr="00E73087">
        <w:rPr>
          <w:rFonts w:ascii="Times New Roman" w:hAnsi="Times New Roman" w:cs="Times New Roman"/>
          <w:sz w:val="28"/>
          <w:szCs w:val="28"/>
          <w:lang w:val="en-US"/>
        </w:rPr>
        <w:t> </w:t>
      </w:r>
      <w:r w:rsidRPr="00156441">
        <w:rPr>
          <w:rFonts w:ascii="Times New Roman" w:hAnsi="Times New Roman" w:cs="Times New Roman"/>
          <w:sz w:val="28"/>
          <w:szCs w:val="28"/>
          <w:lang w:val="en-US"/>
        </w:rPr>
        <w:t>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E73087" w:rsidRP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Respir</w:t>
      </w:r>
      <w:r w:rsidR="00E73087" w:rsidRPr="00E73087">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Rev</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136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172.</w:t>
      </w:r>
      <w:bookmarkEnd w:id="5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7" w:name="_Ref476796590"/>
      <w:r w:rsidRPr="00156441">
        <w:rPr>
          <w:rFonts w:ascii="Times New Roman" w:hAnsi="Times New Roman" w:cs="Times New Roman"/>
          <w:sz w:val="28"/>
          <w:szCs w:val="28"/>
          <w:lang w:val="en-US"/>
        </w:rPr>
        <w:t>Impact of comorbid conditions in COPD patients on health care resource utilization and costs in a predominantly Medicare population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Schwab, A. D. Dhamane, S. D. Hopson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Obstruct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Pulmon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735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744.</w:t>
      </w:r>
      <w:bookmarkEnd w:id="5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8" w:name="_Ref502047149"/>
      <w:r w:rsidRPr="00156441">
        <w:rPr>
          <w:rFonts w:ascii="Times New Roman" w:hAnsi="Times New Roman" w:cs="Times New Roman"/>
          <w:sz w:val="28"/>
          <w:szCs w:val="28"/>
          <w:lang w:val="en-US"/>
        </w:rPr>
        <w:t>Mosaic segmentation, COPD and CHF multimorbidity and hospital admission costs: a clinical linkage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Doos, J. Uttley, I. Onyia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Public Health (Oxf)</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317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324.</w:t>
      </w:r>
      <w:bookmarkEnd w:id="5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59" w:name="_Ref476809391"/>
      <w:r w:rsidRPr="00156441">
        <w:rPr>
          <w:rFonts w:ascii="Times New Roman" w:hAnsi="Times New Roman" w:cs="Times New Roman"/>
          <w:sz w:val="28"/>
          <w:szCs w:val="28"/>
          <w:lang w:val="en-US"/>
        </w:rPr>
        <w:t>Associations between chronic comorbidity and exacerbation risk in primary care patients with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A. Westerik, E. I. Metting,</w:t>
      </w:r>
      <w:r w:rsidR="009C6C87"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F. van Boven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10.1186/s12931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017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0512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w:t>
      </w:r>
      <w:bookmarkEnd w:id="5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0" w:name="_Ref476794613"/>
      <w:r w:rsidRPr="00156441">
        <w:rPr>
          <w:rFonts w:ascii="Times New Roman" w:hAnsi="Times New Roman" w:cs="Times New Roman"/>
          <w:sz w:val="28"/>
          <w:szCs w:val="28"/>
          <w:lang w:val="en-US"/>
        </w:rPr>
        <w:t>CHA2DS2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VASc scores predict major adverse cardiovascular events in patients with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Ooi, L. H. Chen, Y. L. Ni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10.1111/crj.12624.</w:t>
      </w:r>
      <w:bookmarkEnd w:id="6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1" w:name="_Ref502064240"/>
      <w:r w:rsidRPr="00156441">
        <w:rPr>
          <w:rFonts w:ascii="Times New Roman" w:hAnsi="Times New Roman" w:cs="Times New Roman"/>
          <w:sz w:val="28"/>
          <w:szCs w:val="28"/>
          <w:lang w:val="en-US"/>
        </w:rPr>
        <w:t>Guzik T. J. "Radical" link between chronic obstructive pulmonary disease and cardiovascular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J. Guzik, T. Grodzicki</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Hypertension</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444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446.</w:t>
      </w:r>
      <w:bookmarkEnd w:id="6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2" w:name="_Ref502064711"/>
      <w:r w:rsidRPr="00156441">
        <w:rPr>
          <w:rFonts w:ascii="Times New Roman" w:hAnsi="Times New Roman" w:cs="Times New Roman"/>
          <w:sz w:val="28"/>
          <w:szCs w:val="28"/>
          <w:lang w:val="en-US"/>
        </w:rPr>
        <w:t>Faludi R. Chronic obstructive pulmonary disease: a cardiologist</w:t>
      </w:r>
      <w:r w:rsidR="00FC48A2" w:rsidRPr="00156441">
        <w:rPr>
          <w:rFonts w:ascii="Times New Roman" w:hAnsi="Times New Roman" w:cs="Times New Roman"/>
          <w:sz w:val="28"/>
          <w:szCs w:val="28"/>
          <w:lang w:val="en-US"/>
        </w:rPr>
        <w:t>’</w:t>
      </w:r>
      <w:r w:rsidRPr="00156441">
        <w:rPr>
          <w:rFonts w:ascii="Times New Roman" w:hAnsi="Times New Roman" w:cs="Times New Roman"/>
          <w:sz w:val="28"/>
          <w:szCs w:val="28"/>
          <w:lang w:val="en-US"/>
        </w:rPr>
        <w:t>s point of view</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Faludi</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Orv</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Hetil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1480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1484.</w:t>
      </w:r>
      <w:bookmarkEnd w:id="6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63" w:name="_Ref502064920"/>
      <w:r w:rsidRPr="00156441">
        <w:rPr>
          <w:rFonts w:ascii="Times New Roman" w:hAnsi="Times New Roman" w:cs="Times New Roman"/>
          <w:sz w:val="28"/>
          <w:szCs w:val="28"/>
          <w:lang w:val="ru-RU"/>
        </w:rPr>
        <w:t>Акрамова Э. Г. Эхокардиографические проявления хронической сердечной недостаточности у пациентов с хронической обструктивной болезнью лёгких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Э. Г. Акрамова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Казанский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157</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163.</w:t>
      </w:r>
      <w:bookmarkEnd w:id="6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4" w:name="_Ref502059306"/>
      <w:r w:rsidRPr="00156441">
        <w:rPr>
          <w:rFonts w:ascii="Times New Roman" w:hAnsi="Times New Roman" w:cs="Times New Roman"/>
          <w:sz w:val="28"/>
          <w:szCs w:val="28"/>
          <w:lang w:val="en-US"/>
        </w:rPr>
        <w:t>Italian survey on prevalence and disease management of chronic heart failure and chronic obstructive pulmonary disease comorbidity in ambulatory patients. SUSPIRIUM study rationale and design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Griffo, A. Spanevello, P. Temporelli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Monaldi Arch</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Chest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82,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34.</w:t>
      </w:r>
      <w:bookmarkEnd w:id="6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5" w:name="_Ref502059342"/>
      <w:r w:rsidRPr="00156441">
        <w:rPr>
          <w:rFonts w:ascii="Times New Roman" w:hAnsi="Times New Roman" w:cs="Times New Roman"/>
          <w:sz w:val="28"/>
          <w:szCs w:val="28"/>
          <w:lang w:val="en-US"/>
        </w:rPr>
        <w:lastRenderedPageBreak/>
        <w:t>Inspiratory resistance decreases limb blood flow in COPD patients with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 R. Chiappa, P. J. Vieira, D. Umpierre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43,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1507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1510.</w:t>
      </w:r>
      <w:bookmarkEnd w:id="6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6" w:name="_Ref502059343"/>
      <w:r w:rsidRPr="00156441">
        <w:rPr>
          <w:rFonts w:ascii="Times New Roman" w:hAnsi="Times New Roman" w:cs="Times New Roman"/>
          <w:sz w:val="28"/>
          <w:szCs w:val="28"/>
          <w:lang w:val="en-US"/>
        </w:rPr>
        <w:t>Ishizu T. Chronic obstructive pulmonary disease: pathophysiological impact on heart failure in real clinical situation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Ishizu</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250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252.</w:t>
      </w:r>
      <w:bookmarkEnd w:id="6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7" w:name="_Ref502063838"/>
      <w:r w:rsidRPr="00156441">
        <w:rPr>
          <w:rFonts w:ascii="Times New Roman" w:hAnsi="Times New Roman" w:cs="Times New Roman"/>
          <w:sz w:val="28"/>
          <w:szCs w:val="28"/>
          <w:lang w:val="en-US"/>
        </w:rPr>
        <w:t>Heart failure and COPD: time to SHIFT?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Sanders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van Wijk, V. van Empel, C. Knackstedt, H. P.</w:t>
      </w:r>
      <w:r w:rsidR="009C6C87"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Brunner</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La Rocca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172,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293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294.</w:t>
      </w:r>
      <w:bookmarkEnd w:id="6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8" w:name="_Ref502063867"/>
      <w:r w:rsidRPr="00156441">
        <w:rPr>
          <w:rFonts w:ascii="Times New Roman" w:hAnsi="Times New Roman" w:cs="Times New Roman"/>
          <w:sz w:val="28"/>
          <w:szCs w:val="28"/>
          <w:lang w:val="en-US"/>
        </w:rPr>
        <w:t>Health status in patients with coexistent COPD and heart failure: a validation and comparison between the Clinical COPD Questionnaire and the Minnesota Living with Heart Failure Questionnaire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F. F. Berkhof, L. Metzemaekers, S. M. Uil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Obstruct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Pulmon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999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1008.</w:t>
      </w:r>
      <w:bookmarkEnd w:id="6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69" w:name="_Ref502064173"/>
      <w:r w:rsidRPr="00156441">
        <w:rPr>
          <w:rFonts w:ascii="Times New Roman" w:hAnsi="Times New Roman" w:cs="Times New Roman"/>
          <w:sz w:val="28"/>
          <w:szCs w:val="28"/>
          <w:lang w:val="en-US"/>
        </w:rPr>
        <w:t>Hawkins N. M. Heart failure and chronic obstructive pulmonary disease: the challenges facing physicians and health services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 M. Hawkins, S. Virani, C. Ceconi</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2795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2803.</w:t>
      </w:r>
      <w:bookmarkEnd w:id="6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0" w:name="_Ref502064646"/>
      <w:r w:rsidRPr="00156441">
        <w:rPr>
          <w:rFonts w:ascii="Times New Roman" w:hAnsi="Times New Roman" w:cs="Times New Roman"/>
          <w:sz w:val="28"/>
          <w:szCs w:val="28"/>
          <w:lang w:val="en-US"/>
        </w:rPr>
        <w:t>Frequent coexistence of chronic heart failure and chronic obstructive pulmonary disease in respiratory and cardiac outpatients: Evidence from SUSPIRIUM, a multicentre Italian survey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Griffo, A. Spanevello, P. L. Temporelli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Prev</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10.1177/2047487316687425.</w:t>
      </w:r>
      <w:bookmarkEnd w:id="7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71" w:name="_Ref502064880"/>
      <w:r w:rsidRPr="00156441">
        <w:rPr>
          <w:rFonts w:ascii="Times New Roman" w:hAnsi="Times New Roman" w:cs="Times New Roman"/>
          <w:sz w:val="28"/>
          <w:szCs w:val="28"/>
          <w:lang w:val="ru-RU"/>
        </w:rPr>
        <w:t>Акрамова</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Э</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Г</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Характеристика</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нарушений</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ритма</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сердца</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больных</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хронической</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обструктивной</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болезнью</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легких</w:t>
      </w:r>
      <w:r w:rsidR="009C6C87" w:rsidRPr="00956824">
        <w:rPr>
          <w:rFonts w:ascii="Times New Roman" w:hAnsi="Times New Roman" w:cs="Times New Roman"/>
          <w:sz w:val="28"/>
          <w:szCs w:val="28"/>
          <w:lang w:val="ru-RU"/>
        </w:rPr>
        <w:t xml:space="preserve"> /</w:t>
      </w:r>
      <w:r w:rsidR="00C216F5"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Э</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Г</w:t>
      </w:r>
      <w:r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Акрамова</w:t>
      </w:r>
      <w:r w:rsidR="00B46E01" w:rsidRPr="00956824">
        <w:rPr>
          <w:rFonts w:ascii="Times New Roman" w:hAnsi="Times New Roman" w:cs="Times New Roman"/>
          <w:sz w:val="28"/>
          <w:szCs w:val="28"/>
          <w:lang w:val="ru-RU"/>
        </w:rPr>
        <w:t xml:space="preserve"> //</w:t>
      </w:r>
      <w:r w:rsidR="00C216F5" w:rsidRPr="0095682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Клиническая медицина</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41</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44.</w:t>
      </w:r>
      <w:bookmarkEnd w:id="7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2" w:name="_Ref476796879"/>
      <w:r w:rsidRPr="00156441">
        <w:rPr>
          <w:rFonts w:ascii="Times New Roman" w:hAnsi="Times New Roman" w:cs="Times New Roman"/>
          <w:sz w:val="28"/>
          <w:szCs w:val="28"/>
          <w:lang w:val="en-US"/>
        </w:rPr>
        <w:t>Chronic obstructive pulmonary disease predicts higher incidence and in hospital mortality for atrial fibrillation. An observational study using hospital discharge data in Spain (2004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2013)</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Méndez</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Bailón, A. Lopez</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Andrés, J. de Miguel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Diez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10.1016/j.ijcard.2017.02.017.</w:t>
      </w:r>
      <w:bookmarkEnd w:id="7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3" w:name="_Ref502043931"/>
      <w:r w:rsidRPr="00156441">
        <w:rPr>
          <w:rFonts w:ascii="Times New Roman" w:hAnsi="Times New Roman" w:cs="Times New Roman"/>
          <w:sz w:val="28"/>
          <w:szCs w:val="28"/>
          <w:lang w:val="en-US"/>
        </w:rPr>
        <w:t>Prevalence and impact of diabetes, hypertension, and cardiovascular diseases in chronic obstructive pulmonary diseases: A hospital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based 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lastRenderedPageBreak/>
        <w:t>V.</w:t>
      </w:r>
      <w:r w:rsidR="0038306C" w:rsidRPr="0038306C">
        <w:rPr>
          <w:rFonts w:ascii="Times New Roman" w:hAnsi="Times New Roman" w:cs="Times New Roman"/>
          <w:sz w:val="28"/>
          <w:szCs w:val="28"/>
          <w:lang w:val="en-US"/>
        </w:rPr>
        <w:t> </w:t>
      </w:r>
      <w:r w:rsidRPr="00156441">
        <w:rPr>
          <w:rFonts w:ascii="Times New Roman" w:hAnsi="Times New Roman" w:cs="Times New Roman"/>
          <w:sz w:val="28"/>
          <w:szCs w:val="28"/>
          <w:lang w:val="en-US"/>
        </w:rPr>
        <w:t>Mahishale, N. Angadi, V. Metgudmath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Transl</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Int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w:t>
      </w:r>
      <w:r w:rsidR="0038306C">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Vol.</w:t>
      </w:r>
      <w:r w:rsidR="0038306C">
        <w:rPr>
          <w:rFonts w:ascii="Times New Roman" w:hAnsi="Times New Roman" w:cs="Times New Roman"/>
          <w:sz w:val="28"/>
          <w:szCs w:val="28"/>
          <w:lang w:val="ru-RU"/>
        </w:rPr>
        <w:t> </w:t>
      </w:r>
      <w:r w:rsidRPr="00156441">
        <w:rPr>
          <w:rFonts w:ascii="Times New Roman" w:hAnsi="Times New Roman" w:cs="Times New Roman"/>
          <w:sz w:val="28"/>
          <w:szCs w:val="28"/>
          <w:lang w:val="en-US"/>
        </w:rPr>
        <w:t xml:space="preserve">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160.</w:t>
      </w:r>
      <w:bookmarkEnd w:id="7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4" w:name="_Ref491655628"/>
      <w:r w:rsidRPr="00156441">
        <w:rPr>
          <w:rFonts w:ascii="Times New Roman" w:hAnsi="Times New Roman" w:cs="Times New Roman"/>
          <w:sz w:val="28"/>
          <w:szCs w:val="28"/>
          <w:lang w:val="en-US"/>
        </w:rPr>
        <w:t>Mirza S. Chronic obstructive pulmonary disease phenotypes: implications for care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Mirza, R. Benzo</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Mayo Clin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Proc</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92,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1104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1112.</w:t>
      </w:r>
      <w:bookmarkEnd w:id="7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5" w:name="_Ref502025385"/>
      <w:r w:rsidRPr="00156441">
        <w:rPr>
          <w:rFonts w:ascii="Times New Roman" w:hAnsi="Times New Roman" w:cs="Times New Roman"/>
          <w:sz w:val="28"/>
          <w:szCs w:val="28"/>
          <w:lang w:val="en-US"/>
        </w:rPr>
        <w:t>Barnes P. J. Senescence in COPD and Its Comorbidities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J. Barnes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Annu</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Rev</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Physiol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79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517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539.</w:t>
      </w:r>
      <w:bookmarkEnd w:id="7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6" w:name="_Ref502045884"/>
      <w:r w:rsidRPr="00156441">
        <w:rPr>
          <w:rFonts w:ascii="Times New Roman" w:hAnsi="Times New Roman" w:cs="Times New Roman"/>
          <w:sz w:val="28"/>
          <w:szCs w:val="28"/>
          <w:lang w:val="en-US"/>
        </w:rPr>
        <w:t>Prevalence and burden of comorbidities in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Corlateanu, S. Covantev, A. G. Mathioudakis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Investig</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54,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387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396.</w:t>
      </w:r>
      <w:bookmarkEnd w:id="7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7" w:name="_Ref502045958"/>
      <w:r w:rsidRPr="00156441">
        <w:rPr>
          <w:rFonts w:ascii="Times New Roman" w:hAnsi="Times New Roman" w:cs="Times New Roman"/>
          <w:sz w:val="28"/>
          <w:szCs w:val="28"/>
          <w:lang w:val="en-US"/>
        </w:rPr>
        <w:t>Predictors of early readmission among patients 40 to 64 years of age hospitalized for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Sharif, T. M. Parekh, K. S. Pierson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Ann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Thorac</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Soc</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685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694.</w:t>
      </w:r>
      <w:bookmarkEnd w:id="7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8" w:name="_Ref502046001"/>
      <w:r w:rsidRPr="00156441">
        <w:rPr>
          <w:rFonts w:ascii="Times New Roman" w:hAnsi="Times New Roman" w:cs="Times New Roman"/>
          <w:sz w:val="28"/>
          <w:szCs w:val="28"/>
          <w:lang w:val="en-US"/>
        </w:rPr>
        <w:t>Predictors of 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year mortality at hospital admission for acute exacerbations of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H. Slenter, R. T. Sprooten, D. Kotz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Respiration</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85,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26.</w:t>
      </w:r>
      <w:bookmarkEnd w:id="7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79" w:name="_Ref502040667"/>
      <w:r w:rsidRPr="00156441">
        <w:rPr>
          <w:rFonts w:ascii="Times New Roman" w:hAnsi="Times New Roman" w:cs="Times New Roman"/>
          <w:sz w:val="28"/>
          <w:szCs w:val="28"/>
          <w:lang w:val="en-US"/>
        </w:rPr>
        <w:t>Pleasants R. A. Defining and targeting health disparities in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A. Pleasants, I. L. Riley, D. M. Mannino</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38306C" w:rsidRPr="0038306C">
        <w:rPr>
          <w:rFonts w:ascii="Times New Roman" w:hAnsi="Times New Roman" w:cs="Times New Roman"/>
          <w:sz w:val="28"/>
          <w:szCs w:val="28"/>
          <w:lang w:val="en-US"/>
        </w:rPr>
        <w:t>.</w:t>
      </w:r>
      <w:r w:rsidR="0038306C">
        <w:rPr>
          <w:rFonts w:ascii="Times New Roman" w:hAnsi="Times New Roman" w:cs="Times New Roman"/>
          <w:sz w:val="28"/>
          <w:szCs w:val="28"/>
          <w:lang w:val="en-US"/>
        </w:rPr>
        <w:t xml:space="preserve"> Obstruct</w:t>
      </w:r>
      <w:r w:rsidR="0038306C">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Pulmon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2475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2496.</w:t>
      </w:r>
      <w:bookmarkEnd w:id="7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0" w:name="_Ref502040997"/>
      <w:r w:rsidRPr="00156441">
        <w:rPr>
          <w:rFonts w:ascii="Times New Roman" w:hAnsi="Times New Roman" w:cs="Times New Roman"/>
          <w:sz w:val="28"/>
          <w:szCs w:val="28"/>
          <w:lang w:val="en-US"/>
        </w:rPr>
        <w:t>Prevalence and Prognostic Impact of Chronic Obstructive Pulmonary Disease in Patients with Chronic Heart Failure: Data from the GISSI</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HF Trial</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Canepa, P.</w:t>
      </w:r>
      <w:r w:rsidR="0038306C" w:rsidRPr="0038306C">
        <w:rPr>
          <w:rFonts w:ascii="Times New Roman" w:hAnsi="Times New Roman" w:cs="Times New Roman"/>
          <w:sz w:val="28"/>
          <w:szCs w:val="28"/>
          <w:lang w:val="en-US"/>
        </w:rPr>
        <w:t> </w:t>
      </w:r>
      <w:r w:rsidRPr="00156441">
        <w:rPr>
          <w:rFonts w:ascii="Times New Roman" w:hAnsi="Times New Roman" w:cs="Times New Roman"/>
          <w:sz w:val="28"/>
          <w:szCs w:val="28"/>
          <w:lang w:val="en-US"/>
        </w:rPr>
        <w:t>L.</w:t>
      </w:r>
      <w:r w:rsidR="0038306C" w:rsidRPr="0038306C">
        <w:rPr>
          <w:rFonts w:ascii="Times New Roman" w:hAnsi="Times New Roman" w:cs="Times New Roman"/>
          <w:sz w:val="28"/>
          <w:szCs w:val="28"/>
          <w:lang w:val="en-US"/>
        </w:rPr>
        <w:t> </w:t>
      </w:r>
      <w:r w:rsidRPr="00156441">
        <w:rPr>
          <w:rFonts w:ascii="Times New Roman" w:hAnsi="Times New Roman" w:cs="Times New Roman"/>
          <w:sz w:val="28"/>
          <w:szCs w:val="28"/>
          <w:lang w:val="en-US"/>
        </w:rPr>
        <w:t>Temporelli, A. Rossi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Cardiology</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137.</w:t>
      </w:r>
      <w:bookmarkEnd w:id="8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1" w:name="_Ref502066877"/>
      <w:r w:rsidRPr="00156441">
        <w:rPr>
          <w:rFonts w:ascii="Times New Roman" w:hAnsi="Times New Roman" w:cs="Times New Roman"/>
          <w:sz w:val="28"/>
          <w:szCs w:val="28"/>
          <w:lang w:val="en-US"/>
        </w:rPr>
        <w:t>Про затвердження та впровадження медико</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технологічних документів зі стандартизації медичної допомоги при артеріальній гіпертензії : Наказ МОЗ України від 24.05.2012 № 384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Режим доступу: http:</w:t>
      </w:r>
      <w:r w:rsidR="00B46E01" w:rsidRPr="00156441">
        <w:rPr>
          <w:rFonts w:ascii="Times New Roman" w:hAnsi="Times New Roman" w:cs="Times New Roman"/>
          <w:sz w:val="28"/>
          <w:szCs w:val="28"/>
          <w:lang w:val="en-US"/>
        </w:rPr>
        <w:t xml:space="preserve"> // </w:t>
      </w:r>
      <w:r w:rsidRPr="00156441">
        <w:rPr>
          <w:rFonts w:ascii="Times New Roman" w:hAnsi="Times New Roman" w:cs="Times New Roman"/>
          <w:sz w:val="28"/>
          <w:szCs w:val="28"/>
          <w:lang w:val="en-US"/>
        </w:rPr>
        <w:t>mtd.dec.gov.ua/index.php/uk/reiestr</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mtd/item/3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arterialna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hipertenziia.</w:t>
      </w:r>
      <w:bookmarkEnd w:id="8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2" w:name="_Ref502066879"/>
      <w:r w:rsidRPr="00156441">
        <w:rPr>
          <w:rFonts w:ascii="Times New Roman" w:hAnsi="Times New Roman" w:cs="Times New Roman"/>
          <w:sz w:val="28"/>
          <w:szCs w:val="28"/>
          <w:lang w:val="ru-RU"/>
        </w:rPr>
        <w:t>Про</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затвердження</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та</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впровадження</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медико</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ru-RU"/>
        </w:rPr>
        <w:t>технологічних</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документів</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зі</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стандартизації</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медичної</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допомоги</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при</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хронічному</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обструктивному</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захворюванні</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легень</w:t>
      </w:r>
      <w:r w:rsidR="0038306C" w:rsidRPr="0038306C">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Наказ</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МОЗ</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України</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від</w:t>
      </w:r>
      <w:r w:rsidRPr="00156441">
        <w:rPr>
          <w:rFonts w:ascii="Times New Roman" w:hAnsi="Times New Roman" w:cs="Times New Roman"/>
          <w:sz w:val="28"/>
          <w:szCs w:val="28"/>
          <w:lang w:val="en-US"/>
        </w:rPr>
        <w:t xml:space="preserve"> 27.06.2013 № 555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ru-RU"/>
        </w:rPr>
        <w:t>Режим</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ru-RU"/>
        </w:rPr>
        <w:t>доступу</w:t>
      </w:r>
      <w:r w:rsidRPr="00156441">
        <w:rPr>
          <w:rFonts w:ascii="Times New Roman" w:hAnsi="Times New Roman" w:cs="Times New Roman"/>
          <w:sz w:val="28"/>
          <w:szCs w:val="28"/>
          <w:lang w:val="en-US"/>
        </w:rPr>
        <w:t>: http:</w:t>
      </w:r>
      <w:r w:rsidR="00B46E01" w:rsidRPr="00156441">
        <w:rPr>
          <w:rFonts w:ascii="Times New Roman" w:hAnsi="Times New Roman" w:cs="Times New Roman"/>
          <w:sz w:val="28"/>
          <w:szCs w:val="28"/>
          <w:lang w:val="en-US"/>
        </w:rPr>
        <w:t xml:space="preserve"> // </w:t>
      </w:r>
      <w:r w:rsidRPr="00156441">
        <w:rPr>
          <w:rFonts w:ascii="Times New Roman" w:hAnsi="Times New Roman" w:cs="Times New Roman"/>
          <w:sz w:val="28"/>
          <w:szCs w:val="28"/>
          <w:lang w:val="en-US"/>
        </w:rPr>
        <w:lastRenderedPageBreak/>
        <w:t>mtd.dec.gov.ua/index.php/uk/reiestr</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mtd/item/31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khronichne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obstruktyvne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zakhvoriuvannia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leheni</w:t>
      </w:r>
      <w:bookmarkEnd w:id="8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3" w:name="_Ref476803232"/>
      <w:r w:rsidRPr="00156441">
        <w:rPr>
          <w:rFonts w:ascii="Times New Roman" w:hAnsi="Times New Roman" w:cs="Times New Roman"/>
          <w:sz w:val="28"/>
          <w:szCs w:val="28"/>
          <w:lang w:val="en-US"/>
        </w:rPr>
        <w:t>Bhatt S. P. AECOPD: Acute exacerbations of chronic obstructive cardiopulmonary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 Bhatt, M. T. Dransfield</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Crit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188,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1046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1048.</w:t>
      </w:r>
      <w:bookmarkEnd w:id="8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4" w:name="_Ref476803230"/>
      <w:r w:rsidRPr="00156441">
        <w:rPr>
          <w:rFonts w:ascii="Times New Roman" w:hAnsi="Times New Roman" w:cs="Times New Roman"/>
          <w:sz w:val="28"/>
          <w:szCs w:val="28"/>
          <w:lang w:val="en-US"/>
        </w:rPr>
        <w:t>Bhatt S. P. Cardiovascular disease in COPD: a call for action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 Bhatt, J. M. Wells, M. T. Dransfield</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Lancet 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783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785.</w:t>
      </w:r>
      <w:bookmarkEnd w:id="8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5" w:name="_Ref476803233"/>
      <w:r w:rsidRPr="00156441">
        <w:rPr>
          <w:rFonts w:ascii="Times New Roman" w:hAnsi="Times New Roman" w:cs="Times New Roman"/>
          <w:sz w:val="28"/>
          <w:szCs w:val="28"/>
          <w:lang w:val="en-US"/>
        </w:rPr>
        <w:t>Bhatt S. P. Chronic obstructive pulmonary disease and cardiovascular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 Bhatt, M. T. Dransfield</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Transl</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162,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237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251.</w:t>
      </w:r>
      <w:bookmarkEnd w:id="8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6" w:name="_Ref476803234"/>
      <w:r w:rsidRPr="00156441">
        <w:rPr>
          <w:rFonts w:ascii="Times New Roman" w:hAnsi="Times New Roman" w:cs="Times New Roman"/>
          <w:sz w:val="28"/>
          <w:szCs w:val="28"/>
          <w:lang w:val="en-US"/>
        </w:rPr>
        <w:t>Bhatt S. P. Arrhythmias as trigger for acute exacerbations of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 Bhatt, S. Nanda, J. S. Kintzer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1134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1138.</w:t>
      </w:r>
      <w:bookmarkEnd w:id="8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87" w:name="_Ref476806677"/>
      <w:r w:rsidRPr="00156441">
        <w:rPr>
          <w:rFonts w:ascii="Times New Roman" w:hAnsi="Times New Roman" w:cs="Times New Roman"/>
          <w:sz w:val="28"/>
          <w:szCs w:val="28"/>
          <w:lang w:val="en-US"/>
        </w:rPr>
        <w:t>Goudis C. A. Chronic obstructive pulmonary disease and atrial fibrillation: An unknown relationship</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A. Goudis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10.1016/j.jjcc.2016.12.013.</w:t>
      </w:r>
      <w:bookmarkEnd w:id="8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88" w:name="_Ref502065929"/>
      <w:r w:rsidRPr="00156441">
        <w:rPr>
          <w:rFonts w:ascii="Times New Roman" w:hAnsi="Times New Roman" w:cs="Times New Roman"/>
          <w:sz w:val="28"/>
          <w:szCs w:val="28"/>
          <w:lang w:val="ru-RU"/>
        </w:rPr>
        <w:t>Клинические рекомендации по диагностике и лечению легочной гипертонии</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И. Е. Чазова,</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Н. Авдеев, Н. А. Царева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Терапевтический архив</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9</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4</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23.</w:t>
      </w:r>
      <w:bookmarkEnd w:id="8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89" w:name="_Ref502065969"/>
      <w:r w:rsidRPr="00156441">
        <w:rPr>
          <w:rFonts w:ascii="Times New Roman" w:hAnsi="Times New Roman" w:cs="Times New Roman"/>
          <w:sz w:val="28"/>
          <w:szCs w:val="28"/>
          <w:lang w:val="ru-RU"/>
        </w:rPr>
        <w:t>Концепция регуляции сердечно</w:t>
      </w:r>
      <w:r w:rsidR="0038306C">
        <w:rPr>
          <w:rFonts w:ascii="Times New Roman" w:hAnsi="Times New Roman" w:cs="Times New Roman"/>
          <w:sz w:val="28"/>
          <w:szCs w:val="28"/>
          <w:lang w:val="ru-RU"/>
        </w:rPr>
        <w:t xml:space="preserve">-сосудистой системы — </w:t>
      </w:r>
      <w:r w:rsidRPr="00156441">
        <w:rPr>
          <w:rFonts w:ascii="Times New Roman" w:hAnsi="Times New Roman" w:cs="Times New Roman"/>
          <w:sz w:val="28"/>
          <w:szCs w:val="28"/>
          <w:lang w:val="ru-RU"/>
        </w:rPr>
        <w:t>от управления функциями к согласованию возможностей. часть 6. роль нагрузки на левый и правый желудочки сердца</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Л. А. Бокерия, В. А. Лищук, Д. Ш. Газизова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Клиническая физиология кровообращения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2015</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29.</w:t>
      </w:r>
      <w:bookmarkEnd w:id="8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90" w:name="_Ref502065541"/>
      <w:r w:rsidRPr="00156441">
        <w:rPr>
          <w:rFonts w:ascii="Times New Roman" w:hAnsi="Times New Roman" w:cs="Times New Roman"/>
          <w:sz w:val="28"/>
          <w:szCs w:val="28"/>
          <w:lang w:val="ru-RU"/>
        </w:rPr>
        <w:t>Булдакова И. А. Патоморфологические изменения сонных артерий у больных хронической обструктивной болезнью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И. А. Булдакова, А. А. Григоренко</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Дальневосточный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24</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27.</w:t>
      </w:r>
      <w:bookmarkEnd w:id="9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91" w:name="_Ref476803235"/>
      <w:r w:rsidRPr="00156441">
        <w:rPr>
          <w:rFonts w:ascii="Times New Roman" w:hAnsi="Times New Roman" w:cs="Times New Roman"/>
          <w:sz w:val="28"/>
          <w:szCs w:val="28"/>
          <w:lang w:val="en-US"/>
        </w:rPr>
        <w:t>Determinants of arterial stiffness in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 Bhatt, A. G. Cole, J. M. Wells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BMC Pulm</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10.1186/1471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2466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w:t>
      </w:r>
      <w:bookmarkEnd w:id="91"/>
    </w:p>
    <w:p w:rsidR="005438B0" w:rsidRPr="0038306C"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92" w:name="_Ref502047092"/>
      <w:r w:rsidRPr="00156441">
        <w:rPr>
          <w:rFonts w:ascii="Times New Roman" w:hAnsi="Times New Roman" w:cs="Times New Roman"/>
          <w:sz w:val="28"/>
          <w:szCs w:val="28"/>
          <w:lang w:val="en-US"/>
        </w:rPr>
        <w:lastRenderedPageBreak/>
        <w:t>Mozos I. Crosstalk between oxidative and nitrosative stress and arterial stiffness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 Mozos, C. T. Luca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Curr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38306C">
        <w:rPr>
          <w:rFonts w:ascii="Times New Roman" w:hAnsi="Times New Roman" w:cs="Times New Roman"/>
          <w:sz w:val="28"/>
          <w:szCs w:val="28"/>
          <w:lang w:val="ru-RU"/>
        </w:rPr>
        <w:t>.</w:t>
      </w:r>
      <w:r w:rsidRPr="0038306C">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Pharmacol</w:t>
      </w:r>
      <w:r w:rsidR="00F44EE4" w:rsidRPr="0038306C">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38306C">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38306C">
        <w:rPr>
          <w:rFonts w:ascii="Times New Roman" w:hAnsi="Times New Roman" w:cs="Times New Roman"/>
          <w:sz w:val="28"/>
          <w:szCs w:val="28"/>
          <w:lang w:val="ru-RU"/>
        </w:rPr>
        <w:t>2017</w:t>
      </w:r>
      <w:r w:rsidR="00F44EE4" w:rsidRPr="0038306C">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38306C">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156441">
        <w:rPr>
          <w:rFonts w:ascii="Times New Roman" w:hAnsi="Times New Roman" w:cs="Times New Roman"/>
          <w:sz w:val="28"/>
          <w:szCs w:val="28"/>
          <w:lang w:val="en-US"/>
        </w:rPr>
        <w:t>PMID</w:t>
      </w:r>
      <w:r w:rsidRPr="0038306C">
        <w:rPr>
          <w:rFonts w:ascii="Times New Roman" w:hAnsi="Times New Roman" w:cs="Times New Roman"/>
          <w:sz w:val="28"/>
          <w:szCs w:val="28"/>
          <w:lang w:val="ru-RU"/>
        </w:rPr>
        <w:t>: 28155616.</w:t>
      </w:r>
      <w:bookmarkEnd w:id="9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93" w:name="_Ref502065871"/>
      <w:r w:rsidRPr="00156441">
        <w:rPr>
          <w:rFonts w:ascii="Times New Roman" w:hAnsi="Times New Roman" w:cs="Times New Roman"/>
          <w:sz w:val="28"/>
          <w:szCs w:val="28"/>
          <w:lang w:val="ru-RU"/>
        </w:rPr>
        <w:t>Квасникова Ю. В. Диагностика ранних признаков ремоделирования экстра</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 xml:space="preserve"> и интракраниальных артерий у больных хронической обструктивной болезнью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Ю. В. Квасникова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Бюллетень физиологии и патологии дыхания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46</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48.</w:t>
      </w:r>
      <w:bookmarkEnd w:id="9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94" w:name="_Ref502061430"/>
      <w:r w:rsidRPr="00156441">
        <w:rPr>
          <w:rFonts w:ascii="Times New Roman" w:hAnsi="Times New Roman" w:cs="Times New Roman"/>
          <w:sz w:val="28"/>
          <w:szCs w:val="28"/>
          <w:lang w:val="en-US"/>
        </w:rPr>
        <w:t>Imaizumi Y. Lung disease and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Y. Imaizumi, K. Eguchi, K. Kario</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Pulse (Basel)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112.</w:t>
      </w:r>
      <w:bookmarkEnd w:id="9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95" w:name="_Ref502027098"/>
      <w:r w:rsidRPr="00156441">
        <w:rPr>
          <w:rFonts w:ascii="Times New Roman" w:hAnsi="Times New Roman" w:cs="Times New Roman"/>
          <w:sz w:val="28"/>
          <w:szCs w:val="28"/>
          <w:lang w:val="en-US"/>
        </w:rPr>
        <w:t>Adult asthmatics increase the risk of acute coronary syndrome: A nationwide population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based cohort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W. S. Chung, T. C. Shen, C. L. Lin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Intern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941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945.</w:t>
      </w:r>
      <w:bookmarkEnd w:id="9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de Miguel Díez J. The association between COPD and heart failure risk: a review</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de Miguel Díez, J. Chancafe Morgan, R. Jiménez García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Obstruct</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Pulmon</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305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312.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Obstructive airway disease and edentulism in the atherosclerosis risk in communities (ARIC)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Offenbacher, J. D. Beck, S. P. Barros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BMJ Open</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2012</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Predicting survival in heart failure: a risk score based on 39 372 patients from 30 studies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J. Pocock, C. A. Ariti, J. J. McMurray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w:t>
      </w:r>
      <w:r w:rsidR="0038306C">
        <w:rPr>
          <w:rFonts w:ascii="Times New Roman" w:hAnsi="Times New Roman" w:cs="Times New Roman"/>
          <w:sz w:val="28"/>
          <w:szCs w:val="28"/>
          <w:lang w:val="ru-RU"/>
        </w:rPr>
        <w:t>.</w:t>
      </w:r>
      <w:r w:rsidRPr="00156441">
        <w:rPr>
          <w:rFonts w:ascii="Times New Roman" w:hAnsi="Times New Roman" w:cs="Times New Roman"/>
          <w:sz w:val="28"/>
          <w:szCs w:val="28"/>
          <w:lang w:val="en-US"/>
        </w:rPr>
        <w:t xml:space="preserve">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1404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1413.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Prevalence, prospective risk markers, and prognosis associated with the presence of left ventricular diastolic dysfunction in young adults: the coronary artery risk development in young adults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S. Desai, L. A. Colangelo, K. Liu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Epidemiol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177,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Redistribution of heart failure as the cause of death: the Atherosclerosis Risk in Communities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L. Snyder, S. A. Love, P. D. Sorlie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Popul</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Health Metr</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Self</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reported symptoms of chronic cough and breathlessness in working</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age men in the city of Izhevsk, Russia: associations with cardiovascular disease risk factors </w:t>
      </w:r>
      <w:r w:rsidRPr="00156441">
        <w:rPr>
          <w:rFonts w:ascii="Times New Roman" w:hAnsi="Times New Roman" w:cs="Times New Roman"/>
          <w:sz w:val="28"/>
          <w:szCs w:val="28"/>
          <w:lang w:val="en-US"/>
        </w:rPr>
        <w:lastRenderedPageBreak/>
        <w:t>and comorbidities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Cook, J. K. Quint, M. Vasiljev, D. A. Leon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BMJ Open 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10.1136/bmjresp</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2015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000104.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96" w:name="_Ref502027099"/>
      <w:r w:rsidRPr="00156441">
        <w:rPr>
          <w:rFonts w:ascii="Times New Roman" w:hAnsi="Times New Roman" w:cs="Times New Roman"/>
          <w:sz w:val="28"/>
          <w:szCs w:val="28"/>
          <w:lang w:val="en-US"/>
        </w:rPr>
        <w:t>Subclinical atherosclerosis risk markers in patients with chronic obstructive pulmonary disease: A systematic review and meta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analysis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Y. Wang, Y. N. Zhu, J.</w:t>
      </w:r>
      <w:r w:rsidR="0038306C" w:rsidRPr="0038306C">
        <w:rPr>
          <w:rFonts w:ascii="Times New Roman" w:hAnsi="Times New Roman" w:cs="Times New Roman"/>
          <w:sz w:val="28"/>
          <w:szCs w:val="28"/>
          <w:lang w:val="en-US"/>
        </w:rPr>
        <w:t> </w:t>
      </w:r>
      <w:r w:rsidRPr="00156441">
        <w:rPr>
          <w:rFonts w:ascii="Times New Roman" w:hAnsi="Times New Roman" w:cs="Times New Roman"/>
          <w:sz w:val="28"/>
          <w:szCs w:val="28"/>
          <w:lang w:val="en-US"/>
        </w:rPr>
        <w:t>J.</w:t>
      </w:r>
      <w:r w:rsidR="0038306C" w:rsidRPr="0038306C">
        <w:rPr>
          <w:rFonts w:ascii="Times New Roman" w:hAnsi="Times New Roman" w:cs="Times New Roman"/>
          <w:sz w:val="28"/>
          <w:szCs w:val="28"/>
          <w:lang w:val="en-US"/>
        </w:rPr>
        <w:t> </w:t>
      </w:r>
      <w:r w:rsidRPr="00156441">
        <w:rPr>
          <w:rFonts w:ascii="Times New Roman" w:hAnsi="Times New Roman" w:cs="Times New Roman"/>
          <w:sz w:val="28"/>
          <w:szCs w:val="28"/>
          <w:lang w:val="en-US"/>
        </w:rPr>
        <w:t>Cui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w:t>
      </w:r>
      <w:r w:rsidR="0038306C" w:rsidRPr="0038306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27.</w:t>
      </w:r>
      <w:bookmarkEnd w:id="9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97" w:name="_Ref502027373"/>
      <w:r w:rsidRPr="00156441">
        <w:rPr>
          <w:rFonts w:ascii="Times New Roman" w:hAnsi="Times New Roman" w:cs="Times New Roman"/>
          <w:sz w:val="28"/>
          <w:szCs w:val="28"/>
          <w:lang w:val="ru-RU"/>
        </w:rPr>
        <w:t>Ремоделирование сердца при хронической обструктивной болезни легких с разной степенью легочной гипертензии при применении ингибиторов АПФ</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 А. Некрасов, А. Н. Кузнецов, О. В. Мельниченко</w:t>
      </w:r>
      <w:r w:rsidR="00472926">
        <w:rPr>
          <w:rFonts w:ascii="Times New Roman" w:hAnsi="Times New Roman" w:cs="Times New Roman"/>
          <w:sz w:val="28"/>
          <w:szCs w:val="28"/>
          <w:lang w:val="ru-RU"/>
        </w:rPr>
        <w:t xml:space="preserve"> [и др.] </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Пульмонология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52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55.</w:t>
      </w:r>
      <w:bookmarkEnd w:id="9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98" w:name="_Ref502027270"/>
      <w:r w:rsidRPr="00156441">
        <w:rPr>
          <w:rFonts w:ascii="Times New Roman" w:hAnsi="Times New Roman" w:cs="Times New Roman"/>
          <w:sz w:val="28"/>
          <w:szCs w:val="28"/>
          <w:lang w:val="en-US"/>
        </w:rPr>
        <w:t>Prevalence of comorbidities in COPD patients by disease severity in a German population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Greulich, B. J. D. Weist, A. R. Koczulla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w:t>
      </w:r>
      <w:r w:rsidR="00472926">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w:t>
      </w:r>
      <w:r w:rsidR="00472926">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132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132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138.</w:t>
      </w:r>
      <w:bookmarkEnd w:id="9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99" w:name="_Ref502027563"/>
      <w:r w:rsidRPr="00156441">
        <w:rPr>
          <w:rFonts w:ascii="Times New Roman" w:hAnsi="Times New Roman" w:cs="Times New Roman"/>
          <w:sz w:val="28"/>
          <w:szCs w:val="28"/>
          <w:lang w:val="en-US"/>
        </w:rPr>
        <w:t>Divo M. COPD, co</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morbidities and health</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related quality of life (HRQOL): more is less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Divo</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COPD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275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276.</w:t>
      </w:r>
      <w:bookmarkEnd w:id="9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00" w:name="_Ref502027565"/>
      <w:r w:rsidRPr="00156441">
        <w:rPr>
          <w:rFonts w:ascii="Times New Roman" w:hAnsi="Times New Roman" w:cs="Times New Roman"/>
          <w:sz w:val="28"/>
          <w:szCs w:val="28"/>
          <w:lang w:val="en-US"/>
        </w:rPr>
        <w:t>Hwang S. L. Predictors of quality of life in patients with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w:t>
      </w:r>
      <w:r w:rsidR="00062E1A">
        <w:rPr>
          <w:rFonts w:ascii="Times New Roman" w:hAnsi="Times New Roman" w:cs="Times New Roman"/>
          <w:sz w:val="28"/>
          <w:szCs w:val="28"/>
          <w:lang w:val="en-US"/>
        </w:rPr>
        <w:t> </w:t>
      </w:r>
      <w:r w:rsidRPr="00156441">
        <w:rPr>
          <w:rFonts w:ascii="Times New Roman" w:hAnsi="Times New Roman" w:cs="Times New Roman"/>
          <w:sz w:val="28"/>
          <w:szCs w:val="28"/>
          <w:lang w:val="en-US"/>
        </w:rPr>
        <w:t>L.</w:t>
      </w:r>
      <w:r w:rsidR="00062E1A">
        <w:rPr>
          <w:rFonts w:ascii="Times New Roman" w:hAnsi="Times New Roman" w:cs="Times New Roman"/>
          <w:sz w:val="28"/>
          <w:szCs w:val="28"/>
          <w:lang w:val="en-US"/>
        </w:rPr>
        <w:t> </w:t>
      </w:r>
      <w:r w:rsidRPr="00156441">
        <w:rPr>
          <w:rFonts w:ascii="Times New Roman" w:hAnsi="Times New Roman" w:cs="Times New Roman"/>
          <w:sz w:val="28"/>
          <w:szCs w:val="28"/>
          <w:lang w:val="en-US"/>
        </w:rPr>
        <w:t>Hwang, W. C. Liao, T. Y. Huang</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Jpn J</w:t>
      </w:r>
      <w:r w:rsidR="00062E1A">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Nurs</w:t>
      </w:r>
      <w:r w:rsidR="00062E1A">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Sci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w:t>
      </w:r>
      <w:r w:rsidR="00062E1A">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290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298.</w:t>
      </w:r>
      <w:bookmarkEnd w:id="10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01" w:name="_Ref502027566"/>
      <w:r w:rsidRPr="00156441">
        <w:rPr>
          <w:rFonts w:ascii="Times New Roman" w:hAnsi="Times New Roman" w:cs="Times New Roman"/>
          <w:sz w:val="28"/>
          <w:szCs w:val="28"/>
          <w:lang w:val="en-US"/>
        </w:rPr>
        <w:t>Impact of comorbidities on COPD</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specific health</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related quality of life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R. Burgel, R. Escamilla, T. Perez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233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241.</w:t>
      </w:r>
      <w:bookmarkEnd w:id="10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02" w:name="_Ref502027567"/>
      <w:r w:rsidRPr="00156441">
        <w:rPr>
          <w:rFonts w:ascii="Times New Roman" w:hAnsi="Times New Roman" w:cs="Times New Roman"/>
          <w:sz w:val="28"/>
          <w:szCs w:val="28"/>
          <w:lang w:val="en-US"/>
        </w:rPr>
        <w:t>Impact of co</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morbidities on self</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rated health in self</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reported COPD: an analysis of NHANES 2001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2008</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 Putcha, M. A. Puhan, N. N. Hansel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COPD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324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332.</w:t>
      </w:r>
      <w:bookmarkEnd w:id="10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03" w:name="_Ref502027817"/>
      <w:r w:rsidRPr="00156441">
        <w:rPr>
          <w:rFonts w:ascii="Times New Roman" w:hAnsi="Times New Roman" w:cs="Times New Roman"/>
          <w:sz w:val="28"/>
          <w:szCs w:val="28"/>
          <w:lang w:val="ru-RU"/>
        </w:rPr>
        <w:t>Плейотропные эффекты розувастатина у больных хронической обструктивной болезнью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Е. И. Саморукова, В. В. Ли, В.</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Задионченко [и</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Лечащий врач</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7</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103</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107.</w:t>
      </w:r>
      <w:bookmarkEnd w:id="10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04" w:name="_Ref502027818"/>
      <w:r w:rsidRPr="00156441">
        <w:rPr>
          <w:rFonts w:ascii="Times New Roman" w:hAnsi="Times New Roman" w:cs="Times New Roman"/>
          <w:sz w:val="28"/>
          <w:szCs w:val="28"/>
          <w:lang w:val="ru-RU"/>
        </w:rPr>
        <w:t>Провоторов В. М. Лечение хронической сердечной недостаточности у больных хронической обструктивной болезнью легких с применением препаратов магния</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 М. Провоторов, Т. В. Коточигова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Новые Санкт</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Петербургские врачебные ведомости</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41.</w:t>
      </w:r>
      <w:bookmarkEnd w:id="10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05" w:name="_Ref502027819"/>
      <w:r w:rsidRPr="00156441">
        <w:rPr>
          <w:rFonts w:ascii="Times New Roman" w:hAnsi="Times New Roman" w:cs="Times New Roman"/>
          <w:sz w:val="28"/>
          <w:szCs w:val="28"/>
          <w:lang w:val="ru-RU"/>
        </w:rPr>
        <w:lastRenderedPageBreak/>
        <w:t>Середюк В. Н. Зміни структурно</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φ</w:t>
      </w:r>
      <w:r w:rsidRPr="00156441">
        <w:rPr>
          <w:rFonts w:ascii="Times New Roman" w:hAnsi="Times New Roman" w:cs="Times New Roman"/>
          <w:sz w:val="28"/>
          <w:szCs w:val="28"/>
          <w:lang w:val="ru-RU"/>
        </w:rPr>
        <w:t>укнціонального стану правих відділів серця, нейро</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гуморальної активності, ендотеліальної вазорегуляції та патологічного апоптозу під впливом кандесартану у хворих на компенсоване хронічне легеневе серце</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 Н. Середюк</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Український терапевтичний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18</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25.</w:t>
      </w:r>
      <w:bookmarkEnd w:id="10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06" w:name="_Ref502027820"/>
      <w:r w:rsidRPr="00156441">
        <w:rPr>
          <w:rFonts w:ascii="Times New Roman" w:hAnsi="Times New Roman" w:cs="Times New Roman"/>
          <w:sz w:val="28"/>
          <w:szCs w:val="28"/>
          <w:lang w:val="en-US"/>
        </w:rPr>
        <w:t>Unrecognized heart failure and chronic obstructive pulmonary disease (COPD) in frail elderly detected through a near</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home targeted screening strategy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Y. van Mourik, L. C. Bertens, M. J. Cramer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Board Fam</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811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821.</w:t>
      </w:r>
      <w:bookmarkEnd w:id="10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07" w:name="_Ref502046736"/>
      <w:r w:rsidRPr="00156441">
        <w:rPr>
          <w:rFonts w:ascii="Times New Roman" w:hAnsi="Times New Roman" w:cs="Times New Roman"/>
          <w:sz w:val="28"/>
          <w:szCs w:val="28"/>
          <w:lang w:val="en-US"/>
        </w:rPr>
        <w:t>Oxygen kinetics during 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minute walk tests in patients with cardiovascular and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Kern, S. Condrau, F. Baty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BMC Pulm</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167.</w:t>
      </w:r>
      <w:bookmarkEnd w:id="10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08" w:name="_Ref502066437"/>
      <w:r w:rsidRPr="00156441">
        <w:rPr>
          <w:rFonts w:ascii="Times New Roman" w:hAnsi="Times New Roman" w:cs="Times New Roman"/>
          <w:sz w:val="28"/>
          <w:szCs w:val="28"/>
          <w:lang w:val="ru-RU"/>
        </w:rPr>
        <w:t>Многофакторный анализ показателей длительной профилактики нарушений параметров функции внешнего дыхания у больных хронической обструктивной болезнью легких с коморбидными состояниями на севере</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Э.</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О.</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Гирфанов</w:t>
      </w:r>
      <w:r w:rsidR="007F7074">
        <w:rPr>
          <w:rFonts w:ascii="Times New Roman" w:hAnsi="Times New Roman" w:cs="Times New Roman"/>
          <w:sz w:val="28"/>
          <w:szCs w:val="28"/>
          <w:lang w:val="ru-RU"/>
        </w:rPr>
        <w:t xml:space="preserve">а, В. Ф. Ушаков, И. Л. Петрова </w:t>
      </w:r>
      <w:r w:rsidR="007F7074" w:rsidRPr="00156441">
        <w:rPr>
          <w:rFonts w:ascii="Times New Roman" w:hAnsi="Times New Roman" w:cs="Times New Roman"/>
          <w:sz w:val="28"/>
          <w:szCs w:val="28"/>
          <w:lang w:val="ru-RU"/>
        </w:rPr>
        <w:t xml:space="preserve">[и др.] </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Бюллетень физиологии и патологии дыхания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2015</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55</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43.</w:t>
      </w:r>
      <w:bookmarkEnd w:id="108"/>
    </w:p>
    <w:p w:rsidR="005438B0" w:rsidRPr="007F7074"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09" w:name="_Ref502040905"/>
      <w:r w:rsidRPr="00156441">
        <w:rPr>
          <w:rFonts w:ascii="Times New Roman" w:hAnsi="Times New Roman" w:cs="Times New Roman"/>
          <w:sz w:val="28"/>
          <w:szCs w:val="28"/>
          <w:lang w:val="en-US"/>
        </w:rPr>
        <w:t>Prognostic importance of pathophysiologic markers in patients with heart failure and preserved ejection fraction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A. Burke, D. H. Katz, L. Beussink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Circ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w:t>
      </w:r>
      <w:r w:rsidR="007F7074" w:rsidRPr="007F7074">
        <w:rPr>
          <w:rFonts w:ascii="Times New Roman" w:hAnsi="Times New Roman" w:cs="Times New Roman"/>
          <w:sz w:val="28"/>
          <w:szCs w:val="28"/>
          <w:lang w:val="ru-RU"/>
        </w:rPr>
        <w:t>.</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Fail</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7F7074">
        <w:rPr>
          <w:rFonts w:ascii="Times New Roman" w:hAnsi="Times New Roman" w:cs="Times New Roman"/>
          <w:sz w:val="28"/>
          <w:szCs w:val="28"/>
          <w:lang w:val="ru-RU"/>
        </w:rPr>
        <w:t>2014</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156441">
        <w:rPr>
          <w:rFonts w:ascii="Times New Roman" w:hAnsi="Times New Roman" w:cs="Times New Roman"/>
          <w:sz w:val="28"/>
          <w:szCs w:val="28"/>
          <w:lang w:val="en-US"/>
        </w:rPr>
        <w:t>Vol</w:t>
      </w:r>
      <w:r w:rsidRPr="007F7074">
        <w:rPr>
          <w:rFonts w:ascii="Times New Roman" w:hAnsi="Times New Roman" w:cs="Times New Roman"/>
          <w:sz w:val="28"/>
          <w:szCs w:val="28"/>
          <w:lang w:val="ru-RU"/>
        </w:rPr>
        <w:t xml:space="preserve">. 7, </w:t>
      </w:r>
      <w:r w:rsidR="00E73087">
        <w:rPr>
          <w:rFonts w:ascii="Times New Roman" w:hAnsi="Times New Roman" w:cs="Times New Roman"/>
          <w:sz w:val="28"/>
          <w:szCs w:val="28"/>
          <w:lang w:val="en-US"/>
        </w:rPr>
        <w:t>No</w:t>
      </w:r>
      <w:r w:rsidR="00E73087" w:rsidRPr="007F7074">
        <w:rPr>
          <w:rFonts w:ascii="Times New Roman" w:hAnsi="Times New Roman" w:cs="Times New Roman"/>
          <w:sz w:val="28"/>
          <w:szCs w:val="28"/>
          <w:lang w:val="ru-RU"/>
        </w:rPr>
        <w:t>.</w:t>
      </w:r>
      <w:r w:rsidR="00E73087">
        <w:rPr>
          <w:rFonts w:ascii="Times New Roman" w:hAnsi="Times New Roman" w:cs="Times New Roman"/>
          <w:sz w:val="28"/>
          <w:szCs w:val="28"/>
          <w:lang w:val="en-US"/>
        </w:rPr>
        <w:t> </w:t>
      </w:r>
      <w:r w:rsidRPr="007F7074">
        <w:rPr>
          <w:rFonts w:ascii="Times New Roman" w:hAnsi="Times New Roman" w:cs="Times New Roman"/>
          <w:sz w:val="28"/>
          <w:szCs w:val="28"/>
          <w:lang w:val="ru-RU"/>
        </w:rPr>
        <w:t>2</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156441">
        <w:rPr>
          <w:rFonts w:ascii="Times New Roman" w:hAnsi="Times New Roman" w:cs="Times New Roman"/>
          <w:sz w:val="28"/>
          <w:szCs w:val="28"/>
          <w:lang w:val="en-US"/>
        </w:rPr>
        <w:t>P</w:t>
      </w:r>
      <w:r w:rsidRPr="007F7074">
        <w:rPr>
          <w:rFonts w:ascii="Times New Roman" w:hAnsi="Times New Roman" w:cs="Times New Roman"/>
          <w:sz w:val="28"/>
          <w:szCs w:val="28"/>
          <w:lang w:val="ru-RU"/>
        </w:rPr>
        <w:t>.</w:t>
      </w:r>
      <w:r w:rsidRPr="00156441">
        <w:rPr>
          <w:rFonts w:ascii="Times New Roman" w:hAnsi="Times New Roman" w:cs="Times New Roman"/>
          <w:sz w:val="28"/>
          <w:szCs w:val="28"/>
          <w:lang w:val="en-US"/>
        </w:rPr>
        <w:t> </w:t>
      </w:r>
      <w:r w:rsidRPr="007F7074">
        <w:rPr>
          <w:rFonts w:ascii="Times New Roman" w:hAnsi="Times New Roman" w:cs="Times New Roman"/>
          <w:sz w:val="28"/>
          <w:szCs w:val="28"/>
          <w:lang w:val="ru-RU"/>
        </w:rPr>
        <w:t>288</w:t>
      </w:r>
      <w:r w:rsidR="009C556E" w:rsidRPr="007F7074">
        <w:rPr>
          <w:rFonts w:ascii="Times New Roman" w:hAnsi="Times New Roman" w:cs="Times New Roman"/>
          <w:sz w:val="28"/>
          <w:szCs w:val="28"/>
          <w:lang w:val="ru-RU"/>
        </w:rPr>
        <w:t>–</w:t>
      </w:r>
      <w:r w:rsidRPr="007F7074">
        <w:rPr>
          <w:rFonts w:ascii="Times New Roman" w:hAnsi="Times New Roman" w:cs="Times New Roman"/>
          <w:sz w:val="28"/>
          <w:szCs w:val="28"/>
          <w:lang w:val="ru-RU"/>
        </w:rPr>
        <w:t>299.</w:t>
      </w:r>
      <w:bookmarkEnd w:id="10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10" w:name="_Ref502066594"/>
      <w:r w:rsidRPr="00156441">
        <w:rPr>
          <w:rFonts w:ascii="Times New Roman" w:hAnsi="Times New Roman" w:cs="Times New Roman"/>
          <w:sz w:val="28"/>
          <w:szCs w:val="28"/>
          <w:lang w:val="ru-RU"/>
        </w:rPr>
        <w:t>Немедикаментозная реабилитация больных хронической обструктивной болезнью легких с артериальной гипертонией</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Е. В. Севостьянова, Ю. А. Николаев, Н. В. Богданкевич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Терапевтический архив</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2016</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8</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24.</w:t>
      </w:r>
      <w:bookmarkEnd w:id="11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Никитин А. В. Влияние триметазидина на состояние кардиореспираторной системы у больных с ишемической болезнью сердца в сочетании с хроническим обструктивным бронхитом</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 В. Никитин, Л.</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В.</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Васильева, Х. А. Булуева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Consilium</w:t>
      </w:r>
      <w:r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medicum</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5</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48</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51.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11" w:name="_Ref502065639"/>
      <w:r w:rsidRPr="00156441">
        <w:rPr>
          <w:rFonts w:ascii="Times New Roman" w:hAnsi="Times New Roman" w:cs="Times New Roman"/>
          <w:sz w:val="28"/>
          <w:szCs w:val="28"/>
          <w:lang w:val="ru-RU"/>
        </w:rPr>
        <w:t xml:space="preserve">Влияние телмисартана на легочную и внутрисердечную гемодинамику у больных хронической обструктивной болезнью легких, осложненной хроническим </w:t>
      </w:r>
      <w:r w:rsidRPr="00156441">
        <w:rPr>
          <w:rFonts w:ascii="Times New Roman" w:hAnsi="Times New Roman" w:cs="Times New Roman"/>
          <w:sz w:val="28"/>
          <w:szCs w:val="28"/>
          <w:lang w:val="ru-RU"/>
        </w:rPr>
        <w:lastRenderedPageBreak/>
        <w:t>легочным сердцем</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 В. Лоскутова, И. Г. Меньшикова, М. В. Мальчиц, Т.</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В.</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Леванова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Дальневосточный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17</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20.</w:t>
      </w:r>
      <w:bookmarkEnd w:id="11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Гаврисюк В. К. Диффузионная функция легких и возможности ее коррекции у больных хроническим обструктивным заболеванием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 К. Гаврисюк, Н. В. Пендальчук</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Український терапевтичний журнал</w:t>
      </w:r>
      <w:r w:rsidR="00F44EE4" w:rsidRPr="00156441">
        <w:rPr>
          <w:rFonts w:ascii="Times New Roman" w:hAnsi="Times New Roman" w:cs="Times New Roman"/>
          <w:sz w:val="28"/>
          <w:szCs w:val="28"/>
          <w:lang w:val="ru-RU"/>
        </w:rPr>
        <w:t>. —</w:t>
      </w:r>
      <w:r w:rsidR="007F7074"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84</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89.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Гаврисюк В. К. Состояние газообмена и возможности его коррекции у больных ХОЗЛ</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 К. Гаврисюк, Н. В. Пендальчук, А. В. Литвиненко</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Український пульмонологічний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26</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 xml:space="preserve">Гаврисюк В. К. Хроническое легочное сердце в свете положений международных руководств </w:t>
      </w:r>
      <w:r w:rsidRPr="00156441">
        <w:rPr>
          <w:rFonts w:ascii="Times New Roman" w:hAnsi="Times New Roman" w:cs="Times New Roman"/>
          <w:sz w:val="28"/>
          <w:szCs w:val="28"/>
          <w:lang w:val="en-US"/>
        </w:rPr>
        <w:t>NICE</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en-US"/>
        </w:rPr>
        <w:t>COPD</w:t>
      </w:r>
      <w:r w:rsidRPr="00156441">
        <w:rPr>
          <w:rFonts w:ascii="Times New Roman" w:hAnsi="Times New Roman" w:cs="Times New Roman"/>
          <w:sz w:val="28"/>
          <w:szCs w:val="28"/>
          <w:lang w:val="ru-RU"/>
        </w:rPr>
        <w:t xml:space="preserve"> и </w:t>
      </w:r>
      <w:r w:rsidRPr="00156441">
        <w:rPr>
          <w:rFonts w:ascii="Times New Roman" w:hAnsi="Times New Roman" w:cs="Times New Roman"/>
          <w:sz w:val="28"/>
          <w:szCs w:val="28"/>
          <w:lang w:val="en-US"/>
        </w:rPr>
        <w:t>GOLD</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 К. Гаврисюк, А. И. Ячник, Е. А. Меренкова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Український терапевтичний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89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93.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12" w:name="_Ref502046082"/>
      <w:r w:rsidRPr="00156441">
        <w:rPr>
          <w:rFonts w:ascii="Times New Roman" w:hAnsi="Times New Roman" w:cs="Times New Roman"/>
          <w:sz w:val="28"/>
          <w:szCs w:val="28"/>
          <w:lang w:val="en-US"/>
        </w:rPr>
        <w:t>Overview of the Impact of Depression and Anxiety in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Montserrat</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Capdevila, P. Godoy, J. R. Marsal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Lung</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195,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85.</w:t>
      </w:r>
      <w:bookmarkEnd w:id="11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13" w:name="_Ref502046823"/>
      <w:r w:rsidRPr="00156441">
        <w:rPr>
          <w:rFonts w:ascii="Times New Roman" w:hAnsi="Times New Roman" w:cs="Times New Roman"/>
          <w:sz w:val="28"/>
          <w:szCs w:val="28"/>
          <w:lang w:val="en-US"/>
        </w:rPr>
        <w:t>Ovcharenko S. I. Chronic obstructive pulmonary disease concurrent with hypertension: Evaluation of the therapeutic effect of prolonged</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release indapamide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I.</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Ovcharenko, T. E. Morozova, Z. N. Nersesyan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Arkh</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87,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50.</w:t>
      </w:r>
      <w:bookmarkEnd w:id="11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14" w:name="_Ref502061325"/>
      <w:r w:rsidRPr="00156441">
        <w:rPr>
          <w:rFonts w:ascii="Times New Roman" w:hAnsi="Times New Roman" w:cs="Times New Roman"/>
          <w:sz w:val="28"/>
          <w:szCs w:val="28"/>
          <w:lang w:val="en-US"/>
        </w:rPr>
        <w:t>Impact of a medication therapy management service on the clinical status of patients with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 B. Detoni, I. V. Oliveira, M.</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M.</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Nascimento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Clin</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Pharm</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103.</w:t>
      </w:r>
      <w:bookmarkEnd w:id="11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15" w:name="_Ref502025794"/>
      <w:r w:rsidRPr="00156441">
        <w:rPr>
          <w:rFonts w:ascii="Times New Roman" w:hAnsi="Times New Roman" w:cs="Times New Roman"/>
          <w:sz w:val="28"/>
          <w:szCs w:val="28"/>
          <w:lang w:val="en-US"/>
        </w:rPr>
        <w:t>Multimorbidity of four cardiometabolic and chronic pulmonary disease groups: prevalence and attributable fraction in US adults, 2007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2012</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R. Staimez, M. Y. Wei, M. Kim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Comorb</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32.</w:t>
      </w:r>
      <w:bookmarkEnd w:id="115"/>
    </w:p>
    <w:p w:rsidR="005438B0" w:rsidRPr="007F7074"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16" w:name="_Ref502025745"/>
      <w:r w:rsidRPr="00156441">
        <w:rPr>
          <w:rFonts w:ascii="Times New Roman" w:hAnsi="Times New Roman" w:cs="Times New Roman"/>
          <w:sz w:val="28"/>
          <w:szCs w:val="28"/>
          <w:lang w:val="en-US"/>
        </w:rPr>
        <w:t xml:space="preserve">The PLATINO study: description of the distribution, stability, and mortality according to the Global Initiative for Chronic Obstructive Lung Disease classification </w:t>
      </w:r>
      <w:r w:rsidRPr="00156441">
        <w:rPr>
          <w:rFonts w:ascii="Times New Roman" w:hAnsi="Times New Roman" w:cs="Times New Roman"/>
          <w:sz w:val="28"/>
          <w:szCs w:val="28"/>
          <w:lang w:val="en-US"/>
        </w:rPr>
        <w:lastRenderedPageBreak/>
        <w:t>from 2007 to 2017</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M. Menezes, F. C. Wehrmeister, R. Perez</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Padilla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Obstruct</w:t>
      </w:r>
      <w:r w:rsidR="007F7074" w:rsidRPr="007F7074">
        <w:rPr>
          <w:rFonts w:ascii="Times New Roman" w:hAnsi="Times New Roman" w:cs="Times New Roman"/>
          <w:sz w:val="28"/>
          <w:szCs w:val="28"/>
          <w:lang w:val="ru-RU"/>
        </w:rPr>
        <w:t>.</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Pulmon</w:t>
      </w:r>
      <w:r w:rsidR="007F7074" w:rsidRPr="007F7074">
        <w:rPr>
          <w:rFonts w:ascii="Times New Roman" w:hAnsi="Times New Roman" w:cs="Times New Roman"/>
          <w:sz w:val="28"/>
          <w:szCs w:val="28"/>
          <w:lang w:val="ru-RU"/>
        </w:rPr>
        <w:t>.</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Dis</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7F7074">
        <w:rPr>
          <w:rFonts w:ascii="Times New Roman" w:hAnsi="Times New Roman" w:cs="Times New Roman"/>
          <w:sz w:val="28"/>
          <w:szCs w:val="28"/>
          <w:lang w:val="ru-RU"/>
        </w:rPr>
        <w:t>2017</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E73087">
        <w:rPr>
          <w:rFonts w:ascii="Times New Roman" w:hAnsi="Times New Roman" w:cs="Times New Roman"/>
          <w:sz w:val="28"/>
          <w:szCs w:val="28"/>
          <w:lang w:val="en-US"/>
        </w:rPr>
        <w:t>No</w:t>
      </w:r>
      <w:r w:rsidR="00E73087" w:rsidRPr="007F7074">
        <w:rPr>
          <w:rFonts w:ascii="Times New Roman" w:hAnsi="Times New Roman" w:cs="Times New Roman"/>
          <w:sz w:val="28"/>
          <w:szCs w:val="28"/>
          <w:lang w:val="ru-RU"/>
        </w:rPr>
        <w:t>.</w:t>
      </w:r>
      <w:r w:rsidR="00E73087">
        <w:rPr>
          <w:rFonts w:ascii="Times New Roman" w:hAnsi="Times New Roman" w:cs="Times New Roman"/>
          <w:sz w:val="28"/>
          <w:szCs w:val="28"/>
          <w:lang w:val="en-US"/>
        </w:rPr>
        <w:t> </w:t>
      </w:r>
      <w:r w:rsidRPr="007F7074">
        <w:rPr>
          <w:rFonts w:ascii="Times New Roman" w:hAnsi="Times New Roman" w:cs="Times New Roman"/>
          <w:sz w:val="28"/>
          <w:szCs w:val="28"/>
          <w:lang w:val="ru-RU"/>
        </w:rPr>
        <w:t>12</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00F44EE4" w:rsidRPr="007F7074">
        <w:rPr>
          <w:rFonts w:ascii="Times New Roman" w:hAnsi="Times New Roman" w:cs="Times New Roman"/>
          <w:sz w:val="28"/>
          <w:szCs w:val="28"/>
          <w:lang w:val="ru-RU"/>
        </w:rPr>
        <w:t>—</w:t>
      </w:r>
      <w:r w:rsidR="00F44EE4" w:rsidRPr="00156441">
        <w:rPr>
          <w:rFonts w:ascii="Times New Roman" w:hAnsi="Times New Roman" w:cs="Times New Roman"/>
          <w:sz w:val="28"/>
          <w:szCs w:val="28"/>
          <w:lang w:val="en-US"/>
        </w:rPr>
        <w:t> </w:t>
      </w:r>
      <w:r w:rsidRPr="00156441">
        <w:rPr>
          <w:rFonts w:ascii="Times New Roman" w:hAnsi="Times New Roman" w:cs="Times New Roman"/>
          <w:sz w:val="28"/>
          <w:szCs w:val="28"/>
          <w:lang w:val="en-US"/>
        </w:rPr>
        <w:t>P</w:t>
      </w:r>
      <w:r w:rsidRPr="007F7074">
        <w:rPr>
          <w:rFonts w:ascii="Times New Roman" w:hAnsi="Times New Roman" w:cs="Times New Roman"/>
          <w:sz w:val="28"/>
          <w:szCs w:val="28"/>
          <w:lang w:val="ru-RU"/>
        </w:rPr>
        <w:t>.</w:t>
      </w:r>
      <w:r w:rsidRPr="00156441">
        <w:rPr>
          <w:rFonts w:ascii="Times New Roman" w:hAnsi="Times New Roman" w:cs="Times New Roman"/>
          <w:sz w:val="28"/>
          <w:szCs w:val="28"/>
          <w:lang w:val="en-US"/>
        </w:rPr>
        <w:t> </w:t>
      </w:r>
      <w:r w:rsidRPr="007F7074">
        <w:rPr>
          <w:rFonts w:ascii="Times New Roman" w:hAnsi="Times New Roman" w:cs="Times New Roman"/>
          <w:sz w:val="28"/>
          <w:szCs w:val="28"/>
          <w:lang w:val="ru-RU"/>
        </w:rPr>
        <w:t>1491</w:t>
      </w:r>
      <w:r w:rsidR="009C556E" w:rsidRPr="007F7074">
        <w:rPr>
          <w:rFonts w:ascii="Times New Roman" w:hAnsi="Times New Roman" w:cs="Times New Roman"/>
          <w:sz w:val="28"/>
          <w:szCs w:val="28"/>
          <w:lang w:val="ru-RU"/>
        </w:rPr>
        <w:t>–</w:t>
      </w:r>
      <w:r w:rsidRPr="007F7074">
        <w:rPr>
          <w:rFonts w:ascii="Times New Roman" w:hAnsi="Times New Roman" w:cs="Times New Roman"/>
          <w:sz w:val="28"/>
          <w:szCs w:val="28"/>
          <w:lang w:val="ru-RU"/>
        </w:rPr>
        <w:t>1501.</w:t>
      </w:r>
      <w:bookmarkEnd w:id="11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17" w:name="_Ref502026068"/>
      <w:r w:rsidRPr="00156441">
        <w:rPr>
          <w:rFonts w:ascii="Times New Roman" w:hAnsi="Times New Roman" w:cs="Times New Roman"/>
          <w:sz w:val="28"/>
          <w:szCs w:val="28"/>
          <w:lang w:val="ru-RU"/>
        </w:rPr>
        <w:t>Григорьева</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Ю</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Опыт</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применения</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высокоселективного</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бета</w:t>
      </w:r>
      <w:r w:rsidR="009C556E" w:rsidRPr="007F7074">
        <w:rPr>
          <w:rFonts w:ascii="Times New Roman" w:hAnsi="Times New Roman" w:cs="Times New Roman"/>
          <w:sz w:val="28"/>
          <w:szCs w:val="28"/>
          <w:lang w:val="ru-RU"/>
        </w:rPr>
        <w:t>–</w:t>
      </w:r>
      <w:r w:rsidRPr="00156441">
        <w:rPr>
          <w:rFonts w:ascii="Times New Roman" w:hAnsi="Times New Roman" w:cs="Times New Roman"/>
          <w:sz w:val="28"/>
          <w:szCs w:val="28"/>
          <w:lang w:val="ru-RU"/>
        </w:rPr>
        <w:t>адреноблокатора</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бисопролола</w:t>
      </w:r>
      <w:r w:rsidRPr="007F7074">
        <w:rPr>
          <w:rFonts w:ascii="Times New Roman" w:hAnsi="Times New Roman" w:cs="Times New Roman"/>
          <w:sz w:val="28"/>
          <w:szCs w:val="28"/>
          <w:lang w:val="ru-RU"/>
        </w:rPr>
        <w:t xml:space="preserve"> 1 </w:t>
      </w:r>
      <w:r w:rsidRPr="00156441">
        <w:rPr>
          <w:rFonts w:ascii="Times New Roman" w:hAnsi="Times New Roman" w:cs="Times New Roman"/>
          <w:sz w:val="28"/>
          <w:szCs w:val="28"/>
          <w:lang w:val="ru-RU"/>
        </w:rPr>
        <w:t>больных</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с</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ишемической</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болезнью</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сердца</w:t>
      </w:r>
      <w:r w:rsidRPr="007F7074">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имеющих сопутствующую хроническую бронхолегочную патологию</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Ю.</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Григорьева, А. Н. Кузнецов, М. В. Капустина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Справочник поликлинического врача</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7</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14.</w:t>
      </w:r>
      <w:bookmarkEnd w:id="11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18" w:name="_Ref502026070"/>
      <w:r w:rsidRPr="00156441">
        <w:rPr>
          <w:rFonts w:ascii="Times New Roman" w:hAnsi="Times New Roman" w:cs="Times New Roman"/>
          <w:sz w:val="28"/>
          <w:szCs w:val="28"/>
          <w:lang w:val="ru-RU"/>
        </w:rPr>
        <w:t>Павленко В. И. Клинико</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функциональное течение хронической обструктивной болезни легких, ассоциированной с ишемической болезнью сердца на фоне комплексной терапии с применением небиволола</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 И. Павленко,</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В.</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ru-RU"/>
        </w:rPr>
        <w:t>Нарышкина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Новости хирургии</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43</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34</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39.</w:t>
      </w:r>
      <w:bookmarkEnd w:id="11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19" w:name="_Ref502026071"/>
      <w:r w:rsidRPr="00156441">
        <w:rPr>
          <w:rFonts w:ascii="Times New Roman" w:hAnsi="Times New Roman" w:cs="Times New Roman"/>
          <w:sz w:val="28"/>
          <w:szCs w:val="28"/>
          <w:lang w:val="en-US"/>
        </w:rPr>
        <w:t>Association between β</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blocker therapy and outcomes in patients hospitalised with acute exacerbations of chronic obstructive lung disease with underlying ischaemic heart disease, heart failure or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S. Stefan, M. B. Rothberg, A.</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Priya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Thorax</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977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984.</w:t>
      </w:r>
      <w:bookmarkEnd w:id="11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0" w:name="_Ref476803940"/>
      <w:r w:rsidRPr="00156441">
        <w:rPr>
          <w:rFonts w:ascii="Times New Roman" w:hAnsi="Times New Roman" w:cs="Times New Roman"/>
          <w:sz w:val="28"/>
          <w:szCs w:val="28"/>
          <w:lang w:val="en-US"/>
        </w:rPr>
        <w:t>Baker J. G. β</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Blockers, heart disease and COPD: current controversies and uncertainties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G. Baker, R. G. Wilcox</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Thorax</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72,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271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276.</w:t>
      </w:r>
      <w:bookmarkEnd w:id="12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1" w:name="_Ref502033043"/>
      <w:r w:rsidRPr="00156441">
        <w:rPr>
          <w:rFonts w:ascii="Times New Roman" w:hAnsi="Times New Roman" w:cs="Times New Roman"/>
          <w:sz w:val="28"/>
          <w:szCs w:val="28"/>
          <w:lang w:val="en-US"/>
        </w:rPr>
        <w:t>The effect of ivabradine on functional capacity in patients with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 Mahmoud, H. H. Kassem, E. Baligh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(Lond)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419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422.</w:t>
      </w:r>
      <w:bookmarkEnd w:id="12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2" w:name="_Ref476796311"/>
      <w:r w:rsidRPr="00156441">
        <w:rPr>
          <w:rFonts w:ascii="Times New Roman" w:hAnsi="Times New Roman" w:cs="Times New Roman"/>
          <w:sz w:val="28"/>
          <w:szCs w:val="28"/>
          <w:lang w:val="en-US"/>
        </w:rPr>
        <w:t>Paradigms in chronic obstructive pulmonary disease: phenotypes, immunobiology, and therapy with a focus on vascular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Schivo, T.</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E.</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Albertson, A. Haczku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Investig</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10.1136/jim</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2016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000358.</w:t>
      </w:r>
      <w:bookmarkEnd w:id="12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3" w:name="_Ref502063604"/>
      <w:r w:rsidRPr="00156441">
        <w:rPr>
          <w:rFonts w:ascii="Times New Roman" w:hAnsi="Times New Roman" w:cs="Times New Roman"/>
          <w:sz w:val="28"/>
          <w:szCs w:val="28"/>
          <w:lang w:val="en-US"/>
        </w:rPr>
        <w:t>Hoorn E. J. Hyponatremia and mortality: moving beyond associations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 J. Hoorn, R. Zietse</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Kidney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139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149.</w:t>
      </w:r>
      <w:bookmarkEnd w:id="12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4" w:name="_Ref502033226"/>
      <w:r w:rsidRPr="00156441">
        <w:rPr>
          <w:rFonts w:ascii="Times New Roman" w:hAnsi="Times New Roman" w:cs="Times New Roman"/>
          <w:sz w:val="28"/>
          <w:szCs w:val="28"/>
          <w:lang w:val="en-US"/>
        </w:rPr>
        <w:t>Zangiabadi A. Pulmonary hypertension and right heart dysfunction in chronic lung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Zangiabadi, C. G. De Pasquale, D. Sajkov</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Biomed</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Int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739674.</w:t>
      </w:r>
      <w:bookmarkEnd w:id="12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5" w:name="_Ref502033227"/>
      <w:r w:rsidRPr="00156441">
        <w:rPr>
          <w:rFonts w:ascii="Times New Roman" w:hAnsi="Times New Roman" w:cs="Times New Roman"/>
          <w:sz w:val="28"/>
          <w:szCs w:val="28"/>
          <w:lang w:val="en-US"/>
        </w:rPr>
        <w:lastRenderedPageBreak/>
        <w:t>Symptoms and impact of symptoms on function and health in patients with chronic obstructive pulmonary disease and chronic heart failure in primary health care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 Theander, M. Hasselgren, K. Luhr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Obstruct</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Pulmon</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785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794.</w:t>
      </w:r>
      <w:bookmarkEnd w:id="12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6" w:name="_Ref502033228"/>
      <w:r w:rsidRPr="00156441">
        <w:rPr>
          <w:rFonts w:ascii="Times New Roman" w:hAnsi="Times New Roman" w:cs="Times New Roman"/>
          <w:sz w:val="28"/>
          <w:szCs w:val="28"/>
          <w:lang w:val="en-US"/>
        </w:rPr>
        <w:t>Severity of coronary atherosclerosis in patients with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 Dursunoglu, D. Dursunoglu, A. İ. Yıldız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 Respir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10.1111/crj.12412</w:t>
      </w:r>
      <w:r w:rsidR="00F44EE4" w:rsidRPr="00156441">
        <w:rPr>
          <w:rFonts w:ascii="Times New Roman" w:hAnsi="Times New Roman" w:cs="Times New Roman"/>
          <w:sz w:val="28"/>
          <w:szCs w:val="28"/>
          <w:lang w:val="en-US"/>
        </w:rPr>
        <w:t>.</w:t>
      </w:r>
      <w:bookmarkEnd w:id="12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7" w:name="_Ref502033230"/>
      <w:r w:rsidRPr="00156441">
        <w:rPr>
          <w:rFonts w:ascii="Times New Roman" w:hAnsi="Times New Roman" w:cs="Times New Roman"/>
          <w:sz w:val="28"/>
          <w:szCs w:val="28"/>
          <w:lang w:val="en-US"/>
        </w:rPr>
        <w:t>Serial pulmonary function tests to diagnose COPD in chronic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G. Minasian, F. J. van den Elshout, P. R. Dekhuijzen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Transl</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Respir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w:t>
      </w:r>
      <w:bookmarkEnd w:id="12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8" w:name="_Ref502033231"/>
      <w:r w:rsidRPr="00156441">
        <w:rPr>
          <w:rFonts w:ascii="Times New Roman" w:hAnsi="Times New Roman" w:cs="Times New Roman"/>
          <w:sz w:val="28"/>
          <w:szCs w:val="28"/>
          <w:lang w:val="en-US"/>
        </w:rPr>
        <w:t>Right heart dysfunction in heart failure with preserved ejection fraction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Melenovsky, S. J. Hwang, G. Lin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 Heart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3452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3462.</w:t>
      </w:r>
      <w:bookmarkEnd w:id="12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29" w:name="_Ref502064348"/>
      <w:r w:rsidRPr="00156441">
        <w:rPr>
          <w:rFonts w:ascii="Times New Roman" w:hAnsi="Times New Roman" w:cs="Times New Roman"/>
          <w:sz w:val="28"/>
          <w:szCs w:val="28"/>
          <w:lang w:val="en-US"/>
        </w:rPr>
        <w:t>Guazzi M. Abnormalities in cardiopulmonary exercise testing ventilatory parameters in heart failure: pathophysiology and clinical usefulness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Guazzi</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Curr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 Fail</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Rep</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80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87.</w:t>
      </w:r>
      <w:bookmarkEnd w:id="12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0" w:name="_Ref493721603"/>
      <w:r w:rsidRPr="00156441">
        <w:rPr>
          <w:rFonts w:ascii="Times New Roman" w:hAnsi="Times New Roman" w:cs="Times New Roman"/>
          <w:sz w:val="28"/>
          <w:szCs w:val="28"/>
          <w:lang w:val="en-US"/>
        </w:rPr>
        <w:t>Godo S. Endothelial functions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Godo, H. Shimokawa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108–114.</w:t>
      </w:r>
      <w:bookmarkEnd w:id="13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1" w:name="_Ref493722064"/>
      <w:r w:rsidRPr="00156441">
        <w:rPr>
          <w:rFonts w:ascii="Times New Roman" w:hAnsi="Times New Roman" w:cs="Times New Roman"/>
          <w:sz w:val="28"/>
          <w:szCs w:val="28"/>
          <w:lang w:val="en-US"/>
        </w:rPr>
        <w:t>Endothelial dysfunction and vascular disease — a 30th anniversary update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M. Vanhoutte, H. Shimokawa, M. Feletou</w:t>
      </w:r>
      <w:r w:rsidR="007F7074">
        <w:rPr>
          <w:rFonts w:ascii="Times New Roman" w:hAnsi="Times New Roman" w:cs="Times New Roman"/>
          <w:sz w:val="28"/>
          <w:szCs w:val="28"/>
          <w:lang w:val="en-US"/>
        </w:rPr>
        <w:t xml:space="preserve"> </w:t>
      </w:r>
      <w:r w:rsidR="007F7074"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Acta Physiol</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(Oxf)</w:t>
      </w:r>
      <w:r w:rsidR="00F44EE4" w:rsidRPr="00156441">
        <w:rPr>
          <w:rFonts w:ascii="Times New Roman" w:hAnsi="Times New Roman" w:cs="Times New Roman"/>
          <w:sz w:val="28"/>
          <w:szCs w:val="28"/>
          <w:lang w:val="en-US"/>
        </w:rPr>
        <w:t>. —</w:t>
      </w:r>
      <w:r w:rsidR="007F7074">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219,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96.</w:t>
      </w:r>
      <w:bookmarkEnd w:id="13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2" w:name="_Ref493723084"/>
      <w:r w:rsidRPr="00156441">
        <w:rPr>
          <w:rFonts w:ascii="Times New Roman" w:hAnsi="Times New Roman" w:cs="Times New Roman"/>
          <w:sz w:val="28"/>
          <w:szCs w:val="28"/>
          <w:lang w:val="en-US"/>
        </w:rPr>
        <w:t>Shimokawa H. 2014 Williams Harvey Lecture: importance of coronary vasomotion abnormalities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from bench to bedside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Shimokawa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3180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3193.</w:t>
      </w:r>
      <w:bookmarkEnd w:id="13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3" w:name="_Ref493724295"/>
      <w:r w:rsidRPr="00156441">
        <w:rPr>
          <w:rFonts w:ascii="Times New Roman" w:hAnsi="Times New Roman" w:cs="Times New Roman"/>
          <w:sz w:val="28"/>
          <w:szCs w:val="28"/>
          <w:lang w:val="en-US"/>
        </w:rPr>
        <w:t>Boulanger C. M. Endothelium</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M. Boulanger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31.</w:t>
      </w:r>
      <w:bookmarkEnd w:id="13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4" w:name="_Ref493723247"/>
      <w:r w:rsidRPr="00156441">
        <w:rPr>
          <w:rFonts w:ascii="Times New Roman" w:hAnsi="Times New Roman" w:cs="Times New Roman"/>
          <w:sz w:val="28"/>
          <w:szCs w:val="28"/>
          <w:lang w:val="en-US"/>
        </w:rPr>
        <w:t>Prognostic Value of Flow</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Mediated Vasodilation in Brachial Artery and Fingertip Artery for Cardiovascular Events: A Systematic Review and Meta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Analysis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Y. Matsuzawa, T. G. Kwon, R. J. Lennon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Am Heart Assoc</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w:t>
      </w:r>
      <w:r w:rsidR="007F7074">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Vol.</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 xml:space="preserve">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10.1161/JAHA.115.002270 .</w:t>
      </w:r>
      <w:bookmarkEnd w:id="13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5" w:name="_Ref493724292"/>
      <w:r w:rsidRPr="00156441">
        <w:rPr>
          <w:rFonts w:ascii="Times New Roman" w:hAnsi="Times New Roman" w:cs="Times New Roman"/>
          <w:sz w:val="28"/>
          <w:szCs w:val="28"/>
          <w:lang w:val="en-US"/>
        </w:rPr>
        <w:lastRenderedPageBreak/>
        <w:t>Shimokawa H. Vascular function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Shimokawa, K. Satoh</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2359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2362.</w:t>
      </w:r>
      <w:bookmarkEnd w:id="13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6" w:name="_Ref493724294"/>
      <w:r w:rsidRPr="00156441">
        <w:rPr>
          <w:rFonts w:ascii="Times New Roman" w:hAnsi="Times New Roman" w:cs="Times New Roman"/>
          <w:sz w:val="28"/>
          <w:szCs w:val="28"/>
          <w:lang w:val="en-US"/>
        </w:rPr>
        <w:t>Vallerie S. N. Metabolic Flexibility and Dysfunction in Cardiovascular Cells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N. Vallerie, K. E. Bornfeldt</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42.</w:t>
      </w:r>
      <w:bookmarkEnd w:id="13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7" w:name="_Ref493724560"/>
      <w:r w:rsidRPr="00156441">
        <w:rPr>
          <w:rFonts w:ascii="Times New Roman" w:hAnsi="Times New Roman" w:cs="Times New Roman"/>
          <w:sz w:val="28"/>
          <w:szCs w:val="28"/>
          <w:lang w:val="en-US"/>
        </w:rPr>
        <w:t>Abe J. Novel mechanisms of endothelial mechanotransduction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Abe, B.</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C.</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Berk</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2378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2386.</w:t>
      </w:r>
      <w:bookmarkEnd w:id="13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8" w:name="_Ref493724561"/>
      <w:r w:rsidRPr="00156441">
        <w:rPr>
          <w:rFonts w:ascii="Times New Roman" w:hAnsi="Times New Roman" w:cs="Times New Roman"/>
          <w:sz w:val="28"/>
          <w:szCs w:val="28"/>
          <w:lang w:val="en-US"/>
        </w:rPr>
        <w:t>Zhou J. Shear stress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initiated signaling and its regulation of endothelial function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Zhou, Y. S. Li, S. Chien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w:t>
      </w:r>
      <w:r w:rsidR="007F7074">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w:t>
      </w:r>
      <w:r w:rsidR="007F7074">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Vol.</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 xml:space="preserve">34,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2191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2198.</w:t>
      </w:r>
      <w:bookmarkEnd w:id="13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39" w:name="_Ref493725247"/>
      <w:r w:rsidRPr="00156441">
        <w:rPr>
          <w:rFonts w:ascii="Times New Roman" w:hAnsi="Times New Roman" w:cs="Times New Roman"/>
          <w:sz w:val="28"/>
          <w:szCs w:val="28"/>
          <w:lang w:val="en-US"/>
        </w:rPr>
        <w:t>Disturbed flow promotes endothelial senescence via a p53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dependent pathway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M. Warboys, A. de Luca, N. Amini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985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995.</w:t>
      </w:r>
      <w:bookmarkEnd w:id="13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0" w:name="_Ref493725523"/>
      <w:r w:rsidRPr="00156441">
        <w:rPr>
          <w:rFonts w:ascii="Times New Roman" w:hAnsi="Times New Roman" w:cs="Times New Roman"/>
          <w:sz w:val="28"/>
          <w:szCs w:val="28"/>
          <w:lang w:val="en-US"/>
        </w:rPr>
        <w:t>Low</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Intensity Pulsed Ultrasound Enhances Angiogenesis and Ameliorates Left Ventricular Dysfunction in a Mouse Model of Acute Myocardial Infarction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Shindo, K. Ito, T. Ogata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1220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1229.</w:t>
      </w:r>
      <w:bookmarkEnd w:id="14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1" w:name="_Ref493725865"/>
      <w:r w:rsidRPr="00156441">
        <w:rPr>
          <w:rFonts w:ascii="Times New Roman" w:hAnsi="Times New Roman" w:cs="Times New Roman"/>
          <w:sz w:val="28"/>
          <w:szCs w:val="28"/>
          <w:lang w:val="en-US"/>
        </w:rPr>
        <w:t>Godo S. Divergent roles of endothelial nitric oxide synthases system in maintaining cardiovascular homeostasis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Godo, H. Shimokawa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Free Radic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10.</w:t>
      </w:r>
      <w:bookmarkEnd w:id="14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2" w:name="_Ref493726197"/>
      <w:r w:rsidRPr="00156441">
        <w:rPr>
          <w:rFonts w:ascii="Times New Roman" w:hAnsi="Times New Roman" w:cs="Times New Roman"/>
          <w:sz w:val="28"/>
          <w:szCs w:val="28"/>
          <w:lang w:val="en-US"/>
        </w:rPr>
        <w:t>Adipocyte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Specific Deficiency of NADPH Oxidase 4 Delays the Onset of Insulin Resistance and Attenuates Adipose Tissue Inflammation in Obesity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J. Den Hartigh, M. Omer, L. Goodspeed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466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475.</w:t>
      </w:r>
      <w:bookmarkEnd w:id="14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3" w:name="_Ref493726305"/>
      <w:r w:rsidRPr="00156441">
        <w:rPr>
          <w:rFonts w:ascii="Times New Roman" w:hAnsi="Times New Roman" w:cs="Times New Roman"/>
          <w:sz w:val="28"/>
          <w:szCs w:val="28"/>
          <w:lang w:val="en-US"/>
        </w:rPr>
        <w:t>Microvascular Endothelial Dysfunction in Sedentary, Obese Humans Is Mediated by NADPH Oxidase: Influence of Exercise Training</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D. La Favor, G.</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S.</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Dubis, H. Yan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2412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2420.</w:t>
      </w:r>
      <w:bookmarkEnd w:id="14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4" w:name="_Ref493727147"/>
      <w:r w:rsidRPr="00156441">
        <w:rPr>
          <w:rFonts w:ascii="Times New Roman" w:hAnsi="Times New Roman" w:cs="Times New Roman"/>
          <w:sz w:val="28"/>
          <w:szCs w:val="28"/>
          <w:lang w:val="en-US"/>
        </w:rPr>
        <w:lastRenderedPageBreak/>
        <w:t>Reactive Oxygen Species Can Provide Atheroprotection via NOX4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Dependent Inhibition of Inflammation and Vascular Remodeling</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 Gray, E.</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Di</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Marco, K. Kennedy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295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307.</w:t>
      </w:r>
      <w:bookmarkEnd w:id="14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5" w:name="_Ref493727148"/>
      <w:r w:rsidRPr="00156441">
        <w:rPr>
          <w:rFonts w:ascii="Times New Roman" w:hAnsi="Times New Roman" w:cs="Times New Roman"/>
          <w:sz w:val="28"/>
          <w:szCs w:val="28"/>
          <w:lang w:val="en-US"/>
        </w:rPr>
        <w:t>Disruption of Physiological Balance Between Nitric Oxide and Endothelium</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Dependent Hyperpolarization Impairs Cardiovascular Homeostasis in Mice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Godo, A. Sawada, H. Saito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107.</w:t>
      </w:r>
      <w:bookmarkEnd w:id="14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6" w:name="_Ref493727390"/>
      <w:r w:rsidRPr="00156441">
        <w:rPr>
          <w:rFonts w:ascii="Times New Roman" w:hAnsi="Times New Roman" w:cs="Times New Roman"/>
          <w:sz w:val="28"/>
          <w:szCs w:val="28"/>
          <w:lang w:val="en-US"/>
        </w:rPr>
        <w:t>The Human Microcirculation: Regulation of Flow and Beyond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D. Gutterman, D. S. Chabowski, A. O. Kadlec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Circ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172.</w:t>
      </w:r>
      <w:bookmarkEnd w:id="14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7" w:name="_Ref502067741"/>
      <w:r w:rsidRPr="00156441">
        <w:rPr>
          <w:rFonts w:ascii="Times New Roman" w:hAnsi="Times New Roman" w:cs="Times New Roman"/>
          <w:sz w:val="28"/>
          <w:szCs w:val="28"/>
          <w:lang w:val="en-US"/>
        </w:rPr>
        <w:t>Ячник А. І. Хронічне обструктивне захворювання легень та ішемічна хвороба серця: паралелі і перехрестя коморбідності</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А. І. Ячник, А.</w:t>
      </w:r>
      <w:r w:rsidR="00F44EE4" w:rsidRPr="00156441">
        <w:rPr>
          <w:rFonts w:ascii="Times New Roman" w:hAnsi="Times New Roman" w:cs="Times New Roman"/>
          <w:sz w:val="28"/>
          <w:szCs w:val="28"/>
          <w:lang w:val="en-US"/>
        </w:rPr>
        <w:t xml:space="preserve"> С. </w:t>
      </w:r>
      <w:r w:rsidRPr="00156441">
        <w:rPr>
          <w:rFonts w:ascii="Times New Roman" w:hAnsi="Times New Roman" w:cs="Times New Roman"/>
          <w:sz w:val="28"/>
          <w:szCs w:val="28"/>
          <w:lang w:val="en-US"/>
        </w:rPr>
        <w:t>Свінціцький,</w:t>
      </w:r>
      <w:r w:rsidR="00F44EE4" w:rsidRPr="00156441">
        <w:rPr>
          <w:rFonts w:ascii="Times New Roman" w:hAnsi="Times New Roman" w:cs="Times New Roman"/>
          <w:sz w:val="28"/>
          <w:szCs w:val="28"/>
          <w:lang w:val="en-US"/>
        </w:rPr>
        <w:t xml:space="preserve"> С. </w:t>
      </w:r>
      <w:r w:rsidRPr="00156441">
        <w:rPr>
          <w:rFonts w:ascii="Times New Roman" w:hAnsi="Times New Roman" w:cs="Times New Roman"/>
          <w:sz w:val="28"/>
          <w:szCs w:val="28"/>
          <w:lang w:val="en-US"/>
        </w:rPr>
        <w:t>В. Шупер</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Український пульмонологічний журнал</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4</w:t>
      </w:r>
      <w:r w:rsidR="00F44EE4" w:rsidRPr="00156441">
        <w:rPr>
          <w:rFonts w:ascii="Times New Roman" w:hAnsi="Times New Roman" w:cs="Times New Roman"/>
          <w:sz w:val="28"/>
          <w:szCs w:val="28"/>
          <w:lang w:val="en-US"/>
        </w:rPr>
        <w:t>. — С. </w:t>
      </w:r>
      <w:r w:rsidRPr="00156441">
        <w:rPr>
          <w:rFonts w:ascii="Times New Roman" w:hAnsi="Times New Roman" w:cs="Times New Roman"/>
          <w:sz w:val="28"/>
          <w:szCs w:val="28"/>
          <w:lang w:val="en-US"/>
        </w:rPr>
        <w:t>38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42.</w:t>
      </w:r>
      <w:bookmarkEnd w:id="14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8" w:name="_Ref493728000"/>
      <w:r w:rsidRPr="00156441">
        <w:rPr>
          <w:rFonts w:ascii="Times New Roman" w:hAnsi="Times New Roman" w:cs="Times New Roman"/>
          <w:sz w:val="28"/>
          <w:szCs w:val="28"/>
          <w:lang w:val="en-US"/>
        </w:rPr>
        <w:t>Ceramide changes the mediator of flow</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induced vasodilation from nitric oxide to hydrogen peroxide in the human microcirculation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K. Freed, A. M. Beyer, J. A. LoGiudice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Circ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525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532.</w:t>
      </w:r>
      <w:bookmarkEnd w:id="14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49" w:name="_Ref493728001"/>
      <w:r w:rsidRPr="00156441">
        <w:rPr>
          <w:rFonts w:ascii="Times New Roman" w:hAnsi="Times New Roman" w:cs="Times New Roman"/>
          <w:sz w:val="28"/>
          <w:szCs w:val="28"/>
          <w:lang w:val="en-US"/>
        </w:rPr>
        <w:t>Vascular Actions of Angiotensin 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 in the Human Microcirculation: Novel Role for Telomerase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J. Durand, N. S. Zinkevich, M. Riedel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1254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1262.</w:t>
      </w:r>
      <w:bookmarkEnd w:id="14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0" w:name="_Ref493728483"/>
      <w:r w:rsidRPr="00156441">
        <w:rPr>
          <w:rFonts w:ascii="Times New Roman" w:hAnsi="Times New Roman" w:cs="Times New Roman"/>
          <w:sz w:val="28"/>
          <w:szCs w:val="28"/>
          <w:lang w:val="en-US"/>
        </w:rPr>
        <w:t>Endothelial Dysfunction, and A Prothrombotic, Proinflammatory Phenotype Is Caused by Loss of Mitochondrial Thioredoxin Reductase in Endothelium</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Kirsch, H. Schneider, J. I. Pagel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1891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1899.</w:t>
      </w:r>
      <w:bookmarkEnd w:id="15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1" w:name="_Ref493728590"/>
      <w:r w:rsidRPr="00156441">
        <w:rPr>
          <w:rFonts w:ascii="Times New Roman" w:hAnsi="Times New Roman" w:cs="Times New Roman"/>
          <w:sz w:val="28"/>
          <w:szCs w:val="28"/>
          <w:lang w:val="en-US"/>
        </w:rPr>
        <w:t>Role of PGC</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1α in Vascular Regulation: Implications for Atherosclerosis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O. Kadlec, D. S. Chabowski, K. Ait</w:t>
      </w:r>
      <w:r w:rsidR="009C556E">
        <w:rPr>
          <w:rFonts w:ascii="Times New Roman" w:hAnsi="Times New Roman" w:cs="Times New Roman"/>
          <w:sz w:val="28"/>
          <w:szCs w:val="28"/>
          <w:lang w:val="en-US"/>
        </w:rPr>
        <w:t>–</w:t>
      </w:r>
      <w:r w:rsidR="007F7074">
        <w:rPr>
          <w:rFonts w:ascii="Times New Roman" w:hAnsi="Times New Roman" w:cs="Times New Roman"/>
          <w:sz w:val="28"/>
          <w:szCs w:val="28"/>
          <w:lang w:val="en-US"/>
        </w:rPr>
        <w:t xml:space="preserve">Aissa </w:t>
      </w:r>
      <w:r w:rsidR="007F7074"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1467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1474.</w:t>
      </w:r>
      <w:bookmarkEnd w:id="15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2" w:name="_Ref493728786"/>
      <w:r w:rsidRPr="00156441">
        <w:rPr>
          <w:rFonts w:ascii="Times New Roman" w:hAnsi="Times New Roman" w:cs="Times New Roman"/>
          <w:sz w:val="28"/>
          <w:szCs w:val="28"/>
          <w:lang w:val="en-US"/>
        </w:rPr>
        <w:lastRenderedPageBreak/>
        <w:t>Reactive Oxygen Species Generation and Atherosclerosis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W.</w:t>
      </w:r>
      <w:r w:rsidR="007F7074">
        <w:rPr>
          <w:rFonts w:ascii="Times New Roman" w:hAnsi="Times New Roman" w:cs="Times New Roman"/>
          <w:sz w:val="28"/>
          <w:szCs w:val="28"/>
          <w:lang w:val="en-US"/>
        </w:rPr>
        <w:t xml:space="preserve"> N. Nowak, J. Deng, X. Z. Ruan </w:t>
      </w:r>
      <w:r w:rsidR="007F7074"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52.</w:t>
      </w:r>
      <w:bookmarkEnd w:id="15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3" w:name="_Ref493729464"/>
      <w:r w:rsidRPr="00156441">
        <w:rPr>
          <w:rFonts w:ascii="Times New Roman" w:hAnsi="Times New Roman" w:cs="Times New Roman"/>
          <w:sz w:val="28"/>
          <w:szCs w:val="28"/>
          <w:lang w:val="en-US"/>
        </w:rPr>
        <w:t>Brown Adipose Tissue Regulates Small Artery Function Through NADPH Oxidase 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Derived Hydrogen Peroxide and Redox</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Sensitive Protein Kinase G</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1α</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w:t>
      </w:r>
      <w:r w:rsidR="007F7074">
        <w:rPr>
          <w:rFonts w:ascii="Times New Roman" w:hAnsi="Times New Roman" w:cs="Times New Roman"/>
          <w:sz w:val="28"/>
          <w:szCs w:val="28"/>
          <w:lang w:val="en-US"/>
        </w:rPr>
        <w:t> </w:t>
      </w:r>
      <w:r w:rsidRPr="00156441">
        <w:rPr>
          <w:rFonts w:ascii="Times New Roman" w:hAnsi="Times New Roman" w:cs="Times New Roman"/>
          <w:sz w:val="28"/>
          <w:szCs w:val="28"/>
          <w:lang w:val="en-US"/>
        </w:rPr>
        <w:t>Friederich</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Persson, A. Nguyen Dinh Cat, P. Persson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7F707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455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465.</w:t>
      </w:r>
      <w:bookmarkEnd w:id="15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4" w:name="_Ref493730112"/>
      <w:r w:rsidRPr="00156441">
        <w:rPr>
          <w:rFonts w:ascii="Times New Roman" w:hAnsi="Times New Roman" w:cs="Times New Roman"/>
          <w:sz w:val="28"/>
          <w:szCs w:val="28"/>
          <w:lang w:val="en-US"/>
        </w:rPr>
        <w:t>Lean and Obese Coronary Perivascular Adipose Tissue Impairs Vasodilation via Differential Inhibition of Vascular Smooth Muscle K+ Channels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N. Noblet, M. K. Owen, A. G. Goodwill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1393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1400.</w:t>
      </w:r>
      <w:bookmarkEnd w:id="15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5" w:name="_Ref493730527"/>
      <w:r w:rsidRPr="00156441">
        <w:rPr>
          <w:rFonts w:ascii="Times New Roman" w:hAnsi="Times New Roman" w:cs="Times New Roman"/>
          <w:sz w:val="28"/>
          <w:szCs w:val="28"/>
          <w:lang w:val="en-US"/>
        </w:rPr>
        <w:t>Role of Adipose Tissue Endothelial ADAM17 in Age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Related Coronary Microvascular Dysfunction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Dou, A. Feher, A. C. Davila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1180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1193.</w:t>
      </w:r>
      <w:bookmarkEnd w:id="15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6" w:name="_Ref493730847"/>
      <w:r w:rsidRPr="00156441">
        <w:rPr>
          <w:rFonts w:ascii="Times New Roman" w:hAnsi="Times New Roman" w:cs="Times New Roman"/>
          <w:sz w:val="28"/>
          <w:szCs w:val="28"/>
          <w:lang w:val="en-US"/>
        </w:rPr>
        <w:t>Candela J. Microvascular Endothelial Dysfunction in Obesity Is Driven by Macrophage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Dependent Hydrogen Sulfide Depletion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Candela, R. Wang, C. White</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889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899.</w:t>
      </w:r>
      <w:bookmarkEnd w:id="15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7" w:name="_Ref493731086"/>
      <w:r w:rsidRPr="00156441">
        <w:rPr>
          <w:rFonts w:ascii="Times New Roman" w:hAnsi="Times New Roman" w:cs="Times New Roman"/>
          <w:sz w:val="28"/>
          <w:szCs w:val="28"/>
          <w:lang w:val="en-US"/>
        </w:rPr>
        <w:t>Uncoupling of Endothelial Nitric Oxide Synthase in Perivascular Adipose Tissue of Diet</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Induced Obese Mice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 Xia, S. Horke, A. Habermeier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85.</w:t>
      </w:r>
      <w:bookmarkEnd w:id="15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8" w:name="_Ref493731255"/>
      <w:r w:rsidRPr="00156441">
        <w:rPr>
          <w:rFonts w:ascii="Times New Roman" w:hAnsi="Times New Roman" w:cs="Times New Roman"/>
          <w:sz w:val="28"/>
          <w:szCs w:val="28"/>
          <w:lang w:val="en-US"/>
        </w:rPr>
        <w:t>Obesity</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Related Perivascular Adipose Tissue Damage Is Reversed by Sustained Weight Loss in the Rat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E. Bussey, S. B. Withers, R. G. Aldous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1377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1385.</w:t>
      </w:r>
      <w:bookmarkEnd w:id="15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59" w:name="_Ref493732933"/>
      <w:r w:rsidRPr="00156441">
        <w:rPr>
          <w:rFonts w:ascii="Times New Roman" w:hAnsi="Times New Roman" w:cs="Times New Roman"/>
          <w:sz w:val="28"/>
          <w:szCs w:val="28"/>
          <w:lang w:val="en-US"/>
        </w:rPr>
        <w:t>Protective Roles of Endothelial AMP</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Activated Protein Kinase Against Hypoxia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Induced Pulmonary Hypertension in Mice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Omura, K. Satoh, N. Kikuchi [et</w:t>
      </w:r>
      <w:r w:rsidR="00B23B08" w:rsidRPr="00B23B08">
        <w:rPr>
          <w:rFonts w:ascii="Times New Roman" w:hAnsi="Times New Roman" w:cs="Times New Roman"/>
          <w:sz w:val="28"/>
          <w:szCs w:val="28"/>
          <w:lang w:val="en-US"/>
        </w:rPr>
        <w:t> </w:t>
      </w:r>
      <w:r w:rsidRPr="00156441">
        <w:rPr>
          <w:rFonts w:ascii="Times New Roman" w:hAnsi="Times New Roman" w:cs="Times New Roman"/>
          <w:sz w:val="28"/>
          <w:szCs w:val="28"/>
          <w:lang w:val="en-US"/>
        </w:rPr>
        <w:t>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Circ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197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209.</w:t>
      </w:r>
      <w:bookmarkEnd w:id="15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0" w:name="_Ref493733577"/>
      <w:r w:rsidRPr="00156441">
        <w:rPr>
          <w:rFonts w:ascii="Times New Roman" w:hAnsi="Times New Roman" w:cs="Times New Roman"/>
          <w:sz w:val="28"/>
          <w:szCs w:val="28"/>
          <w:lang w:val="en-US"/>
        </w:rPr>
        <w:t>Bai B. Loss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of</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SIRT1 function during vascular ageing: hyperphosphorylation mediated by cyclin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dependent kinase 5</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Bai, P. M. Vanhoutte, Y. Wang</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Trends</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81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84.</w:t>
      </w:r>
      <w:bookmarkEnd w:id="16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1" w:name="_Ref493734062"/>
      <w:r w:rsidRPr="00156441">
        <w:rPr>
          <w:rFonts w:ascii="Times New Roman" w:hAnsi="Times New Roman" w:cs="Times New Roman"/>
          <w:sz w:val="28"/>
          <w:szCs w:val="28"/>
          <w:lang w:val="en-US"/>
        </w:rPr>
        <w:lastRenderedPageBreak/>
        <w:t>AMP</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Activated Protein Kinase and Sirtuin 1 Coregulation of Cortactin Contributes to Endothelial Function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P. Shentu, M. He, X. Sun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2358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2368.</w:t>
      </w:r>
      <w:bookmarkEnd w:id="16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2" w:name="_Ref493734063"/>
      <w:r w:rsidRPr="00156441">
        <w:rPr>
          <w:rFonts w:ascii="Times New Roman" w:hAnsi="Times New Roman" w:cs="Times New Roman"/>
          <w:sz w:val="28"/>
          <w:szCs w:val="28"/>
          <w:lang w:val="en-US"/>
        </w:rPr>
        <w:t>Belvitch P. Cortactin in Atherosclerosis: Just Say NO</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Belvitch, A. N. Rizzo, S. M. Dudek</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2278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2280.</w:t>
      </w:r>
      <w:bookmarkEnd w:id="16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3" w:name="_Ref493734280"/>
      <w:r w:rsidRPr="00156441">
        <w:rPr>
          <w:rFonts w:ascii="Times New Roman" w:hAnsi="Times New Roman" w:cs="Times New Roman"/>
          <w:sz w:val="28"/>
          <w:szCs w:val="28"/>
          <w:lang w:val="en-US"/>
        </w:rPr>
        <w:t>P66Shc</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Induced MicroRNA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34a Causes Diabetic Endothelial Dysfunction by Downregulating Sirtuin1</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Q. Li, Y. R. Kim, A. Vikram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2394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2403.</w:t>
      </w:r>
      <w:bookmarkEnd w:id="16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4" w:name="_Ref493734733"/>
      <w:r w:rsidRPr="00156441">
        <w:rPr>
          <w:rFonts w:ascii="Times New Roman" w:hAnsi="Times New Roman" w:cs="Times New Roman"/>
          <w:sz w:val="28"/>
          <w:szCs w:val="28"/>
          <w:lang w:val="en-US"/>
        </w:rPr>
        <w:t>Leung S. W. Endothelium</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dependent hyperpolarization: age, gender and blood pressure, do they matter?</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W. Leung, P. M. Vanhoutte</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Acta</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Physiol</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(Oxf)</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219,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123.</w:t>
      </w:r>
      <w:bookmarkEnd w:id="16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5" w:name="_Ref493735113"/>
      <w:r w:rsidRPr="00156441">
        <w:rPr>
          <w:rFonts w:ascii="Times New Roman" w:hAnsi="Times New Roman" w:cs="Times New Roman"/>
          <w:sz w:val="28"/>
          <w:szCs w:val="28"/>
          <w:lang w:val="en-US"/>
        </w:rPr>
        <w:t>Stott J. B. Kv7 Channel Activation Underpins EPAC</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Dependent Relaxations of Rat Arteries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B. Stott, V. Barrese, I. A. Greenwood</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2404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2411.</w:t>
      </w:r>
      <w:bookmarkEnd w:id="16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6" w:name="_Ref493735329"/>
      <w:r w:rsidRPr="00156441">
        <w:rPr>
          <w:rFonts w:ascii="Times New Roman" w:hAnsi="Times New Roman" w:cs="Times New Roman"/>
          <w:sz w:val="28"/>
          <w:szCs w:val="28"/>
          <w:lang w:val="en-US"/>
        </w:rPr>
        <w:t>Role of KCa3.1 Channels in Macrophage Polarization and Its Relevance in Atherosclerotic Plaque Instability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Xu, C. Li, Y. Wu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226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236.</w:t>
      </w:r>
      <w:bookmarkEnd w:id="16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7" w:name="_Ref493735440"/>
      <w:r w:rsidRPr="00156441">
        <w:rPr>
          <w:rFonts w:ascii="Times New Roman" w:hAnsi="Times New Roman" w:cs="Times New Roman"/>
          <w:sz w:val="28"/>
          <w:szCs w:val="28"/>
          <w:lang w:val="en-US"/>
        </w:rPr>
        <w:t>Wulff H. Endothelial small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conductance and intermediate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conductance KCa channels: an update on their pharmacology and usefulness as cardiovascular targets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Wulff, R. Köhler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Pharmacol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112.</w:t>
      </w:r>
      <w:bookmarkEnd w:id="16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8" w:name="_Ref493735640"/>
      <w:r w:rsidRPr="00156441">
        <w:rPr>
          <w:rFonts w:ascii="Times New Roman" w:hAnsi="Times New Roman" w:cs="Times New Roman"/>
          <w:sz w:val="28"/>
          <w:szCs w:val="28"/>
          <w:lang w:val="en-US"/>
        </w:rPr>
        <w:t>Bone Morphogenic Protein 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Smad</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Induced Upregulation of Platelet</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Derived Growth Factor AA Impairs Endothelial Function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W. Hu, Y. Zhang, L. Wang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553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560.</w:t>
      </w:r>
      <w:bookmarkEnd w:id="16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69" w:name="_Ref493736049"/>
      <w:r w:rsidRPr="00156441">
        <w:rPr>
          <w:rFonts w:ascii="Times New Roman" w:hAnsi="Times New Roman" w:cs="Times New Roman"/>
          <w:sz w:val="28"/>
          <w:szCs w:val="28"/>
          <w:lang w:val="en-US"/>
        </w:rPr>
        <w:t>Endothelial Cell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Specific Deletion of P2Y2 Receptor Promotes Plaque Stability in Atherosclerosis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Susceptible ApoE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Null Mice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X. Chen, S. Qian, A. Hoggatt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83.</w:t>
      </w:r>
      <w:bookmarkEnd w:id="16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70" w:name="_Ref502067555"/>
      <w:r w:rsidRPr="00156441">
        <w:rPr>
          <w:rFonts w:ascii="Times New Roman" w:hAnsi="Times New Roman" w:cs="Times New Roman"/>
          <w:sz w:val="28"/>
          <w:szCs w:val="28"/>
          <w:lang w:val="ru-RU"/>
        </w:rPr>
        <w:t xml:space="preserve">Участие провоспалительных цитокинов </w:t>
      </w:r>
      <w:r w:rsidRPr="00156441">
        <w:rPr>
          <w:rFonts w:ascii="Times New Roman" w:hAnsi="Times New Roman" w:cs="Times New Roman"/>
          <w:sz w:val="28"/>
          <w:szCs w:val="28"/>
          <w:lang w:val="en-US"/>
        </w:rPr>
        <w:t>IL</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 xml:space="preserve">17, </w:t>
      </w:r>
      <w:r w:rsidRPr="00156441">
        <w:rPr>
          <w:rFonts w:ascii="Times New Roman" w:hAnsi="Times New Roman" w:cs="Times New Roman"/>
          <w:sz w:val="28"/>
          <w:szCs w:val="28"/>
          <w:lang w:val="en-US"/>
        </w:rPr>
        <w:t>IL</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 xml:space="preserve">18 и </w:t>
      </w:r>
      <w:r w:rsidRPr="00156441">
        <w:rPr>
          <w:rFonts w:ascii="Times New Roman" w:hAnsi="Times New Roman" w:cs="Times New Roman"/>
          <w:sz w:val="28"/>
          <w:szCs w:val="28"/>
          <w:lang w:val="en-US"/>
        </w:rPr>
        <w:t>TNF</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 xml:space="preserve">альфа в развитии нарушений легочной и внутрисердечной гемодинамики при хронической </w:t>
      </w:r>
      <w:r w:rsidRPr="00156441">
        <w:rPr>
          <w:rFonts w:ascii="Times New Roman" w:hAnsi="Times New Roman" w:cs="Times New Roman"/>
          <w:sz w:val="28"/>
          <w:szCs w:val="28"/>
          <w:lang w:val="ru-RU"/>
        </w:rPr>
        <w:lastRenderedPageBreak/>
        <w:t>обструктивной болезни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М. В. Болдина, Л. Б. Постникова, Н. И. Кубышева</w:t>
      </w:r>
      <w:r w:rsidR="00B23B08">
        <w:rPr>
          <w:rFonts w:ascii="Times New Roman" w:hAnsi="Times New Roman" w:cs="Times New Roman"/>
          <w:sz w:val="28"/>
          <w:szCs w:val="28"/>
          <w:lang w:val="ru-RU"/>
        </w:rPr>
        <w:t xml:space="preserve">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Пульмонология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37.</w:t>
      </w:r>
      <w:bookmarkEnd w:id="17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1" w:name="_Ref493736192"/>
      <w:r w:rsidRPr="00156441">
        <w:rPr>
          <w:rFonts w:ascii="Times New Roman" w:hAnsi="Times New Roman" w:cs="Times New Roman"/>
          <w:sz w:val="28"/>
          <w:szCs w:val="28"/>
          <w:lang w:val="en-US"/>
        </w:rPr>
        <w:t>The Aging Cardiovascular System: Understanding It at the Cellular and Clinical Levels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F. Paneni, C. Diaz Cañestro, P. Libby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Coll</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1952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1967.</w:t>
      </w:r>
      <w:bookmarkEnd w:id="17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2" w:name="_Ref493736509"/>
      <w:r w:rsidRPr="00156441">
        <w:rPr>
          <w:rFonts w:ascii="Times New Roman" w:hAnsi="Times New Roman" w:cs="Times New Roman"/>
          <w:sz w:val="28"/>
          <w:szCs w:val="28"/>
          <w:lang w:val="en-US"/>
        </w:rPr>
        <w:t>Vascular Inflammation Evaluated by [18F]</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Fluorodeoxyglucose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Positron Emission Tomography/Computed Tomography Is Associated With Endothelial Dysfunction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Honda, N. Tahara, Y. Nitta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00B23B08">
        <w:rPr>
          <w:rFonts w:ascii="Times New Roman" w:hAnsi="Times New Roman" w:cs="Times New Roman"/>
          <w:sz w:val="28"/>
          <w:szCs w:val="28"/>
          <w:lang w:val="en-US"/>
        </w:rPr>
        <w:t xml:space="preserve"> Vasc. </w:t>
      </w:r>
      <w:r w:rsidRPr="00156441">
        <w:rPr>
          <w:rFonts w:ascii="Times New Roman" w:hAnsi="Times New Roman" w:cs="Times New Roman"/>
          <w:sz w:val="28"/>
          <w:szCs w:val="28"/>
          <w:lang w:val="en-US"/>
        </w:rPr>
        <w:t>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1980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1988.</w:t>
      </w:r>
      <w:bookmarkEnd w:id="17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3" w:name="_Ref493736686"/>
      <w:r w:rsidRPr="00156441">
        <w:rPr>
          <w:rFonts w:ascii="Times New Roman" w:hAnsi="Times New Roman" w:cs="Times New Roman"/>
          <w:sz w:val="28"/>
          <w:szCs w:val="28"/>
          <w:lang w:val="en-US"/>
        </w:rPr>
        <w:t>Circulating Levels of Interleukin 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Receptor Antagonist and Risk of Cardiovascular Disease: Meta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Analysis of Six Population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Based Cohorts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Herder, T. de Las Heras Gala, M. Carstensen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Kirberg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1222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1227.</w:t>
      </w:r>
      <w:bookmarkEnd w:id="17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4" w:name="_Ref493737094"/>
      <w:r w:rsidRPr="00156441">
        <w:rPr>
          <w:rFonts w:ascii="Times New Roman" w:hAnsi="Times New Roman" w:cs="Times New Roman"/>
          <w:sz w:val="28"/>
          <w:szCs w:val="28"/>
          <w:lang w:val="en-US"/>
        </w:rPr>
        <w:t>Ridker P. M. Closing the loop on inflammation and atherothrombosis: why perform the CIRT and CANTOS trials?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M. Ridker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Trans</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Clin</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Climatol</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Assoc</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174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190.</w:t>
      </w:r>
      <w:bookmarkEnd w:id="17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5" w:name="_Ref493737095"/>
      <w:r w:rsidRPr="00156441">
        <w:rPr>
          <w:rFonts w:ascii="Times New Roman" w:hAnsi="Times New Roman" w:cs="Times New Roman"/>
          <w:sz w:val="28"/>
          <w:szCs w:val="28"/>
          <w:lang w:val="en-US"/>
        </w:rPr>
        <w:t>Role of vascular inflammation in coronary artery disease: potential of anti</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inflammatory drugs in the prevention of atherothrombosis. Inflammation and anti</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inflammatory drugs in coronary artery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M. Moreira, R. L. da Silva, J. L. Vieira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Drugs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w:t>
      </w:r>
      <w:bookmarkEnd w:id="17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6" w:name="_Ref502040837"/>
      <w:r w:rsidRPr="00156441">
        <w:rPr>
          <w:rFonts w:ascii="Times New Roman" w:hAnsi="Times New Roman" w:cs="Times New Roman"/>
          <w:sz w:val="28"/>
          <w:szCs w:val="28"/>
          <w:lang w:val="en-US"/>
        </w:rPr>
        <w:t>Pulmonary hypertension: NHLBI Workshop on the Primary Prevention of Chronic Lung Diseases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 D. Austin, S. M. Kawut, M. T. Gladwin</w:t>
      </w:r>
      <w:r w:rsidR="00B23B08" w:rsidRPr="00B23B08">
        <w:rPr>
          <w:rFonts w:ascii="Times New Roman" w:hAnsi="Times New Roman" w:cs="Times New Roman"/>
          <w:sz w:val="28"/>
          <w:szCs w:val="28"/>
          <w:lang w:val="en-US"/>
        </w:rPr>
        <w:t xml:space="preserve"> </w:t>
      </w:r>
      <w:r w:rsidR="00B23B08"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Ann</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Thorac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Soc</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 Suppl. 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178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185.</w:t>
      </w:r>
      <w:bookmarkEnd w:id="17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7" w:name="_Ref502047006"/>
      <w:r w:rsidRPr="00156441">
        <w:rPr>
          <w:rFonts w:ascii="Times New Roman" w:hAnsi="Times New Roman" w:cs="Times New Roman"/>
          <w:sz w:val="28"/>
          <w:szCs w:val="28"/>
          <w:lang w:val="en-US"/>
        </w:rPr>
        <w:t>Neuroinflammation in pulmonary hypertension: concept, facts, and relevance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M. Hilzendeger, V. Shenoy, M. K. Raizada</w:t>
      </w:r>
      <w:r w:rsidR="00B23B08" w:rsidRPr="00B23B08">
        <w:rPr>
          <w:rFonts w:ascii="Times New Roman" w:hAnsi="Times New Roman" w:cs="Times New Roman"/>
          <w:sz w:val="28"/>
          <w:szCs w:val="28"/>
          <w:lang w:val="en-US"/>
        </w:rPr>
        <w:t xml:space="preserve"> </w:t>
      </w:r>
      <w:r w:rsidR="00B23B08"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Curr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Hypertens</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Rep</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469.</w:t>
      </w:r>
      <w:bookmarkEnd w:id="17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8" w:name="_Ref493737624"/>
      <w:r w:rsidRPr="00156441">
        <w:rPr>
          <w:rFonts w:ascii="Times New Roman" w:hAnsi="Times New Roman" w:cs="Times New Roman"/>
          <w:sz w:val="28"/>
          <w:szCs w:val="28"/>
          <w:lang w:val="en-US"/>
        </w:rPr>
        <w:t>Xue C. Extracellular Cyclophilin A, Especially Acetylated, Causes Pulmonary Hypertension by Stimulating Endothelial Apoptosis, Redox Stress, and Inflammation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Xue, M. Sowden, B. C. Berk</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1138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1146.</w:t>
      </w:r>
      <w:bookmarkEnd w:id="17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79" w:name="_Ref493737900"/>
      <w:r w:rsidRPr="00156441">
        <w:rPr>
          <w:rFonts w:ascii="Times New Roman" w:hAnsi="Times New Roman" w:cs="Times New Roman"/>
          <w:sz w:val="28"/>
          <w:szCs w:val="28"/>
          <w:lang w:val="en-US"/>
        </w:rPr>
        <w:lastRenderedPageBreak/>
        <w:t>Implication of Inflammation and Epigenetic Readers in Coronary Artery Remodeling in Patients With Pulmonary Arterial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Meloche, M.</w:t>
      </w:r>
      <w:r w:rsidR="00B23B08" w:rsidRPr="00B23B08">
        <w:rPr>
          <w:rFonts w:ascii="Times New Roman" w:hAnsi="Times New Roman" w:cs="Times New Roman"/>
          <w:sz w:val="28"/>
          <w:szCs w:val="28"/>
          <w:lang w:val="en-US"/>
        </w:rPr>
        <w:t> </w:t>
      </w:r>
      <w:r w:rsidRPr="00156441">
        <w:rPr>
          <w:rFonts w:ascii="Times New Roman" w:hAnsi="Times New Roman" w:cs="Times New Roman"/>
          <w:sz w:val="28"/>
          <w:szCs w:val="28"/>
          <w:lang w:val="en-US"/>
        </w:rPr>
        <w:t>C.</w:t>
      </w:r>
      <w:r w:rsidR="00B23B08" w:rsidRPr="00B23B08">
        <w:rPr>
          <w:rFonts w:ascii="Times New Roman" w:hAnsi="Times New Roman" w:cs="Times New Roman"/>
          <w:sz w:val="28"/>
          <w:szCs w:val="28"/>
          <w:lang w:val="en-US"/>
        </w:rPr>
        <w:t> </w:t>
      </w:r>
      <w:r w:rsidRPr="00156441">
        <w:rPr>
          <w:rFonts w:ascii="Times New Roman" w:hAnsi="Times New Roman" w:cs="Times New Roman"/>
          <w:sz w:val="28"/>
          <w:szCs w:val="28"/>
          <w:lang w:val="en-US"/>
        </w:rPr>
        <w:t>Lampron, V. Nadeau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1513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1523.</w:t>
      </w:r>
      <w:bookmarkEnd w:id="17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0" w:name="_Ref493738075"/>
      <w:r w:rsidRPr="00156441">
        <w:rPr>
          <w:rFonts w:ascii="Times New Roman" w:hAnsi="Times New Roman" w:cs="Times New Roman"/>
          <w:sz w:val="28"/>
          <w:szCs w:val="28"/>
          <w:lang w:val="en-US"/>
        </w:rPr>
        <w:t>Hypoxia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Inducible Factor 1α Is a Critical Downstream Mediator for Hypoxia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Induced Mitogenic Factor (FIZZ1/RELMα)</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Induced Pulmonary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A. Johns, E. Takimoto, L. W. Meuchel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134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144.</w:t>
      </w:r>
      <w:bookmarkEnd w:id="18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1" w:name="_Ref502061522"/>
      <w:r w:rsidRPr="00156441">
        <w:rPr>
          <w:rFonts w:ascii="Times New Roman" w:hAnsi="Times New Roman" w:cs="Times New Roman"/>
          <w:sz w:val="28"/>
          <w:szCs w:val="28"/>
          <w:lang w:val="en-US"/>
        </w:rPr>
        <w:t>Hypoxic pulmonary vasoconstriction: from molecular mechanisms to medicine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 J. Dunham</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Snary, D. Wu, E. A. Sykes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Chest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181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192.</w:t>
      </w:r>
      <w:bookmarkEnd w:id="18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2" w:name="_Ref493738381"/>
      <w:r w:rsidRPr="00156441">
        <w:rPr>
          <w:rFonts w:ascii="Times New Roman" w:hAnsi="Times New Roman" w:cs="Times New Roman"/>
          <w:sz w:val="28"/>
          <w:szCs w:val="28"/>
          <w:lang w:val="en-US"/>
        </w:rPr>
        <w:t>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Sectional Associations of Flow Reversal, Vascular Function, and Arterial Stiffness in the Framingham Heart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Bretón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Romero, N. Wang, J. Palmisano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2452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2459.</w:t>
      </w:r>
      <w:bookmarkEnd w:id="18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3" w:name="_Ref493738599"/>
      <w:r w:rsidRPr="00156441">
        <w:rPr>
          <w:rFonts w:ascii="Times New Roman" w:hAnsi="Times New Roman" w:cs="Times New Roman"/>
          <w:sz w:val="28"/>
          <w:szCs w:val="28"/>
          <w:lang w:val="en-US"/>
        </w:rPr>
        <w:t>Nonalcoholic fatty liver disease and vascular function: 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sectional analysis in the Framingham heart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T. Long, N. Wang, M. G. Larson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1284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1291.</w:t>
      </w:r>
      <w:bookmarkEnd w:id="18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4" w:name="_Ref493738917"/>
      <w:r w:rsidRPr="00156441">
        <w:rPr>
          <w:rFonts w:ascii="Times New Roman" w:hAnsi="Times New Roman" w:cs="Times New Roman"/>
          <w:sz w:val="28"/>
          <w:szCs w:val="28"/>
          <w:lang w:val="en-US"/>
        </w:rPr>
        <w:t>New Functional Tools for Antithrombogenic Activity Assessment of Live Surface Glycocalyx</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Dimitrievska, L. Gui, A. Weyers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1847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1853.</w:t>
      </w:r>
      <w:bookmarkEnd w:id="18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5" w:name="_Ref493739244"/>
      <w:r w:rsidRPr="00156441">
        <w:rPr>
          <w:rFonts w:ascii="Times New Roman" w:hAnsi="Times New Roman" w:cs="Times New Roman"/>
          <w:sz w:val="28"/>
          <w:szCs w:val="28"/>
          <w:lang w:val="en-US"/>
        </w:rPr>
        <w:t>Serum Angiopoietin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Like Protein 2 Is a Novel Risk Factor for Cardiovascular Disease in the Community: The Hisayama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Hata, N. Mukai, M. Nagata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1686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1691.</w:t>
      </w:r>
      <w:bookmarkEnd w:id="18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6" w:name="_Ref493739484"/>
      <w:r w:rsidRPr="00156441">
        <w:rPr>
          <w:rFonts w:ascii="Times New Roman" w:hAnsi="Times New Roman" w:cs="Times New Roman"/>
          <w:sz w:val="28"/>
          <w:szCs w:val="28"/>
          <w:lang w:val="en-US"/>
        </w:rPr>
        <w:t>Plasma Soluble Endoglin Levels Are Inversely Associated With the Severity of Coronary Atherosclerosis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Brief Report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 Saita, K. Miura, N. Suzuki</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Sugihara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52.</w:t>
      </w:r>
      <w:bookmarkEnd w:id="18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7" w:name="_Ref493739827"/>
      <w:r w:rsidRPr="00156441">
        <w:rPr>
          <w:rFonts w:ascii="Times New Roman" w:hAnsi="Times New Roman" w:cs="Times New Roman"/>
          <w:sz w:val="28"/>
          <w:szCs w:val="28"/>
          <w:lang w:val="en-US"/>
        </w:rPr>
        <w:t>Pasterkamp G. The Microvasculature: The Next Battlefield Where Transforming Growth Factor</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β and Endoglin Draw Their Double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Edged Swords?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 xml:space="preserve">G. </w:t>
      </w:r>
      <w:r w:rsidRPr="00156441">
        <w:rPr>
          <w:rFonts w:ascii="Times New Roman" w:hAnsi="Times New Roman" w:cs="Times New Roman"/>
          <w:sz w:val="28"/>
          <w:szCs w:val="28"/>
          <w:lang w:val="en-US"/>
        </w:rPr>
        <w:lastRenderedPageBreak/>
        <w:t>Pasterkamp, M. J. Goumans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B23B08" w:rsidRPr="00B23B08">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w:t>
      </w:r>
      <w:bookmarkEnd w:id="18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88" w:name="_Ref493739949"/>
      <w:r w:rsidRPr="00156441">
        <w:rPr>
          <w:rFonts w:ascii="Times New Roman" w:hAnsi="Times New Roman" w:cs="Times New Roman"/>
          <w:sz w:val="28"/>
          <w:szCs w:val="28"/>
          <w:lang w:val="en-US"/>
        </w:rPr>
        <w:t>Elevated Homocysteine Concentrations Decrease the Antihypertensive Effect of Angiotensin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Converting Enzyme Inhibitors in Hypertensive Patients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X. Qin, Y. Li, N. Sun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166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172.</w:t>
      </w:r>
      <w:bookmarkEnd w:id="18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89" w:name="_Ref502065754"/>
      <w:r w:rsidRPr="00156441">
        <w:rPr>
          <w:rFonts w:ascii="Times New Roman" w:hAnsi="Times New Roman" w:cs="Times New Roman"/>
          <w:sz w:val="28"/>
          <w:szCs w:val="28"/>
          <w:lang w:val="ru-RU"/>
        </w:rPr>
        <w:t>Генетика легочной гипертензии</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 xml:space="preserve">Л. В. Брегель, </w:t>
      </w:r>
      <w:r w:rsidR="00B23B08">
        <w:rPr>
          <w:rFonts w:ascii="Times New Roman" w:hAnsi="Times New Roman" w:cs="Times New Roman"/>
          <w:sz w:val="28"/>
          <w:szCs w:val="28"/>
          <w:lang w:val="ru-RU"/>
        </w:rPr>
        <w:t xml:space="preserve">Ю. М. Белозеров, П. В. Новиков </w:t>
      </w:r>
      <w:r w:rsidR="00B23B08" w:rsidRPr="00156441">
        <w:rPr>
          <w:rFonts w:ascii="Times New Roman" w:hAnsi="Times New Roman" w:cs="Times New Roman"/>
          <w:sz w:val="28"/>
          <w:szCs w:val="28"/>
          <w:lang w:val="ru-RU"/>
        </w:rPr>
        <w:t xml:space="preserve">[и др.] </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Российский вестник перинатологии и педиатрии</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22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27.</w:t>
      </w:r>
      <w:bookmarkEnd w:id="18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90" w:name="_Ref502065806"/>
      <w:r w:rsidRPr="00156441">
        <w:rPr>
          <w:rFonts w:ascii="Times New Roman" w:hAnsi="Times New Roman" w:cs="Times New Roman"/>
          <w:sz w:val="28"/>
          <w:szCs w:val="28"/>
          <w:lang w:val="ru-RU"/>
        </w:rPr>
        <w:t>Диагностика предрасположенности к формированию хронического легочного сердца при профессиональной пылевой патологии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 И. Панев, О. Ю. Коротенко, В. В. Захаренков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Медицина труда и промышленная экология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10</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35</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39.</w:t>
      </w:r>
      <w:bookmarkEnd w:id="19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91" w:name="_Ref493740071"/>
      <w:r w:rsidRPr="00156441">
        <w:rPr>
          <w:rFonts w:ascii="Times New Roman" w:hAnsi="Times New Roman" w:cs="Times New Roman"/>
          <w:sz w:val="28"/>
          <w:szCs w:val="28"/>
          <w:lang w:val="en-US"/>
        </w:rPr>
        <w:t>Homocysteine accelerates senescence of endothelial cells via DNA hypomethylation of human telomerase reverse transcriptase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Zhang, X. Sun, J. Liu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 Thromb Vasc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78.</w:t>
      </w:r>
      <w:bookmarkEnd w:id="19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92" w:name="_Ref502058405"/>
      <w:r w:rsidRPr="00156441">
        <w:rPr>
          <w:rFonts w:ascii="Times New Roman" w:hAnsi="Times New Roman" w:cs="Times New Roman"/>
          <w:sz w:val="28"/>
          <w:szCs w:val="28"/>
          <w:lang w:val="en-US"/>
        </w:rPr>
        <w:t>Ma L. The genetic basis of pulmonary arterial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Ma, W. K. Chung</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Hum Genet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133,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471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479.</w:t>
      </w:r>
      <w:bookmarkEnd w:id="19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93" w:name="_Ref493740225"/>
      <w:r w:rsidRPr="00156441">
        <w:rPr>
          <w:rFonts w:ascii="Times New Roman" w:hAnsi="Times New Roman" w:cs="Times New Roman"/>
          <w:sz w:val="28"/>
          <w:szCs w:val="28"/>
          <w:lang w:val="en-US"/>
        </w:rPr>
        <w:t>Prognostic Impacts of Plasma Levels of Cyclophilin A in Patients With Coronary Artery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Ohtsuki, K. Satoh, J. Omura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Arterioscler</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Thromb</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Vasc</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685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693.</w:t>
      </w:r>
      <w:bookmarkEnd w:id="19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194" w:name="_Ref502047224"/>
      <w:r w:rsidRPr="00156441">
        <w:rPr>
          <w:rFonts w:ascii="Times New Roman" w:hAnsi="Times New Roman" w:cs="Times New Roman"/>
          <w:sz w:val="28"/>
          <w:szCs w:val="28"/>
          <w:lang w:val="en-US"/>
        </w:rPr>
        <w:t>Mahadavan G. Brain natriuretic peptide: a biomarker for all cardiac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 Mahadavan, T. H. Nguyen, J. D. Horowitz</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Curr Opin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160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166.</w:t>
      </w:r>
      <w:bookmarkEnd w:id="19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95" w:name="_Ref502066125"/>
      <w:r w:rsidRPr="00156441">
        <w:rPr>
          <w:rFonts w:ascii="Times New Roman" w:hAnsi="Times New Roman" w:cs="Times New Roman"/>
          <w:sz w:val="28"/>
          <w:szCs w:val="28"/>
          <w:lang w:val="ru-RU"/>
        </w:rPr>
        <w:t>Лаврентьева Н. Е. Определение газового состава крови в диагностике хронических заболеваний органов дыхания</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 Е. Лаврентьева, Т. А. Азовскова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Справочник врача общей практики</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9</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16</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20.</w:t>
      </w:r>
      <w:bookmarkEnd w:id="19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96" w:name="_Ref502066255"/>
      <w:r w:rsidRPr="00156441">
        <w:rPr>
          <w:rFonts w:ascii="Times New Roman" w:hAnsi="Times New Roman" w:cs="Times New Roman"/>
          <w:sz w:val="28"/>
          <w:szCs w:val="28"/>
          <w:lang w:val="ru-RU"/>
        </w:rPr>
        <w:t xml:space="preserve">Легочная гемодинамика и состояние газового состава крови при хронической обструктивной болезни легких и ее сочетании со стабильной </w:t>
      </w:r>
      <w:r w:rsidRPr="00156441">
        <w:rPr>
          <w:rFonts w:ascii="Times New Roman" w:hAnsi="Times New Roman" w:cs="Times New Roman"/>
          <w:sz w:val="28"/>
          <w:szCs w:val="28"/>
          <w:lang w:val="ru-RU"/>
        </w:rPr>
        <w:lastRenderedPageBreak/>
        <w:t>стенокардией напряжения</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О. В. Голотина, В. А. Невзорова, О. И. Шекунова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Тихоокеанский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67</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69.</w:t>
      </w:r>
      <w:bookmarkEnd w:id="19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97" w:name="_Ref502066731"/>
      <w:r w:rsidRPr="00156441">
        <w:rPr>
          <w:rFonts w:ascii="Times New Roman" w:hAnsi="Times New Roman" w:cs="Times New Roman"/>
          <w:sz w:val="28"/>
          <w:szCs w:val="28"/>
          <w:lang w:val="ru-RU"/>
        </w:rPr>
        <w:t>Опімах</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Г. Оцінка порушень обміну кисню у хворих на хронічне обструктивне захворювання легень</w:t>
      </w:r>
      <w:r w:rsidR="009C6C87" w:rsidRPr="00156441">
        <w:rPr>
          <w:rFonts w:ascii="Times New Roman" w:hAnsi="Times New Roman" w:cs="Times New Roman"/>
          <w:sz w:val="28"/>
          <w:szCs w:val="28"/>
          <w:lang w:val="ru-RU"/>
        </w:rPr>
        <w:t xml:space="preserve"> /</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Г. Опімах</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Астма та алергія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34</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39.</w:t>
      </w:r>
      <w:bookmarkEnd w:id="19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98" w:name="_Ref502066677"/>
      <w:r w:rsidRPr="00156441">
        <w:rPr>
          <w:rFonts w:ascii="Times New Roman" w:hAnsi="Times New Roman" w:cs="Times New Roman"/>
          <w:sz w:val="28"/>
          <w:szCs w:val="28"/>
          <w:lang w:val="ru-RU"/>
        </w:rPr>
        <w:t>Никитин А. В. Влияние триметазидина на состояние кардиореспираторной системы у больных с ишемической болезнью сердца в сочетании с хроническим обструктивным бронхитом</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 В. Никитин, Л. В. Васильева, Х. А. Булуева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Consilium</w:t>
      </w:r>
      <w:r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en-US"/>
        </w:rPr>
        <w:t>medicum</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5</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48</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51.</w:t>
      </w:r>
      <w:bookmarkEnd w:id="19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199" w:name="_Ref502067668"/>
      <w:r w:rsidRPr="00156441">
        <w:rPr>
          <w:rFonts w:ascii="Times New Roman" w:hAnsi="Times New Roman" w:cs="Times New Roman"/>
          <w:sz w:val="28"/>
          <w:szCs w:val="28"/>
          <w:lang w:val="ru-RU"/>
        </w:rPr>
        <w:t>Прогностическая ценность эргоспирометрии у различных категорий пациентов с хронической сердечной недостаточностью</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И. Ю. Гиверц, М. Г. Полтавская, А. В. Бранд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Кардиология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33</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40.</w:t>
      </w:r>
      <w:bookmarkEnd w:id="19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0" w:name="_Ref502067669"/>
      <w:r w:rsidRPr="00156441">
        <w:rPr>
          <w:rFonts w:ascii="Times New Roman" w:hAnsi="Times New Roman" w:cs="Times New Roman"/>
          <w:sz w:val="28"/>
          <w:szCs w:val="28"/>
          <w:lang w:val="ru-RU"/>
        </w:rPr>
        <w:t>Эндотелиальная дисфункция периферических артерий и респираторная функция легких у пациентов с ХОЗЛ</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 Ю. Шварева, М. Б. Огаркова, И. Г. Федотов, И. Ф. Гришина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Уральский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3</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62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64.</w:t>
      </w:r>
      <w:bookmarkEnd w:id="20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1" w:name="_Ref502066956"/>
      <w:r w:rsidRPr="00156441">
        <w:rPr>
          <w:rFonts w:ascii="Times New Roman" w:hAnsi="Times New Roman" w:cs="Times New Roman"/>
          <w:sz w:val="28"/>
          <w:szCs w:val="28"/>
          <w:lang w:val="ru-RU"/>
        </w:rPr>
        <w:t>Провоспалительные цитокины при сочетании ишемической болезни сердца и хронической обструктивной болезни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 xml:space="preserve">В. М. Провоторов, А. </w:t>
      </w:r>
      <w:r w:rsidR="0097316B">
        <w:rPr>
          <w:rFonts w:ascii="Times New Roman" w:hAnsi="Times New Roman" w:cs="Times New Roman"/>
          <w:sz w:val="28"/>
          <w:szCs w:val="28"/>
          <w:lang w:val="ru-RU"/>
        </w:rPr>
        <w:t>В. Будневский, Г. Г. Семенкова [и др.]</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Клиническая медицина</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2015</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5</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9.</w:t>
      </w:r>
      <w:bookmarkEnd w:id="20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2" w:name="_Ref502066999"/>
      <w:r w:rsidRPr="00156441">
        <w:rPr>
          <w:rFonts w:ascii="Times New Roman" w:hAnsi="Times New Roman" w:cs="Times New Roman"/>
          <w:sz w:val="28"/>
          <w:szCs w:val="28"/>
          <w:lang w:val="ru-RU"/>
        </w:rPr>
        <w:t>Роль системного воспаления и эндотелиальной дисфункции в развитии левожелудочковой недостаточности у больных хронической обструктивной болезнью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 А. Кузубова, А. Ю. Гичкин, Е. А. Суркова</w:t>
      </w:r>
      <w:r w:rsidR="0097316B">
        <w:rPr>
          <w:rFonts w:ascii="Times New Roman" w:hAnsi="Times New Roman" w:cs="Times New Roman"/>
          <w:sz w:val="28"/>
          <w:szCs w:val="28"/>
          <w:lang w:val="ru-RU"/>
        </w:rPr>
        <w:t xml:space="preserve">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Пульмонология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41</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45.</w:t>
      </w:r>
      <w:bookmarkEnd w:id="20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3" w:name="_Ref502067605"/>
      <w:r w:rsidRPr="00156441">
        <w:rPr>
          <w:rFonts w:ascii="Times New Roman" w:hAnsi="Times New Roman" w:cs="Times New Roman"/>
          <w:sz w:val="28"/>
          <w:szCs w:val="28"/>
          <w:lang w:val="ru-RU"/>
        </w:rPr>
        <w:t>Электро</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 xml:space="preserve"> и эхокардиографические признаки легочного сердца у больных хронической обструктивной болезнью легких с сопутствующей артериальной гипертензией</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Э. Г. Акрамова, П. Стручков, Р. Ф. Хамитов</w:t>
      </w:r>
      <w:r w:rsidR="0097316B">
        <w:rPr>
          <w:rFonts w:ascii="Times New Roman" w:hAnsi="Times New Roman" w:cs="Times New Roman"/>
          <w:sz w:val="28"/>
          <w:szCs w:val="28"/>
          <w:lang w:val="ru-RU"/>
        </w:rPr>
        <w:t xml:space="preserve"> [и др.] </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Пульмонология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2013</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4</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46</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51.</w:t>
      </w:r>
      <w:bookmarkEnd w:id="20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4" w:name="_Ref502067285"/>
      <w:r w:rsidRPr="00156441">
        <w:rPr>
          <w:rFonts w:ascii="Times New Roman" w:hAnsi="Times New Roman" w:cs="Times New Roman"/>
          <w:sz w:val="28"/>
          <w:szCs w:val="28"/>
          <w:lang w:val="ru-RU"/>
        </w:rPr>
        <w:t>Ранние эхокардиографические признаки структурно</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 xml:space="preserve">функционального ремоделирования правого желудочка у больных хронической обструктивной </w:t>
      </w:r>
      <w:r w:rsidRPr="00156441">
        <w:rPr>
          <w:rFonts w:ascii="Times New Roman" w:hAnsi="Times New Roman" w:cs="Times New Roman"/>
          <w:sz w:val="28"/>
          <w:szCs w:val="28"/>
          <w:lang w:val="ru-RU"/>
        </w:rPr>
        <w:lastRenderedPageBreak/>
        <w:t>болезнью лёгких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 xml:space="preserve">Б. Я. Барт, </w:t>
      </w:r>
      <w:r w:rsidR="0097316B">
        <w:rPr>
          <w:rFonts w:ascii="Times New Roman" w:hAnsi="Times New Roman" w:cs="Times New Roman"/>
          <w:sz w:val="28"/>
          <w:szCs w:val="28"/>
          <w:lang w:val="ru-RU"/>
        </w:rPr>
        <w:t>Е. Н. Дергунова, Е. А. Вартанян</w:t>
      </w:r>
      <w:r w:rsidRPr="00156441">
        <w:rPr>
          <w:rFonts w:ascii="Times New Roman" w:hAnsi="Times New Roman" w:cs="Times New Roman"/>
          <w:sz w:val="28"/>
          <w:szCs w:val="28"/>
          <w:lang w:val="ru-RU"/>
        </w:rPr>
        <w:t xml:space="preserve"> </w:t>
      </w:r>
      <w:r w:rsidR="0097316B">
        <w:rPr>
          <w:rFonts w:ascii="Times New Roman" w:hAnsi="Times New Roman" w:cs="Times New Roman"/>
          <w:sz w:val="28"/>
          <w:szCs w:val="28"/>
          <w:lang w:val="ru-RU"/>
        </w:rPr>
        <w:t>[и др.]</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Российский кардиологический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3</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33</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37.</w:t>
      </w:r>
      <w:bookmarkEnd w:id="20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Роль внутрисердечной эхокардиографии в клинической электрофизиологии</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О. В. Сапельников, А.</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Партигулова, М. А. Саидова</w:t>
      </w:r>
      <w:r w:rsidR="0097316B">
        <w:rPr>
          <w:rFonts w:ascii="Times New Roman" w:hAnsi="Times New Roman" w:cs="Times New Roman"/>
          <w:sz w:val="28"/>
          <w:szCs w:val="28"/>
          <w:lang w:val="ru-RU"/>
        </w:rPr>
        <w:t xml:space="preserve"> [и др.] </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Кардиология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2015</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64</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69.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Саидова М. А. Роль современных методов эхокардиографии в диагностике легочной гипертензии</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М. А. Саидова, А.</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Лоскутова, Е. А. Кобаль</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Кардиология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5</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72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79.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Середюк В. Н. Оцінка ендотеліальної функції та вазорегуляції у хворих на хронічне легеневе серце залежно від стадії серцевої недостатності</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В. Н. Середюк</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Клінічна та експериментальна патологія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Т. 11, № 1 (39)</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142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146.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 xml:space="preserve"> Состояние коронарного русла у больных ишемической болезнью сердца в сочетании с хронической обструктивной болезнью легких по данным селективной коронароангиографии</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 Ю. Григорьева, Е. Г. Шарабрин, А. Н. Кузнецов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Кардиоваскулярная терапия и профилактика</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5</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29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32.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5" w:name="_Ref502066306"/>
      <w:r w:rsidRPr="00156441">
        <w:rPr>
          <w:rFonts w:ascii="Times New Roman" w:hAnsi="Times New Roman" w:cs="Times New Roman"/>
          <w:sz w:val="28"/>
          <w:szCs w:val="28"/>
          <w:lang w:val="ru-RU"/>
        </w:rPr>
        <w:t>Легочная гипертензия в России: первые результаты национального регистра</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И. Е. Чазова, О. А. Архипова, З.</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Валиева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Терапевтический архив</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9</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56</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64.</w:t>
      </w:r>
      <w:bookmarkEnd w:id="20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6" w:name="_Ref502066307"/>
      <w:r w:rsidRPr="00156441">
        <w:rPr>
          <w:rFonts w:ascii="Times New Roman" w:hAnsi="Times New Roman" w:cs="Times New Roman"/>
          <w:sz w:val="28"/>
          <w:szCs w:val="28"/>
          <w:lang w:val="ru-RU"/>
        </w:rPr>
        <w:t>Малов Ю.</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Диастолическая сердечная недостаточность: вымысел или реальность?</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Ю.</w:t>
      </w:r>
      <w:r w:rsidR="00F44EE4" w:rsidRPr="00156441">
        <w:rPr>
          <w:rFonts w:ascii="Times New Roman" w:hAnsi="Times New Roman" w:cs="Times New Roman"/>
          <w:sz w:val="28"/>
          <w:szCs w:val="28"/>
          <w:lang w:val="ru-RU"/>
        </w:rPr>
        <w:t xml:space="preserve"> С. </w:t>
      </w:r>
      <w:r w:rsidRPr="00156441">
        <w:rPr>
          <w:rFonts w:ascii="Times New Roman" w:hAnsi="Times New Roman" w:cs="Times New Roman"/>
          <w:sz w:val="28"/>
          <w:szCs w:val="28"/>
          <w:lang w:val="ru-RU"/>
        </w:rPr>
        <w:t>Малов</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Новые Санкт</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Петербургские врачебные ведомости</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70</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76.</w:t>
      </w:r>
      <w:bookmarkEnd w:id="20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Оценка ранних признаков дисфункции правых камер сердца у пациентов с ХОЗЛ</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О. А. Жук, В. Е. Перлей, А. Ю. Гичкин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Уральский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7</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112</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115.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 xml:space="preserve"> Оценка систолической функции правого желудочка с использованием показателей продольной деформации у пациентов с ХОЗЛ</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О. А. Жук, В. Е. Перлей, А. Ю. Гичкин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Уральский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w:t>
      </w:r>
      <w:r w:rsidR="0097316B">
        <w:rPr>
          <w:rFonts w:ascii="Times New Roman" w:hAnsi="Times New Roman" w:cs="Times New Roman"/>
          <w:sz w:val="28"/>
          <w:szCs w:val="28"/>
          <w:lang w:val="ru-RU"/>
        </w:rPr>
        <w:t> </w:t>
      </w:r>
      <w:r w:rsidRPr="00156441">
        <w:rPr>
          <w:rFonts w:ascii="Times New Roman" w:hAnsi="Times New Roman" w:cs="Times New Roman"/>
          <w:sz w:val="28"/>
          <w:szCs w:val="28"/>
          <w:lang w:val="ru-RU"/>
        </w:rPr>
        <w:t>7</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107</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111.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lastRenderedPageBreak/>
        <w:t xml:space="preserve"> Оценка функции правых отделов сердца методом тканевой допплерографии у больных хронической обструктивной болезнью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 xml:space="preserve">Б. Я. Барт, О. М. Кульбачинская, Е. Н. Дергунова </w:t>
      </w:r>
      <w:r w:rsidR="0097316B">
        <w:rPr>
          <w:rFonts w:ascii="Times New Roman" w:hAnsi="Times New Roman" w:cs="Times New Roman"/>
          <w:sz w:val="28"/>
          <w:szCs w:val="28"/>
          <w:lang w:val="ru-RU"/>
        </w:rPr>
        <w:t>[и др.]</w:t>
      </w:r>
      <w:r w:rsidR="00B46E01" w:rsidRPr="00156441">
        <w:rPr>
          <w:rFonts w:ascii="Times New Roman" w:hAnsi="Times New Roman" w:cs="Times New Roman"/>
          <w:sz w:val="28"/>
          <w:szCs w:val="28"/>
          <w:lang w:val="ru-RU"/>
        </w:rPr>
        <w:t>//</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Пульмонология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97316B">
        <w:rPr>
          <w:rFonts w:ascii="Times New Roman" w:hAnsi="Times New Roman" w:cs="Times New Roman"/>
          <w:sz w:val="28"/>
          <w:szCs w:val="28"/>
          <w:lang w:val="ru-RU"/>
        </w:rPr>
        <w:t xml:space="preserve">. — </w:t>
      </w:r>
      <w:r w:rsidRPr="00156441">
        <w:rPr>
          <w:rFonts w:ascii="Times New Roman" w:hAnsi="Times New Roman" w:cs="Times New Roman"/>
          <w:sz w:val="28"/>
          <w:szCs w:val="28"/>
          <w:lang w:val="ru-RU"/>
        </w:rPr>
        <w:t>№</w:t>
      </w:r>
      <w:r w:rsidR="0097316B">
        <w:rPr>
          <w:rFonts w:ascii="Times New Roman" w:hAnsi="Times New Roman" w:cs="Times New Roman"/>
          <w:sz w:val="28"/>
          <w:szCs w:val="28"/>
          <w:lang w:val="ru-RU"/>
        </w:rPr>
        <w:t> </w:t>
      </w:r>
      <w:r w:rsidRPr="00156441">
        <w:rPr>
          <w:rFonts w:ascii="Times New Roman" w:hAnsi="Times New Roman" w:cs="Times New Roman"/>
          <w:sz w:val="28"/>
          <w:szCs w:val="28"/>
          <w:lang w:val="ru-RU"/>
        </w:rPr>
        <w:t>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78</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83.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Предикторы прогрессирования недостаточности кровообращения у больных хронической обструктивной болезнью легких, осложненной хроническим легочным сердцем</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 xml:space="preserve">И. Г. Меньшикова, Н. В. Лоскутова, Е. А. Сундукова </w:t>
      </w:r>
      <w:r w:rsidR="0097316B">
        <w:rPr>
          <w:rFonts w:ascii="Times New Roman" w:hAnsi="Times New Roman" w:cs="Times New Roman"/>
          <w:sz w:val="28"/>
          <w:szCs w:val="28"/>
          <w:lang w:val="ru-RU"/>
        </w:rPr>
        <w:t>[и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Дальневосточный медицинский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21</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r w:rsidRPr="00156441">
        <w:rPr>
          <w:rFonts w:ascii="Times New Roman" w:hAnsi="Times New Roman" w:cs="Times New Roman"/>
          <w:sz w:val="28"/>
          <w:szCs w:val="28"/>
          <w:lang w:val="ru-RU"/>
        </w:rPr>
        <w:t xml:space="preserve"> </w:t>
      </w:r>
      <w:bookmarkStart w:id="207" w:name="_Ref502066789"/>
      <w:r w:rsidRPr="00156441">
        <w:rPr>
          <w:rFonts w:ascii="Times New Roman" w:hAnsi="Times New Roman" w:cs="Times New Roman"/>
          <w:sz w:val="28"/>
          <w:szCs w:val="28"/>
          <w:lang w:val="ru-RU"/>
        </w:rPr>
        <w:t>Применение тканевой допплерографии в оценке структурно</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функциональных изменений правых отделов сердца у больных хронической обструктивной болезнью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Б. Я. Барт, О. М. К</w:t>
      </w:r>
      <w:r w:rsidR="0097316B">
        <w:rPr>
          <w:rFonts w:ascii="Times New Roman" w:hAnsi="Times New Roman" w:cs="Times New Roman"/>
          <w:sz w:val="28"/>
          <w:szCs w:val="28"/>
          <w:lang w:val="ru-RU"/>
        </w:rPr>
        <w:t>ульбачинская, Е. Н. Дергунова [и др.]</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Российский кардиологический журнал</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2</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79</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83.</w:t>
      </w:r>
      <w:bookmarkEnd w:id="20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8" w:name="_Ref502065370"/>
      <w:r w:rsidRPr="00156441">
        <w:rPr>
          <w:rFonts w:ascii="Times New Roman" w:hAnsi="Times New Roman" w:cs="Times New Roman"/>
          <w:sz w:val="28"/>
          <w:szCs w:val="28"/>
          <w:lang w:val="ru-RU"/>
        </w:rPr>
        <w:t>Ахминеева А. Х. Биохимические маркеры дисфункции эндотелия при хронической обструктивной болезни легких в сочетании с гипертонической болезнью, ишемической болезнью сердца</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 Х. Ахминеева</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Терапевтический архив</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3</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20</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23.</w:t>
      </w:r>
      <w:bookmarkEnd w:id="20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09" w:name="_Ref502066350"/>
      <w:r w:rsidRPr="00156441">
        <w:rPr>
          <w:rFonts w:ascii="Times New Roman" w:hAnsi="Times New Roman" w:cs="Times New Roman"/>
          <w:sz w:val="28"/>
          <w:szCs w:val="28"/>
          <w:lang w:val="ru-RU"/>
        </w:rPr>
        <w:t>Марков Х. М. Хроническая легочная гипертония и система оксида азота</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Х. М. Марков</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Пульмонология</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2012</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1</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88</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94.</w:t>
      </w:r>
      <w:bookmarkEnd w:id="20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0" w:name="_Ref502029949"/>
      <w:r w:rsidRPr="00156441">
        <w:rPr>
          <w:rFonts w:ascii="Times New Roman" w:hAnsi="Times New Roman" w:cs="Times New Roman"/>
          <w:sz w:val="28"/>
          <w:szCs w:val="28"/>
          <w:lang w:val="en-US"/>
        </w:rPr>
        <w:t>Prostaglandin E₂ possesses different potencies in inducing Vascular Endothelial Growth Factor and Interleukin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8 production in COPD human lung fibroblasts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Bonanno, G. D. Albano, L. Siena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Prostaglandins Leukot Essent Fatty Acids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18.</w:t>
      </w:r>
      <w:bookmarkEnd w:id="21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1" w:name="_Ref502029950"/>
      <w:r w:rsidRPr="00156441">
        <w:rPr>
          <w:rFonts w:ascii="Times New Roman" w:hAnsi="Times New Roman" w:cs="Times New Roman"/>
          <w:sz w:val="28"/>
          <w:szCs w:val="28"/>
          <w:lang w:val="en-US"/>
        </w:rPr>
        <w:t>Simultaneous assessment of hepatocyte growth factor and vascular endothelial growth factor in epithelial lining fluid from patients with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Kanazawa, Y. Tochino, K. Asai, K. Hirata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Chest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146,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1159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1165.</w:t>
      </w:r>
      <w:bookmarkEnd w:id="21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2" w:name="_Ref502030180"/>
      <w:r w:rsidRPr="00156441">
        <w:rPr>
          <w:rFonts w:ascii="Times New Roman" w:hAnsi="Times New Roman" w:cs="Times New Roman"/>
          <w:sz w:val="28"/>
          <w:szCs w:val="28"/>
          <w:lang w:val="en-US"/>
        </w:rPr>
        <w:t>The Role of Vascular Endothelial Growth Factor in Small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airway Remodelling in a Rat Model of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Wang, Z. Xu, B. Chen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Sci Rep</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10.1038/srep41202 .</w:t>
      </w:r>
      <w:bookmarkEnd w:id="212"/>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 xml:space="preserve"> </w:t>
      </w:r>
      <w:bookmarkStart w:id="213" w:name="_Ref502030181"/>
      <w:r w:rsidRPr="00156441">
        <w:rPr>
          <w:rFonts w:ascii="Times New Roman" w:hAnsi="Times New Roman" w:cs="Times New Roman"/>
          <w:sz w:val="28"/>
          <w:szCs w:val="28"/>
          <w:lang w:val="en-US"/>
        </w:rPr>
        <w:t>VEGF synthesis is induced by prostacyclin and TGF</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β in distal lung fibroblasts from COPD patients and control subjects: Implications for pulmonary vascular remodelling</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 Westergren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Thorsson, M. Bagher, A. Andersson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Sjöland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Respirology</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75.</w:t>
      </w:r>
      <w:bookmarkEnd w:id="21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4" w:name="_Ref502067371"/>
      <w:r w:rsidRPr="00156441">
        <w:rPr>
          <w:rFonts w:ascii="Times New Roman" w:hAnsi="Times New Roman" w:cs="Times New Roman"/>
          <w:sz w:val="28"/>
          <w:szCs w:val="28"/>
          <w:lang w:val="en-US"/>
        </w:rPr>
        <w:t>Треумова</w:t>
      </w:r>
      <w:r w:rsidR="00F44EE4" w:rsidRPr="00156441">
        <w:rPr>
          <w:rFonts w:ascii="Times New Roman" w:hAnsi="Times New Roman" w:cs="Times New Roman"/>
          <w:sz w:val="28"/>
          <w:szCs w:val="28"/>
          <w:lang w:val="en-US"/>
        </w:rPr>
        <w:t xml:space="preserve"> С. </w:t>
      </w:r>
      <w:r w:rsidRPr="00156441">
        <w:rPr>
          <w:rFonts w:ascii="Times New Roman" w:hAnsi="Times New Roman" w:cs="Times New Roman"/>
          <w:sz w:val="28"/>
          <w:szCs w:val="28"/>
          <w:lang w:val="en-US"/>
        </w:rPr>
        <w:t>І. Роль оксиду азоту, простацикліну в патогенезі бронхолегеневої та серцево</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судинної патологіЇ</w:t>
      </w:r>
      <w:r w:rsidR="009C6C87" w:rsidRPr="00156441">
        <w:rPr>
          <w:rFonts w:ascii="Times New Roman" w:hAnsi="Times New Roman" w:cs="Times New Roman"/>
          <w:sz w:val="28"/>
          <w:szCs w:val="28"/>
          <w:lang w:val="en-US"/>
        </w:rPr>
        <w:t xml:space="preserve"> /</w:t>
      </w:r>
      <w:r w:rsidR="00F44EE4" w:rsidRPr="00156441">
        <w:rPr>
          <w:rFonts w:ascii="Times New Roman" w:hAnsi="Times New Roman" w:cs="Times New Roman"/>
          <w:sz w:val="28"/>
          <w:szCs w:val="28"/>
          <w:lang w:val="en-US"/>
        </w:rPr>
        <w:t xml:space="preserve"> С. </w:t>
      </w:r>
      <w:r w:rsidRPr="00156441">
        <w:rPr>
          <w:rFonts w:ascii="Times New Roman" w:hAnsi="Times New Roman" w:cs="Times New Roman"/>
          <w:sz w:val="28"/>
          <w:szCs w:val="28"/>
          <w:lang w:val="en-US"/>
        </w:rPr>
        <w:t>І. Треумова</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Вісник проблем біології і медицини</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Т. 2, № 3 (103)</w:t>
      </w:r>
      <w:r w:rsidR="00F44EE4" w:rsidRPr="00156441">
        <w:rPr>
          <w:rFonts w:ascii="Times New Roman" w:hAnsi="Times New Roman" w:cs="Times New Roman"/>
          <w:sz w:val="28"/>
          <w:szCs w:val="28"/>
          <w:lang w:val="en-US"/>
        </w:rPr>
        <w:t>. — С. </w:t>
      </w:r>
      <w:r w:rsidRPr="00156441">
        <w:rPr>
          <w:rFonts w:ascii="Times New Roman" w:hAnsi="Times New Roman" w:cs="Times New Roman"/>
          <w:sz w:val="28"/>
          <w:szCs w:val="28"/>
          <w:lang w:val="en-US"/>
        </w:rPr>
        <w:t>47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50.</w:t>
      </w:r>
      <w:bookmarkEnd w:id="21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5" w:name="_Ref502030540"/>
      <w:r w:rsidRPr="00156441">
        <w:rPr>
          <w:rFonts w:ascii="Times New Roman" w:hAnsi="Times New Roman" w:cs="Times New Roman"/>
          <w:sz w:val="28"/>
          <w:szCs w:val="28"/>
          <w:lang w:val="en-US"/>
        </w:rPr>
        <w:t>Yu Z. G. The association of genetic polymorphisms of hypoxia inducible factor</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 alpha and vascular endothelial growth factor with increased risk of chronic obstructive pulmonary disease: A case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control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Z. G. Yu, B. Z. Wang, Z. Z. Cheng</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Kaohsiung J Med Sci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433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441.</w:t>
      </w:r>
      <w:bookmarkEnd w:id="21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6" w:name="_Ref502030788"/>
      <w:r w:rsidRPr="00156441">
        <w:rPr>
          <w:rFonts w:ascii="Times New Roman" w:hAnsi="Times New Roman" w:cs="Times New Roman"/>
          <w:sz w:val="28"/>
          <w:szCs w:val="28"/>
          <w:lang w:val="en-US"/>
        </w:rPr>
        <w:t>Guzeldulger U. M. The effects of smoking on vascular endothelial growth factor and inflammation markers: a case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control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U. M. Guzeldulger, R. Kutlu, I.</w:t>
      </w:r>
      <w:r w:rsidR="0097316B" w:rsidRPr="0097316B">
        <w:rPr>
          <w:rFonts w:ascii="Times New Roman" w:hAnsi="Times New Roman" w:cs="Times New Roman"/>
          <w:sz w:val="28"/>
          <w:szCs w:val="28"/>
          <w:lang w:val="en-US"/>
        </w:rPr>
        <w:t> </w:t>
      </w:r>
      <w:r w:rsidRPr="00156441">
        <w:rPr>
          <w:rFonts w:ascii="Times New Roman" w:hAnsi="Times New Roman" w:cs="Times New Roman"/>
          <w:sz w:val="28"/>
          <w:szCs w:val="28"/>
          <w:lang w:val="en-US"/>
        </w:rPr>
        <w:t>Kilinc</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 Respir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10.1111/crj.12755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w:t>
      </w:r>
      <w:bookmarkEnd w:id="21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7" w:name="_Ref502030870"/>
      <w:r w:rsidRPr="00156441">
        <w:rPr>
          <w:rFonts w:ascii="Times New Roman" w:hAnsi="Times New Roman" w:cs="Times New Roman"/>
          <w:sz w:val="28"/>
          <w:szCs w:val="28"/>
          <w:lang w:val="en-US"/>
        </w:rPr>
        <w:t>Renin Angiotensin system</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modifying therapies are associated with improved pulmonary health</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Soto, S. I. Bang, J. McCombs, K. E. Rodgers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Diabetes Endocrinol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10.1186/s40842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017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0044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w:t>
      </w:r>
      <w:bookmarkEnd w:id="21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8" w:name="_Ref502031004"/>
      <w:r w:rsidRPr="00156441">
        <w:rPr>
          <w:rFonts w:ascii="Times New Roman" w:hAnsi="Times New Roman" w:cs="Times New Roman"/>
          <w:sz w:val="28"/>
          <w:szCs w:val="28"/>
          <w:lang w:val="en-US"/>
        </w:rPr>
        <w:t>Excessively low salt diet damages the heart through activation of cardiac (pro) renin receptor, renin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angiotensin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aldosterone, and sympatho</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adrenal systems in spontaneously hypertensive rats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Okamoto, Y. Hayakawa, T. Aoyama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PLoS One</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10.1371/journal.pone.0189099.</w:t>
      </w:r>
      <w:bookmarkEnd w:id="218"/>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19" w:name="_Ref502031109"/>
      <w:r w:rsidRPr="00156441">
        <w:rPr>
          <w:rFonts w:ascii="Times New Roman" w:hAnsi="Times New Roman" w:cs="Times New Roman"/>
          <w:sz w:val="28"/>
          <w:szCs w:val="28"/>
          <w:lang w:val="en-US"/>
        </w:rPr>
        <w:t>Renin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angiotensin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aldosterone (RAAS): The ubiquitous system for homeostasis and pathologies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Patel, A. Rauf, H. Khan</w:t>
      </w:r>
      <w:r w:rsidR="0097316B" w:rsidRPr="0097316B">
        <w:rPr>
          <w:rFonts w:ascii="Times New Roman" w:hAnsi="Times New Roman" w:cs="Times New Roman"/>
          <w:sz w:val="28"/>
          <w:szCs w:val="28"/>
          <w:lang w:val="en-US"/>
        </w:rPr>
        <w:t xml:space="preserve"> </w:t>
      </w:r>
      <w:r w:rsidR="0097316B"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Biomed</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Pharmacother</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317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325.</w:t>
      </w:r>
      <w:bookmarkEnd w:id="219"/>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20" w:name="_Ref502066504"/>
      <w:r w:rsidRPr="00156441">
        <w:rPr>
          <w:rFonts w:ascii="Times New Roman" w:hAnsi="Times New Roman" w:cs="Times New Roman"/>
          <w:sz w:val="28"/>
          <w:szCs w:val="28"/>
          <w:lang w:val="ru-RU"/>
        </w:rPr>
        <w:t>Некрасов А. А. Активация нейрогормональных систем как независимый механизм ремоделирования сердца у больных хронической обструктивной болезнью легких</w:t>
      </w:r>
      <w:r w:rsidR="009C6C87"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А. А. Некрасов, А. Н. Кузнецов, О. В. Мельниченко</w:t>
      </w:r>
      <w:r w:rsidR="00B46E01" w:rsidRPr="00156441">
        <w:rPr>
          <w:rFonts w:ascii="Times New Roman" w:hAnsi="Times New Roman" w:cs="Times New Roman"/>
          <w:sz w:val="28"/>
          <w:szCs w:val="28"/>
          <w:lang w:val="ru-RU"/>
        </w:rPr>
        <w:t xml:space="preserve"> //</w:t>
      </w:r>
      <w:r w:rsidR="00C216F5" w:rsidRPr="00156441">
        <w:rPr>
          <w:rFonts w:ascii="Times New Roman" w:hAnsi="Times New Roman" w:cs="Times New Roman"/>
          <w:sz w:val="28"/>
          <w:szCs w:val="28"/>
          <w:lang w:val="ru-RU"/>
        </w:rPr>
        <w:t xml:space="preserve"> </w:t>
      </w:r>
      <w:r w:rsidRPr="00156441">
        <w:rPr>
          <w:rFonts w:ascii="Times New Roman" w:hAnsi="Times New Roman" w:cs="Times New Roman"/>
          <w:sz w:val="28"/>
          <w:szCs w:val="28"/>
          <w:lang w:val="ru-RU"/>
        </w:rPr>
        <w:t>Клиническая медицина</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2014</w:t>
      </w:r>
      <w:r w:rsidR="00F44EE4" w:rsidRPr="00156441">
        <w:rPr>
          <w:rFonts w:ascii="Times New Roman" w:hAnsi="Times New Roman" w:cs="Times New Roman"/>
          <w:sz w:val="28"/>
          <w:szCs w:val="28"/>
          <w:lang w:val="ru-RU"/>
        </w:rPr>
        <w:t>. — </w:t>
      </w:r>
      <w:r w:rsidRPr="00156441">
        <w:rPr>
          <w:rFonts w:ascii="Times New Roman" w:hAnsi="Times New Roman" w:cs="Times New Roman"/>
          <w:sz w:val="28"/>
          <w:szCs w:val="28"/>
          <w:lang w:val="ru-RU"/>
        </w:rPr>
        <w:t>№ 5</w:t>
      </w:r>
      <w:r w:rsidR="00F44EE4" w:rsidRPr="00156441">
        <w:rPr>
          <w:rFonts w:ascii="Times New Roman" w:hAnsi="Times New Roman" w:cs="Times New Roman"/>
          <w:sz w:val="28"/>
          <w:szCs w:val="28"/>
          <w:lang w:val="ru-RU"/>
        </w:rPr>
        <w:t>. — С. </w:t>
      </w:r>
      <w:r w:rsidRPr="00156441">
        <w:rPr>
          <w:rFonts w:ascii="Times New Roman" w:hAnsi="Times New Roman" w:cs="Times New Roman"/>
          <w:sz w:val="28"/>
          <w:szCs w:val="28"/>
          <w:lang w:val="ru-RU"/>
        </w:rPr>
        <w:t>50</w:t>
      </w:r>
      <w:r w:rsidR="009C556E">
        <w:rPr>
          <w:rFonts w:ascii="Times New Roman" w:hAnsi="Times New Roman" w:cs="Times New Roman"/>
          <w:sz w:val="28"/>
          <w:szCs w:val="28"/>
          <w:lang w:val="ru-RU"/>
        </w:rPr>
        <w:t>–</w:t>
      </w:r>
      <w:r w:rsidRPr="00156441">
        <w:rPr>
          <w:rFonts w:ascii="Times New Roman" w:hAnsi="Times New Roman" w:cs="Times New Roman"/>
          <w:sz w:val="28"/>
          <w:szCs w:val="28"/>
          <w:lang w:val="ru-RU"/>
        </w:rPr>
        <w:t>54.</w:t>
      </w:r>
      <w:bookmarkEnd w:id="220"/>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1" w:name="_Ref502033846"/>
      <w:r w:rsidRPr="00156441">
        <w:rPr>
          <w:rFonts w:ascii="Times New Roman" w:hAnsi="Times New Roman" w:cs="Times New Roman"/>
          <w:sz w:val="28"/>
          <w:szCs w:val="28"/>
          <w:lang w:val="en-US"/>
        </w:rPr>
        <w:lastRenderedPageBreak/>
        <w:t>Angiotensin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converting enzyme defines matrikine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regulated inflammation and fibrosis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J. O</w:t>
      </w:r>
      <w:r w:rsidR="00FC48A2" w:rsidRPr="00156441">
        <w:rPr>
          <w:rFonts w:ascii="Times New Roman" w:hAnsi="Times New Roman" w:cs="Times New Roman"/>
          <w:sz w:val="28"/>
          <w:szCs w:val="28"/>
          <w:lang w:val="en-US"/>
        </w:rPr>
        <w:t>’</w:t>
      </w:r>
      <w:r w:rsidRPr="00156441">
        <w:rPr>
          <w:rFonts w:ascii="Times New Roman" w:hAnsi="Times New Roman" w:cs="Times New Roman"/>
          <w:sz w:val="28"/>
          <w:szCs w:val="28"/>
          <w:lang w:val="en-US"/>
        </w:rPr>
        <w:t>Reilly, Q. Ding, S. Akthar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JCI Insight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doi: 10.1172/jci.insight.91923.</w:t>
      </w:r>
      <w:bookmarkEnd w:id="221"/>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2" w:name="_Ref502040223"/>
      <w:r w:rsidRPr="00156441">
        <w:rPr>
          <w:rFonts w:ascii="Times New Roman" w:hAnsi="Times New Roman" w:cs="Times New Roman"/>
          <w:sz w:val="28"/>
          <w:szCs w:val="28"/>
          <w:lang w:val="en-US"/>
        </w:rPr>
        <w:t>Lung volume reduction surgery and improvement of endothelial function and blood pressure in patients with chronic obstructive pulmonary disease. A randomized controlled trial</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F. Clarenbach, N. A. Sievi, M. Brock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 J Respir Crit Care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192,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307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314.</w:t>
      </w:r>
      <w:bookmarkEnd w:id="222"/>
      <w:r w:rsidRPr="00156441">
        <w:rPr>
          <w:rFonts w:ascii="Times New Roman" w:hAnsi="Times New Roman" w:cs="Times New Roman"/>
          <w:sz w:val="28"/>
          <w:szCs w:val="28"/>
          <w:lang w:val="en-US"/>
        </w:rPr>
        <w:t xml:space="preserve"> </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3" w:name="_Ref491656258"/>
      <w:r w:rsidRPr="00156441">
        <w:rPr>
          <w:rFonts w:ascii="Times New Roman" w:hAnsi="Times New Roman" w:cs="Times New Roman"/>
          <w:sz w:val="28"/>
          <w:szCs w:val="28"/>
          <w:lang w:val="en-US"/>
        </w:rPr>
        <w:t>Endothelial dysfunction assessment by noninvasive peripheral arterial tonometry in patients with chronic obstructive pulmonary disease compared with healthy subjects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Malerba, A. Radaeli, M. Nardin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 Respir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10.1111/crj.12686.</w:t>
      </w:r>
      <w:bookmarkEnd w:id="223"/>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4" w:name="_Ref502040484"/>
      <w:r w:rsidRPr="00156441">
        <w:rPr>
          <w:rFonts w:ascii="Times New Roman" w:hAnsi="Times New Roman" w:cs="Times New Roman"/>
          <w:sz w:val="28"/>
          <w:szCs w:val="28"/>
          <w:lang w:val="en-US"/>
        </w:rPr>
        <w:t>Inflammatory biomarkers and comorbidities in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Thomsen, M. Dahl, P. Lange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 J Respir Crit Care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186,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982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988.</w:t>
      </w:r>
      <w:bookmarkEnd w:id="224"/>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5" w:name="_Ref502040775"/>
      <w:r w:rsidRPr="00156441">
        <w:rPr>
          <w:rFonts w:ascii="Times New Roman" w:hAnsi="Times New Roman" w:cs="Times New Roman"/>
          <w:sz w:val="28"/>
          <w:szCs w:val="28"/>
          <w:lang w:val="en-US"/>
        </w:rPr>
        <w:t>Vascular dysfunction and chronic obstructive pulmonary disease: the role of redox balance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J. Ives, R. A. Harris, M. A. Witman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Hypertension</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459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467.</w:t>
      </w:r>
      <w:bookmarkEnd w:id="225"/>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 multi</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biomarker risk score improves prediction of long</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term mortality in patients with advanced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Richter, L. Koller, P. J. Hohensinner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168,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1251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1257.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A possible role for systemic hypoxia in the reactive component of pulmonary hypertension in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J. Taylor, C. R. Mojica, T. P. Olson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Fail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A Systematic Review of Health Economics Simulation Models of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Z. Zafari, S. Bryan, D. Sin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Value Health</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162.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Accuracy of chest radiography in predicting pulmonary hypertension: a case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control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Miniati, S. Monti, E. Airò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Thromb</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F44EE4" w:rsidRPr="00156441">
        <w:rPr>
          <w:rFonts w:ascii="Times New Roman" w:hAnsi="Times New Roman" w:cs="Times New Roman"/>
          <w:sz w:val="28"/>
          <w:szCs w:val="28"/>
          <w:lang w:val="en-US"/>
        </w:rPr>
        <w:t>. —</w:t>
      </w:r>
      <w:r w:rsidR="004B5DAC" w:rsidRPr="004B5DAC">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Vol.</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 xml:space="preserve">133,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345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351.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Airway obstruction in systolic heart failure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COPD or congestion?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Brenner, G. Güder, D. Berliner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97316B" w:rsidRPr="0097316B">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168,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1910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1916.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Aksenova T. A. 24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hour monitoring central aortic pressure in patients with hypertensive disease and concomitant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A. Aksenova, V. V. Gorbunov, Iu. V. Parkhomenko</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Klin Med (Mosk)</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w:t>
      </w:r>
      <w:r w:rsidR="004B5DAC" w:rsidRPr="004B5DAC">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Vol.</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 xml:space="preserve">91,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7</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Application of nitric oxide measurements in clinical conditions beyond asthma</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Malinovschi, D. Ludviksdottir, E. Tufvesson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Clin</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Respir</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10.3402/ecrj.v2.28517 .</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Aryal S. Influence of sex on chronic obstructive pulmonary disease risk and treatment outcomes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Aryal, E. Diaz</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Guzman, D. M. Mannino</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 J Chron Obstruct Pulmon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1145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1154.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Association between carotid intima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media thickness and presence of coronary artery disease in chronic obstructive pulmonary disease patients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Köseoğlu, Ö. Kurmuş, A. G. Ertem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Anatol J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Association between left ventricular diastolic dysfunction and severity of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M. Caram, R. Ferrari, C. R. Naves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Clinics (Sao Paulo)</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772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776.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Association of heart diseases with COPD and restrictive lung function </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results from a population survey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Eriksson, A. Lindberg, H. Müllerova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106.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Association of the biomarkers soluble ST2, galectin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 and growth</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differentiation factor</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15 with heart failure and other non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cardiac diseases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Mueller, I. Leitner, M. Egger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Clin</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Chim</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Acta</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445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160.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Attitudes and preferences for the clinical management of patients with hypertension and hypertension with chronic obstructive pulmonary disease in Italy: main results of a survey questionnaire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 Tocci, A. F. Cicero, M. Salvetti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Intern</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Emerg</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943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954.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Batura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Gabryel H. Chronic obstructive pulmonary disease and cardiovascular diseases</w:t>
      </w:r>
      <w:r w:rsidR="009C556E">
        <w:rPr>
          <w:rFonts w:ascii="Times New Roman" w:hAnsi="Times New Roman" w:cs="Times New Roman"/>
          <w:sz w:val="28"/>
          <w:szCs w:val="28"/>
          <w:lang w:val="en-US"/>
        </w:rPr>
        <w:t>––</w:t>
      </w:r>
      <w:r w:rsidR="00FC48A2" w:rsidRPr="00156441">
        <w:rPr>
          <w:rFonts w:ascii="Times New Roman" w:hAnsi="Times New Roman" w:cs="Times New Roman"/>
          <w:sz w:val="28"/>
          <w:szCs w:val="28"/>
          <w:lang w:val="en-US"/>
        </w:rPr>
        <w:t>’</w:t>
      </w:r>
      <w:r w:rsidRPr="00156441">
        <w:rPr>
          <w:rFonts w:ascii="Times New Roman" w:hAnsi="Times New Roman" w:cs="Times New Roman"/>
          <w:sz w:val="28"/>
          <w:szCs w:val="28"/>
          <w:lang w:val="en-US"/>
        </w:rPr>
        <w:t>cardiopulmonary continuum</w:t>
      </w:r>
      <w:r w:rsidR="00FC48A2" w:rsidRPr="00156441">
        <w:rPr>
          <w:rFonts w:ascii="Times New Roman" w:hAnsi="Times New Roman" w:cs="Times New Roman"/>
          <w:sz w:val="28"/>
          <w:szCs w:val="28"/>
          <w:lang w:val="en-US"/>
        </w:rPr>
        <w: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 Batura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Gabryel, M.</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Grabicki</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Pneumonol</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Alergol</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82,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590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596.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Bhatt S. P. Chronic obstructive pulmonary disease and cardiovascular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P. Bhatt, M. T. Dransfield</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Transl</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162,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237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251.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Biomarkers in pulmonary hypertension: what do we know?</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 Foris, G.</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Kovacs, M. Tscherner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Chest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144,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274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283.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Breathlessness or health status in chronic obstructive pulmonary disease: the impact of different definitions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004B5DAC">
        <w:rPr>
          <w:rFonts w:ascii="Times New Roman" w:hAnsi="Times New Roman" w:cs="Times New Roman"/>
          <w:sz w:val="28"/>
          <w:szCs w:val="28"/>
          <w:lang w:val="en-US"/>
        </w:rPr>
        <w:t>J. Han, L. Dai, N. Zhong</w:t>
      </w:r>
      <w:r w:rsidRPr="00156441">
        <w:rPr>
          <w:rFonts w:ascii="Times New Roman" w:hAnsi="Times New Roman" w:cs="Times New Roman"/>
          <w:sz w:val="28"/>
          <w:szCs w:val="28"/>
          <w:lang w:val="en-US"/>
        </w:rPr>
        <w:t xml:space="preserve"> </w:t>
      </w:r>
      <w:r w:rsidR="004B5DAC"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COPD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Bronchodilator responsiveness in patients with chronic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G.</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Minasian, F. J. van den Elshout, P. N. Dekhuijzen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Heart Lung</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42,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208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214.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Cai B. Q. Chronic obstructive pulmonary disease and associated comorbidities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Q. Cai</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Zhonghua Jie He He Hu Xi Za Zhi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245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247.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Calcium mishandling in diastolic dysfunction: mechanisms and potential therapies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L. Asp, J. J. Martindale, F. I. Heinis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Biochim</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Biophys</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Acta</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1833,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895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900.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Campbell R. T. Comorbidities and differential diagnosis in heart failure with preserved ejection fraction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 T. Campbell, J. J. McMurray</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Heart Fail</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Clin</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481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501.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Cardiac troponins: bench to bedside interpretation in cardiac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Muthu, H. Kozman, K. Liu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Sci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347,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331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337.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Cardiovascular comorbidity in COPD: systematic literature review</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Müllerova, A. Agusti, S. Erqou</w:t>
      </w:r>
      <w:r w:rsidR="004B5DAC" w:rsidRPr="00156441">
        <w:rPr>
          <w:rFonts w:ascii="Times New Roman" w:hAnsi="Times New Roman" w:cs="Times New Roman"/>
          <w:sz w:val="28"/>
          <w:szCs w:val="28"/>
          <w:lang w:val="en-US"/>
        </w:rPr>
        <w:t xml:space="preserve"> [et al.]</w:t>
      </w:r>
      <w:r w:rsidR="004B5DAC" w:rsidRPr="004B5DAC">
        <w:rPr>
          <w:rFonts w:ascii="Times New Roman" w:hAnsi="Times New Roman" w:cs="Times New Roman"/>
          <w:sz w:val="28"/>
          <w:szCs w:val="28"/>
          <w:lang w:val="en-US"/>
        </w:rPr>
        <w:t xml:space="preserve">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Chest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144,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1163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1178.</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 xml:space="preserve"> Cardiovascular function and prognosis of patients with heart failure coexistent with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Yoshihisa, M. Takiguchi, T.</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Shimizu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256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264.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Cardiovascular safety of inhaled long</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acting bronchodilators in individuals with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Gershon, R. Croxford, A. Calzavara [et</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JAMA Intern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173,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1175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1185.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Carreiro A. Impact of comorbidities in pulmonary rehabilitation outcomes in patients with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Carreiro, J. Santos, F. Rodrigues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Rev Port Pneumol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113.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Chandy D. Current perspectives on treatment of hypertensive patients with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Chandy, W. S. Aronow, M. Banach</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Integr</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Blood Press</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Control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101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109.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Changes in plasma levels of B</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type natriuretic peptide with acute exacerbations of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 Nishimura, T. Nishimura, K.</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Onishi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 J Chron Obstruct Pulmon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155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162.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Chatterjee N. A. Characterization of pulmonary hypertension in heart failure using the diastolic pressure gradient: limitations of a solitary measurement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A.</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Chatterjee, G. D. Lewis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JACC Heart Fail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Chester A. H. The role of endothelin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 in pulmonary arterial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H. Chester, M. H. Yacoub</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Glob</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Sci</w:t>
      </w:r>
      <w:r w:rsidR="004B5DAC">
        <w:rPr>
          <w:rFonts w:ascii="Times New Roman" w:hAnsi="Times New Roman" w:cs="Times New Roman"/>
          <w:sz w:val="28"/>
          <w:szCs w:val="28"/>
          <w:lang w:val="ru-RU"/>
        </w:rPr>
        <w:t>.</w:t>
      </w:r>
      <w:r w:rsidRPr="00156441">
        <w:rPr>
          <w:rFonts w:ascii="Times New Roman" w:hAnsi="Times New Roman" w:cs="Times New Roman"/>
          <w:sz w:val="28"/>
          <w:szCs w:val="28"/>
          <w:lang w:val="en-US"/>
        </w:rPr>
        <w:t xml:space="preserve"> Pract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78.</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Chronic disease in ethnic minorities: tools for patient</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centred care in diabetes, hypertension and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 H. Oosterberg, W. Devillé, L. M. Brewster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Ned</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Tijdschr</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Geneeskd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PMID: 23594868 .</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Chronic obstructive pulmonary disease and ischemic heart disease comorbidity: overview of mechanisms and clinical management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 Campo, R. Pavasini, M. Malagù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Cardiovasc</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Drugs Ther</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147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157.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 xml:space="preserve"> Chronic obstructive pulmonary disease in heart failure: accurate diagnosis and treatment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 Güder, S. Brenner, S. Störk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Eur</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 Fail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Vol.</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 xml:space="preserve">16,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1273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1282.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Circulating biomarkers in pulmonary arterial hypertension: update and future direction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Pezzuto, R. Badagliacca, R. Poscia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Lung Transplant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282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305.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Clinical and echocardiographic characteristics of elderly hospitalized patients with high levels of NT</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proBNP without clinical diagnosis of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w:t>
      </w:r>
      <w:r w:rsidR="00EC468D" w:rsidRPr="00EC468D">
        <w:rPr>
          <w:rFonts w:ascii="Times New Roman" w:hAnsi="Times New Roman" w:cs="Times New Roman"/>
          <w:sz w:val="28"/>
          <w:szCs w:val="28"/>
          <w:lang w:val="en-US"/>
        </w:rPr>
        <w:t> </w:t>
      </w:r>
      <w:r w:rsidR="004B5DAC">
        <w:rPr>
          <w:rFonts w:ascii="Times New Roman" w:hAnsi="Times New Roman" w:cs="Times New Roman"/>
          <w:sz w:val="28"/>
          <w:szCs w:val="28"/>
          <w:lang w:val="en-US"/>
        </w:rPr>
        <w:t>Lelli, C. Pedone, F. F. Rossi</w:t>
      </w:r>
      <w:r w:rsidRPr="00156441">
        <w:rPr>
          <w:rFonts w:ascii="Times New Roman" w:hAnsi="Times New Roman" w:cs="Times New Roman"/>
          <w:sz w:val="28"/>
          <w:szCs w:val="28"/>
          <w:lang w:val="en-US"/>
        </w:rPr>
        <w:t xml:space="preserve"> </w:t>
      </w:r>
      <w:r w:rsidR="004B5DAC" w:rsidRPr="00156441">
        <w:rPr>
          <w:rFonts w:ascii="Times New Roman" w:hAnsi="Times New Roman" w:cs="Times New Roman"/>
          <w:sz w:val="28"/>
          <w:szCs w:val="28"/>
          <w:lang w:val="en-US"/>
        </w:rPr>
        <w:t>[et</w:t>
      </w:r>
      <w:r w:rsidR="004B5DAC" w:rsidRPr="00EC468D">
        <w:rPr>
          <w:rFonts w:ascii="Times New Roman" w:hAnsi="Times New Roman" w:cs="Times New Roman"/>
          <w:sz w:val="28"/>
          <w:szCs w:val="28"/>
          <w:lang w:val="en-US"/>
        </w:rPr>
        <w:t> </w:t>
      </w:r>
      <w:r w:rsidR="004B5DAC" w:rsidRPr="00156441">
        <w:rPr>
          <w:rFonts w:ascii="Times New Roman" w:hAnsi="Times New Roman" w:cs="Times New Roman"/>
          <w:sz w:val="28"/>
          <w:szCs w:val="28"/>
          <w:lang w:val="en-US"/>
        </w:rPr>
        <w:t xml:space="preserve">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Aging</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Clin</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Exp</w:t>
      </w:r>
      <w:r w:rsidR="004B5DAC" w:rsidRPr="004B5DAC">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Vol.</w:t>
      </w:r>
      <w:r w:rsidR="004B5DAC" w:rsidRPr="004B5DAC">
        <w:rPr>
          <w:rFonts w:ascii="Times New Roman" w:hAnsi="Times New Roman" w:cs="Times New Roman"/>
          <w:sz w:val="28"/>
          <w:szCs w:val="28"/>
          <w:lang w:val="en-US"/>
        </w:rPr>
        <w:t> </w:t>
      </w:r>
      <w:r w:rsidRPr="00156441">
        <w:rPr>
          <w:rFonts w:ascii="Times New Roman" w:hAnsi="Times New Roman" w:cs="Times New Roman"/>
          <w:sz w:val="28"/>
          <w:szCs w:val="28"/>
          <w:lang w:val="en-US"/>
        </w:rPr>
        <w:t xml:space="preserve">26,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607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613.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Clinical and morphologic features of acute, subacute and chronic cor pulmonale (pulmonary heart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W. C. Roberts, A. E. Shafii, P. A. Grayburn [et</w:t>
      </w:r>
      <w:r w:rsidR="00EC468D" w:rsidRPr="00EC468D">
        <w:rPr>
          <w:rFonts w:ascii="Times New Roman" w:hAnsi="Times New Roman" w:cs="Times New Roman"/>
          <w:sz w:val="28"/>
          <w:szCs w:val="28"/>
          <w:lang w:val="en-US"/>
        </w:rPr>
        <w:t> </w:t>
      </w:r>
      <w:r w:rsidRPr="00156441">
        <w:rPr>
          <w:rFonts w:ascii="Times New Roman" w:hAnsi="Times New Roman" w:cs="Times New Roman"/>
          <w:sz w:val="28"/>
          <w:szCs w:val="28"/>
          <w:lang w:val="en-US"/>
        </w:rPr>
        <w:t>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Am</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697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703.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Clinical factors and comorbidities affecting the cost of hospital</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treated</w:t>
      </w:r>
      <w:r w:rsidR="00EC468D">
        <w:rPr>
          <w:rFonts w:ascii="Times New Roman" w:hAnsi="Times New Roman" w:cs="Times New Roman"/>
          <w:sz w:val="28"/>
          <w:szCs w:val="28"/>
          <w:lang w:val="en-US"/>
        </w:rPr>
        <w:t xml:space="preserve">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Deniz, A. Şengül, Y. Aydemir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Obstruct</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Pulmon</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3023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3030.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Clinical profiles and outcomes in patients with chronic heart failure and chronic obstructive pulmonary disease: an efficacy and safety analysis of SHIFT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Tavazzi, K. Swedberg, M. Komajda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170,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182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188.</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Closest friends: chronic pulmonary disease and systolic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w:t>
      </w:r>
      <w:r w:rsidR="00EC468D" w:rsidRPr="00EC468D">
        <w:rPr>
          <w:rFonts w:ascii="Times New Roman" w:hAnsi="Times New Roman" w:cs="Times New Roman"/>
          <w:sz w:val="28"/>
          <w:szCs w:val="28"/>
          <w:lang w:val="en-US"/>
        </w:rPr>
        <w:t> </w:t>
      </w:r>
      <w:r w:rsidRPr="00156441">
        <w:rPr>
          <w:rFonts w:ascii="Times New Roman" w:hAnsi="Times New Roman" w:cs="Times New Roman"/>
          <w:sz w:val="28"/>
          <w:szCs w:val="28"/>
          <w:lang w:val="en-US"/>
        </w:rPr>
        <w:t>Aydogan, S. Balta, S. Demırkol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168,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2965.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Combination antihypertensive therapy among patients with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w:t>
      </w:r>
      <w:r w:rsidR="00EC468D" w:rsidRPr="00EC468D">
        <w:rPr>
          <w:rFonts w:ascii="Times New Roman" w:hAnsi="Times New Roman" w:cs="Times New Roman"/>
          <w:sz w:val="28"/>
          <w:szCs w:val="28"/>
          <w:lang w:val="en-US"/>
        </w:rPr>
        <w:t> </w:t>
      </w:r>
      <w:r w:rsidRPr="00156441">
        <w:rPr>
          <w:rFonts w:ascii="Times New Roman" w:hAnsi="Times New Roman" w:cs="Times New Roman"/>
          <w:sz w:val="28"/>
          <w:szCs w:val="28"/>
          <w:lang w:val="en-US"/>
        </w:rPr>
        <w:t>A.</w:t>
      </w:r>
      <w:r w:rsidR="00EC468D" w:rsidRPr="00EC468D">
        <w:rPr>
          <w:rFonts w:ascii="Times New Roman" w:hAnsi="Times New Roman" w:cs="Times New Roman"/>
          <w:sz w:val="28"/>
          <w:szCs w:val="28"/>
          <w:lang w:val="en-US"/>
        </w:rPr>
        <w:t> </w:t>
      </w:r>
      <w:r w:rsidRPr="00156441">
        <w:rPr>
          <w:rFonts w:ascii="Times New Roman" w:hAnsi="Times New Roman" w:cs="Times New Roman"/>
          <w:sz w:val="28"/>
          <w:szCs w:val="28"/>
          <w:lang w:val="en-US"/>
        </w:rPr>
        <w:t>Herrin, L. C. Feemster, K. Crothers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Chest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143,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1312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1320.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Combination antihypertensive therapy among patients with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w:t>
      </w:r>
      <w:r w:rsidR="00EC468D" w:rsidRPr="00EC468D">
        <w:rPr>
          <w:rFonts w:ascii="Times New Roman" w:hAnsi="Times New Roman" w:cs="Times New Roman"/>
          <w:sz w:val="28"/>
          <w:szCs w:val="28"/>
          <w:lang w:val="en-US"/>
        </w:rPr>
        <w:t> </w:t>
      </w:r>
      <w:r w:rsidRPr="00156441">
        <w:rPr>
          <w:rFonts w:ascii="Times New Roman" w:hAnsi="Times New Roman" w:cs="Times New Roman"/>
          <w:sz w:val="28"/>
          <w:szCs w:val="28"/>
          <w:lang w:val="en-US"/>
        </w:rPr>
        <w:t>A.</w:t>
      </w:r>
      <w:r w:rsidR="00EC468D">
        <w:rPr>
          <w:rFonts w:ascii="Times New Roman" w:hAnsi="Times New Roman" w:cs="Times New Roman"/>
          <w:sz w:val="28"/>
          <w:szCs w:val="28"/>
          <w:lang w:val="en-US"/>
        </w:rPr>
        <w:t> </w:t>
      </w:r>
      <w:r w:rsidRPr="00156441">
        <w:rPr>
          <w:rFonts w:ascii="Times New Roman" w:hAnsi="Times New Roman" w:cs="Times New Roman"/>
          <w:sz w:val="28"/>
          <w:szCs w:val="28"/>
          <w:lang w:val="en-US"/>
        </w:rPr>
        <w:t>Herrin, L. C. Feemster, K. Crothers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Chest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143,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1312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1320.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 xml:space="preserve"> Co</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morbidities in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V. M. van Deursen, K. Damman, P. van der Meer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Heart Fail</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Rev</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19,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163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172.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Comorbidity in patients with chronic obstructive pulmonary disease in family practice: a cross sectional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García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Olmos, A. Alberquilla, V. Ayala [et</w:t>
      </w:r>
      <w:r w:rsidR="00EC468D" w:rsidRPr="00EC468D">
        <w:rPr>
          <w:rFonts w:ascii="Times New Roman" w:hAnsi="Times New Roman" w:cs="Times New Roman"/>
          <w:sz w:val="28"/>
          <w:szCs w:val="28"/>
          <w:lang w:val="en-US"/>
        </w:rPr>
        <w:t> </w:t>
      </w:r>
      <w:r w:rsidRPr="00156441">
        <w:rPr>
          <w:rFonts w:ascii="Times New Roman" w:hAnsi="Times New Roman" w:cs="Times New Roman"/>
          <w:sz w:val="28"/>
          <w:szCs w:val="28"/>
          <w:lang w:val="en-US"/>
        </w:rPr>
        <w:t>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BMC Fam</w:t>
      </w:r>
      <w:r w:rsidR="00EC468D" w:rsidRPr="00EC468D">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Pract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Comorbidity of chronic heart failure and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Grzywa</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Celińska,</w:t>
      </w:r>
      <w:r w:rsidR="009C6C87"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 Szmygin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Milanowska, M. Dyczko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Pol</w:t>
      </w:r>
      <w:r w:rsidR="00063395" w:rsidRPr="00063395">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Merkur</w:t>
      </w:r>
      <w:r w:rsidR="00063395" w:rsidRPr="00063395">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Lekarski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35,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209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251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253.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Comorbidity of heart failure and chronic obstructive pulmonary disease: more than coincidence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G. Güder, F. H. Rutten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Curr</w:t>
      </w:r>
      <w:r w:rsidR="00D60FA4" w:rsidRPr="00D60FA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Heart Fail</w:t>
      </w:r>
      <w:r w:rsidR="00D60FA4" w:rsidRPr="00D60FA4">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Rep</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Vol.</w:t>
      </w:r>
      <w:r w:rsidR="00063395">
        <w:rPr>
          <w:rFonts w:ascii="Times New Roman" w:hAnsi="Times New Roman" w:cs="Times New Roman"/>
          <w:sz w:val="28"/>
          <w:szCs w:val="28"/>
          <w:lang w:val="ru-RU"/>
        </w:rPr>
        <w:t> </w:t>
      </w:r>
      <w:r w:rsidRPr="00156441">
        <w:rPr>
          <w:rFonts w:ascii="Times New Roman" w:hAnsi="Times New Roman" w:cs="Times New Roman"/>
          <w:sz w:val="28"/>
          <w:szCs w:val="28"/>
          <w:lang w:val="en-US"/>
        </w:rPr>
        <w:t xml:space="preserve">11,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337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346.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Consequences of hypertension and chronic obstructive pulmonary disease, healthcare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seeking behaviors of patients, and responses of the health system: a population</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based 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sectional study in Bangladesh</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J. Uddin, N. Alam, T.</w:t>
      </w:r>
      <w:r w:rsidR="00D60FA4" w:rsidRPr="00D60FA4">
        <w:rPr>
          <w:rFonts w:ascii="Times New Roman" w:hAnsi="Times New Roman" w:cs="Times New Roman"/>
          <w:sz w:val="28"/>
          <w:szCs w:val="28"/>
          <w:lang w:val="en-US"/>
        </w:rPr>
        <w:t> </w:t>
      </w:r>
      <w:r w:rsidRPr="00156441">
        <w:rPr>
          <w:rFonts w:ascii="Times New Roman" w:hAnsi="Times New Roman" w:cs="Times New Roman"/>
          <w:sz w:val="28"/>
          <w:szCs w:val="28"/>
          <w:lang w:val="en-US"/>
        </w:rPr>
        <w:t>P.</w:t>
      </w:r>
      <w:r w:rsidR="00D60FA4" w:rsidRPr="00D60FA4">
        <w:rPr>
          <w:rFonts w:ascii="Times New Roman" w:hAnsi="Times New Roman" w:cs="Times New Roman"/>
          <w:sz w:val="28"/>
          <w:szCs w:val="28"/>
          <w:lang w:val="en-US"/>
        </w:rPr>
        <w:t> </w:t>
      </w:r>
      <w:r w:rsidRPr="00156441">
        <w:rPr>
          <w:rFonts w:ascii="Times New Roman" w:hAnsi="Times New Roman" w:cs="Times New Roman"/>
          <w:sz w:val="28"/>
          <w:szCs w:val="28"/>
          <w:lang w:val="en-US"/>
        </w:rPr>
        <w:t>Koehlmoos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BMC Public Health</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547.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Conthe P. Possibilities of clinical echocardiography in patients with heart failure: some examples from clinical practice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Conthe, J. M. Cepeda</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Med Clin (Barc)</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142, Suppl 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Continuing to Confront COPD International Patient Survey: Economic Impact of COPD in 12 Countries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Foo, S. H. Landis, J. Maskell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PLoS One</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doi: 10.1371/journal.pone.0152618 .</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Continuity and the costs of care for chronic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 S. Hussey, E. C. Schneider, R. S. Rudin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JAMA Intern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174,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742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748.</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Cooper L. B. COPD in heart failure: are there long</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term implications following acute heart failure hospitalization?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B. Cooper, R. J. Mentz</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Chest</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147,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586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588.</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COPD in chronic heart failure: less common than previously thought?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G. Minasian, F. J. van den Elshout, P. N. Dekhuijzen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Heart Lung</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42,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365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371.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COPD in patients with stable heart failure in the primary care setting</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J. Valk, B. D. Broekhuizen, A. Mosterd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Int</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J</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Chron</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Obstruct</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Pulmon</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Dis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1219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1224.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Cor pulmonale parvus in chronic obstructive pulmonary disease and emphysema: the MESA COPD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S. M. Kawut, H. D. Poor, M. A. Parikh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Coll</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64,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19</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2000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2009.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De Backer D. Ultrasonic evaluation of the heart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De Backer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Curr</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Opin</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Crit</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Care</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309</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314.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Definitions and diagnosis of pulmonary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M. Hoeper, H.</w:t>
      </w:r>
      <w:r w:rsidR="00644B91" w:rsidRPr="00644B91">
        <w:rPr>
          <w:rFonts w:ascii="Times New Roman" w:hAnsi="Times New Roman" w:cs="Times New Roman"/>
          <w:sz w:val="28"/>
          <w:szCs w:val="28"/>
          <w:lang w:val="en-US"/>
        </w:rPr>
        <w:t> </w:t>
      </w:r>
      <w:r w:rsidRPr="00156441">
        <w:rPr>
          <w:rFonts w:ascii="Times New Roman" w:hAnsi="Times New Roman" w:cs="Times New Roman"/>
          <w:sz w:val="28"/>
          <w:szCs w:val="28"/>
          <w:lang w:val="en-US"/>
        </w:rPr>
        <w:t>J.</w:t>
      </w:r>
      <w:r w:rsidR="00644B91" w:rsidRPr="00644B91">
        <w:rPr>
          <w:rFonts w:ascii="Times New Roman" w:hAnsi="Times New Roman" w:cs="Times New Roman"/>
          <w:sz w:val="28"/>
          <w:szCs w:val="28"/>
          <w:lang w:val="en-US"/>
        </w:rPr>
        <w:t> </w:t>
      </w:r>
      <w:r w:rsidRPr="00156441">
        <w:rPr>
          <w:rFonts w:ascii="Times New Roman" w:hAnsi="Times New Roman" w:cs="Times New Roman"/>
          <w:sz w:val="28"/>
          <w:szCs w:val="28"/>
          <w:lang w:val="en-US"/>
        </w:rPr>
        <w:t>Bogaard, R. Condliffe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Am</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Coll</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62, Suppl. 25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42</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Definitions and diagnosis of pulmonary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M. Hoeper, H. J. Bogaard, R. Condliffe</w:t>
      </w:r>
      <w:r w:rsidR="009C6C87"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Turk Kardiyol Dern Ars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42, Suppl.</w:t>
      </w:r>
      <w:r w:rsidR="00644B91" w:rsidRPr="00644B91">
        <w:rPr>
          <w:rFonts w:ascii="Times New Roman" w:hAnsi="Times New Roman" w:cs="Times New Roman"/>
          <w:sz w:val="28"/>
          <w:szCs w:val="28"/>
          <w:lang w:val="en-US"/>
        </w:rPr>
        <w:t>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66.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Dempsie Y. The influence of gender on the development of pulmonary arterial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Y. Dempsie, M. R. MacLean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Exp Physiol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98,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8</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1257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1261.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Depression and heart failure associated with clinical COPD questionnaire outcome in primary care COPD patients: a cross</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sectional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Urff, J. W. van den Berg, S. M. Uil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NPJ Prim Care Respir Med</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14066.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Di Daniele N. Therapeutic approaches of uncomplicated arterial hypertension in patients with COPD</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 Di Daniele</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Pulm Pharmacol Ther</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7.</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Diagnosis of predisposition to chronic cor pulmonale formation in occupational lung diseases caused by dust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 I. Panev, O. Iu. Korotenko, V.</w:t>
      </w:r>
      <w:r w:rsidR="00644B91" w:rsidRPr="00644B91">
        <w:rPr>
          <w:rFonts w:ascii="Times New Roman" w:hAnsi="Times New Roman" w:cs="Times New Roman"/>
          <w:sz w:val="28"/>
          <w:szCs w:val="28"/>
          <w:lang w:val="en-US"/>
        </w:rPr>
        <w:t> </w:t>
      </w:r>
      <w:r w:rsidRPr="00156441">
        <w:rPr>
          <w:rFonts w:ascii="Times New Roman" w:hAnsi="Times New Roman" w:cs="Times New Roman"/>
          <w:sz w:val="28"/>
          <w:szCs w:val="28"/>
          <w:lang w:val="en-US"/>
        </w:rPr>
        <w:t>V.</w:t>
      </w:r>
      <w:r w:rsidR="00644B91" w:rsidRPr="00644B91">
        <w:rPr>
          <w:rFonts w:ascii="Times New Roman" w:hAnsi="Times New Roman" w:cs="Times New Roman"/>
          <w:sz w:val="28"/>
          <w:szCs w:val="28"/>
          <w:lang w:val="en-US"/>
        </w:rPr>
        <w:t> </w:t>
      </w:r>
      <w:r w:rsidRPr="00156441">
        <w:rPr>
          <w:rFonts w:ascii="Times New Roman" w:hAnsi="Times New Roman" w:cs="Times New Roman"/>
          <w:sz w:val="28"/>
          <w:szCs w:val="28"/>
          <w:lang w:val="en-US"/>
        </w:rPr>
        <w:t>Zakharenkov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Med Tr Prom Ekol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10</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35</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Disability in COPD and chronic heart failure is the skeletal muscle the final common pathway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L. Dumitru, A. Iliescu, H. Dinu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Maedica (Buchar)</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2</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206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213.</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lastRenderedPageBreak/>
        <w:t>Dorhout Mees E. J. Diastolic heart failure: a confusing concept</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E. J. Dorhout Mees</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Heart Fail Rev</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503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509.</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 xml:space="preserve"> Echocardiography, spirometry, and systemic acute</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phase inflammatory proteins in smokers with COPD or CHF: an observational study.</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B. Beghé, A. Verduri, B. Bottazzi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PLoS One</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2013</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80166.</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Efficacy and safety of bisoprololal in hypertensive patients with cardiovascular disease and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M. E. Statsenko, M.</w:t>
      </w:r>
      <w:r w:rsidR="00644B91" w:rsidRPr="00644B91">
        <w:rPr>
          <w:rFonts w:ascii="Times New Roman" w:hAnsi="Times New Roman" w:cs="Times New Roman"/>
          <w:sz w:val="28"/>
          <w:szCs w:val="28"/>
          <w:lang w:val="en-US"/>
        </w:rPr>
        <w:t> </w:t>
      </w:r>
      <w:r w:rsidRPr="00156441">
        <w:rPr>
          <w:rFonts w:ascii="Times New Roman" w:hAnsi="Times New Roman" w:cs="Times New Roman"/>
          <w:sz w:val="28"/>
          <w:szCs w:val="28"/>
          <w:lang w:val="en-US"/>
        </w:rPr>
        <w:t>V. Derevianchenko, M. V. Chernikov</w:t>
      </w:r>
      <w:r w:rsidR="00644B91" w:rsidRPr="00644B91">
        <w:rPr>
          <w:rFonts w:ascii="Times New Roman" w:hAnsi="Times New Roman" w:cs="Times New Roman"/>
          <w:sz w:val="28"/>
          <w:szCs w:val="28"/>
          <w:lang w:val="en-US"/>
        </w:rPr>
        <w:t xml:space="preserve"> </w:t>
      </w:r>
      <w:r w:rsidR="00644B91" w:rsidRPr="00156441">
        <w:rPr>
          <w:rFonts w:ascii="Times New Roman" w:hAnsi="Times New Roman" w:cs="Times New Roman"/>
          <w:sz w:val="28"/>
          <w:szCs w:val="28"/>
          <w:lang w:val="en-US"/>
        </w:rPr>
        <w:t xml:space="preserve">[et 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Kardiologiia</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54,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48</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54.</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Epidemiology of heart failure with preserved ejection fraction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 Dhingra, A. Garg, S. Kaur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Curr Heart Fail Rep</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354</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365.</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Plasma activity of B</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type natriuretic peptide in patients with biventricular heart failure versus those with right heart failure due to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N. Flessas, I. Alexanian, J. Parissis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Cardiovasc</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(Hagerstown)</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15,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476</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480.</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Potential drug</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drug interactions in hospitalized patients with chronic heart failure and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T. Roblek, K. Trobec, A. Mrhar</w:t>
      </w:r>
      <w:r w:rsidR="00644B91" w:rsidRPr="00644B91">
        <w:rPr>
          <w:rFonts w:ascii="Times New Roman" w:hAnsi="Times New Roman" w:cs="Times New Roman"/>
          <w:sz w:val="28"/>
          <w:szCs w:val="28"/>
          <w:lang w:val="en-US"/>
        </w:rPr>
        <w:t xml:space="preserve"> </w:t>
      </w:r>
      <w:r w:rsidR="00644B91" w:rsidRPr="00156441">
        <w:rPr>
          <w:rFonts w:ascii="Times New Roman" w:hAnsi="Times New Roman" w:cs="Times New Roman"/>
          <w:sz w:val="28"/>
          <w:szCs w:val="28"/>
          <w:lang w:val="en-US"/>
        </w:rPr>
        <w:t>[et</w:t>
      </w:r>
      <w:r w:rsidR="00644B91" w:rsidRPr="00644B91">
        <w:rPr>
          <w:rFonts w:ascii="Times New Roman" w:hAnsi="Times New Roman" w:cs="Times New Roman"/>
          <w:sz w:val="28"/>
          <w:szCs w:val="28"/>
          <w:lang w:val="en-US"/>
        </w:rPr>
        <w:t> </w:t>
      </w:r>
      <w:r w:rsidR="00644B91" w:rsidRPr="00156441">
        <w:rPr>
          <w:rFonts w:ascii="Times New Roman" w:hAnsi="Times New Roman" w:cs="Times New Roman"/>
          <w:sz w:val="28"/>
          <w:szCs w:val="28"/>
          <w:lang w:val="en-US"/>
        </w:rPr>
        <w:t xml:space="preserve">al.] </w:t>
      </w:r>
      <w:r w:rsidR="00B46E01" w:rsidRPr="00156441">
        <w:rPr>
          <w:rFonts w:ascii="Times New Roman" w:hAnsi="Times New Roman" w:cs="Times New Roman"/>
          <w:sz w:val="28"/>
          <w:szCs w:val="28"/>
          <w:lang w:val="en-US"/>
        </w:rPr>
        <w:t>//</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Arch</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Med</w:t>
      </w:r>
      <w:r w:rsidR="00644B91" w:rsidRPr="00644B91">
        <w:rPr>
          <w:rFonts w:ascii="Times New Roman" w:hAnsi="Times New Roman" w:cs="Times New Roman"/>
          <w:sz w:val="28"/>
          <w:szCs w:val="28"/>
          <w:lang w:val="en-US"/>
        </w:rPr>
        <w:t>.</w:t>
      </w:r>
      <w:r w:rsidRPr="00156441">
        <w:rPr>
          <w:rFonts w:ascii="Times New Roman" w:hAnsi="Times New Roman" w:cs="Times New Roman"/>
          <w:sz w:val="28"/>
          <w:szCs w:val="28"/>
          <w:lang w:val="en-US"/>
        </w:rPr>
        <w:t xml:space="preserve"> Sci</w:t>
      </w:r>
      <w:r w:rsidR="00F44EE4" w:rsidRPr="00156441">
        <w:rPr>
          <w:rFonts w:ascii="Times New Roman" w:hAnsi="Times New Roman" w:cs="Times New Roman"/>
          <w:sz w:val="28"/>
          <w:szCs w:val="28"/>
          <w:lang w:val="en-US"/>
        </w:rPr>
        <w:t>. —</w:t>
      </w:r>
      <w:r w:rsidR="00644B91" w:rsidRPr="00644B9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920</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932.</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r w:rsidRPr="00156441">
        <w:rPr>
          <w:rFonts w:ascii="Times New Roman" w:hAnsi="Times New Roman" w:cs="Times New Roman"/>
          <w:sz w:val="28"/>
          <w:szCs w:val="28"/>
          <w:lang w:val="en-US"/>
        </w:rPr>
        <w:t>Kim C. H. Pulmonary hypertension and cardiopulmonary exercise in heart failure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H. Kim, S. Y. Jae, B. D. Johnson</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Pulse (Basel)</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143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151.</w:t>
      </w:r>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6" w:name="_Ref502032121"/>
      <w:r w:rsidRPr="00156441">
        <w:rPr>
          <w:rFonts w:ascii="Times New Roman" w:hAnsi="Times New Roman" w:cs="Times New Roman"/>
          <w:sz w:val="28"/>
          <w:szCs w:val="28"/>
          <w:lang w:val="en-US"/>
        </w:rPr>
        <w:t>Kkeveetil C. V. Role of micronutrients in congestive heart failure: A systematic review of randomized controlled trials</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 V. Kkeveetil, G. Thomas, S. J. U. Chander</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Ci Ji Yi Xue Za Zhi</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2016</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28,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143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150.</w:t>
      </w:r>
      <w:bookmarkEnd w:id="226"/>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7" w:name="_Ref502032622"/>
      <w:r w:rsidRPr="00156441">
        <w:rPr>
          <w:rFonts w:ascii="Times New Roman" w:hAnsi="Times New Roman" w:cs="Times New Roman"/>
          <w:sz w:val="28"/>
          <w:szCs w:val="28"/>
          <w:lang w:val="en-US"/>
        </w:rPr>
        <w:t>Vasoactive Intestinal Peptide for Diagnosing Exacerbation in Chronic Obstructive Pulmonary Disease</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J. Mandal, M. Roth, L. Costa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Respiration</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90,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5</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357</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368.</w:t>
      </w:r>
      <w:bookmarkEnd w:id="227"/>
    </w:p>
    <w:p w:rsidR="005438B0" w:rsidRPr="00156441" w:rsidRDefault="005438B0"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28" w:name="_Ref502032752"/>
      <w:r w:rsidRPr="00156441">
        <w:rPr>
          <w:rFonts w:ascii="Times New Roman" w:hAnsi="Times New Roman" w:cs="Times New Roman"/>
          <w:sz w:val="28"/>
          <w:szCs w:val="28"/>
          <w:lang w:val="en-US"/>
        </w:rPr>
        <w:lastRenderedPageBreak/>
        <w:t>Role of vasoactive intestinal peptide in chronic obstructive pulmonary disease with pulmonary hypertension</w:t>
      </w:r>
      <w:r w:rsidR="009C6C87"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D. Lacedonia, G. Valerio, G. P. Palladino [et al.]</w:t>
      </w:r>
      <w:r w:rsidR="00B46E01" w:rsidRPr="00156441">
        <w:rPr>
          <w:rFonts w:ascii="Times New Roman" w:hAnsi="Times New Roman" w:cs="Times New Roman"/>
          <w:sz w:val="28"/>
          <w:szCs w:val="28"/>
          <w:lang w:val="en-US"/>
        </w:rPr>
        <w:t xml:space="preserve"> //</w:t>
      </w:r>
      <w:r w:rsidR="00C216F5"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lang w:val="en-US"/>
        </w:rPr>
        <w:t>Rejuvenation Res</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2014</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 xml:space="preserve">Vol. 17, </w:t>
      </w:r>
      <w:r w:rsidR="00E73087">
        <w:rPr>
          <w:rFonts w:ascii="Times New Roman" w:hAnsi="Times New Roman" w:cs="Times New Roman"/>
          <w:sz w:val="28"/>
          <w:szCs w:val="28"/>
          <w:lang w:val="en-US"/>
        </w:rPr>
        <w:t>No. </w:t>
      </w:r>
      <w:r w:rsidRPr="00156441">
        <w:rPr>
          <w:rFonts w:ascii="Times New Roman" w:hAnsi="Times New Roman" w:cs="Times New Roman"/>
          <w:sz w:val="28"/>
          <w:szCs w:val="28"/>
          <w:lang w:val="en-US"/>
        </w:rPr>
        <w:t>1</w:t>
      </w:r>
      <w:r w:rsidR="00F44EE4" w:rsidRPr="00156441">
        <w:rPr>
          <w:rFonts w:ascii="Times New Roman" w:hAnsi="Times New Roman" w:cs="Times New Roman"/>
          <w:sz w:val="28"/>
          <w:szCs w:val="28"/>
          <w:lang w:val="en-US"/>
        </w:rPr>
        <w:t>. — </w:t>
      </w:r>
      <w:r w:rsidRPr="00156441">
        <w:rPr>
          <w:rFonts w:ascii="Times New Roman" w:hAnsi="Times New Roman" w:cs="Times New Roman"/>
          <w:sz w:val="28"/>
          <w:szCs w:val="28"/>
          <w:lang w:val="en-US"/>
        </w:rPr>
        <w:t>P. 33</w:t>
      </w:r>
      <w:r w:rsidR="009C556E">
        <w:rPr>
          <w:rFonts w:ascii="Times New Roman" w:hAnsi="Times New Roman" w:cs="Times New Roman"/>
          <w:sz w:val="28"/>
          <w:szCs w:val="28"/>
          <w:lang w:val="en-US"/>
        </w:rPr>
        <w:t>–</w:t>
      </w:r>
      <w:r w:rsidRPr="00156441">
        <w:rPr>
          <w:rFonts w:ascii="Times New Roman" w:hAnsi="Times New Roman" w:cs="Times New Roman"/>
          <w:sz w:val="28"/>
          <w:szCs w:val="28"/>
          <w:lang w:val="en-US"/>
        </w:rPr>
        <w:t>39.</w:t>
      </w:r>
      <w:bookmarkEnd w:id="228"/>
    </w:p>
    <w:p w:rsidR="006006E1" w:rsidRPr="00156441" w:rsidRDefault="006006E1"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29" w:name="_Ref502695274"/>
      <w:bookmarkStart w:id="230" w:name="_Ref502745287"/>
      <w:r w:rsidRPr="00156441">
        <w:rPr>
          <w:rFonts w:ascii="Times New Roman" w:eastAsia="Times New Roman" w:hAnsi="Times New Roman" w:cs="Times New Roman"/>
          <w:sz w:val="28"/>
          <w:szCs w:val="28"/>
          <w:lang w:val="ru-RU" w:eastAsia="ru-RU"/>
        </w:rPr>
        <w:t>Гавриленко Т.</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И. Сосудистый эндотелиальный фактор роста в клинике внутренних заболеаний и его патогенетическое значение</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Т.</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И. Гавриленко, Н.</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А.</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Рыжкова, А.</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Н. Пархоменко</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Укр. кардиологический журнал</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2011</w:t>
      </w:r>
      <w:r w:rsidR="00F44EE4" w:rsidRPr="00156441">
        <w:rPr>
          <w:rFonts w:ascii="Times New Roman" w:eastAsia="Times New Roman" w:hAnsi="Times New Roman" w:cs="Times New Roman"/>
          <w:sz w:val="28"/>
          <w:szCs w:val="28"/>
          <w:lang w:val="ru-RU" w:eastAsia="ru-RU"/>
        </w:rPr>
        <w:t>. —</w:t>
      </w:r>
      <w:r w:rsidR="00FF56B6">
        <w:rPr>
          <w:rFonts w:ascii="Times New Roman" w:eastAsia="Times New Roman" w:hAnsi="Times New Roman" w:cs="Times New Roman"/>
          <w:sz w:val="28"/>
          <w:szCs w:val="28"/>
          <w:lang w:val="ru-RU" w:eastAsia="ru-RU"/>
        </w:rPr>
        <w:t xml:space="preserve"> № </w:t>
      </w:r>
      <w:r w:rsidRPr="00156441">
        <w:rPr>
          <w:rFonts w:ascii="Times New Roman" w:eastAsia="Times New Roman" w:hAnsi="Times New Roman" w:cs="Times New Roman"/>
          <w:sz w:val="28"/>
          <w:szCs w:val="28"/>
          <w:lang w:val="ru-RU" w:eastAsia="ru-RU"/>
        </w:rPr>
        <w:t>4</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87</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95</w:t>
      </w:r>
      <w:bookmarkEnd w:id="229"/>
      <w:r w:rsidRPr="00156441">
        <w:rPr>
          <w:rFonts w:ascii="Times New Roman" w:eastAsia="Times New Roman" w:hAnsi="Times New Roman" w:cs="Times New Roman"/>
          <w:sz w:val="28"/>
          <w:szCs w:val="28"/>
          <w:lang w:val="ru-RU" w:eastAsia="ru-RU"/>
        </w:rPr>
        <w:t>.</w:t>
      </w:r>
      <w:bookmarkEnd w:id="230"/>
    </w:p>
    <w:p w:rsidR="006006E1" w:rsidRPr="00156441" w:rsidRDefault="006006E1"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31" w:name="_Ref502695309"/>
      <w:r w:rsidRPr="00156441">
        <w:rPr>
          <w:rFonts w:ascii="Times New Roman" w:eastAsia="Times New Roman" w:hAnsi="Times New Roman" w:cs="Times New Roman"/>
          <w:sz w:val="28"/>
          <w:szCs w:val="28"/>
          <w:lang w:val="ru-RU" w:eastAsia="ru-RU"/>
        </w:rPr>
        <w:t>Активатори ангіогенезу і серцево</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судинні захворювання. Результати вивчення рівнів васкулоендотеліального фактора росту та ангіопоетину</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2 в крові хворих на гіпертонічну хворобу</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С.</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М. Коваль, О.</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 Мисниченко, І.</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О. Снігурська [та ін.]</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Артериальная гипертензия</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2016</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 6 (50)</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51</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56</w:t>
      </w:r>
      <w:bookmarkEnd w:id="231"/>
    </w:p>
    <w:p w:rsidR="007F516E" w:rsidRPr="00156441" w:rsidRDefault="007F516E"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32" w:name="_Ref502695477"/>
      <w:r w:rsidRPr="00156441">
        <w:rPr>
          <w:rFonts w:ascii="Times New Roman" w:eastAsia="Times New Roman" w:hAnsi="Times New Roman" w:cs="Times New Roman"/>
          <w:sz w:val="28"/>
          <w:szCs w:val="28"/>
          <w:lang w:val="en-US" w:eastAsia="ru-RU"/>
        </w:rPr>
        <w:t>The vascular endothelium and human diseases</w:t>
      </w:r>
      <w:r w:rsidR="009C6C87" w:rsidRPr="00156441">
        <w:rPr>
          <w:rFonts w:ascii="Times New Roman" w:eastAsia="Times New Roman" w:hAnsi="Times New Roman" w:cs="Times New Roman"/>
          <w:sz w:val="28"/>
          <w:szCs w:val="28"/>
          <w:lang w:val="en-US" w:eastAsia="ru-RU"/>
        </w:rPr>
        <w:t xml:space="preserve"> /</w:t>
      </w:r>
      <w:r w:rsidR="00C216F5" w:rsidRPr="00156441">
        <w:rPr>
          <w:rFonts w:ascii="Times New Roman" w:eastAsia="Times New Roman" w:hAnsi="Times New Roman" w:cs="Times New Roman"/>
          <w:sz w:val="28"/>
          <w:szCs w:val="28"/>
          <w:lang w:val="en-US" w:eastAsia="ru-RU"/>
        </w:rPr>
        <w:t xml:space="preserve"> </w:t>
      </w:r>
      <w:r w:rsidRPr="00156441">
        <w:rPr>
          <w:rFonts w:ascii="Times New Roman" w:eastAsia="Times New Roman" w:hAnsi="Times New Roman" w:cs="Times New Roman"/>
          <w:sz w:val="28"/>
          <w:szCs w:val="28"/>
          <w:lang w:val="en-US" w:eastAsia="ru-RU"/>
        </w:rPr>
        <w:t>R. Peramaiyan, R. Thamaraiselvan, T. Jayakumar [et al.]</w:t>
      </w:r>
      <w:r w:rsidR="00B46E01" w:rsidRPr="00156441">
        <w:rPr>
          <w:rFonts w:ascii="Times New Roman" w:eastAsia="Times New Roman" w:hAnsi="Times New Roman" w:cs="Times New Roman"/>
          <w:sz w:val="28"/>
          <w:szCs w:val="28"/>
          <w:lang w:val="en-US" w:eastAsia="ru-RU"/>
        </w:rPr>
        <w:t xml:space="preserve"> //</w:t>
      </w:r>
      <w:r w:rsidR="00C216F5" w:rsidRPr="00156441">
        <w:rPr>
          <w:rFonts w:ascii="Times New Roman" w:eastAsia="Times New Roman" w:hAnsi="Times New Roman" w:cs="Times New Roman"/>
          <w:sz w:val="28"/>
          <w:szCs w:val="28"/>
          <w:lang w:val="en-US" w:eastAsia="ru-RU"/>
        </w:rPr>
        <w:t xml:space="preserve"> </w:t>
      </w:r>
      <w:r w:rsidRPr="00156441">
        <w:rPr>
          <w:rFonts w:ascii="Times New Roman" w:eastAsia="Times New Roman" w:hAnsi="Times New Roman" w:cs="Times New Roman"/>
          <w:sz w:val="28"/>
          <w:szCs w:val="28"/>
          <w:lang w:val="en-US" w:eastAsia="ru-RU"/>
        </w:rPr>
        <w:t>Int. J. BiolSci</w:t>
      </w:r>
      <w:r w:rsidR="00F44EE4" w:rsidRPr="00156441">
        <w:rPr>
          <w:rFonts w:ascii="Times New Roman" w:eastAsia="Times New Roman" w:hAnsi="Times New Roman" w:cs="Times New Roman"/>
          <w:sz w:val="28"/>
          <w:szCs w:val="28"/>
          <w:lang w:val="en-US" w:eastAsia="ru-RU"/>
        </w:rPr>
        <w:t>. — </w:t>
      </w:r>
      <w:r w:rsidRPr="00156441">
        <w:rPr>
          <w:rFonts w:ascii="Times New Roman" w:eastAsia="Times New Roman" w:hAnsi="Times New Roman" w:cs="Times New Roman"/>
          <w:sz w:val="28"/>
          <w:szCs w:val="28"/>
          <w:lang w:val="en-US" w:eastAsia="ru-RU"/>
        </w:rPr>
        <w:t>2013</w:t>
      </w:r>
      <w:r w:rsidR="00F44EE4" w:rsidRPr="00156441">
        <w:rPr>
          <w:rFonts w:ascii="Times New Roman" w:eastAsia="Times New Roman" w:hAnsi="Times New Roman" w:cs="Times New Roman"/>
          <w:sz w:val="28"/>
          <w:szCs w:val="28"/>
          <w:lang w:val="en-US" w:eastAsia="ru-RU"/>
        </w:rPr>
        <w:t>. — </w:t>
      </w:r>
      <w:r w:rsidRPr="00156441">
        <w:rPr>
          <w:rFonts w:ascii="Times New Roman" w:eastAsia="Times New Roman" w:hAnsi="Times New Roman" w:cs="Times New Roman"/>
          <w:sz w:val="28"/>
          <w:szCs w:val="28"/>
          <w:lang w:val="en-US" w:eastAsia="ru-RU"/>
        </w:rPr>
        <w:t>№ 9</w:t>
      </w:r>
      <w:r w:rsidR="00F44EE4" w:rsidRPr="00156441">
        <w:rPr>
          <w:rFonts w:ascii="Times New Roman" w:eastAsia="Times New Roman" w:hAnsi="Times New Roman" w:cs="Times New Roman"/>
          <w:sz w:val="28"/>
          <w:szCs w:val="28"/>
          <w:lang w:val="en-US" w:eastAsia="ru-RU"/>
        </w:rPr>
        <w:t>. — С. </w:t>
      </w:r>
      <w:r w:rsidRPr="00156441">
        <w:rPr>
          <w:rFonts w:ascii="Times New Roman" w:eastAsia="Times New Roman" w:hAnsi="Times New Roman" w:cs="Times New Roman"/>
          <w:sz w:val="28"/>
          <w:szCs w:val="28"/>
          <w:lang w:val="en-US" w:eastAsia="ru-RU"/>
        </w:rPr>
        <w:t>1057</w:t>
      </w:r>
      <w:r w:rsidR="009C556E">
        <w:rPr>
          <w:rFonts w:ascii="Times New Roman" w:eastAsia="Times New Roman" w:hAnsi="Times New Roman" w:cs="Times New Roman"/>
          <w:sz w:val="28"/>
          <w:szCs w:val="28"/>
          <w:lang w:val="en-US" w:eastAsia="ru-RU"/>
        </w:rPr>
        <w:t>–</w:t>
      </w:r>
      <w:r w:rsidRPr="00156441">
        <w:rPr>
          <w:rFonts w:ascii="Times New Roman" w:eastAsia="Times New Roman" w:hAnsi="Times New Roman" w:cs="Times New Roman"/>
          <w:sz w:val="28"/>
          <w:szCs w:val="28"/>
          <w:lang w:val="en-US" w:eastAsia="ru-RU"/>
        </w:rPr>
        <w:t>1069</w:t>
      </w:r>
      <w:bookmarkEnd w:id="232"/>
    </w:p>
    <w:p w:rsidR="00090835" w:rsidRPr="00FF56B6" w:rsidRDefault="0009083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33" w:name="_Ref502696357"/>
      <w:r w:rsidRPr="007F7074">
        <w:rPr>
          <w:rFonts w:ascii="Times New Roman" w:eastAsia="Times New Roman" w:hAnsi="Times New Roman" w:cs="Times New Roman"/>
          <w:sz w:val="28"/>
          <w:szCs w:val="28"/>
          <w:lang w:val="ru-RU" w:eastAsia="ru-RU"/>
        </w:rPr>
        <w:t xml:space="preserve">Эндотелий. </w:t>
      </w:r>
      <w:r w:rsidRPr="00FF56B6">
        <w:rPr>
          <w:rFonts w:ascii="Times New Roman" w:eastAsia="Times New Roman" w:hAnsi="Times New Roman" w:cs="Times New Roman"/>
          <w:sz w:val="28"/>
          <w:szCs w:val="28"/>
          <w:lang w:val="ru-RU" w:eastAsia="ru-RU"/>
        </w:rPr>
        <w:t>Функция и дисфункция</w:t>
      </w:r>
      <w:r w:rsidR="009C6C87" w:rsidRPr="00FF56B6">
        <w:rPr>
          <w:rFonts w:ascii="Times New Roman" w:eastAsia="Times New Roman" w:hAnsi="Times New Roman" w:cs="Times New Roman"/>
          <w:sz w:val="28"/>
          <w:szCs w:val="28"/>
          <w:lang w:val="ru-RU" w:eastAsia="ru-RU"/>
        </w:rPr>
        <w:t xml:space="preserve"> /</w:t>
      </w:r>
      <w:r w:rsidR="00C216F5" w:rsidRPr="00FF56B6">
        <w:rPr>
          <w:rFonts w:ascii="Times New Roman" w:eastAsia="Times New Roman" w:hAnsi="Times New Roman" w:cs="Times New Roman"/>
          <w:sz w:val="28"/>
          <w:szCs w:val="28"/>
          <w:lang w:val="ru-RU" w:eastAsia="ru-RU"/>
        </w:rPr>
        <w:t xml:space="preserve"> </w:t>
      </w:r>
      <w:r w:rsidRPr="00FF56B6">
        <w:rPr>
          <w:rFonts w:ascii="Times New Roman" w:eastAsia="Times New Roman" w:hAnsi="Times New Roman" w:cs="Times New Roman"/>
          <w:sz w:val="28"/>
          <w:szCs w:val="28"/>
          <w:lang w:val="ru-RU" w:eastAsia="ru-RU"/>
        </w:rPr>
        <w:t>З.</w:t>
      </w:r>
      <w:r w:rsidR="00FF56B6">
        <w:rPr>
          <w:rFonts w:ascii="Times New Roman" w:eastAsia="Times New Roman" w:hAnsi="Times New Roman" w:cs="Times New Roman"/>
          <w:sz w:val="28"/>
          <w:szCs w:val="28"/>
          <w:lang w:val="ru-RU" w:eastAsia="ru-RU"/>
        </w:rPr>
        <w:t xml:space="preserve"> </w:t>
      </w:r>
      <w:r w:rsidRPr="00FF56B6">
        <w:rPr>
          <w:rFonts w:ascii="Times New Roman" w:eastAsia="Times New Roman" w:hAnsi="Times New Roman" w:cs="Times New Roman"/>
          <w:sz w:val="28"/>
          <w:szCs w:val="28"/>
          <w:lang w:val="ru-RU" w:eastAsia="ru-RU"/>
        </w:rPr>
        <w:t>А. Лупинская, А.</w:t>
      </w:r>
      <w:r w:rsidR="00FF56B6">
        <w:rPr>
          <w:rFonts w:ascii="Times New Roman" w:eastAsia="Times New Roman" w:hAnsi="Times New Roman" w:cs="Times New Roman"/>
          <w:sz w:val="28"/>
          <w:szCs w:val="28"/>
          <w:lang w:val="ru-RU" w:eastAsia="ru-RU"/>
        </w:rPr>
        <w:t xml:space="preserve"> </w:t>
      </w:r>
      <w:r w:rsidRPr="00FF56B6">
        <w:rPr>
          <w:rFonts w:ascii="Times New Roman" w:eastAsia="Times New Roman" w:hAnsi="Times New Roman" w:cs="Times New Roman"/>
          <w:sz w:val="28"/>
          <w:szCs w:val="28"/>
          <w:lang w:val="ru-RU" w:eastAsia="ru-RU"/>
        </w:rPr>
        <w:t>Г. Зарифьян, Т.</w:t>
      </w:r>
      <w:r w:rsidR="00FF56B6">
        <w:rPr>
          <w:rFonts w:ascii="Times New Roman" w:eastAsia="Times New Roman" w:hAnsi="Times New Roman" w:cs="Times New Roman"/>
          <w:sz w:val="28"/>
          <w:szCs w:val="28"/>
          <w:lang w:val="ru-RU" w:eastAsia="ru-RU"/>
        </w:rPr>
        <w:t xml:space="preserve"> </w:t>
      </w:r>
      <w:r w:rsidRPr="00FF56B6">
        <w:rPr>
          <w:rFonts w:ascii="Times New Roman" w:eastAsia="Times New Roman" w:hAnsi="Times New Roman" w:cs="Times New Roman"/>
          <w:sz w:val="28"/>
          <w:szCs w:val="28"/>
          <w:lang w:val="ru-RU" w:eastAsia="ru-RU"/>
        </w:rPr>
        <w:t>Ц Гурович, С.</w:t>
      </w:r>
      <w:r w:rsidR="00FF56B6">
        <w:rPr>
          <w:rFonts w:ascii="Times New Roman" w:eastAsia="Times New Roman" w:hAnsi="Times New Roman" w:cs="Times New Roman"/>
          <w:sz w:val="28"/>
          <w:szCs w:val="28"/>
          <w:lang w:val="ru-RU" w:eastAsia="ru-RU"/>
        </w:rPr>
        <w:t xml:space="preserve"> </w:t>
      </w:r>
      <w:r w:rsidRPr="00FF56B6">
        <w:rPr>
          <w:rFonts w:ascii="Times New Roman" w:eastAsia="Times New Roman" w:hAnsi="Times New Roman" w:cs="Times New Roman"/>
          <w:sz w:val="28"/>
          <w:szCs w:val="28"/>
          <w:lang w:val="ru-RU" w:eastAsia="ru-RU"/>
        </w:rPr>
        <w:t>Г. Шлейфер</w:t>
      </w:r>
      <w:r w:rsidR="00F44EE4" w:rsidRPr="00FF56B6">
        <w:rPr>
          <w:rFonts w:ascii="Times New Roman" w:eastAsia="Times New Roman" w:hAnsi="Times New Roman" w:cs="Times New Roman"/>
          <w:sz w:val="28"/>
          <w:szCs w:val="28"/>
          <w:lang w:val="ru-RU" w:eastAsia="ru-RU"/>
        </w:rPr>
        <w:t>.</w:t>
      </w:r>
      <w:r w:rsidR="00F44EE4" w:rsidRPr="00156441">
        <w:rPr>
          <w:rFonts w:ascii="Times New Roman" w:eastAsia="Times New Roman" w:hAnsi="Times New Roman" w:cs="Times New Roman"/>
          <w:sz w:val="28"/>
          <w:szCs w:val="28"/>
          <w:lang w:val="en-US" w:eastAsia="ru-RU"/>
        </w:rPr>
        <w:t> </w:t>
      </w:r>
      <w:r w:rsidR="00F44EE4" w:rsidRPr="00FF56B6">
        <w:rPr>
          <w:rFonts w:ascii="Times New Roman" w:eastAsia="Times New Roman" w:hAnsi="Times New Roman" w:cs="Times New Roman"/>
          <w:sz w:val="28"/>
          <w:szCs w:val="28"/>
          <w:lang w:val="ru-RU" w:eastAsia="ru-RU"/>
        </w:rPr>
        <w:t>—</w:t>
      </w:r>
      <w:r w:rsidR="00F44EE4" w:rsidRPr="00156441">
        <w:rPr>
          <w:rFonts w:ascii="Times New Roman" w:eastAsia="Times New Roman" w:hAnsi="Times New Roman" w:cs="Times New Roman"/>
          <w:sz w:val="28"/>
          <w:szCs w:val="28"/>
          <w:lang w:val="en-US" w:eastAsia="ru-RU"/>
        </w:rPr>
        <w:t> </w:t>
      </w:r>
      <w:r w:rsidRPr="00FF56B6">
        <w:rPr>
          <w:rFonts w:ascii="Times New Roman" w:eastAsia="Times New Roman" w:hAnsi="Times New Roman" w:cs="Times New Roman"/>
          <w:sz w:val="28"/>
          <w:szCs w:val="28"/>
          <w:lang w:val="ru-RU" w:eastAsia="ru-RU"/>
        </w:rPr>
        <w:t>Бишкек: КРСУ, 2008</w:t>
      </w:r>
      <w:r w:rsidR="00F44EE4" w:rsidRPr="00FF56B6">
        <w:rPr>
          <w:rFonts w:ascii="Times New Roman" w:eastAsia="Times New Roman" w:hAnsi="Times New Roman" w:cs="Times New Roman"/>
          <w:sz w:val="28"/>
          <w:szCs w:val="28"/>
          <w:lang w:val="ru-RU" w:eastAsia="ru-RU"/>
        </w:rPr>
        <w:t>.</w:t>
      </w:r>
      <w:r w:rsidR="00F44EE4" w:rsidRPr="00156441">
        <w:rPr>
          <w:rFonts w:ascii="Times New Roman" w:eastAsia="Times New Roman" w:hAnsi="Times New Roman" w:cs="Times New Roman"/>
          <w:sz w:val="28"/>
          <w:szCs w:val="28"/>
          <w:lang w:val="en-US" w:eastAsia="ru-RU"/>
        </w:rPr>
        <w:t> </w:t>
      </w:r>
      <w:r w:rsidR="00F44EE4" w:rsidRPr="00FF56B6">
        <w:rPr>
          <w:rFonts w:ascii="Times New Roman" w:eastAsia="Times New Roman" w:hAnsi="Times New Roman" w:cs="Times New Roman"/>
          <w:sz w:val="28"/>
          <w:szCs w:val="28"/>
          <w:lang w:val="ru-RU" w:eastAsia="ru-RU"/>
        </w:rPr>
        <w:t>—</w:t>
      </w:r>
      <w:r w:rsidR="00F44EE4" w:rsidRPr="00156441">
        <w:rPr>
          <w:rFonts w:ascii="Times New Roman" w:eastAsia="Times New Roman" w:hAnsi="Times New Roman" w:cs="Times New Roman"/>
          <w:sz w:val="28"/>
          <w:szCs w:val="28"/>
          <w:lang w:val="en-US" w:eastAsia="ru-RU"/>
        </w:rPr>
        <w:t> </w:t>
      </w:r>
      <w:r w:rsidRPr="00FF56B6">
        <w:rPr>
          <w:rFonts w:ascii="Times New Roman" w:eastAsia="Times New Roman" w:hAnsi="Times New Roman" w:cs="Times New Roman"/>
          <w:sz w:val="28"/>
          <w:szCs w:val="28"/>
          <w:lang w:val="ru-RU" w:eastAsia="ru-RU"/>
        </w:rPr>
        <w:t xml:space="preserve">373 </w:t>
      </w:r>
      <w:r w:rsidRPr="00156441">
        <w:rPr>
          <w:rFonts w:ascii="Times New Roman" w:eastAsia="Times New Roman" w:hAnsi="Times New Roman" w:cs="Times New Roman"/>
          <w:sz w:val="28"/>
          <w:szCs w:val="28"/>
          <w:lang w:val="en-US" w:eastAsia="ru-RU"/>
        </w:rPr>
        <w:t>c</w:t>
      </w:r>
      <w:r w:rsidRPr="00FF56B6">
        <w:rPr>
          <w:rFonts w:ascii="Times New Roman" w:eastAsia="Times New Roman" w:hAnsi="Times New Roman" w:cs="Times New Roman"/>
          <w:sz w:val="28"/>
          <w:szCs w:val="28"/>
          <w:lang w:val="ru-RU" w:eastAsia="ru-RU"/>
        </w:rPr>
        <w:t>.</w:t>
      </w:r>
      <w:bookmarkEnd w:id="233"/>
    </w:p>
    <w:p w:rsidR="00090835" w:rsidRPr="00156441" w:rsidRDefault="0009083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34" w:name="_Ref502696360"/>
      <w:r w:rsidRPr="00156441">
        <w:rPr>
          <w:rFonts w:ascii="Times New Roman" w:eastAsia="Times New Roman" w:hAnsi="Times New Roman" w:cs="Times New Roman"/>
          <w:sz w:val="28"/>
          <w:szCs w:val="28"/>
          <w:lang w:val="ru-RU" w:eastAsia="ru-RU"/>
        </w:rPr>
        <w:t>Калинин Р.</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Е. Эндотелиальная дисфункция и способы её коррекции при облитерирующем атеросклерозе</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Р.</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Е. Калинин, И.</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 Сучков, А.</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С.</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Пшенников</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М. : ГЄОТАР</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Медиа, 2014</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152 с.</w:t>
      </w:r>
      <w:bookmarkEnd w:id="234"/>
    </w:p>
    <w:p w:rsidR="00043835" w:rsidRPr="00156441" w:rsidRDefault="0004383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en-US"/>
        </w:rPr>
      </w:pPr>
      <w:bookmarkStart w:id="235" w:name="_Ref502696656"/>
      <w:r w:rsidRPr="00156441">
        <w:rPr>
          <w:rFonts w:ascii="Times New Roman" w:eastAsia="Times New Roman" w:hAnsi="Times New Roman" w:cs="Times New Roman"/>
          <w:sz w:val="28"/>
          <w:szCs w:val="28"/>
          <w:lang w:val="en-US" w:eastAsia="ru-RU"/>
        </w:rPr>
        <w:t>Baudin B. New aspects on angiotensin</w:t>
      </w:r>
      <w:r w:rsidR="009C556E">
        <w:rPr>
          <w:rFonts w:ascii="Times New Roman" w:eastAsia="Times New Roman" w:hAnsi="Times New Roman" w:cs="Times New Roman"/>
          <w:sz w:val="28"/>
          <w:szCs w:val="28"/>
          <w:lang w:val="en-US" w:eastAsia="ru-RU"/>
        </w:rPr>
        <w:t>–</w:t>
      </w:r>
      <w:r w:rsidRPr="00156441">
        <w:rPr>
          <w:rFonts w:ascii="Times New Roman" w:eastAsia="Times New Roman" w:hAnsi="Times New Roman" w:cs="Times New Roman"/>
          <w:sz w:val="28"/>
          <w:szCs w:val="28"/>
          <w:lang w:val="en-US" w:eastAsia="ru-RU"/>
        </w:rPr>
        <w:t>converting enzyme: from gene to disease</w:t>
      </w:r>
      <w:r w:rsidR="009C6C87" w:rsidRPr="00156441">
        <w:rPr>
          <w:rFonts w:ascii="Times New Roman" w:eastAsia="Times New Roman" w:hAnsi="Times New Roman" w:cs="Times New Roman"/>
          <w:sz w:val="28"/>
          <w:szCs w:val="28"/>
          <w:lang w:val="en-US" w:eastAsia="ru-RU"/>
        </w:rPr>
        <w:t xml:space="preserve"> /</w:t>
      </w:r>
      <w:r w:rsidR="00C216F5" w:rsidRPr="00156441">
        <w:rPr>
          <w:rFonts w:ascii="Times New Roman" w:eastAsia="Times New Roman" w:hAnsi="Times New Roman" w:cs="Times New Roman"/>
          <w:sz w:val="28"/>
          <w:szCs w:val="28"/>
          <w:lang w:val="en-US" w:eastAsia="ru-RU"/>
        </w:rPr>
        <w:t xml:space="preserve"> </w:t>
      </w:r>
      <w:r w:rsidRPr="00156441">
        <w:rPr>
          <w:rFonts w:ascii="Times New Roman" w:eastAsia="Times New Roman" w:hAnsi="Times New Roman" w:cs="Times New Roman"/>
          <w:sz w:val="28"/>
          <w:szCs w:val="28"/>
          <w:lang w:val="en-US" w:eastAsia="ru-RU"/>
        </w:rPr>
        <w:t>B. Baudin</w:t>
      </w:r>
      <w:r w:rsidR="00B46E01" w:rsidRPr="00156441">
        <w:rPr>
          <w:rFonts w:ascii="Times New Roman" w:eastAsia="Times New Roman" w:hAnsi="Times New Roman" w:cs="Times New Roman"/>
          <w:sz w:val="28"/>
          <w:szCs w:val="28"/>
          <w:lang w:val="en-US" w:eastAsia="ru-RU"/>
        </w:rPr>
        <w:t xml:space="preserve"> //</w:t>
      </w:r>
      <w:r w:rsidR="00C216F5" w:rsidRPr="00156441">
        <w:rPr>
          <w:rFonts w:ascii="Times New Roman" w:eastAsia="Times New Roman" w:hAnsi="Times New Roman" w:cs="Times New Roman"/>
          <w:sz w:val="28"/>
          <w:szCs w:val="28"/>
          <w:lang w:val="en-US" w:eastAsia="ru-RU"/>
        </w:rPr>
        <w:t xml:space="preserve"> </w:t>
      </w:r>
      <w:r w:rsidRPr="00156441">
        <w:rPr>
          <w:rFonts w:ascii="Times New Roman" w:eastAsia="Times New Roman" w:hAnsi="Times New Roman" w:cs="Times New Roman"/>
          <w:sz w:val="28"/>
          <w:szCs w:val="28"/>
          <w:lang w:val="en-US" w:eastAsia="ru-RU"/>
        </w:rPr>
        <w:t>Clin. Chem. Lab. Med</w:t>
      </w:r>
      <w:r w:rsidR="00F44EE4" w:rsidRPr="00156441">
        <w:rPr>
          <w:rFonts w:ascii="Times New Roman" w:eastAsia="Times New Roman" w:hAnsi="Times New Roman" w:cs="Times New Roman"/>
          <w:sz w:val="28"/>
          <w:szCs w:val="28"/>
          <w:lang w:val="en-US" w:eastAsia="ru-RU"/>
        </w:rPr>
        <w:t>. — </w:t>
      </w:r>
      <w:r w:rsidRPr="00156441">
        <w:rPr>
          <w:rFonts w:ascii="Times New Roman" w:eastAsia="Times New Roman" w:hAnsi="Times New Roman" w:cs="Times New Roman"/>
          <w:sz w:val="28"/>
          <w:szCs w:val="28"/>
          <w:lang w:val="en-US" w:eastAsia="ru-RU"/>
        </w:rPr>
        <w:t>2002</w:t>
      </w:r>
      <w:r w:rsidR="00F44EE4" w:rsidRPr="00156441">
        <w:rPr>
          <w:rFonts w:ascii="Times New Roman" w:eastAsia="Times New Roman" w:hAnsi="Times New Roman" w:cs="Times New Roman"/>
          <w:sz w:val="28"/>
          <w:szCs w:val="28"/>
          <w:lang w:val="en-US" w:eastAsia="ru-RU"/>
        </w:rPr>
        <w:t>. — </w:t>
      </w:r>
      <w:r w:rsidRPr="00156441">
        <w:rPr>
          <w:rFonts w:ascii="Times New Roman" w:eastAsia="Times New Roman" w:hAnsi="Times New Roman" w:cs="Times New Roman"/>
          <w:sz w:val="28"/>
          <w:szCs w:val="28"/>
          <w:lang w:val="en-US" w:eastAsia="ru-RU"/>
        </w:rPr>
        <w:t>Vol. 40, № 3</w:t>
      </w:r>
      <w:r w:rsidR="00F44EE4" w:rsidRPr="00156441">
        <w:rPr>
          <w:rFonts w:ascii="Times New Roman" w:eastAsia="Times New Roman" w:hAnsi="Times New Roman" w:cs="Times New Roman"/>
          <w:sz w:val="28"/>
          <w:szCs w:val="28"/>
          <w:lang w:val="en-US" w:eastAsia="ru-RU"/>
        </w:rPr>
        <w:t>. — </w:t>
      </w:r>
      <w:r w:rsidRPr="00156441">
        <w:rPr>
          <w:rFonts w:ascii="Times New Roman" w:eastAsia="Times New Roman" w:hAnsi="Times New Roman" w:cs="Times New Roman"/>
          <w:sz w:val="28"/>
          <w:szCs w:val="28"/>
          <w:lang w:val="en-US" w:eastAsia="ru-RU"/>
        </w:rPr>
        <w:t>Р. 256</w:t>
      </w:r>
      <w:r w:rsidR="009C556E">
        <w:rPr>
          <w:rFonts w:ascii="Times New Roman" w:eastAsia="Times New Roman" w:hAnsi="Times New Roman" w:cs="Times New Roman"/>
          <w:sz w:val="28"/>
          <w:szCs w:val="28"/>
          <w:lang w:val="en-US" w:eastAsia="ru-RU"/>
        </w:rPr>
        <w:t>–</w:t>
      </w:r>
      <w:r w:rsidRPr="00156441">
        <w:rPr>
          <w:rFonts w:ascii="Times New Roman" w:eastAsia="Times New Roman" w:hAnsi="Times New Roman" w:cs="Times New Roman"/>
          <w:sz w:val="28"/>
          <w:szCs w:val="28"/>
          <w:lang w:val="en-US" w:eastAsia="ru-RU"/>
        </w:rPr>
        <w:t>265</w:t>
      </w:r>
      <w:bookmarkEnd w:id="235"/>
      <w:r w:rsidRPr="00156441">
        <w:rPr>
          <w:rFonts w:ascii="Times New Roman" w:eastAsia="Times New Roman" w:hAnsi="Times New Roman" w:cs="Times New Roman"/>
          <w:sz w:val="28"/>
          <w:szCs w:val="28"/>
          <w:lang w:val="en-US" w:eastAsia="ru-RU"/>
        </w:rPr>
        <w:t>.</w:t>
      </w:r>
    </w:p>
    <w:p w:rsidR="00043835" w:rsidRPr="00156441" w:rsidRDefault="0004383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36" w:name="_Ref502696928"/>
      <w:r w:rsidRPr="00156441">
        <w:rPr>
          <w:rFonts w:ascii="Times New Roman" w:eastAsia="Times New Roman" w:hAnsi="Times New Roman" w:cs="Times New Roman"/>
          <w:sz w:val="28"/>
          <w:szCs w:val="28"/>
          <w:lang w:val="ru-RU" w:eastAsia="ru-RU"/>
        </w:rPr>
        <w:t>Кобалава Ж.</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Д. Артериальная гипертония. Ключи к диагностике и лечению</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Ж.</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Д. Кобалава, Ю.</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 Котовская, В.</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С. Моисеев</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М.: ГЭОТАР</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Медиа, 2009</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864 с.</w:t>
      </w:r>
      <w:bookmarkEnd w:id="236"/>
    </w:p>
    <w:p w:rsidR="0069372A" w:rsidRPr="00156441" w:rsidRDefault="0069372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37" w:name="_Ref502697114"/>
      <w:bookmarkStart w:id="238" w:name="_Ref502745059"/>
      <w:r w:rsidRPr="00156441">
        <w:rPr>
          <w:rFonts w:ascii="Times New Roman" w:eastAsia="Times New Roman" w:hAnsi="Times New Roman" w:cs="Times New Roman"/>
          <w:sz w:val="28"/>
          <w:szCs w:val="28"/>
          <w:lang w:val="ru-RU" w:eastAsia="ru-RU"/>
        </w:rPr>
        <w:t>Гомазков О.</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 Типы реагирования калликреин</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кининовой системы при различных функциональных и патологических изменениях в организме</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О.</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А.</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Гомазков</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Патол. физиология и эксперим. терапия</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2007</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 1</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70–76</w:t>
      </w:r>
      <w:bookmarkEnd w:id="237"/>
      <w:r w:rsidRPr="00156441">
        <w:rPr>
          <w:rFonts w:ascii="Times New Roman" w:eastAsia="Times New Roman" w:hAnsi="Times New Roman" w:cs="Times New Roman"/>
          <w:sz w:val="28"/>
          <w:szCs w:val="28"/>
          <w:lang w:val="ru-RU" w:eastAsia="ru-RU"/>
        </w:rPr>
        <w:t>.</w:t>
      </w:r>
      <w:bookmarkEnd w:id="238"/>
    </w:p>
    <w:p w:rsidR="0069372A" w:rsidRPr="00FF56B6" w:rsidRDefault="0069372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39" w:name="_Ref502697138"/>
      <w:bookmarkStart w:id="240" w:name="_Ref502745034"/>
      <w:r w:rsidRPr="00156441">
        <w:rPr>
          <w:rFonts w:ascii="Times New Roman" w:eastAsia="Times New Roman" w:hAnsi="Times New Roman" w:cs="Times New Roman"/>
          <w:sz w:val="28"/>
          <w:szCs w:val="28"/>
          <w:bdr w:val="none" w:sz="0" w:space="0" w:color="auto" w:frame="1"/>
          <w:lang w:val="ru-RU" w:eastAsia="ru-RU"/>
        </w:rPr>
        <w:t>Калликреин</w:t>
      </w:r>
      <w:r w:rsidR="009C556E">
        <w:rPr>
          <w:rFonts w:ascii="Times New Roman" w:eastAsia="Times New Roman" w:hAnsi="Times New Roman" w:cs="Times New Roman"/>
          <w:sz w:val="28"/>
          <w:szCs w:val="28"/>
          <w:bdr w:val="none" w:sz="0" w:space="0" w:color="auto" w:frame="1"/>
          <w:lang w:val="ru-RU" w:eastAsia="ru-RU"/>
        </w:rPr>
        <w:t>–</w:t>
      </w:r>
      <w:r w:rsidRPr="00156441">
        <w:rPr>
          <w:rFonts w:ascii="Times New Roman" w:eastAsia="Times New Roman" w:hAnsi="Times New Roman" w:cs="Times New Roman"/>
          <w:sz w:val="28"/>
          <w:szCs w:val="28"/>
          <w:bdr w:val="none" w:sz="0" w:space="0" w:color="auto" w:frame="1"/>
          <w:lang w:val="ru-RU" w:eastAsia="ru-RU"/>
        </w:rPr>
        <w:t>кининовая система как адаптационно</w:t>
      </w:r>
      <w:r w:rsidR="009C556E">
        <w:rPr>
          <w:rFonts w:ascii="Times New Roman" w:eastAsia="Times New Roman" w:hAnsi="Times New Roman" w:cs="Times New Roman"/>
          <w:sz w:val="28"/>
          <w:szCs w:val="28"/>
          <w:bdr w:val="none" w:sz="0" w:space="0" w:color="auto" w:frame="1"/>
          <w:lang w:val="ru-RU" w:eastAsia="ru-RU"/>
        </w:rPr>
        <w:t>–</w:t>
      </w:r>
      <w:r w:rsidRPr="00156441">
        <w:rPr>
          <w:rFonts w:ascii="Times New Roman" w:eastAsia="Times New Roman" w:hAnsi="Times New Roman" w:cs="Times New Roman"/>
          <w:sz w:val="28"/>
          <w:szCs w:val="28"/>
          <w:bdr w:val="none" w:sz="0" w:space="0" w:color="auto" w:frame="1"/>
          <w:lang w:val="ru-RU" w:eastAsia="ru-RU"/>
        </w:rPr>
        <w:t>защитное звено организма</w:t>
      </w:r>
      <w:r w:rsidR="009C6C87" w:rsidRPr="00156441">
        <w:rPr>
          <w:rFonts w:ascii="Times New Roman" w:eastAsia="Times New Roman" w:hAnsi="Times New Roman" w:cs="Times New Roman"/>
          <w:sz w:val="28"/>
          <w:szCs w:val="28"/>
          <w:bdr w:val="none" w:sz="0" w:space="0" w:color="auto" w:frame="1"/>
          <w:lang w:val="ru-RU" w:eastAsia="ru-RU"/>
        </w:rPr>
        <w:t xml:space="preserve"> /</w:t>
      </w:r>
      <w:r w:rsidR="00C216F5" w:rsidRPr="00156441">
        <w:rPr>
          <w:rFonts w:ascii="Times New Roman" w:eastAsia="Times New Roman" w:hAnsi="Times New Roman" w:cs="Times New Roman"/>
          <w:sz w:val="28"/>
          <w:szCs w:val="28"/>
          <w:bdr w:val="none" w:sz="0" w:space="0" w:color="auto" w:frame="1"/>
          <w:lang w:val="ru-RU" w:eastAsia="ru-RU"/>
        </w:rPr>
        <w:t xml:space="preserve"> </w:t>
      </w:r>
      <w:r w:rsidRPr="00156441">
        <w:rPr>
          <w:rFonts w:ascii="Times New Roman" w:eastAsia="Times New Roman" w:hAnsi="Times New Roman" w:cs="Times New Roman"/>
          <w:sz w:val="28"/>
          <w:szCs w:val="28"/>
          <w:bdr w:val="none" w:sz="0" w:space="0" w:color="auto" w:frame="1"/>
          <w:lang w:val="ru-RU" w:eastAsia="ru-RU"/>
        </w:rPr>
        <w:t>З.</w:t>
      </w:r>
      <w:r w:rsidR="00FF56B6">
        <w:rPr>
          <w:rFonts w:ascii="Times New Roman" w:eastAsia="Times New Roman" w:hAnsi="Times New Roman" w:cs="Times New Roman"/>
          <w:sz w:val="28"/>
          <w:szCs w:val="28"/>
          <w:bdr w:val="none" w:sz="0" w:space="0" w:color="auto" w:frame="1"/>
          <w:lang w:val="ru-RU" w:eastAsia="ru-RU"/>
        </w:rPr>
        <w:t xml:space="preserve"> </w:t>
      </w:r>
      <w:r w:rsidRPr="00156441">
        <w:rPr>
          <w:rFonts w:ascii="Times New Roman" w:eastAsia="Times New Roman" w:hAnsi="Times New Roman" w:cs="Times New Roman"/>
          <w:sz w:val="28"/>
          <w:szCs w:val="28"/>
          <w:bdr w:val="none" w:sz="0" w:space="0" w:color="auto" w:frame="1"/>
          <w:lang w:val="ru-RU" w:eastAsia="ru-RU"/>
        </w:rPr>
        <w:t>Н. Третьякевич, А.</w:t>
      </w:r>
      <w:r w:rsidR="00FF56B6">
        <w:rPr>
          <w:rFonts w:ascii="Times New Roman" w:eastAsia="Times New Roman" w:hAnsi="Times New Roman" w:cs="Times New Roman"/>
          <w:sz w:val="28"/>
          <w:szCs w:val="28"/>
          <w:bdr w:val="none" w:sz="0" w:space="0" w:color="auto" w:frame="1"/>
          <w:lang w:val="ru-RU" w:eastAsia="ru-RU"/>
        </w:rPr>
        <w:t xml:space="preserve"> </w:t>
      </w:r>
      <w:r w:rsidRPr="00156441">
        <w:rPr>
          <w:rFonts w:ascii="Times New Roman" w:eastAsia="Times New Roman" w:hAnsi="Times New Roman" w:cs="Times New Roman"/>
          <w:sz w:val="28"/>
          <w:szCs w:val="28"/>
          <w:bdr w:val="none" w:sz="0" w:space="0" w:color="auto" w:frame="1"/>
          <w:lang w:val="ru-RU" w:eastAsia="ru-RU"/>
        </w:rPr>
        <w:t>М. Левчин, В.</w:t>
      </w:r>
      <w:r w:rsidR="00FF56B6">
        <w:rPr>
          <w:rFonts w:ascii="Times New Roman" w:eastAsia="Times New Roman" w:hAnsi="Times New Roman" w:cs="Times New Roman"/>
          <w:sz w:val="28"/>
          <w:szCs w:val="28"/>
          <w:bdr w:val="none" w:sz="0" w:space="0" w:color="auto" w:frame="1"/>
          <w:lang w:val="ru-RU" w:eastAsia="ru-RU"/>
        </w:rPr>
        <w:t xml:space="preserve"> </w:t>
      </w:r>
      <w:r w:rsidRPr="00156441">
        <w:rPr>
          <w:rFonts w:ascii="Times New Roman" w:eastAsia="Times New Roman" w:hAnsi="Times New Roman" w:cs="Times New Roman"/>
          <w:sz w:val="28"/>
          <w:szCs w:val="28"/>
          <w:bdr w:val="none" w:sz="0" w:space="0" w:color="auto" w:frame="1"/>
          <w:lang w:val="ru-RU" w:eastAsia="ru-RU"/>
        </w:rPr>
        <w:t>В. Анцупова [и</w:t>
      </w:r>
      <w:r w:rsidRPr="00156441">
        <w:rPr>
          <w:rFonts w:ascii="Times New Roman" w:eastAsia="Times New Roman" w:hAnsi="Times New Roman" w:cs="Times New Roman"/>
          <w:sz w:val="28"/>
          <w:szCs w:val="28"/>
          <w:bdr w:val="none" w:sz="0" w:space="0" w:color="auto" w:frame="1"/>
          <w:lang w:val="en-US" w:eastAsia="ru-RU"/>
        </w:rPr>
        <w:t> </w:t>
      </w:r>
      <w:r w:rsidRPr="00156441">
        <w:rPr>
          <w:rFonts w:ascii="Times New Roman" w:eastAsia="Times New Roman" w:hAnsi="Times New Roman" w:cs="Times New Roman"/>
          <w:sz w:val="28"/>
          <w:szCs w:val="28"/>
          <w:bdr w:val="none" w:sz="0" w:space="0" w:color="auto" w:frame="1"/>
          <w:lang w:val="ru-RU" w:eastAsia="ru-RU"/>
        </w:rPr>
        <w:t>др.]</w:t>
      </w:r>
      <w:r w:rsidR="00B46E01" w:rsidRPr="00156441">
        <w:rPr>
          <w:rFonts w:ascii="Times New Roman" w:eastAsia="Times New Roman" w:hAnsi="Times New Roman" w:cs="Times New Roman"/>
          <w:sz w:val="28"/>
          <w:szCs w:val="28"/>
          <w:bdr w:val="none" w:sz="0" w:space="0" w:color="auto" w:frame="1"/>
          <w:lang w:val="ru-RU" w:eastAsia="ru-RU"/>
        </w:rPr>
        <w:t xml:space="preserve"> //</w:t>
      </w:r>
      <w:r w:rsidR="00C216F5" w:rsidRPr="00156441">
        <w:rPr>
          <w:rFonts w:ascii="Times New Roman" w:eastAsia="Times New Roman" w:hAnsi="Times New Roman" w:cs="Times New Roman"/>
          <w:sz w:val="28"/>
          <w:szCs w:val="28"/>
          <w:bdr w:val="none" w:sz="0" w:space="0" w:color="auto" w:frame="1"/>
          <w:lang w:val="ru-RU" w:eastAsia="ru-RU"/>
        </w:rPr>
        <w:t xml:space="preserve"> </w:t>
      </w:r>
      <w:r w:rsidRPr="00156441">
        <w:rPr>
          <w:rFonts w:ascii="Times New Roman" w:eastAsia="Times New Roman" w:hAnsi="Times New Roman" w:cs="Times New Roman"/>
          <w:sz w:val="28"/>
          <w:szCs w:val="28"/>
          <w:bdr w:val="none" w:sz="0" w:space="0" w:color="auto" w:frame="1"/>
          <w:lang w:val="ru-RU" w:eastAsia="ru-RU"/>
        </w:rPr>
        <w:t xml:space="preserve">Современная </w:t>
      </w:r>
      <w:r w:rsidRPr="00156441">
        <w:rPr>
          <w:rFonts w:ascii="Times New Roman" w:eastAsia="Times New Roman" w:hAnsi="Times New Roman" w:cs="Times New Roman"/>
          <w:sz w:val="28"/>
          <w:szCs w:val="28"/>
          <w:bdr w:val="none" w:sz="0" w:space="0" w:color="auto" w:frame="1"/>
          <w:lang w:val="ru-RU" w:eastAsia="ru-RU"/>
        </w:rPr>
        <w:lastRenderedPageBreak/>
        <w:t xml:space="preserve">медицина: актуальные вопросы: сб. статей по матер. </w:t>
      </w:r>
      <w:r w:rsidRPr="00156441">
        <w:rPr>
          <w:rFonts w:ascii="Times New Roman" w:eastAsia="Times New Roman" w:hAnsi="Times New Roman" w:cs="Times New Roman"/>
          <w:sz w:val="28"/>
          <w:szCs w:val="28"/>
          <w:bdr w:val="none" w:sz="0" w:space="0" w:color="auto" w:frame="1"/>
          <w:lang w:val="en-US" w:eastAsia="ru-RU"/>
        </w:rPr>
        <w:t>XXII</w:t>
      </w:r>
      <w:r w:rsidRPr="00FF56B6">
        <w:rPr>
          <w:rFonts w:ascii="Times New Roman" w:eastAsia="Times New Roman" w:hAnsi="Times New Roman" w:cs="Times New Roman"/>
          <w:sz w:val="28"/>
          <w:szCs w:val="28"/>
          <w:bdr w:val="none" w:sz="0" w:space="0" w:color="auto" w:frame="1"/>
          <w:lang w:val="ru-RU" w:eastAsia="ru-RU"/>
        </w:rPr>
        <w:t xml:space="preserve"> междунар. науч</w:t>
      </w:r>
      <w:r w:rsidR="009C6C87" w:rsidRPr="00FF56B6">
        <w:rPr>
          <w:rFonts w:ascii="Times New Roman" w:eastAsia="Times New Roman" w:hAnsi="Times New Roman" w:cs="Times New Roman"/>
          <w:sz w:val="28"/>
          <w:szCs w:val="28"/>
          <w:bdr w:val="none" w:sz="0" w:space="0" w:color="auto" w:frame="1"/>
          <w:lang w:val="ru-RU" w:eastAsia="ru-RU"/>
        </w:rPr>
        <w:t>.</w:t>
      </w:r>
      <w:r w:rsidR="00FF56B6">
        <w:rPr>
          <w:rFonts w:ascii="Times New Roman" w:eastAsia="Times New Roman" w:hAnsi="Times New Roman" w:cs="Times New Roman"/>
          <w:sz w:val="28"/>
          <w:szCs w:val="28"/>
          <w:bdr w:val="none" w:sz="0" w:space="0" w:color="auto" w:frame="1"/>
          <w:lang w:val="ru-RU" w:eastAsia="ru-RU"/>
        </w:rPr>
        <w:t>–</w:t>
      </w:r>
      <w:r w:rsidRPr="00FF56B6">
        <w:rPr>
          <w:rFonts w:ascii="Times New Roman" w:eastAsia="Times New Roman" w:hAnsi="Times New Roman" w:cs="Times New Roman"/>
          <w:sz w:val="28"/>
          <w:szCs w:val="28"/>
          <w:bdr w:val="none" w:sz="0" w:space="0" w:color="auto" w:frame="1"/>
          <w:lang w:val="ru-RU" w:eastAsia="ru-RU"/>
        </w:rPr>
        <w:t>практ. конф</w:t>
      </w:r>
      <w:r w:rsidR="00F44EE4" w:rsidRPr="00FF56B6">
        <w:rPr>
          <w:rFonts w:ascii="Times New Roman" w:eastAsia="Times New Roman" w:hAnsi="Times New Roman" w:cs="Times New Roman"/>
          <w:sz w:val="28"/>
          <w:szCs w:val="28"/>
          <w:bdr w:val="none" w:sz="0" w:space="0" w:color="auto" w:frame="1"/>
          <w:lang w:val="ru-RU" w:eastAsia="ru-RU"/>
        </w:rPr>
        <w:t>.</w:t>
      </w:r>
      <w:r w:rsidR="00F44EE4" w:rsidRPr="00156441">
        <w:rPr>
          <w:rFonts w:ascii="Times New Roman" w:eastAsia="Times New Roman" w:hAnsi="Times New Roman" w:cs="Times New Roman"/>
          <w:sz w:val="28"/>
          <w:szCs w:val="28"/>
          <w:bdr w:val="none" w:sz="0" w:space="0" w:color="auto" w:frame="1"/>
          <w:lang w:val="en-US" w:eastAsia="ru-RU"/>
        </w:rPr>
        <w:t> </w:t>
      </w:r>
      <w:r w:rsidR="00F44EE4" w:rsidRPr="00FF56B6">
        <w:rPr>
          <w:rFonts w:ascii="Times New Roman" w:eastAsia="Times New Roman" w:hAnsi="Times New Roman" w:cs="Times New Roman"/>
          <w:sz w:val="28"/>
          <w:szCs w:val="28"/>
          <w:bdr w:val="none" w:sz="0" w:space="0" w:color="auto" w:frame="1"/>
          <w:lang w:val="ru-RU" w:eastAsia="ru-RU"/>
        </w:rPr>
        <w:t>—</w:t>
      </w:r>
      <w:r w:rsidR="00F44EE4" w:rsidRPr="00156441">
        <w:rPr>
          <w:rFonts w:ascii="Times New Roman" w:eastAsia="Times New Roman" w:hAnsi="Times New Roman" w:cs="Times New Roman"/>
          <w:sz w:val="28"/>
          <w:szCs w:val="28"/>
          <w:bdr w:val="none" w:sz="0" w:space="0" w:color="auto" w:frame="1"/>
          <w:lang w:val="en-US" w:eastAsia="ru-RU"/>
        </w:rPr>
        <w:t> </w:t>
      </w:r>
      <w:r w:rsidRPr="00FF56B6">
        <w:rPr>
          <w:rFonts w:ascii="Times New Roman" w:eastAsia="Times New Roman" w:hAnsi="Times New Roman" w:cs="Times New Roman"/>
          <w:sz w:val="28"/>
          <w:szCs w:val="28"/>
          <w:bdr w:val="none" w:sz="0" w:space="0" w:color="auto" w:frame="1"/>
          <w:lang w:val="ru-RU" w:eastAsia="ru-RU"/>
        </w:rPr>
        <w:t>Новосибирск: СибАК, 2013</w:t>
      </w:r>
      <w:r w:rsidR="00F44EE4" w:rsidRPr="00FF56B6">
        <w:rPr>
          <w:rFonts w:ascii="Times New Roman" w:eastAsia="Times New Roman" w:hAnsi="Times New Roman" w:cs="Times New Roman"/>
          <w:sz w:val="28"/>
          <w:szCs w:val="28"/>
          <w:bdr w:val="none" w:sz="0" w:space="0" w:color="auto" w:frame="1"/>
          <w:lang w:val="ru-RU" w:eastAsia="ru-RU"/>
        </w:rPr>
        <w:t>.</w:t>
      </w:r>
      <w:r w:rsidR="00F44EE4" w:rsidRPr="00156441">
        <w:rPr>
          <w:rFonts w:ascii="Times New Roman" w:eastAsia="Times New Roman" w:hAnsi="Times New Roman" w:cs="Times New Roman"/>
          <w:sz w:val="28"/>
          <w:szCs w:val="28"/>
          <w:bdr w:val="none" w:sz="0" w:space="0" w:color="auto" w:frame="1"/>
          <w:lang w:val="en-US" w:eastAsia="ru-RU"/>
        </w:rPr>
        <w:t> </w:t>
      </w:r>
      <w:r w:rsidR="00F44EE4" w:rsidRPr="00FF56B6">
        <w:rPr>
          <w:rFonts w:ascii="Times New Roman" w:eastAsia="Times New Roman" w:hAnsi="Times New Roman" w:cs="Times New Roman"/>
          <w:sz w:val="28"/>
          <w:szCs w:val="28"/>
          <w:bdr w:val="none" w:sz="0" w:space="0" w:color="auto" w:frame="1"/>
          <w:lang w:val="ru-RU" w:eastAsia="ru-RU"/>
        </w:rPr>
        <w:t>— С.</w:t>
      </w:r>
      <w:r w:rsidR="00F44EE4" w:rsidRPr="00156441">
        <w:rPr>
          <w:rFonts w:ascii="Times New Roman" w:eastAsia="Times New Roman" w:hAnsi="Times New Roman" w:cs="Times New Roman"/>
          <w:sz w:val="28"/>
          <w:szCs w:val="28"/>
          <w:bdr w:val="none" w:sz="0" w:space="0" w:color="auto" w:frame="1"/>
          <w:lang w:val="en-US" w:eastAsia="ru-RU"/>
        </w:rPr>
        <w:t> </w:t>
      </w:r>
      <w:r w:rsidRPr="00FF56B6">
        <w:rPr>
          <w:rFonts w:ascii="Times New Roman" w:eastAsia="Times New Roman" w:hAnsi="Times New Roman" w:cs="Times New Roman"/>
          <w:sz w:val="28"/>
          <w:szCs w:val="28"/>
          <w:bdr w:val="none" w:sz="0" w:space="0" w:color="auto" w:frame="1"/>
          <w:lang w:val="ru-RU" w:eastAsia="ru-RU"/>
        </w:rPr>
        <w:t>49</w:t>
      </w:r>
      <w:r w:rsidR="009C556E" w:rsidRPr="00FF56B6">
        <w:rPr>
          <w:rFonts w:ascii="Times New Roman" w:eastAsia="Times New Roman" w:hAnsi="Times New Roman" w:cs="Times New Roman"/>
          <w:sz w:val="28"/>
          <w:szCs w:val="28"/>
          <w:bdr w:val="none" w:sz="0" w:space="0" w:color="auto" w:frame="1"/>
          <w:lang w:val="ru-RU" w:eastAsia="ru-RU"/>
        </w:rPr>
        <w:t>–</w:t>
      </w:r>
      <w:r w:rsidRPr="00FF56B6">
        <w:rPr>
          <w:rFonts w:ascii="Times New Roman" w:eastAsia="Times New Roman" w:hAnsi="Times New Roman" w:cs="Times New Roman"/>
          <w:sz w:val="28"/>
          <w:szCs w:val="28"/>
          <w:bdr w:val="none" w:sz="0" w:space="0" w:color="auto" w:frame="1"/>
          <w:lang w:val="ru-RU" w:eastAsia="ru-RU"/>
        </w:rPr>
        <w:t>58</w:t>
      </w:r>
      <w:bookmarkEnd w:id="239"/>
      <w:r w:rsidR="00511D6B" w:rsidRPr="00FF56B6">
        <w:rPr>
          <w:rFonts w:ascii="Times New Roman" w:eastAsia="Times New Roman" w:hAnsi="Times New Roman" w:cs="Times New Roman"/>
          <w:sz w:val="28"/>
          <w:szCs w:val="28"/>
          <w:bdr w:val="none" w:sz="0" w:space="0" w:color="auto" w:frame="1"/>
          <w:lang w:val="ru-RU" w:eastAsia="ru-RU"/>
        </w:rPr>
        <w:t>.</w:t>
      </w:r>
      <w:bookmarkEnd w:id="240"/>
    </w:p>
    <w:p w:rsidR="00511D6B" w:rsidRPr="00156441" w:rsidRDefault="00511D6B"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41" w:name="_Ref502697437"/>
      <w:r w:rsidRPr="00156441">
        <w:rPr>
          <w:rFonts w:ascii="Times New Roman" w:eastAsia="Times New Roman" w:hAnsi="Times New Roman" w:cs="Times New Roman"/>
          <w:sz w:val="28"/>
          <w:szCs w:val="28"/>
          <w:lang w:val="ru-RU" w:eastAsia="ru-RU"/>
        </w:rPr>
        <w:t>Особенности синтеза оксида азота у больных бронхиальной астмой и хронической обструктивной болезнью легких</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З.</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О. Дзускаева, Р.</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 Еналдиева, С.</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А. Амбалова [и др.]</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Кубанский научный медицинский вестник</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2015</w:t>
      </w:r>
      <w:r w:rsidR="00F44EE4" w:rsidRPr="00156441">
        <w:rPr>
          <w:rFonts w:ascii="Times New Roman" w:eastAsia="Times New Roman" w:hAnsi="Times New Roman" w:cs="Times New Roman"/>
          <w:sz w:val="28"/>
          <w:szCs w:val="28"/>
          <w:lang w:val="ru-RU" w:eastAsia="ru-RU"/>
        </w:rPr>
        <w:t>. —</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3 (152)</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27</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31</w:t>
      </w:r>
      <w:bookmarkEnd w:id="241"/>
      <w:r w:rsidRPr="00156441">
        <w:rPr>
          <w:rFonts w:ascii="Times New Roman" w:eastAsia="Times New Roman" w:hAnsi="Times New Roman" w:cs="Times New Roman"/>
          <w:sz w:val="28"/>
          <w:szCs w:val="28"/>
          <w:lang w:val="ru-RU" w:eastAsia="ru-RU"/>
        </w:rPr>
        <w:t>.</w:t>
      </w:r>
    </w:p>
    <w:p w:rsidR="00511D6B" w:rsidRPr="00156441" w:rsidRDefault="00511D6B"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42" w:name="_Ref502697478"/>
      <w:r w:rsidRPr="00156441">
        <w:rPr>
          <w:rFonts w:ascii="Times New Roman" w:eastAsia="Times New Roman" w:hAnsi="Times New Roman" w:cs="Times New Roman"/>
          <w:sz w:val="28"/>
          <w:szCs w:val="28"/>
          <w:lang w:val="ru-RU" w:eastAsia="ru-RU"/>
        </w:rPr>
        <w:t>Метельская В.</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 Оксид азота: роль в регуляции биологических функций, методы определения в крови человека</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 Метельская, Н.</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Г. Гуманова</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Лаб. медицина</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2005</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 7</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19</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24</w:t>
      </w:r>
      <w:bookmarkEnd w:id="242"/>
      <w:r w:rsidR="00ED2F14" w:rsidRPr="00156441">
        <w:rPr>
          <w:rFonts w:ascii="Times New Roman" w:eastAsia="Times New Roman" w:hAnsi="Times New Roman" w:cs="Times New Roman"/>
          <w:sz w:val="28"/>
          <w:szCs w:val="28"/>
          <w:lang w:val="ru-RU" w:eastAsia="ru-RU"/>
        </w:rPr>
        <w:t>.</w:t>
      </w:r>
    </w:p>
    <w:p w:rsidR="00ED2F14" w:rsidRPr="00156441" w:rsidRDefault="00ED2F14"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43" w:name="_Ref502697674"/>
      <w:r w:rsidRPr="00156441">
        <w:rPr>
          <w:rFonts w:ascii="Times New Roman" w:eastAsia="Times New Roman" w:hAnsi="Times New Roman" w:cs="Times New Roman"/>
          <w:sz w:val="28"/>
          <w:szCs w:val="28"/>
          <w:lang w:val="ru-RU" w:eastAsia="ru-RU"/>
        </w:rPr>
        <w:t>Козина О.</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 Метаболиты оксида азота и их значение в патогенезе бронхиальной астмы</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О.</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 Козина</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Клин. лаб. диагностика</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2008</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 6</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34</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36</w:t>
      </w:r>
      <w:bookmarkEnd w:id="243"/>
      <w:r w:rsidR="00AC5021" w:rsidRPr="00156441">
        <w:rPr>
          <w:rFonts w:ascii="Times New Roman" w:eastAsia="Times New Roman" w:hAnsi="Times New Roman" w:cs="Times New Roman"/>
          <w:sz w:val="28"/>
          <w:szCs w:val="28"/>
          <w:lang w:val="ru-RU" w:eastAsia="ru-RU"/>
        </w:rPr>
        <w:t>.</w:t>
      </w:r>
    </w:p>
    <w:p w:rsidR="00AC5021" w:rsidRPr="00156441" w:rsidRDefault="00AC5021"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44" w:name="_Ref502738179"/>
      <w:r w:rsidRPr="00156441">
        <w:rPr>
          <w:rFonts w:ascii="Times New Roman" w:eastAsia="Times New Roman" w:hAnsi="Times New Roman" w:cs="Times New Roman"/>
          <w:sz w:val="28"/>
          <w:szCs w:val="28"/>
          <w:lang w:val="ru-RU" w:eastAsia="ru-RU"/>
        </w:rPr>
        <w:t>Нитрозивный стресс и растворимые дифференцировочные молекулы при обострении хронической обструктивной болезни легких</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Л.</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Б. Постникова, Н.</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И. Кубышева, М.</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 Болдина [и др.]</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Пульмонология</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2012</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 1</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35</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39</w:t>
      </w:r>
      <w:bookmarkEnd w:id="244"/>
      <w:r w:rsidRPr="00156441">
        <w:rPr>
          <w:rFonts w:ascii="Times New Roman" w:eastAsia="Times New Roman" w:hAnsi="Times New Roman" w:cs="Times New Roman"/>
          <w:sz w:val="28"/>
          <w:szCs w:val="28"/>
          <w:lang w:val="ru-RU" w:eastAsia="ru-RU"/>
        </w:rPr>
        <w:t>.</w:t>
      </w:r>
    </w:p>
    <w:p w:rsidR="00AC5021" w:rsidRPr="00156441" w:rsidRDefault="00AC5021"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45" w:name="_Ref502738205"/>
      <w:r w:rsidRPr="00156441">
        <w:rPr>
          <w:rFonts w:ascii="Times New Roman" w:eastAsia="Times New Roman" w:hAnsi="Times New Roman" w:cs="Times New Roman"/>
          <w:sz w:val="28"/>
          <w:szCs w:val="28"/>
          <w:lang w:val="ru-RU" w:eastAsia="ru-RU"/>
        </w:rPr>
        <w:t>Изменение метаболизма оксида азота при хронической обструктивной болезни легких в сочетании с хронической ишемией головного мозга</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С.</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К.</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Соодаева, И.</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 Климанов, Т.</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В. Ли [и др.]</w:t>
      </w:r>
      <w:r w:rsidR="00B46E01"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Пульмонология</w:t>
      </w:r>
      <w:r w:rsidR="00F44EE4" w:rsidRPr="00156441">
        <w:rPr>
          <w:rFonts w:ascii="Times New Roman" w:eastAsia="Times New Roman" w:hAnsi="Times New Roman" w:cs="Times New Roman"/>
          <w:sz w:val="28"/>
          <w:szCs w:val="28"/>
          <w:lang w:val="ru-RU" w:eastAsia="ru-RU"/>
        </w:rPr>
        <w:t>. —</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2012</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1</w:t>
      </w:r>
      <w:r w:rsidR="00F44EE4" w:rsidRPr="00156441">
        <w:rPr>
          <w:rFonts w:ascii="Times New Roman" w:eastAsia="Times New Roman" w:hAnsi="Times New Roman" w:cs="Times New Roman"/>
          <w:sz w:val="28"/>
          <w:szCs w:val="28"/>
          <w:lang w:val="ru-RU" w:eastAsia="ru-RU"/>
        </w:rPr>
        <w:t>. — С. </w:t>
      </w:r>
      <w:r w:rsidRPr="00156441">
        <w:rPr>
          <w:rFonts w:ascii="Times New Roman" w:eastAsia="Times New Roman" w:hAnsi="Times New Roman" w:cs="Times New Roman"/>
          <w:sz w:val="28"/>
          <w:szCs w:val="28"/>
          <w:lang w:val="ru-RU" w:eastAsia="ru-RU"/>
        </w:rPr>
        <w:t>31</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val="ru-RU" w:eastAsia="ru-RU"/>
        </w:rPr>
        <w:t>34</w:t>
      </w:r>
      <w:bookmarkEnd w:id="245"/>
    </w:p>
    <w:p w:rsidR="00AC5021" w:rsidRPr="00156441" w:rsidRDefault="00AC5021"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lang w:val="ru-RU"/>
        </w:rPr>
      </w:pPr>
      <w:bookmarkStart w:id="246" w:name="_Ref502738266"/>
      <w:r w:rsidRPr="00156441">
        <w:rPr>
          <w:rFonts w:ascii="Times New Roman" w:eastAsia="Times New Roman" w:hAnsi="Times New Roman" w:cs="Times New Roman"/>
          <w:sz w:val="28"/>
          <w:szCs w:val="28"/>
          <w:lang w:val="ru-RU" w:eastAsia="ru-RU"/>
        </w:rPr>
        <w:t>Микроэлементозы человека: этиология, классификация, органопатология</w:t>
      </w:r>
      <w:r w:rsidR="009C6C87" w:rsidRPr="00156441">
        <w:rPr>
          <w:rFonts w:ascii="Times New Roman" w:eastAsia="Times New Roman" w:hAnsi="Times New Roman" w:cs="Times New Roman"/>
          <w:sz w:val="28"/>
          <w:szCs w:val="28"/>
          <w:lang w:val="ru-RU" w:eastAsia="ru-RU"/>
        </w:rPr>
        <w:t xml:space="preserve"> /</w:t>
      </w:r>
      <w:r w:rsidR="00C216F5" w:rsidRPr="00156441">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П. Авцын, А.</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А. Жаворонков, Л.</w:t>
      </w:r>
      <w:r w:rsid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val="ru-RU" w:eastAsia="ru-RU"/>
        </w:rPr>
        <w:t>С. Риш, Л.</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С.</w:t>
      </w:r>
      <w:r w:rsidR="00FF56B6">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val="ru-RU" w:eastAsia="ru-RU"/>
        </w:rPr>
        <w:t>Строчкова</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М.: Наука, 1991</w:t>
      </w:r>
      <w:r w:rsidR="00F44EE4" w:rsidRPr="00156441">
        <w:rPr>
          <w:rFonts w:ascii="Times New Roman" w:eastAsia="Times New Roman" w:hAnsi="Times New Roman" w:cs="Times New Roman"/>
          <w:sz w:val="28"/>
          <w:szCs w:val="28"/>
          <w:lang w:val="ru-RU" w:eastAsia="ru-RU"/>
        </w:rPr>
        <w:t>. — </w:t>
      </w:r>
      <w:r w:rsidRPr="00156441">
        <w:rPr>
          <w:rFonts w:ascii="Times New Roman" w:eastAsia="Times New Roman" w:hAnsi="Times New Roman" w:cs="Times New Roman"/>
          <w:sz w:val="28"/>
          <w:szCs w:val="28"/>
          <w:lang w:val="ru-RU" w:eastAsia="ru-RU"/>
        </w:rPr>
        <w:t>495 с.</w:t>
      </w:r>
      <w:bookmarkEnd w:id="246"/>
    </w:p>
    <w:p w:rsidR="00C70355" w:rsidRPr="00156441" w:rsidRDefault="00C7035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47" w:name="_Ref502740042"/>
      <w:r w:rsidRPr="00156441">
        <w:rPr>
          <w:rFonts w:ascii="Times New Roman" w:hAnsi="Times New Roman" w:cs="Times New Roman"/>
          <w:sz w:val="28"/>
          <w:szCs w:val="28"/>
        </w:rPr>
        <w:t>Артериальная гипертония у больных хронической обструктивной болезнью легких</w:t>
      </w:r>
      <w:r w:rsidR="009C6C87" w:rsidRPr="00156441">
        <w:rPr>
          <w:rFonts w:ascii="Times New Roman" w:hAnsi="Times New Roman" w:cs="Times New Roman"/>
          <w:sz w:val="28"/>
          <w:szCs w:val="28"/>
        </w:rPr>
        <w:t xml:space="preserve"> — </w:t>
      </w:r>
      <w:r w:rsidRPr="00156441">
        <w:rPr>
          <w:rFonts w:ascii="Times New Roman" w:hAnsi="Times New Roman" w:cs="Times New Roman"/>
          <w:sz w:val="28"/>
          <w:szCs w:val="28"/>
        </w:rPr>
        <w:t>в поисках фенотипов. Часть I</w:t>
      </w:r>
      <w:r w:rsidR="009C6C87"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rPr>
        <w:t>В. В. Ли, В.</w:t>
      </w:r>
      <w:r w:rsidR="00F44EE4" w:rsidRPr="00156441">
        <w:rPr>
          <w:rFonts w:ascii="Times New Roman" w:hAnsi="Times New Roman" w:cs="Times New Roman"/>
          <w:sz w:val="28"/>
          <w:szCs w:val="28"/>
        </w:rPr>
        <w:t xml:space="preserve"> С. </w:t>
      </w:r>
      <w:r w:rsidRPr="00156441">
        <w:rPr>
          <w:rFonts w:ascii="Times New Roman" w:hAnsi="Times New Roman" w:cs="Times New Roman"/>
          <w:sz w:val="28"/>
          <w:szCs w:val="28"/>
        </w:rPr>
        <w:t>Задиончеко, Т.</w:t>
      </w:r>
      <w:r w:rsidR="00FF56B6">
        <w:rPr>
          <w:rFonts w:ascii="Times New Roman" w:hAnsi="Times New Roman" w:cs="Times New Roman"/>
          <w:sz w:val="28"/>
          <w:szCs w:val="28"/>
          <w:lang w:val="ru-RU"/>
        </w:rPr>
        <w:t> </w:t>
      </w:r>
      <w:r w:rsidRPr="00156441">
        <w:rPr>
          <w:rFonts w:ascii="Times New Roman" w:hAnsi="Times New Roman" w:cs="Times New Roman"/>
          <w:sz w:val="28"/>
          <w:szCs w:val="28"/>
        </w:rPr>
        <w:t>В. Адашева [и др.]</w:t>
      </w:r>
      <w:r w:rsidR="00B46E01" w:rsidRPr="00156441">
        <w:rPr>
          <w:rFonts w:ascii="Times New Roman" w:hAnsi="Times New Roman" w:cs="Times New Roman"/>
          <w:sz w:val="28"/>
          <w:szCs w:val="28"/>
        </w:rPr>
        <w:t xml:space="preserve">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rPr>
        <w:t>Архив внутренней медицины</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2013</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Т. 1, № 9</w:t>
      </w:r>
      <w:r w:rsidR="00F44EE4" w:rsidRPr="00156441">
        <w:rPr>
          <w:rFonts w:ascii="Times New Roman" w:hAnsi="Times New Roman" w:cs="Times New Roman"/>
          <w:sz w:val="28"/>
          <w:szCs w:val="28"/>
        </w:rPr>
        <w:t>. — С. </w:t>
      </w:r>
      <w:r w:rsidRPr="00156441">
        <w:rPr>
          <w:rFonts w:ascii="Times New Roman" w:hAnsi="Times New Roman" w:cs="Times New Roman"/>
          <w:sz w:val="28"/>
          <w:szCs w:val="28"/>
        </w:rPr>
        <w:t>19</w:t>
      </w:r>
      <w:r w:rsidR="009C556E">
        <w:rPr>
          <w:rFonts w:ascii="Times New Roman" w:hAnsi="Times New Roman" w:cs="Times New Roman"/>
          <w:sz w:val="28"/>
          <w:szCs w:val="28"/>
        </w:rPr>
        <w:t>–</w:t>
      </w:r>
      <w:r w:rsidRPr="00156441">
        <w:rPr>
          <w:rFonts w:ascii="Times New Roman" w:hAnsi="Times New Roman" w:cs="Times New Roman"/>
          <w:sz w:val="28"/>
          <w:szCs w:val="28"/>
        </w:rPr>
        <w:t>24</w:t>
      </w:r>
      <w:bookmarkEnd w:id="247"/>
    </w:p>
    <w:p w:rsidR="00C70355" w:rsidRPr="00156441" w:rsidRDefault="00C7035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48" w:name="_Ref502740043"/>
      <w:r w:rsidRPr="00156441">
        <w:rPr>
          <w:rFonts w:ascii="Times New Roman" w:hAnsi="Times New Roman" w:cs="Times New Roman"/>
          <w:sz w:val="28"/>
          <w:szCs w:val="28"/>
        </w:rPr>
        <w:t>Petri A., Sabin C. Transparent medical statistics</w:t>
      </w:r>
      <w:r w:rsidR="009C6C87" w:rsidRPr="00156441">
        <w:rPr>
          <w:rFonts w:ascii="Times New Roman" w:hAnsi="Times New Roman" w:cs="Times New Roman"/>
          <w:sz w:val="28"/>
          <w:szCs w:val="28"/>
        </w:rPr>
        <w:t xml:space="preserve">.— </w:t>
      </w:r>
      <w:r w:rsidRPr="00156441">
        <w:rPr>
          <w:rFonts w:ascii="Times New Roman" w:hAnsi="Times New Roman" w:cs="Times New Roman"/>
          <w:sz w:val="28"/>
          <w:szCs w:val="28"/>
        </w:rPr>
        <w:t>M.: GEOTAR</w:t>
      </w:r>
      <w:r w:rsidR="009C556E">
        <w:rPr>
          <w:rFonts w:ascii="Times New Roman" w:hAnsi="Times New Roman" w:cs="Times New Roman"/>
          <w:sz w:val="28"/>
          <w:szCs w:val="28"/>
        </w:rPr>
        <w:t>–</w:t>
      </w:r>
      <w:r w:rsidRPr="00156441">
        <w:rPr>
          <w:rFonts w:ascii="Times New Roman" w:hAnsi="Times New Roman" w:cs="Times New Roman"/>
          <w:sz w:val="28"/>
          <w:szCs w:val="28"/>
        </w:rPr>
        <w:t>Media, 2010</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166 p.</w:t>
      </w:r>
      <w:bookmarkEnd w:id="248"/>
    </w:p>
    <w:p w:rsidR="006B7BEE" w:rsidRPr="00156441" w:rsidRDefault="006B7BEE"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49" w:name="_Ref503519049"/>
      <w:r w:rsidRPr="00156441">
        <w:rPr>
          <w:rFonts w:ascii="Times New Roman" w:hAnsi="Times New Roman" w:cs="Times New Roman"/>
          <w:sz w:val="28"/>
          <w:szCs w:val="28"/>
        </w:rPr>
        <w:lastRenderedPageBreak/>
        <w:t>Impact of Chamber Dilatation on the Prognostic Value of Left Ventricular Geometry in Hypertension / P. Verdecchia, F. Angeli, G. Mazzotta [et al.] // Journal of the American Heart Association. —</w:t>
      </w:r>
      <w:r w:rsidRPr="00156441">
        <w:rPr>
          <w:rFonts w:ascii="Times New Roman" w:hAnsi="Times New Roman" w:cs="Times New Roman"/>
          <w:sz w:val="28"/>
          <w:szCs w:val="28"/>
          <w:lang w:val="en-US"/>
        </w:rPr>
        <w:t xml:space="preserve"> </w:t>
      </w:r>
      <w:r w:rsidRPr="00156441">
        <w:rPr>
          <w:rFonts w:ascii="Times New Roman" w:hAnsi="Times New Roman" w:cs="Times New Roman"/>
          <w:sz w:val="28"/>
          <w:szCs w:val="28"/>
        </w:rPr>
        <w:t>Vol</w:t>
      </w:r>
      <w:r w:rsidRPr="00156441">
        <w:rPr>
          <w:rFonts w:ascii="Times New Roman" w:hAnsi="Times New Roman" w:cs="Times New Roman"/>
          <w:sz w:val="28"/>
          <w:szCs w:val="28"/>
          <w:lang w:val="en-US"/>
        </w:rPr>
        <w:t>.</w:t>
      </w:r>
      <w:r w:rsidRPr="00156441">
        <w:rPr>
          <w:rFonts w:ascii="Times New Roman" w:hAnsi="Times New Roman" w:cs="Times New Roman"/>
          <w:sz w:val="28"/>
          <w:szCs w:val="28"/>
        </w:rPr>
        <w:t xml:space="preserve"> 6, </w:t>
      </w:r>
      <w:r w:rsidR="00E73087">
        <w:rPr>
          <w:rFonts w:ascii="Times New Roman" w:hAnsi="Times New Roman" w:cs="Times New Roman"/>
          <w:sz w:val="28"/>
          <w:szCs w:val="28"/>
          <w:lang w:val="en-US"/>
        </w:rPr>
        <w:t>No. </w:t>
      </w:r>
      <w:r w:rsidRPr="00156441">
        <w:rPr>
          <w:rFonts w:ascii="Times New Roman" w:hAnsi="Times New Roman" w:cs="Times New Roman"/>
          <w:sz w:val="28"/>
          <w:szCs w:val="28"/>
        </w:rPr>
        <w:t>6</w:t>
      </w:r>
      <w:r w:rsidRPr="00156441">
        <w:rPr>
          <w:rFonts w:ascii="Times New Roman" w:hAnsi="Times New Roman" w:cs="Times New Roman"/>
          <w:sz w:val="28"/>
          <w:szCs w:val="28"/>
          <w:lang w:val="en-US"/>
        </w:rPr>
        <w:t>.—</w:t>
      </w:r>
      <w:r w:rsidRPr="00156441">
        <w:rPr>
          <w:rFonts w:ascii="Times New Roman" w:hAnsi="Times New Roman" w:cs="Times New Roman"/>
          <w:sz w:val="28"/>
          <w:szCs w:val="28"/>
        </w:rPr>
        <w:t xml:space="preserve"> p</w:t>
      </w:r>
      <w:r w:rsidRPr="00156441">
        <w:rPr>
          <w:rFonts w:ascii="Times New Roman" w:hAnsi="Times New Roman" w:cs="Times New Roman"/>
          <w:sz w:val="28"/>
          <w:szCs w:val="28"/>
          <w:lang w:val="en-US"/>
        </w:rPr>
        <w:t>.</w:t>
      </w:r>
      <w:r w:rsidRPr="00156441">
        <w:rPr>
          <w:rFonts w:ascii="Times New Roman" w:hAnsi="Times New Roman" w:cs="Times New Roman"/>
          <w:sz w:val="28"/>
          <w:szCs w:val="28"/>
        </w:rPr>
        <w:t xml:space="preserve"> 1</w:t>
      </w:r>
      <w:r w:rsidR="009C556E">
        <w:rPr>
          <w:rFonts w:ascii="Times New Roman" w:hAnsi="Times New Roman" w:cs="Times New Roman"/>
          <w:sz w:val="28"/>
          <w:szCs w:val="28"/>
        </w:rPr>
        <w:t>–</w:t>
      </w:r>
      <w:r w:rsidRPr="00156441">
        <w:rPr>
          <w:rFonts w:ascii="Times New Roman" w:hAnsi="Times New Roman" w:cs="Times New Roman"/>
          <w:sz w:val="28"/>
          <w:szCs w:val="28"/>
        </w:rPr>
        <w:t>9</w:t>
      </w:r>
      <w:r w:rsidRPr="00156441">
        <w:rPr>
          <w:rFonts w:ascii="Times New Roman" w:hAnsi="Times New Roman" w:cs="Times New Roman"/>
          <w:sz w:val="28"/>
          <w:szCs w:val="28"/>
          <w:lang w:val="en-US"/>
        </w:rPr>
        <w:t>.</w:t>
      </w:r>
      <w:bookmarkEnd w:id="249"/>
    </w:p>
    <w:p w:rsidR="009C6C87" w:rsidRPr="00156441" w:rsidRDefault="009C6C87"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0" w:name="_Ref502741780"/>
      <w:r w:rsidRPr="00156441">
        <w:rPr>
          <w:rFonts w:ascii="Times New Roman" w:hAnsi="Times New Roman" w:cs="Times New Roman"/>
          <w:sz w:val="28"/>
          <w:szCs w:val="28"/>
        </w:rPr>
        <w:t>Сильверстов В.</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П. Хроническое легочное сердце: механизмы формирования и прогрессирования / В.</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П.</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Сильверстов, Ю.</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А.</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Сурова, С.</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Н.</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Семин</w:t>
      </w:r>
      <w:r w:rsidR="00FF56B6" w:rsidRPr="00FF56B6">
        <w:rPr>
          <w:rFonts w:ascii="Times New Roman" w:hAnsi="Times New Roman" w:cs="Times New Roman"/>
          <w:sz w:val="28"/>
          <w:szCs w:val="28"/>
          <w:lang w:val="ru-RU"/>
        </w:rPr>
        <w:t xml:space="preserve"> [</w:t>
      </w:r>
      <w:r w:rsidR="00FF56B6">
        <w:rPr>
          <w:rFonts w:ascii="Times New Roman" w:hAnsi="Times New Roman" w:cs="Times New Roman"/>
          <w:sz w:val="28"/>
          <w:szCs w:val="28"/>
          <w:lang w:val="ru-RU"/>
        </w:rPr>
        <w:t>и др.]</w:t>
      </w:r>
      <w:r w:rsidR="00B46E01" w:rsidRPr="00156441">
        <w:rPr>
          <w:rFonts w:ascii="Times New Roman" w:hAnsi="Times New Roman" w:cs="Times New Roman"/>
          <w:sz w:val="28"/>
          <w:szCs w:val="28"/>
        </w:rPr>
        <w:t xml:space="preserve"> // </w:t>
      </w:r>
      <w:r w:rsidRPr="00156441">
        <w:rPr>
          <w:rFonts w:ascii="Times New Roman" w:hAnsi="Times New Roman" w:cs="Times New Roman"/>
          <w:sz w:val="28"/>
          <w:szCs w:val="28"/>
        </w:rPr>
        <w:t>Тер.арх.— 1991.— №3.— С.103</w:t>
      </w:r>
      <w:r w:rsidR="009C556E">
        <w:rPr>
          <w:rFonts w:ascii="Times New Roman" w:hAnsi="Times New Roman" w:cs="Times New Roman"/>
          <w:sz w:val="28"/>
          <w:szCs w:val="28"/>
        </w:rPr>
        <w:t>–</w:t>
      </w:r>
      <w:r w:rsidRPr="00156441">
        <w:rPr>
          <w:rFonts w:ascii="Times New Roman" w:hAnsi="Times New Roman" w:cs="Times New Roman"/>
          <w:sz w:val="28"/>
          <w:szCs w:val="28"/>
        </w:rPr>
        <w:t>108.</w:t>
      </w:r>
      <w:bookmarkEnd w:id="250"/>
    </w:p>
    <w:p w:rsidR="009C6C87" w:rsidRPr="00156441" w:rsidRDefault="009C6C87"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r w:rsidRPr="00156441">
        <w:rPr>
          <w:rFonts w:ascii="Times New Roman" w:hAnsi="Times New Roman" w:cs="Times New Roman"/>
          <w:sz w:val="28"/>
          <w:szCs w:val="28"/>
        </w:rPr>
        <w:t xml:space="preserve"> </w:t>
      </w:r>
      <w:bookmarkStart w:id="251" w:name="_Ref502741781"/>
      <w:r w:rsidRPr="00156441">
        <w:rPr>
          <w:rFonts w:ascii="Times New Roman" w:hAnsi="Times New Roman" w:cs="Times New Roman"/>
          <w:sz w:val="28"/>
          <w:szCs w:val="28"/>
        </w:rPr>
        <w:t>Klinger J.</w:t>
      </w:r>
      <w:r w:rsidR="00FF56B6">
        <w:rPr>
          <w:rFonts w:ascii="Times New Roman" w:hAnsi="Times New Roman" w:cs="Times New Roman"/>
          <w:sz w:val="28"/>
          <w:szCs w:val="28"/>
          <w:lang w:val="en-US"/>
        </w:rPr>
        <w:t xml:space="preserve"> </w:t>
      </w:r>
      <w:r w:rsidRPr="00156441">
        <w:rPr>
          <w:rFonts w:ascii="Times New Roman" w:hAnsi="Times New Roman" w:cs="Times New Roman"/>
          <w:sz w:val="28"/>
          <w:szCs w:val="28"/>
        </w:rPr>
        <w:t>R. Right ventricular dysfunction in chronic obstructive pulmonare disease.</w:t>
      </w:r>
      <w:r w:rsidR="00FF56B6">
        <w:rPr>
          <w:rFonts w:ascii="Times New Roman" w:hAnsi="Times New Roman" w:cs="Times New Roman"/>
          <w:sz w:val="28"/>
          <w:szCs w:val="28"/>
          <w:lang w:val="en-US"/>
        </w:rPr>
        <w:t xml:space="preserve"> </w:t>
      </w:r>
      <w:r w:rsidRPr="00156441">
        <w:rPr>
          <w:rFonts w:ascii="Times New Roman" w:hAnsi="Times New Roman" w:cs="Times New Roman"/>
          <w:sz w:val="28"/>
          <w:szCs w:val="28"/>
        </w:rPr>
        <w:t>Evalution and management</w:t>
      </w:r>
      <w:r w:rsidR="00FF56B6">
        <w:rPr>
          <w:rFonts w:ascii="Times New Roman" w:hAnsi="Times New Roman" w:cs="Times New Roman"/>
          <w:sz w:val="28"/>
          <w:szCs w:val="28"/>
          <w:lang w:val="en-US"/>
        </w:rPr>
        <w:t xml:space="preserve"> </w:t>
      </w:r>
      <w:r w:rsidRPr="00156441">
        <w:rPr>
          <w:rFonts w:ascii="Times New Roman" w:hAnsi="Times New Roman" w:cs="Times New Roman"/>
          <w:sz w:val="28"/>
          <w:szCs w:val="28"/>
        </w:rPr>
        <w:t>/</w:t>
      </w:r>
      <w:r w:rsidR="00FF56B6">
        <w:rPr>
          <w:rFonts w:ascii="Times New Roman" w:hAnsi="Times New Roman" w:cs="Times New Roman"/>
          <w:sz w:val="28"/>
          <w:szCs w:val="28"/>
          <w:lang w:val="en-US"/>
        </w:rPr>
        <w:t xml:space="preserve"> </w:t>
      </w:r>
      <w:r w:rsidRPr="00156441">
        <w:rPr>
          <w:rFonts w:ascii="Times New Roman" w:hAnsi="Times New Roman" w:cs="Times New Roman"/>
          <w:sz w:val="28"/>
          <w:szCs w:val="28"/>
        </w:rPr>
        <w:t>J.</w:t>
      </w:r>
      <w:r w:rsidR="00FF56B6">
        <w:rPr>
          <w:rFonts w:ascii="Times New Roman" w:hAnsi="Times New Roman" w:cs="Times New Roman"/>
          <w:sz w:val="28"/>
          <w:szCs w:val="28"/>
          <w:lang w:val="en-US"/>
        </w:rPr>
        <w:t xml:space="preserve"> </w:t>
      </w:r>
      <w:r w:rsidRPr="00156441">
        <w:rPr>
          <w:rFonts w:ascii="Times New Roman" w:hAnsi="Times New Roman" w:cs="Times New Roman"/>
          <w:sz w:val="28"/>
          <w:szCs w:val="28"/>
        </w:rPr>
        <w:t>R. Klinger, N.</w:t>
      </w:r>
      <w:r w:rsidR="00FF56B6">
        <w:rPr>
          <w:rFonts w:ascii="Times New Roman" w:hAnsi="Times New Roman" w:cs="Times New Roman"/>
          <w:sz w:val="28"/>
          <w:szCs w:val="28"/>
          <w:lang w:val="en-US"/>
        </w:rPr>
        <w:t xml:space="preserve"> </w:t>
      </w:r>
      <w:r w:rsidRPr="00156441">
        <w:rPr>
          <w:rFonts w:ascii="Times New Roman" w:hAnsi="Times New Roman" w:cs="Times New Roman"/>
          <w:sz w:val="28"/>
          <w:szCs w:val="28"/>
        </w:rPr>
        <w:t>S. Hill</w:t>
      </w:r>
      <w:r w:rsidR="00B46E01" w:rsidRPr="00156441">
        <w:rPr>
          <w:rFonts w:ascii="Times New Roman" w:hAnsi="Times New Roman" w:cs="Times New Roman"/>
          <w:sz w:val="28"/>
          <w:szCs w:val="28"/>
        </w:rPr>
        <w:t xml:space="preserve"> // </w:t>
      </w:r>
      <w:r w:rsidRPr="00156441">
        <w:rPr>
          <w:rFonts w:ascii="Times New Roman" w:hAnsi="Times New Roman" w:cs="Times New Roman"/>
          <w:sz w:val="28"/>
          <w:szCs w:val="28"/>
        </w:rPr>
        <w:t>Chest.—</w:t>
      </w:r>
      <w:r w:rsidR="00FF56B6">
        <w:rPr>
          <w:rFonts w:ascii="Times New Roman" w:hAnsi="Times New Roman" w:cs="Times New Roman"/>
          <w:sz w:val="28"/>
          <w:szCs w:val="28"/>
          <w:lang w:val="en-US"/>
        </w:rPr>
        <w:t xml:space="preserve"> </w:t>
      </w:r>
      <w:r w:rsidRPr="00156441">
        <w:rPr>
          <w:rFonts w:ascii="Times New Roman" w:hAnsi="Times New Roman" w:cs="Times New Roman"/>
          <w:sz w:val="28"/>
          <w:szCs w:val="28"/>
        </w:rPr>
        <w:t>1991.— Vol.</w:t>
      </w:r>
      <w:r w:rsidR="00FF56B6">
        <w:rPr>
          <w:rFonts w:ascii="Times New Roman" w:hAnsi="Times New Roman" w:cs="Times New Roman"/>
          <w:sz w:val="28"/>
          <w:szCs w:val="28"/>
          <w:lang w:val="en-US"/>
        </w:rPr>
        <w:t> </w:t>
      </w:r>
      <w:r w:rsidRPr="00156441">
        <w:rPr>
          <w:rFonts w:ascii="Times New Roman" w:hAnsi="Times New Roman" w:cs="Times New Roman"/>
          <w:sz w:val="28"/>
          <w:szCs w:val="28"/>
        </w:rPr>
        <w:t>99.— P.715</w:t>
      </w:r>
      <w:r w:rsidR="009C556E">
        <w:rPr>
          <w:rFonts w:ascii="Times New Roman" w:hAnsi="Times New Roman" w:cs="Times New Roman"/>
          <w:sz w:val="28"/>
          <w:szCs w:val="28"/>
        </w:rPr>
        <w:t>–</w:t>
      </w:r>
      <w:r w:rsidRPr="00156441">
        <w:rPr>
          <w:rFonts w:ascii="Times New Roman" w:hAnsi="Times New Roman" w:cs="Times New Roman"/>
          <w:sz w:val="28"/>
          <w:szCs w:val="28"/>
        </w:rPr>
        <w:t>723</w:t>
      </w:r>
      <w:bookmarkEnd w:id="251"/>
      <w:r w:rsidR="009D3F92" w:rsidRPr="00156441">
        <w:rPr>
          <w:rFonts w:ascii="Times New Roman" w:hAnsi="Times New Roman" w:cs="Times New Roman"/>
          <w:sz w:val="28"/>
          <w:szCs w:val="28"/>
        </w:rPr>
        <w:t>.</w:t>
      </w:r>
    </w:p>
    <w:p w:rsidR="009D3F92" w:rsidRPr="00156441" w:rsidRDefault="00FF56B6"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2" w:name="_Ref502743439"/>
      <w:r>
        <w:rPr>
          <w:rFonts w:ascii="Times New Roman" w:hAnsi="Times New Roman" w:cs="Times New Roman"/>
          <w:sz w:val="28"/>
          <w:szCs w:val="28"/>
        </w:rPr>
        <w:t>Ким Дж.</w:t>
      </w:r>
      <w:r>
        <w:rPr>
          <w:rFonts w:ascii="Times New Roman" w:hAnsi="Times New Roman" w:cs="Times New Roman"/>
          <w:sz w:val="28"/>
          <w:szCs w:val="28"/>
          <w:lang w:val="ru-RU"/>
        </w:rPr>
        <w:t>–</w:t>
      </w:r>
      <w:r w:rsidR="009D3F92" w:rsidRPr="00156441">
        <w:rPr>
          <w:rFonts w:ascii="Times New Roman" w:hAnsi="Times New Roman" w:cs="Times New Roman"/>
          <w:sz w:val="28"/>
          <w:szCs w:val="28"/>
        </w:rPr>
        <w:t>О., Мюллер Ч.</w:t>
      </w:r>
      <w:r w:rsidRPr="00FF56B6">
        <w:rPr>
          <w:rFonts w:ascii="Times New Roman" w:hAnsi="Times New Roman" w:cs="Times New Roman"/>
          <w:sz w:val="28"/>
          <w:szCs w:val="28"/>
          <w:lang w:val="ru-RU"/>
        </w:rPr>
        <w:t xml:space="preserve"> </w:t>
      </w:r>
      <w:r w:rsidR="009D3F92" w:rsidRPr="00156441">
        <w:rPr>
          <w:rFonts w:ascii="Times New Roman" w:hAnsi="Times New Roman" w:cs="Times New Roman"/>
          <w:sz w:val="28"/>
          <w:szCs w:val="28"/>
        </w:rPr>
        <w:t>У., Клекка У.</w:t>
      </w:r>
      <w:r w:rsidRPr="00FF56B6">
        <w:rPr>
          <w:rFonts w:ascii="Times New Roman" w:hAnsi="Times New Roman" w:cs="Times New Roman"/>
          <w:sz w:val="28"/>
          <w:szCs w:val="28"/>
          <w:lang w:val="ru-RU"/>
        </w:rPr>
        <w:t xml:space="preserve"> </w:t>
      </w:r>
      <w:r w:rsidR="009D3F92" w:rsidRPr="00156441">
        <w:rPr>
          <w:rFonts w:ascii="Times New Roman" w:hAnsi="Times New Roman" w:cs="Times New Roman"/>
          <w:sz w:val="28"/>
          <w:szCs w:val="28"/>
        </w:rPr>
        <w:t>Р. Факторный, дискриминантный и кластерный анализ</w:t>
      </w:r>
      <w:r w:rsidR="00F44EE4" w:rsidRPr="00156441">
        <w:rPr>
          <w:rFonts w:ascii="Times New Roman" w:hAnsi="Times New Roman" w:cs="Times New Roman"/>
          <w:sz w:val="28"/>
          <w:szCs w:val="28"/>
        </w:rPr>
        <w:t>. — </w:t>
      </w:r>
      <w:r w:rsidR="009D3F92" w:rsidRPr="00156441">
        <w:rPr>
          <w:rFonts w:ascii="Times New Roman" w:hAnsi="Times New Roman" w:cs="Times New Roman"/>
          <w:sz w:val="28"/>
          <w:szCs w:val="28"/>
        </w:rPr>
        <w:t>Москва: Финансы и статистика, 1989</w:t>
      </w:r>
      <w:r w:rsidR="00F44EE4" w:rsidRPr="00156441">
        <w:rPr>
          <w:rFonts w:ascii="Times New Roman" w:hAnsi="Times New Roman" w:cs="Times New Roman"/>
          <w:sz w:val="28"/>
          <w:szCs w:val="28"/>
        </w:rPr>
        <w:t>. — </w:t>
      </w:r>
      <w:r w:rsidR="009D3F92" w:rsidRPr="00156441">
        <w:rPr>
          <w:rFonts w:ascii="Times New Roman" w:hAnsi="Times New Roman" w:cs="Times New Roman"/>
          <w:sz w:val="28"/>
          <w:szCs w:val="28"/>
        </w:rPr>
        <w:t>215 с.</w:t>
      </w:r>
      <w:bookmarkEnd w:id="252"/>
    </w:p>
    <w:p w:rsidR="00FF56B6" w:rsidRPr="00FF56B6" w:rsidRDefault="009D3F92"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3" w:name="_Ref502743454"/>
      <w:r w:rsidRPr="00156441">
        <w:rPr>
          <w:rFonts w:ascii="Times New Roman" w:hAnsi="Times New Roman" w:cs="Times New Roman"/>
          <w:sz w:val="28"/>
          <w:szCs w:val="28"/>
        </w:rPr>
        <w:t>Халафян А.</w:t>
      </w:r>
      <w:r w:rsidR="00FF56B6" w:rsidRPr="00FF56B6">
        <w:rPr>
          <w:rFonts w:ascii="Times New Roman" w:hAnsi="Times New Roman" w:cs="Times New Roman"/>
          <w:sz w:val="28"/>
          <w:szCs w:val="28"/>
          <w:lang w:val="ru-RU"/>
        </w:rPr>
        <w:t xml:space="preserve"> </w:t>
      </w:r>
      <w:r w:rsidRPr="00156441">
        <w:rPr>
          <w:rFonts w:ascii="Times New Roman" w:hAnsi="Times New Roman" w:cs="Times New Roman"/>
          <w:sz w:val="28"/>
          <w:szCs w:val="28"/>
        </w:rPr>
        <w:t>А. Статистический анализ данных. 3</w:t>
      </w:r>
      <w:r w:rsidR="009C556E">
        <w:rPr>
          <w:rFonts w:ascii="Times New Roman" w:hAnsi="Times New Roman" w:cs="Times New Roman"/>
          <w:sz w:val="28"/>
          <w:szCs w:val="28"/>
        </w:rPr>
        <w:t>–</w:t>
      </w:r>
      <w:r w:rsidRPr="00156441">
        <w:rPr>
          <w:rFonts w:ascii="Times New Roman" w:hAnsi="Times New Roman" w:cs="Times New Roman"/>
          <w:sz w:val="28"/>
          <w:szCs w:val="28"/>
        </w:rPr>
        <w:t>е изд</w:t>
      </w:r>
      <w:r w:rsidR="009C556E">
        <w:rPr>
          <w:rFonts w:ascii="Times New Roman" w:hAnsi="Times New Roman" w:cs="Times New Roman"/>
          <w:sz w:val="28"/>
          <w:szCs w:val="28"/>
        </w:rPr>
        <w:t>–</w:t>
      </w:r>
      <w:r w:rsidRPr="00156441">
        <w:rPr>
          <w:rFonts w:ascii="Times New Roman" w:hAnsi="Times New Roman" w:cs="Times New Roman"/>
          <w:sz w:val="28"/>
          <w:szCs w:val="28"/>
        </w:rPr>
        <w:t>е. Москва: Бином</w:t>
      </w:r>
      <w:r w:rsidR="009C556E">
        <w:rPr>
          <w:rFonts w:ascii="Times New Roman" w:hAnsi="Times New Roman" w:cs="Times New Roman"/>
          <w:sz w:val="28"/>
          <w:szCs w:val="28"/>
        </w:rPr>
        <w:t>–</w:t>
      </w:r>
      <w:r w:rsidRPr="00156441">
        <w:rPr>
          <w:rFonts w:ascii="Times New Roman" w:hAnsi="Times New Roman" w:cs="Times New Roman"/>
          <w:sz w:val="28"/>
          <w:szCs w:val="28"/>
        </w:rPr>
        <w:t>Пресс, 2007</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512 с.</w:t>
      </w:r>
    </w:p>
    <w:p w:rsidR="009D3F92" w:rsidRPr="00156441" w:rsidRDefault="009D3F92"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r w:rsidRPr="00156441">
        <w:rPr>
          <w:rFonts w:ascii="Times New Roman" w:hAnsi="Times New Roman" w:cs="Times New Roman"/>
          <w:sz w:val="28"/>
          <w:szCs w:val="28"/>
        </w:rPr>
        <w:t>Жамбю М. Иерархический кластер</w:t>
      </w:r>
      <w:r w:rsidR="009C556E">
        <w:rPr>
          <w:rFonts w:ascii="Times New Roman" w:hAnsi="Times New Roman" w:cs="Times New Roman"/>
          <w:sz w:val="28"/>
          <w:szCs w:val="28"/>
        </w:rPr>
        <w:t>–</w:t>
      </w:r>
      <w:r w:rsidRPr="00156441">
        <w:rPr>
          <w:rFonts w:ascii="Times New Roman" w:hAnsi="Times New Roman" w:cs="Times New Roman"/>
          <w:sz w:val="28"/>
          <w:szCs w:val="28"/>
        </w:rPr>
        <w:t>анализ и соответствия</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М.: Финансы и статистика, 1988</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342 с.</w:t>
      </w:r>
      <w:bookmarkEnd w:id="253"/>
    </w:p>
    <w:p w:rsidR="009D3F92" w:rsidRPr="00156441" w:rsidRDefault="009D3F92"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4" w:name="_Ref502743478"/>
      <w:r w:rsidRPr="00156441">
        <w:rPr>
          <w:rFonts w:ascii="Times New Roman" w:hAnsi="Times New Roman" w:cs="Times New Roman"/>
          <w:sz w:val="28"/>
          <w:szCs w:val="28"/>
        </w:rPr>
        <w:t>Вараксин А.Н. Статистические модели регрессионного типа в экологии и медицине /</w:t>
      </w:r>
      <w:r w:rsidR="00C216F5" w:rsidRPr="00156441">
        <w:rPr>
          <w:rFonts w:ascii="Times New Roman" w:hAnsi="Times New Roman" w:cs="Times New Roman"/>
          <w:sz w:val="28"/>
          <w:szCs w:val="28"/>
        </w:rPr>
        <w:t xml:space="preserve"> </w:t>
      </w:r>
      <w:r w:rsidRPr="00156441">
        <w:rPr>
          <w:rFonts w:ascii="Times New Roman" w:hAnsi="Times New Roman" w:cs="Times New Roman"/>
          <w:sz w:val="28"/>
          <w:szCs w:val="28"/>
        </w:rPr>
        <w:t>Под. ред. В.Н. Чуканова</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Екатеринбург, 2006</w:t>
      </w:r>
      <w:r w:rsidR="00F44EE4" w:rsidRPr="00156441">
        <w:rPr>
          <w:rFonts w:ascii="Times New Roman" w:hAnsi="Times New Roman" w:cs="Times New Roman"/>
          <w:sz w:val="28"/>
          <w:szCs w:val="28"/>
        </w:rPr>
        <w:t>. — </w:t>
      </w:r>
      <w:r w:rsidRPr="00156441">
        <w:rPr>
          <w:rFonts w:ascii="Times New Roman" w:hAnsi="Times New Roman" w:cs="Times New Roman"/>
          <w:sz w:val="28"/>
          <w:szCs w:val="28"/>
        </w:rPr>
        <w:t>158 с.</w:t>
      </w:r>
      <w:bookmarkEnd w:id="254"/>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5" w:name="_Ref502744425"/>
      <w:r w:rsidRPr="00156441">
        <w:rPr>
          <w:rFonts w:ascii="Times New Roman" w:eastAsia="Times New Roman" w:hAnsi="Times New Roman" w:cs="Times New Roman"/>
          <w:sz w:val="28"/>
          <w:szCs w:val="28"/>
          <w:lang w:eastAsia="ru-RU"/>
        </w:rPr>
        <w:t>Перцева Т.</w:t>
      </w:r>
      <w:r w:rsidR="00FF56B6" w:rsidRP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Клиническое значение изменения концентрации оксида азота в выдыхаемомвоздухе у больных с хроническим обструктивным заболеванием легких (ХОЗЛ) / Т.</w:t>
      </w:r>
      <w:r w:rsidR="00FF56B6" w:rsidRP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Перцева, Е.</w:t>
      </w:r>
      <w:r w:rsidR="00FF56B6" w:rsidRPr="00FF56B6">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Ю. Гашинова // Проблеми екології та медицини</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2010</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 4, № 3</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4</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33</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38</w:t>
      </w:r>
      <w:bookmarkEnd w:id="255"/>
      <w:r w:rsidRPr="00156441">
        <w:rPr>
          <w:rFonts w:ascii="Times New Roman" w:eastAsia="Times New Roman" w:hAnsi="Times New Roman" w:cs="Times New Roman"/>
          <w:sz w:val="28"/>
          <w:szCs w:val="28"/>
          <w:lang w:eastAsia="ru-RU"/>
        </w:rPr>
        <w:t>.</w:t>
      </w:r>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6" w:name="_Ref502744507"/>
      <w:r w:rsidRPr="00156441">
        <w:rPr>
          <w:rFonts w:ascii="Times New Roman" w:eastAsia="Times New Roman" w:hAnsi="Times New Roman" w:cs="Times New Roman"/>
          <w:sz w:val="28"/>
          <w:szCs w:val="28"/>
          <w:lang w:eastAsia="ru-RU"/>
        </w:rPr>
        <w:t>Денисюк В.</w:t>
      </w:r>
      <w:r w:rsidR="00FF56B6" w:rsidRPr="00FF56B6">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І. Ендотеліальна функція судин при ішемічній хворобі серця у поєднанні з артеріальною гіпертензією / В.</w:t>
      </w:r>
      <w:r w:rsidR="00FF56B6" w:rsidRPr="00FF56B6">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І. Денисюк, О.</w:t>
      </w:r>
      <w:r w:rsidR="00FF56B6" w:rsidRPr="00FF56B6">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В. Ковальчук, О.</w:t>
      </w:r>
      <w:r w:rsidR="00FF56B6">
        <w:rPr>
          <w:rFonts w:ascii="Times New Roman" w:eastAsia="Times New Roman" w:hAnsi="Times New Roman" w:cs="Times New Roman"/>
          <w:sz w:val="28"/>
          <w:szCs w:val="28"/>
          <w:lang w:val="en-US" w:eastAsia="ru-RU"/>
        </w:rPr>
        <w:t> </w:t>
      </w:r>
      <w:r w:rsidRPr="00156441">
        <w:rPr>
          <w:rFonts w:ascii="Times New Roman" w:eastAsia="Times New Roman" w:hAnsi="Times New Roman" w:cs="Times New Roman"/>
          <w:sz w:val="28"/>
          <w:szCs w:val="28"/>
          <w:lang w:eastAsia="ru-RU"/>
        </w:rPr>
        <w:t>В. Денисюк</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http://angiology .com.ua/article/173.Html</w:t>
      </w:r>
      <w:bookmarkEnd w:id="256"/>
      <w:r w:rsidRPr="00156441">
        <w:rPr>
          <w:rFonts w:ascii="Times New Roman" w:eastAsia="Times New Roman" w:hAnsi="Times New Roman" w:cs="Times New Roman"/>
          <w:sz w:val="28"/>
          <w:szCs w:val="28"/>
          <w:lang w:eastAsia="ru-RU"/>
        </w:rPr>
        <w:t>.</w:t>
      </w:r>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7" w:name="_Ref502744523"/>
      <w:bookmarkStart w:id="258" w:name="_Ref503519867"/>
      <w:r w:rsidRPr="00156441">
        <w:rPr>
          <w:rFonts w:ascii="Times New Roman" w:eastAsia="Times New Roman" w:hAnsi="Times New Roman" w:cs="Times New Roman"/>
          <w:sz w:val="28"/>
          <w:szCs w:val="28"/>
          <w:lang w:eastAsia="ru-RU"/>
        </w:rPr>
        <w:t>Nitric oxide — important messenger in human body / M. Antosoval, J. Plevkova, A. Strapkova [et al.] // J. of Molecular and Integrative Physiology</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2012</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Vol. 2</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Р. 98</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106</w:t>
      </w:r>
      <w:bookmarkEnd w:id="257"/>
      <w:r w:rsidRPr="00156441">
        <w:rPr>
          <w:rFonts w:ascii="Times New Roman" w:eastAsia="Times New Roman" w:hAnsi="Times New Roman" w:cs="Times New Roman"/>
          <w:sz w:val="28"/>
          <w:szCs w:val="28"/>
          <w:lang w:eastAsia="ru-RU"/>
        </w:rPr>
        <w:t>.</w:t>
      </w:r>
      <w:bookmarkEnd w:id="258"/>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59" w:name="_Ref502744581"/>
      <w:r w:rsidRPr="00156441">
        <w:rPr>
          <w:rFonts w:ascii="Times New Roman" w:eastAsia="Times New Roman" w:hAnsi="Times New Roman" w:cs="Times New Roman"/>
          <w:sz w:val="28"/>
          <w:szCs w:val="28"/>
          <w:lang w:eastAsia="ru-RU"/>
        </w:rPr>
        <w:t>Симонова И.Н. Содержание оксида азота в крови больных хронической обструктивной болезнью легких / И.Н. Симонова, К.К. Бобровник // Здоровье. Медицинская экология. Наука</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2014</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2 (56)</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120</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121</w:t>
      </w:r>
      <w:bookmarkEnd w:id="259"/>
      <w:r w:rsidRPr="00156441">
        <w:rPr>
          <w:rFonts w:ascii="Times New Roman" w:eastAsia="Times New Roman" w:hAnsi="Times New Roman" w:cs="Times New Roman"/>
          <w:sz w:val="28"/>
          <w:szCs w:val="28"/>
          <w:lang w:eastAsia="ru-RU"/>
        </w:rPr>
        <w:t>.</w:t>
      </w:r>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0" w:name="_Ref502744612"/>
      <w:r w:rsidRPr="00156441">
        <w:rPr>
          <w:rFonts w:ascii="Times New Roman" w:eastAsia="Times New Roman" w:hAnsi="Times New Roman" w:cs="Times New Roman"/>
          <w:sz w:val="28"/>
          <w:szCs w:val="28"/>
          <w:lang w:eastAsia="ru-RU"/>
        </w:rPr>
        <w:lastRenderedPageBreak/>
        <w:t>The role of nitric oxide on endothelial function / D. Tousoulis, A.</w:t>
      </w:r>
      <w:r w:rsidR="00B5007C" w:rsidRPr="00B5007C">
        <w:rPr>
          <w:rFonts w:ascii="Times New Roman" w:eastAsia="Times New Roman" w:hAnsi="Times New Roman" w:cs="Times New Roman"/>
          <w:sz w:val="28"/>
          <w:szCs w:val="28"/>
          <w:lang w:val="en-US" w:eastAsia="ru-RU"/>
        </w:rPr>
        <w:t> </w:t>
      </w:r>
      <w:r w:rsidRPr="00156441">
        <w:rPr>
          <w:rFonts w:ascii="Times New Roman" w:eastAsia="Times New Roman" w:hAnsi="Times New Roman" w:cs="Times New Roman"/>
          <w:sz w:val="28"/>
          <w:szCs w:val="28"/>
          <w:lang w:eastAsia="ru-RU"/>
        </w:rPr>
        <w:t>M.</w:t>
      </w:r>
      <w:r w:rsidR="00B5007C" w:rsidRPr="00B5007C">
        <w:rPr>
          <w:rFonts w:ascii="Times New Roman" w:eastAsia="Times New Roman" w:hAnsi="Times New Roman" w:cs="Times New Roman"/>
          <w:sz w:val="28"/>
          <w:szCs w:val="28"/>
          <w:lang w:val="en-US" w:eastAsia="ru-RU"/>
        </w:rPr>
        <w:t> </w:t>
      </w:r>
      <w:r w:rsidRPr="00156441">
        <w:rPr>
          <w:rFonts w:ascii="Times New Roman" w:eastAsia="Times New Roman" w:hAnsi="Times New Roman" w:cs="Times New Roman"/>
          <w:sz w:val="28"/>
          <w:szCs w:val="28"/>
          <w:lang w:eastAsia="ru-RU"/>
        </w:rPr>
        <w:t>Kampoli, C. Tentolouris [et al.] // Curr. Vasc. Pharmacol</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2012</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Vol. 10</w:t>
      </w:r>
      <w:r w:rsidR="00B5007C" w:rsidRPr="00B5007C">
        <w:rPr>
          <w:rFonts w:ascii="Times New Roman" w:eastAsia="Times New Roman" w:hAnsi="Times New Roman" w:cs="Times New Roman"/>
          <w:sz w:val="28"/>
          <w:szCs w:val="28"/>
          <w:lang w:val="ru-RU" w:eastAsia="ru-RU"/>
        </w:rPr>
        <w:t xml:space="preserve">, </w:t>
      </w:r>
      <w:r w:rsidR="00B5007C">
        <w:rPr>
          <w:rFonts w:ascii="Times New Roman" w:eastAsia="Times New Roman" w:hAnsi="Times New Roman" w:cs="Times New Roman"/>
          <w:sz w:val="28"/>
          <w:szCs w:val="28"/>
          <w:lang w:val="en-US" w:eastAsia="ru-RU"/>
        </w:rPr>
        <w:t>No</w:t>
      </w:r>
      <w:r w:rsidR="00B5007C" w:rsidRPr="00B5007C">
        <w:rPr>
          <w:rFonts w:ascii="Times New Roman" w:eastAsia="Times New Roman" w:hAnsi="Times New Roman" w:cs="Times New Roman"/>
          <w:sz w:val="28"/>
          <w:szCs w:val="28"/>
          <w:lang w:val="ru-RU" w:eastAsia="ru-RU"/>
        </w:rPr>
        <w:t>.</w:t>
      </w:r>
      <w:r w:rsidR="00B5007C">
        <w:rPr>
          <w:rFonts w:ascii="Times New Roman" w:eastAsia="Times New Roman" w:hAnsi="Times New Roman" w:cs="Times New Roman"/>
          <w:sz w:val="28"/>
          <w:szCs w:val="28"/>
          <w:lang w:val="en-US" w:eastAsia="ru-RU"/>
        </w:rPr>
        <w:t> </w:t>
      </w:r>
      <w:r w:rsidR="00B5007C" w:rsidRPr="00B5007C">
        <w:rPr>
          <w:rFonts w:ascii="Times New Roman" w:eastAsia="Times New Roman" w:hAnsi="Times New Roman" w:cs="Times New Roman"/>
          <w:sz w:val="28"/>
          <w:szCs w:val="28"/>
          <w:lang w:val="ru-RU" w:eastAsia="ru-RU"/>
        </w:rPr>
        <w:t>1</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P. 4</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18.</w:t>
      </w:r>
      <w:bookmarkEnd w:id="260"/>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1" w:name="_Ref502744613"/>
      <w:r w:rsidRPr="00156441">
        <w:rPr>
          <w:rFonts w:ascii="Times New Roman" w:eastAsia="Times New Roman" w:hAnsi="Times New Roman" w:cs="Times New Roman"/>
          <w:sz w:val="28"/>
          <w:szCs w:val="28"/>
          <w:lang w:eastAsia="ru-RU"/>
        </w:rPr>
        <w:t>Кузнецова В.</w:t>
      </w:r>
      <w:r w:rsidR="00B5007C">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Л. Оксид азота: свойства, биологическая роль, механизиы действия / В.</w:t>
      </w:r>
      <w:r w:rsidR="00B5007C">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Л. Кузнецова, А.</w:t>
      </w:r>
      <w:r w:rsidR="00B5007C">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Г. Соловьева // Современные проблемы науки и образования</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2015</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4</w:t>
      </w:r>
      <w:bookmarkEnd w:id="261"/>
      <w:r w:rsidRPr="00156441">
        <w:rPr>
          <w:rFonts w:ascii="Times New Roman" w:eastAsia="Times New Roman" w:hAnsi="Times New Roman" w:cs="Times New Roman"/>
          <w:sz w:val="28"/>
          <w:szCs w:val="28"/>
          <w:lang w:eastAsia="ru-RU"/>
        </w:rPr>
        <w:t>.</w:t>
      </w:r>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2" w:name="_Ref502744663"/>
      <w:r w:rsidRPr="00156441">
        <w:rPr>
          <w:rFonts w:ascii="Times New Roman" w:eastAsia="Times New Roman" w:hAnsi="Times New Roman" w:cs="Times New Roman"/>
          <w:sz w:val="28"/>
          <w:szCs w:val="28"/>
          <w:lang w:eastAsia="ru-RU"/>
        </w:rPr>
        <w:t>Значение определения нитритов</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нитратов как маркеров дисфункции эндотелия при сердечно</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сосудистой патологии / Л.</w:t>
      </w:r>
      <w:r w:rsidR="00B5007C">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Лапшина, П.</w:t>
      </w:r>
      <w:r w:rsidR="00B5007C">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Г. Кравчун, А.</w:t>
      </w:r>
      <w:r w:rsidR="00B5007C">
        <w:rPr>
          <w:rFonts w:ascii="Times New Roman" w:eastAsia="Times New Roman" w:hAnsi="Times New Roman" w:cs="Times New Roman"/>
          <w:sz w:val="28"/>
          <w:szCs w:val="28"/>
          <w:lang w:val="ru-RU" w:eastAsia="ru-RU"/>
        </w:rPr>
        <w:t> </w:t>
      </w:r>
      <w:r w:rsidR="00B5007C">
        <w:rPr>
          <w:rFonts w:ascii="Times New Roman" w:eastAsia="Times New Roman" w:hAnsi="Times New Roman" w:cs="Times New Roman"/>
          <w:sz w:val="28"/>
          <w:szCs w:val="28"/>
          <w:lang w:eastAsia="ru-RU"/>
        </w:rPr>
        <w:t>Ю. Титова [и др.</w:t>
      </w:r>
      <w:r w:rsidR="00B5007C">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 Укр. мед. часопис</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2009</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6 (74)</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49</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53.</w:t>
      </w:r>
      <w:bookmarkEnd w:id="262"/>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 xml:space="preserve"> Wimalawansa S. J. Nitric oxide: new evidence for novel therapeutic indications </w:t>
      </w:r>
      <w:r w:rsidR="00331BAE" w:rsidRPr="00331BAE">
        <w:rPr>
          <w:rFonts w:ascii="Times New Roman" w:eastAsia="Times New Roman" w:hAnsi="Times New Roman" w:cs="Times New Roman"/>
          <w:sz w:val="28"/>
          <w:szCs w:val="28"/>
          <w:lang w:val="en-US" w:eastAsia="ru-RU"/>
        </w:rPr>
        <w:t xml:space="preserve">/ </w:t>
      </w:r>
      <w:r w:rsidR="00331BAE" w:rsidRPr="00156441">
        <w:rPr>
          <w:rFonts w:ascii="Times New Roman" w:eastAsia="Times New Roman" w:hAnsi="Times New Roman" w:cs="Times New Roman"/>
          <w:sz w:val="28"/>
          <w:szCs w:val="28"/>
          <w:lang w:eastAsia="ru-RU"/>
        </w:rPr>
        <w:t xml:space="preserve">S. J. Wimalawansa </w:t>
      </w:r>
      <w:r w:rsidRPr="00156441">
        <w:rPr>
          <w:rFonts w:ascii="Times New Roman" w:eastAsia="Times New Roman" w:hAnsi="Times New Roman" w:cs="Times New Roman"/>
          <w:sz w:val="28"/>
          <w:szCs w:val="28"/>
          <w:lang w:eastAsia="ru-RU"/>
        </w:rPr>
        <w:t>// Expert. Opin. Pharmacother</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2008</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Vol. 9</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11</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P. 1935</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1954.</w:t>
      </w:r>
    </w:p>
    <w:p w:rsidR="00C216F5" w:rsidRPr="00156441" w:rsidRDefault="00C216F5"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 xml:space="preserve"> </w:t>
      </w:r>
      <w:bookmarkStart w:id="263" w:name="_Ref502744664"/>
      <w:r w:rsidRPr="00156441">
        <w:rPr>
          <w:rFonts w:ascii="Times New Roman" w:eastAsia="Times New Roman" w:hAnsi="Times New Roman" w:cs="Times New Roman"/>
          <w:sz w:val="28"/>
          <w:szCs w:val="28"/>
          <w:lang w:eastAsia="ru-RU"/>
        </w:rPr>
        <w:t xml:space="preserve">Moncada S. Nitric oxide and cell. Respiration physiology and pathology </w:t>
      </w:r>
      <w:r w:rsidR="00E73087" w:rsidRPr="00E73087">
        <w:rPr>
          <w:rFonts w:ascii="Times New Roman" w:eastAsia="Times New Roman" w:hAnsi="Times New Roman" w:cs="Times New Roman"/>
          <w:sz w:val="28"/>
          <w:szCs w:val="28"/>
          <w:lang w:val="en-US" w:eastAsia="ru-RU"/>
        </w:rPr>
        <w:t xml:space="preserve">/ </w:t>
      </w:r>
      <w:r w:rsidR="00E73087" w:rsidRPr="00156441">
        <w:rPr>
          <w:rFonts w:ascii="Times New Roman" w:eastAsia="Times New Roman" w:hAnsi="Times New Roman" w:cs="Times New Roman"/>
          <w:sz w:val="28"/>
          <w:szCs w:val="28"/>
          <w:lang w:eastAsia="ru-RU"/>
        </w:rPr>
        <w:t>S.</w:t>
      </w:r>
      <w:r w:rsidR="00E73087" w:rsidRPr="00E73087">
        <w:rPr>
          <w:rFonts w:ascii="Times New Roman" w:eastAsia="Times New Roman" w:hAnsi="Times New Roman" w:cs="Times New Roman"/>
          <w:sz w:val="28"/>
          <w:szCs w:val="28"/>
          <w:lang w:val="en-US" w:eastAsia="ru-RU"/>
        </w:rPr>
        <w:t xml:space="preserve"> </w:t>
      </w:r>
      <w:r w:rsidR="00E73087" w:rsidRPr="00156441">
        <w:rPr>
          <w:rFonts w:ascii="Times New Roman" w:eastAsia="Times New Roman" w:hAnsi="Times New Roman" w:cs="Times New Roman"/>
          <w:sz w:val="28"/>
          <w:szCs w:val="28"/>
          <w:lang w:eastAsia="ru-RU"/>
        </w:rPr>
        <w:t xml:space="preserve">Moncada </w:t>
      </w:r>
      <w:r w:rsidRPr="00156441">
        <w:rPr>
          <w:rFonts w:ascii="Times New Roman" w:eastAsia="Times New Roman" w:hAnsi="Times New Roman" w:cs="Times New Roman"/>
          <w:sz w:val="28"/>
          <w:szCs w:val="28"/>
          <w:lang w:eastAsia="ru-RU"/>
        </w:rPr>
        <w:t>// Verk. Kon. Acad. Genelsk. Belg</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2000</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Vol. 62</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3</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P. 171</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179</w:t>
      </w:r>
      <w:bookmarkEnd w:id="263"/>
      <w:r w:rsidR="00FA49DA" w:rsidRPr="00156441">
        <w:rPr>
          <w:rFonts w:ascii="Times New Roman" w:eastAsia="Times New Roman" w:hAnsi="Times New Roman" w:cs="Times New Roman"/>
          <w:sz w:val="28"/>
          <w:szCs w:val="28"/>
          <w:lang w:eastAsia="ru-RU"/>
        </w:rPr>
        <w:t>.</w:t>
      </w:r>
    </w:p>
    <w:p w:rsidR="00FA49DA" w:rsidRPr="00156441" w:rsidRDefault="00FA49D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4" w:name="_Ref502744696"/>
      <w:bookmarkStart w:id="265" w:name="_Ref503519914"/>
      <w:r w:rsidRPr="00156441">
        <w:rPr>
          <w:rFonts w:ascii="Times New Roman" w:eastAsia="Times New Roman" w:hAnsi="Times New Roman" w:cs="Times New Roman"/>
          <w:sz w:val="28"/>
          <w:szCs w:val="28"/>
          <w:lang w:eastAsia="ru-RU"/>
        </w:rPr>
        <w:t>Роль оксида азота и его метаболитов в регуляции сосудистого тонуса при гипертонической болезни / О.</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М. Моисеева, Л.</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Александрова, И.</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А.</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Емельянов [и др.] // Consilium Medicum</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2003</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Vol. 9, № 6</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17</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23</w:t>
      </w:r>
      <w:bookmarkEnd w:id="264"/>
      <w:r w:rsidRPr="00156441">
        <w:rPr>
          <w:rFonts w:ascii="Times New Roman" w:eastAsia="Times New Roman" w:hAnsi="Times New Roman" w:cs="Times New Roman"/>
          <w:sz w:val="28"/>
          <w:szCs w:val="28"/>
          <w:lang w:eastAsia="ru-RU"/>
        </w:rPr>
        <w:t>.</w:t>
      </w:r>
      <w:bookmarkEnd w:id="265"/>
    </w:p>
    <w:p w:rsidR="00FA49DA" w:rsidRPr="00156441" w:rsidRDefault="00FA49D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6" w:name="_Ref502744707"/>
      <w:r w:rsidRPr="00156441">
        <w:rPr>
          <w:rFonts w:ascii="Times New Roman" w:eastAsia="Times New Roman" w:hAnsi="Times New Roman" w:cs="Times New Roman"/>
          <w:sz w:val="28"/>
          <w:szCs w:val="28"/>
          <w:lang w:eastAsia="ru-RU"/>
        </w:rPr>
        <w:t>Предикторы дисфункции эндотелия у лиц молодого возраста с высоким артериальным давлением / Н.</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П. Лямина, В.</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Н. Сенчихин, Д.</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Подкидышева [и</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др.] // Кардиология</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2003</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Т.1</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177</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178</w:t>
      </w:r>
      <w:bookmarkEnd w:id="266"/>
      <w:r w:rsidRPr="00156441">
        <w:rPr>
          <w:rFonts w:ascii="Times New Roman" w:eastAsia="Times New Roman" w:hAnsi="Times New Roman" w:cs="Times New Roman"/>
          <w:sz w:val="28"/>
          <w:szCs w:val="28"/>
          <w:lang w:eastAsia="ru-RU"/>
        </w:rPr>
        <w:t>.</w:t>
      </w:r>
    </w:p>
    <w:p w:rsidR="00FA49DA" w:rsidRPr="00156441" w:rsidRDefault="00FA49D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7" w:name="_Ref502744754"/>
      <w:r w:rsidRPr="00156441">
        <w:rPr>
          <w:rFonts w:ascii="Times New Roman" w:eastAsia="Times New Roman" w:hAnsi="Times New Roman" w:cs="Times New Roman"/>
          <w:sz w:val="28"/>
          <w:szCs w:val="28"/>
          <w:lang w:eastAsia="ru-RU"/>
        </w:rPr>
        <w:t>Пожилова Е.</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В. Синтаза оксида азота и эндогенный оксид азота в физиологии и патологии клетки / Е.</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В. Пожилова, В.</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Е. Новиков // Вестник Смоленской гос. мед. академии</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2015</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Т.14, № 4</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34</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41</w:t>
      </w:r>
      <w:bookmarkEnd w:id="267"/>
      <w:r w:rsidRPr="00156441">
        <w:rPr>
          <w:rFonts w:ascii="Times New Roman" w:eastAsia="Times New Roman" w:hAnsi="Times New Roman" w:cs="Times New Roman"/>
          <w:sz w:val="28"/>
          <w:szCs w:val="28"/>
          <w:lang w:eastAsia="ru-RU"/>
        </w:rPr>
        <w:t>.</w:t>
      </w:r>
    </w:p>
    <w:p w:rsidR="00FA49DA" w:rsidRPr="00156441" w:rsidRDefault="00FA49D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8" w:name="_Ref502744767"/>
      <w:r w:rsidRPr="00156441">
        <w:rPr>
          <w:rFonts w:ascii="Times New Roman" w:eastAsia="Times New Roman" w:hAnsi="Times New Roman" w:cs="Times New Roman"/>
          <w:sz w:val="28"/>
          <w:szCs w:val="28"/>
          <w:lang w:eastAsia="ru-RU"/>
        </w:rPr>
        <w:t>Роль окислительного стресса в патогенезе хронической обструктивной болезни легких / Л.</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Е. Муравлева, В.</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Б. Лучанский, Д.</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Клюев [и др.] // Успехи современного естествознания</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2012</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9</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12</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16</w:t>
      </w:r>
      <w:bookmarkEnd w:id="268"/>
      <w:r w:rsidRPr="00156441">
        <w:rPr>
          <w:rFonts w:ascii="Times New Roman" w:eastAsia="Times New Roman" w:hAnsi="Times New Roman" w:cs="Times New Roman"/>
          <w:sz w:val="28"/>
          <w:szCs w:val="28"/>
          <w:lang w:eastAsia="ru-RU"/>
        </w:rPr>
        <w:t>.</w:t>
      </w:r>
    </w:p>
    <w:p w:rsidR="00FA49DA" w:rsidRPr="00156441" w:rsidRDefault="00FA49D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69" w:name="_Ref502744798"/>
      <w:r w:rsidRPr="00156441">
        <w:rPr>
          <w:rFonts w:ascii="Times New Roman" w:eastAsia="Times New Roman" w:hAnsi="Times New Roman" w:cs="Times New Roman"/>
          <w:sz w:val="28"/>
          <w:szCs w:val="28"/>
          <w:lang w:eastAsia="ru-RU"/>
        </w:rPr>
        <w:t>Barnes P.</w:t>
      </w:r>
      <w:r w:rsidR="00E73087" w:rsidRPr="00E73087">
        <w:rPr>
          <w:rFonts w:ascii="Times New Roman" w:eastAsia="Times New Roman" w:hAnsi="Times New Roman" w:cs="Times New Roman"/>
          <w:sz w:val="28"/>
          <w:szCs w:val="28"/>
          <w:lang w:val="en-US" w:eastAsia="ru-RU"/>
        </w:rPr>
        <w:t xml:space="preserve"> </w:t>
      </w:r>
      <w:r w:rsidRPr="00156441">
        <w:rPr>
          <w:rFonts w:ascii="Times New Roman" w:eastAsia="Times New Roman" w:hAnsi="Times New Roman" w:cs="Times New Roman"/>
          <w:sz w:val="28"/>
          <w:szCs w:val="28"/>
          <w:lang w:eastAsia="ru-RU"/>
        </w:rPr>
        <w:t>J. NO or no NO in asthma? / P.</w:t>
      </w:r>
      <w:r w:rsidR="00E73087" w:rsidRPr="00E73087">
        <w:rPr>
          <w:rFonts w:ascii="Times New Roman" w:eastAsia="Times New Roman" w:hAnsi="Times New Roman" w:cs="Times New Roman"/>
          <w:sz w:val="28"/>
          <w:szCs w:val="28"/>
          <w:lang w:val="en-US" w:eastAsia="ru-RU"/>
        </w:rPr>
        <w:t xml:space="preserve"> </w:t>
      </w:r>
      <w:r w:rsidRPr="00156441">
        <w:rPr>
          <w:rFonts w:ascii="Times New Roman" w:eastAsia="Times New Roman" w:hAnsi="Times New Roman" w:cs="Times New Roman"/>
          <w:sz w:val="28"/>
          <w:szCs w:val="28"/>
          <w:lang w:eastAsia="ru-RU"/>
        </w:rPr>
        <w:t>J. Barnes // Thorax</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1996</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Vol. 51</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P. 218</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220</w:t>
      </w:r>
      <w:bookmarkEnd w:id="269"/>
      <w:r w:rsidRPr="00156441">
        <w:rPr>
          <w:rFonts w:ascii="Times New Roman" w:eastAsia="Times New Roman" w:hAnsi="Times New Roman" w:cs="Times New Roman"/>
          <w:sz w:val="28"/>
          <w:szCs w:val="28"/>
          <w:lang w:eastAsia="ru-RU"/>
        </w:rPr>
        <w:t>.</w:t>
      </w:r>
    </w:p>
    <w:p w:rsidR="00FA49DA" w:rsidRPr="00156441" w:rsidRDefault="00FA49D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70" w:name="_Ref502744817"/>
      <w:r w:rsidRPr="00156441">
        <w:rPr>
          <w:rFonts w:ascii="Times New Roman" w:eastAsia="Times New Roman" w:hAnsi="Times New Roman" w:cs="Times New Roman"/>
          <w:sz w:val="28"/>
          <w:szCs w:val="28"/>
          <w:lang w:eastAsia="ru-RU"/>
        </w:rPr>
        <w:lastRenderedPageBreak/>
        <w:t>Соодаева С.К. Роль свободно</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радикального окисления в патогенезе ХОБЛ / С.</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К. Соодаева // Атмосфера. Пульмонология и аллергология</w:t>
      </w:r>
      <w:r w:rsidR="00F44EE4" w:rsidRPr="00156441">
        <w:rPr>
          <w:rFonts w:ascii="Times New Roman" w:eastAsia="Times New Roman" w:hAnsi="Times New Roman" w:cs="Times New Roman"/>
          <w:sz w:val="28"/>
          <w:szCs w:val="28"/>
          <w:lang w:eastAsia="ru-RU"/>
        </w:rPr>
        <w:t>.</w:t>
      </w:r>
      <w:r w:rsidR="00E73087">
        <w:rPr>
          <w:rFonts w:ascii="Times New Roman" w:eastAsia="Times New Roman" w:hAnsi="Times New Roman" w:cs="Times New Roman"/>
          <w:sz w:val="28"/>
          <w:szCs w:val="28"/>
          <w:lang w:val="ru-RU" w:eastAsia="ru-RU"/>
        </w:rPr>
        <w:t> </w:t>
      </w:r>
      <w:r w:rsidR="00F44EE4" w:rsidRPr="00156441">
        <w:rPr>
          <w:rFonts w:ascii="Times New Roman" w:eastAsia="Times New Roman" w:hAnsi="Times New Roman" w:cs="Times New Roman"/>
          <w:sz w:val="28"/>
          <w:szCs w:val="28"/>
          <w:lang w:eastAsia="ru-RU"/>
        </w:rPr>
        <w:t>—</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2002</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1</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24</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25.</w:t>
      </w:r>
      <w:bookmarkEnd w:id="270"/>
    </w:p>
    <w:p w:rsidR="00FA49DA" w:rsidRPr="00156441" w:rsidRDefault="00FA49DA"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r w:rsidRPr="00156441">
        <w:rPr>
          <w:rFonts w:ascii="Times New Roman" w:eastAsia="Times New Roman" w:hAnsi="Times New Roman" w:cs="Times New Roman"/>
          <w:sz w:val="28"/>
          <w:szCs w:val="28"/>
          <w:lang w:eastAsia="ru-RU"/>
        </w:rPr>
        <w:t xml:space="preserve"> </w:t>
      </w:r>
      <w:bookmarkStart w:id="271" w:name="_Ref502744818"/>
      <w:r w:rsidRPr="00156441">
        <w:rPr>
          <w:rFonts w:ascii="Times New Roman" w:eastAsia="Times New Roman" w:hAnsi="Times New Roman" w:cs="Times New Roman"/>
          <w:sz w:val="28"/>
          <w:szCs w:val="28"/>
          <w:lang w:eastAsia="ru-RU"/>
        </w:rPr>
        <w:t>Антигипертензивная терапія у больных хронической обструктивной болезнью легких: преимущества антагонистов кальция / Т.</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В. Адашева, И.</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В.</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Федорова, В.</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С. Задионченко [и др.] // Рациональная фармакотерапія в кардиологии</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2008</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5</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39</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45</w:t>
      </w:r>
      <w:bookmarkEnd w:id="271"/>
      <w:r w:rsidRPr="00156441">
        <w:rPr>
          <w:rFonts w:ascii="Times New Roman" w:eastAsia="Times New Roman" w:hAnsi="Times New Roman" w:cs="Times New Roman"/>
          <w:sz w:val="28"/>
          <w:szCs w:val="28"/>
          <w:lang w:eastAsia="ru-RU"/>
        </w:rPr>
        <w:t>.</w:t>
      </w:r>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72" w:name="_Ref502744869"/>
      <w:bookmarkStart w:id="273" w:name="_Ref503519963"/>
      <w:r w:rsidRPr="00156441">
        <w:rPr>
          <w:rFonts w:ascii="Times New Roman" w:eastAsia="Times New Roman" w:hAnsi="Times New Roman" w:cs="Times New Roman"/>
          <w:sz w:val="28"/>
          <w:szCs w:val="28"/>
          <w:lang w:eastAsia="ru-RU"/>
        </w:rPr>
        <w:t>Ранние маркеры дисфункции эндотелия в динамике развития артериальной гипертонии у лиц молодого возраста / С.</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Д. Маянская, А.</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Р. Антонов, А.</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Попова [и др.] // Казанский медицинский журнал</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2009</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90</w:t>
      </w:r>
      <w:r w:rsidR="00E73087">
        <w:rPr>
          <w:rFonts w:ascii="Times New Roman" w:eastAsia="Times New Roman" w:hAnsi="Times New Roman" w:cs="Times New Roman"/>
          <w:sz w:val="28"/>
          <w:szCs w:val="28"/>
          <w:lang w:eastAsia="ru-RU"/>
        </w:rPr>
        <w:t>,</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1</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32</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37</w:t>
      </w:r>
      <w:bookmarkEnd w:id="272"/>
      <w:r w:rsidRPr="00156441">
        <w:rPr>
          <w:rFonts w:ascii="Times New Roman" w:eastAsia="Times New Roman" w:hAnsi="Times New Roman" w:cs="Times New Roman"/>
          <w:sz w:val="28"/>
          <w:szCs w:val="28"/>
          <w:lang w:eastAsia="ru-RU"/>
        </w:rPr>
        <w:t>.</w:t>
      </w:r>
      <w:bookmarkEnd w:id="273"/>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74" w:name="_Ref502744898"/>
      <w:bookmarkStart w:id="275" w:name="_Ref502744956"/>
      <w:r w:rsidRPr="00156441">
        <w:rPr>
          <w:rFonts w:ascii="Times New Roman" w:eastAsia="Times New Roman" w:hAnsi="Times New Roman" w:cs="Times New Roman"/>
          <w:sz w:val="28"/>
          <w:szCs w:val="28"/>
          <w:lang w:eastAsia="ru-RU"/>
        </w:rPr>
        <w:t>Пішак В.</w:t>
      </w:r>
      <w:r w:rsidR="001132C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 Ренін</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ангіотензин</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альдостеронова система: молекулярний механізм регуляції і поліморфізм генів при патології / В.</w:t>
      </w:r>
      <w:r w:rsidR="001132C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П. Пішак, М.</w:t>
      </w:r>
      <w:r w:rsidR="001132C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І. Кривчанська // Біологічні системи</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2013</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 5, Вип. 3</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305</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310</w:t>
      </w:r>
      <w:bookmarkEnd w:id="274"/>
      <w:r w:rsidRPr="00156441">
        <w:rPr>
          <w:rFonts w:ascii="Times New Roman" w:eastAsia="Times New Roman" w:hAnsi="Times New Roman" w:cs="Times New Roman"/>
          <w:sz w:val="28"/>
          <w:szCs w:val="28"/>
          <w:lang w:eastAsia="ru-RU"/>
        </w:rPr>
        <w:t>.</w:t>
      </w:r>
      <w:bookmarkEnd w:id="275"/>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76" w:name="_Ref502744911"/>
      <w:r w:rsidRPr="00156441">
        <w:rPr>
          <w:rFonts w:ascii="Times New Roman" w:eastAsia="Times New Roman" w:hAnsi="Times New Roman" w:cs="Times New Roman"/>
          <w:sz w:val="28"/>
          <w:szCs w:val="28"/>
          <w:lang w:eastAsia="ru-RU"/>
        </w:rPr>
        <w:t>Артеменко В.</w:t>
      </w:r>
      <w:r w:rsidR="001132C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О. Старение и ренин</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ангитензин</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альдостероновая система (обзор литературы) / В.</w:t>
      </w:r>
      <w:r w:rsidR="001132C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О. Артеменко, Л.</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М. Ена, П.</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П. Чаяло // Проблемы старения и долголетия</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2014</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 23, № 13</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240</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253</w:t>
      </w:r>
      <w:bookmarkEnd w:id="276"/>
      <w:r w:rsidRPr="00156441">
        <w:rPr>
          <w:rFonts w:ascii="Times New Roman" w:eastAsia="Times New Roman" w:hAnsi="Times New Roman" w:cs="Times New Roman"/>
          <w:sz w:val="28"/>
          <w:szCs w:val="28"/>
          <w:lang w:eastAsia="ru-RU"/>
        </w:rPr>
        <w:t>.</w:t>
      </w:r>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77" w:name="_Ref502744929"/>
      <w:r w:rsidRPr="00156441">
        <w:rPr>
          <w:rFonts w:ascii="Times New Roman" w:eastAsia="Times New Roman" w:hAnsi="Times New Roman" w:cs="Times New Roman"/>
          <w:sz w:val="28"/>
          <w:szCs w:val="28"/>
          <w:shd w:val="clear" w:color="auto" w:fill="FFFFFF"/>
          <w:lang w:eastAsia="ru-RU"/>
        </w:rPr>
        <w:t>Хроническая обструктивная болезнь легких и функциональное состояние щитовидной железы, ренин</w:t>
      </w:r>
      <w:r w:rsidR="009C556E">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ангиотензин</w:t>
      </w:r>
      <w:r w:rsidR="009C556E">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альдостероновой системы / С.</w:t>
      </w:r>
      <w:r w:rsidR="00E73087">
        <w:rPr>
          <w:rFonts w:ascii="Times New Roman" w:eastAsia="Times New Roman" w:hAnsi="Times New Roman" w:cs="Times New Roman"/>
          <w:sz w:val="28"/>
          <w:szCs w:val="28"/>
          <w:shd w:val="clear" w:color="auto" w:fill="FFFFFF"/>
          <w:lang w:val="ru-RU" w:eastAsia="ru-RU"/>
        </w:rPr>
        <w:t> </w:t>
      </w:r>
      <w:r w:rsidRPr="00156441">
        <w:rPr>
          <w:rFonts w:ascii="Times New Roman" w:eastAsia="Times New Roman" w:hAnsi="Times New Roman" w:cs="Times New Roman"/>
          <w:sz w:val="28"/>
          <w:szCs w:val="28"/>
          <w:shd w:val="clear" w:color="auto" w:fill="FFFFFF"/>
          <w:lang w:eastAsia="ru-RU"/>
        </w:rPr>
        <w:t>А. Кожевникова, А.</w:t>
      </w:r>
      <w:r w:rsidR="00E73087">
        <w:rPr>
          <w:rFonts w:ascii="Times New Roman" w:eastAsia="Times New Roman" w:hAnsi="Times New Roman" w:cs="Times New Roman"/>
          <w:sz w:val="28"/>
          <w:szCs w:val="28"/>
          <w:shd w:val="clear" w:color="auto" w:fill="FFFFFF"/>
          <w:lang w:val="ru-RU" w:eastAsia="ru-RU"/>
        </w:rPr>
        <w:t xml:space="preserve"> </w:t>
      </w:r>
      <w:r w:rsidRPr="00156441">
        <w:rPr>
          <w:rFonts w:ascii="Times New Roman" w:eastAsia="Times New Roman" w:hAnsi="Times New Roman" w:cs="Times New Roman"/>
          <w:sz w:val="28"/>
          <w:szCs w:val="28"/>
          <w:shd w:val="clear" w:color="auto" w:fill="FFFFFF"/>
          <w:lang w:eastAsia="ru-RU"/>
        </w:rPr>
        <w:t>В. Будневский, В.Т. Бурлачук [и др.] // Молодой ученый</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2016</w:t>
      </w:r>
      <w:r w:rsidR="00F44EE4" w:rsidRPr="00156441">
        <w:rPr>
          <w:rFonts w:ascii="Times New Roman" w:eastAsia="Times New Roman" w:hAnsi="Times New Roman" w:cs="Times New Roman"/>
          <w:sz w:val="28"/>
          <w:szCs w:val="28"/>
          <w:shd w:val="clear" w:color="auto" w:fill="FFFFFF"/>
          <w:lang w:eastAsia="ru-RU"/>
        </w:rPr>
        <w:t>. — </w:t>
      </w:r>
      <w:r w:rsidRPr="00156441">
        <w:rPr>
          <w:rFonts w:ascii="Times New Roman" w:eastAsia="Times New Roman" w:hAnsi="Times New Roman" w:cs="Times New Roman"/>
          <w:sz w:val="28"/>
          <w:szCs w:val="28"/>
          <w:shd w:val="clear" w:color="auto" w:fill="FFFFFF"/>
          <w:lang w:eastAsia="ru-RU"/>
        </w:rPr>
        <w:t>№ 19</w:t>
      </w:r>
      <w:r w:rsidR="00F44EE4" w:rsidRPr="00156441">
        <w:rPr>
          <w:rFonts w:ascii="Times New Roman" w:eastAsia="Times New Roman" w:hAnsi="Times New Roman" w:cs="Times New Roman"/>
          <w:sz w:val="28"/>
          <w:szCs w:val="28"/>
          <w:shd w:val="clear" w:color="auto" w:fill="FFFFFF"/>
          <w:lang w:eastAsia="ru-RU"/>
        </w:rPr>
        <w:t>. — С. </w:t>
      </w:r>
      <w:r w:rsidRPr="00156441">
        <w:rPr>
          <w:rFonts w:ascii="Times New Roman" w:eastAsia="Times New Roman" w:hAnsi="Times New Roman" w:cs="Times New Roman"/>
          <w:sz w:val="28"/>
          <w:szCs w:val="28"/>
          <w:shd w:val="clear" w:color="auto" w:fill="FFFFFF"/>
          <w:lang w:eastAsia="ru-RU"/>
        </w:rPr>
        <w:t>157</w:t>
      </w:r>
      <w:r w:rsidR="009C556E">
        <w:rPr>
          <w:rFonts w:ascii="Times New Roman" w:eastAsia="Times New Roman" w:hAnsi="Times New Roman" w:cs="Times New Roman"/>
          <w:sz w:val="28"/>
          <w:szCs w:val="28"/>
          <w:shd w:val="clear" w:color="auto" w:fill="FFFFFF"/>
          <w:lang w:eastAsia="ru-RU"/>
        </w:rPr>
        <w:t>–</w:t>
      </w:r>
      <w:r w:rsidRPr="00156441">
        <w:rPr>
          <w:rFonts w:ascii="Times New Roman" w:eastAsia="Times New Roman" w:hAnsi="Times New Roman" w:cs="Times New Roman"/>
          <w:sz w:val="28"/>
          <w:szCs w:val="28"/>
          <w:shd w:val="clear" w:color="auto" w:fill="FFFFFF"/>
          <w:lang w:eastAsia="ru-RU"/>
        </w:rPr>
        <w:t>162</w:t>
      </w:r>
      <w:bookmarkEnd w:id="277"/>
      <w:r w:rsidRPr="00156441">
        <w:rPr>
          <w:rFonts w:ascii="Times New Roman" w:eastAsia="Times New Roman" w:hAnsi="Times New Roman" w:cs="Times New Roman"/>
          <w:sz w:val="28"/>
          <w:szCs w:val="28"/>
          <w:shd w:val="clear" w:color="auto" w:fill="FFFFFF"/>
          <w:lang w:eastAsia="ru-RU"/>
        </w:rPr>
        <w:t>.</w:t>
      </w:r>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78" w:name="_Ref502745156"/>
      <w:r w:rsidRPr="00156441">
        <w:rPr>
          <w:rFonts w:ascii="Times New Roman" w:eastAsia="Times New Roman" w:hAnsi="Times New Roman" w:cs="Times New Roman"/>
          <w:sz w:val="28"/>
          <w:szCs w:val="28"/>
          <w:lang w:eastAsia="ru-RU"/>
        </w:rPr>
        <w:t>Бахтинова Е.</w:t>
      </w:r>
      <w:r w:rsidR="001132C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А. Сократительная функция миокарда у больных с хронической обструктивной болезнью легких, осложненной легочной гипертензией / Е.</w:t>
      </w:r>
      <w:r w:rsidR="001132C7" w:rsidRPr="00156441">
        <w:rPr>
          <w:rFonts w:ascii="Times New Roman" w:eastAsia="Times New Roman" w:hAnsi="Times New Roman" w:cs="Times New Roman"/>
          <w:sz w:val="28"/>
          <w:szCs w:val="28"/>
          <w:lang w:eastAsia="ru-RU"/>
        </w:rPr>
        <w:t xml:space="preserve"> </w:t>
      </w:r>
      <w:r w:rsidRPr="00156441">
        <w:rPr>
          <w:rFonts w:ascii="Times New Roman" w:eastAsia="Times New Roman" w:hAnsi="Times New Roman" w:cs="Times New Roman"/>
          <w:sz w:val="28"/>
          <w:szCs w:val="28"/>
          <w:lang w:eastAsia="ru-RU"/>
        </w:rPr>
        <w:t>А. Бахтинова // Вестник ВГМУ</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2008</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 7, № 1</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1</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9</w:t>
      </w:r>
      <w:bookmarkEnd w:id="278"/>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79" w:name="_Ref502745157"/>
      <w:r w:rsidRPr="00156441">
        <w:rPr>
          <w:rFonts w:ascii="Times New Roman" w:eastAsia="Times New Roman" w:hAnsi="Times New Roman" w:cs="Times New Roman"/>
          <w:sz w:val="28"/>
          <w:szCs w:val="28"/>
          <w:lang w:eastAsia="ru-RU"/>
        </w:rPr>
        <w:t>Достижение контроля артериальной гипертензии у больных хронической обструктивной болезнью легких при использовании фиксированной комбинации периндоприла и амлодипина / О.</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Н. Крючкова, Е.</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Костюкова, Е.</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И.</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Лебедь [и др.] // Крымский журнал экспериментальной и клинической медицины</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2014</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 4, № 2</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37</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40</w:t>
      </w:r>
      <w:bookmarkEnd w:id="279"/>
      <w:r w:rsidRPr="00156441">
        <w:rPr>
          <w:rFonts w:ascii="Times New Roman" w:eastAsia="Times New Roman" w:hAnsi="Times New Roman" w:cs="Times New Roman"/>
          <w:sz w:val="28"/>
          <w:szCs w:val="28"/>
          <w:lang w:eastAsia="ru-RU"/>
        </w:rPr>
        <w:t>.</w:t>
      </w:r>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0" w:name="_Ref502745195"/>
      <w:r w:rsidRPr="00156441">
        <w:rPr>
          <w:rFonts w:ascii="Times New Roman" w:eastAsia="Times New Roman" w:hAnsi="Times New Roman" w:cs="Times New Roman"/>
          <w:sz w:val="28"/>
          <w:szCs w:val="28"/>
          <w:lang w:eastAsia="ru-RU"/>
        </w:rPr>
        <w:lastRenderedPageBreak/>
        <w:t>Недельська С.М. Нейрогенне запалення, нейропептиди «субстанція Р» і «вазоактивний інтестинальний пептид» у патогенезі бронхіальної астми у дітей (огляд літератури) /</w:t>
      </w:r>
      <w:r w:rsidR="00F44EE4" w:rsidRPr="00156441">
        <w:rPr>
          <w:rFonts w:ascii="Times New Roman" w:eastAsia="Times New Roman" w:hAnsi="Times New Roman" w:cs="Times New Roman"/>
          <w:sz w:val="28"/>
          <w:szCs w:val="28"/>
          <w:lang w:eastAsia="ru-RU"/>
        </w:rPr>
        <w:t xml:space="preserve"> С. </w:t>
      </w:r>
      <w:r w:rsidRPr="00156441">
        <w:rPr>
          <w:rFonts w:ascii="Times New Roman" w:eastAsia="Times New Roman" w:hAnsi="Times New Roman" w:cs="Times New Roman"/>
          <w:sz w:val="28"/>
          <w:szCs w:val="28"/>
          <w:lang w:eastAsia="ru-RU"/>
        </w:rPr>
        <w:t>М. Недельська, О. Ю. Акулова // Международный журнал педиатрии, акушерства и гинекологии</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2014</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Т.6, № 3</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45</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54</w:t>
      </w:r>
      <w:bookmarkEnd w:id="280"/>
      <w:r w:rsidRPr="00156441">
        <w:rPr>
          <w:rFonts w:ascii="Times New Roman" w:eastAsia="Times New Roman" w:hAnsi="Times New Roman" w:cs="Times New Roman"/>
          <w:sz w:val="28"/>
          <w:szCs w:val="28"/>
          <w:lang w:eastAsia="ru-RU"/>
        </w:rPr>
        <w:t>.</w:t>
      </w:r>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1" w:name="_Ref502745222"/>
      <w:r w:rsidRPr="00156441">
        <w:rPr>
          <w:rFonts w:ascii="Times New Roman" w:eastAsia="Times New Roman" w:hAnsi="Times New Roman" w:cs="Times New Roman"/>
          <w:sz w:val="28"/>
          <w:szCs w:val="28"/>
          <w:lang w:eastAsia="ru-RU"/>
        </w:rPr>
        <w:t>Тарасова В.</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 xml:space="preserve">И. Влияние синдрома раздраженного кишечника на течение гипертонической болезни </w:t>
      </w:r>
      <w:r w:rsidR="00E73087">
        <w:rPr>
          <w:rFonts w:ascii="Times New Roman" w:eastAsia="Times New Roman" w:hAnsi="Times New Roman" w:cs="Times New Roman"/>
          <w:sz w:val="28"/>
          <w:szCs w:val="28"/>
          <w:lang w:val="ru-RU" w:eastAsia="ru-RU"/>
        </w:rPr>
        <w:t xml:space="preserve">/ В. И. </w:t>
      </w:r>
      <w:r w:rsidR="00E73087" w:rsidRPr="00156441">
        <w:rPr>
          <w:rFonts w:ascii="Times New Roman" w:eastAsia="Times New Roman" w:hAnsi="Times New Roman" w:cs="Times New Roman"/>
          <w:sz w:val="28"/>
          <w:szCs w:val="28"/>
          <w:lang w:eastAsia="ru-RU"/>
        </w:rPr>
        <w:t>Т</w:t>
      </w:r>
      <w:r w:rsidR="00E73087">
        <w:rPr>
          <w:rFonts w:ascii="Times New Roman" w:eastAsia="Times New Roman" w:hAnsi="Times New Roman" w:cs="Times New Roman"/>
          <w:sz w:val="28"/>
          <w:szCs w:val="28"/>
          <w:lang w:eastAsia="ru-RU"/>
        </w:rPr>
        <w:t xml:space="preserve">арасова </w:t>
      </w:r>
      <w:r w:rsidRPr="00156441">
        <w:rPr>
          <w:rFonts w:ascii="Times New Roman" w:eastAsia="Times New Roman" w:hAnsi="Times New Roman" w:cs="Times New Roman"/>
          <w:sz w:val="28"/>
          <w:szCs w:val="28"/>
          <w:lang w:eastAsia="ru-RU"/>
        </w:rPr>
        <w:t>// Новости медицины и фармации. Гастроэнтерология (тематический выпуск)</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2013</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478 —</w:t>
      </w:r>
      <w:r w:rsidR="00F44EE4" w:rsidRPr="00156441">
        <w:rPr>
          <w:rFonts w:ascii="Times New Roman" w:eastAsia="Times New Roman" w:hAnsi="Times New Roman" w:cs="Times New Roman"/>
          <w:sz w:val="28"/>
          <w:szCs w:val="28"/>
          <w:lang w:eastAsia="ru-RU"/>
        </w:rPr>
        <w:t xml:space="preserve"> С. </w:t>
      </w:r>
      <w:r w:rsidRPr="00156441">
        <w:rPr>
          <w:rFonts w:ascii="Times New Roman" w:eastAsia="Times New Roman" w:hAnsi="Times New Roman" w:cs="Times New Roman"/>
          <w:sz w:val="28"/>
          <w:szCs w:val="28"/>
          <w:lang w:eastAsia="ru-RU"/>
        </w:rPr>
        <w:t>22</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24</w:t>
      </w:r>
      <w:bookmarkEnd w:id="281"/>
      <w:r w:rsidRPr="00156441">
        <w:rPr>
          <w:rFonts w:ascii="Times New Roman" w:eastAsia="Times New Roman" w:hAnsi="Times New Roman" w:cs="Times New Roman"/>
          <w:sz w:val="28"/>
          <w:szCs w:val="28"/>
          <w:lang w:eastAsia="ru-RU"/>
        </w:rPr>
        <w:t>.</w:t>
      </w:r>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2" w:name="_Ref502745333"/>
      <w:r w:rsidRPr="00156441">
        <w:rPr>
          <w:rFonts w:ascii="Times New Roman" w:eastAsia="Times New Roman" w:hAnsi="Times New Roman" w:cs="Times New Roman"/>
          <w:sz w:val="28"/>
          <w:szCs w:val="28"/>
          <w:lang w:eastAsia="ru-RU"/>
        </w:rPr>
        <w:t>Коваль С.</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Н. Семейство васкулоэндотелиального фактора роста и его возможная роль в патогенезе артериальной гипертензии / С.</w:t>
      </w:r>
      <w:r w:rsidR="00E73087">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Н. Коваль, И.</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А.</w:t>
      </w:r>
      <w:r w:rsidR="00E73087">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Снегурская // Артериальная гипертензия</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2012</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 4 (24)</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24</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28.</w:t>
      </w:r>
      <w:bookmarkEnd w:id="282"/>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3" w:name="_Ref502745345"/>
      <w:r w:rsidRPr="00156441">
        <w:rPr>
          <w:rFonts w:ascii="Times New Roman" w:eastAsia="Times New Roman" w:hAnsi="Times New Roman" w:cs="Times New Roman"/>
          <w:sz w:val="28"/>
          <w:szCs w:val="28"/>
          <w:lang w:eastAsia="ru-RU"/>
        </w:rPr>
        <w:t>Рекалов Д.Г. Особливості метаболізму факторів росту судин у хворих на гіпертонічну хворобу / Д.Г. Рекалов // Матеріали наук.— практ. конф. з міжнар. участю : Діагностика і лікування ураження серця та нирок при артеріальній гіпертензії</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Харків, 2004</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83</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84.</w:t>
      </w:r>
      <w:bookmarkEnd w:id="283"/>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4" w:name="_Ref502745367"/>
      <w:r w:rsidRPr="00156441">
        <w:rPr>
          <w:rFonts w:ascii="Times New Roman" w:eastAsia="Times New Roman" w:hAnsi="Times New Roman" w:cs="Times New Roman"/>
          <w:sz w:val="28"/>
          <w:szCs w:val="28"/>
          <w:lang w:eastAsia="ru-RU"/>
        </w:rPr>
        <w:t>Поливода С.М. Диагностика изменений упруго</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эластических свойств артериальных сосудов у больных гипертонической болезнью в практике семейного врача / С.</w:t>
      </w:r>
      <w:r w:rsidR="009C556E">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М. Поливода, О.</w:t>
      </w:r>
      <w:r w:rsidR="009C556E">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О. Черепок, Д.</w:t>
      </w:r>
      <w:r w:rsidR="009C556E">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Г. Рекалов // Матеріали Всеукр. наук.</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eastAsia="ru-RU"/>
        </w:rPr>
        <w:t> практ. конф: Підготовка сімейних лікарів та моделі впровадження сімейної медицини в Україні</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Чернівці, 2005</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178</w:t>
      </w:r>
      <w:r w:rsidR="009C556E">
        <w:rPr>
          <w:rFonts w:ascii="Times New Roman" w:eastAsia="Times New Roman" w:hAnsi="Times New Roman" w:cs="Times New Roman"/>
          <w:sz w:val="28"/>
          <w:szCs w:val="28"/>
          <w:lang w:val="ru-RU" w:eastAsia="ru-RU"/>
        </w:rPr>
        <w:t>–</w:t>
      </w:r>
      <w:r w:rsidRPr="00156441">
        <w:rPr>
          <w:rFonts w:ascii="Times New Roman" w:eastAsia="Times New Roman" w:hAnsi="Times New Roman" w:cs="Times New Roman"/>
          <w:sz w:val="28"/>
          <w:szCs w:val="28"/>
          <w:lang w:eastAsia="ru-RU"/>
        </w:rPr>
        <w:t>179.</w:t>
      </w:r>
      <w:bookmarkEnd w:id="284"/>
    </w:p>
    <w:p w:rsidR="00F3176C"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5" w:name="_Ref502745492"/>
      <w:r w:rsidRPr="00156441">
        <w:rPr>
          <w:rFonts w:ascii="Times New Roman" w:eastAsia="Times New Roman" w:hAnsi="Times New Roman" w:cs="Times New Roman"/>
          <w:sz w:val="28"/>
          <w:szCs w:val="28"/>
          <w:lang w:eastAsia="ru-RU"/>
        </w:rPr>
        <w:t>Плотность костной ткани и кальций</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фосфорний обмен у больных хронической обструктивной болезнью легких / Е.</w:t>
      </w:r>
      <w:r w:rsidR="009C556E">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А. Кочеткова, М.</w:t>
      </w:r>
      <w:r w:rsidR="009C556E">
        <w:rPr>
          <w:rFonts w:ascii="Times New Roman" w:eastAsia="Times New Roman" w:hAnsi="Times New Roman" w:cs="Times New Roman"/>
          <w:sz w:val="28"/>
          <w:szCs w:val="28"/>
          <w:lang w:val="ru-RU" w:eastAsia="ru-RU"/>
        </w:rPr>
        <w:t xml:space="preserve"> </w:t>
      </w:r>
      <w:r w:rsidRPr="00156441">
        <w:rPr>
          <w:rFonts w:ascii="Times New Roman" w:eastAsia="Times New Roman" w:hAnsi="Times New Roman" w:cs="Times New Roman"/>
          <w:sz w:val="28"/>
          <w:szCs w:val="28"/>
          <w:lang w:eastAsia="ru-RU"/>
        </w:rPr>
        <w:t>В. Волкова, О.</w:t>
      </w:r>
      <w:r w:rsidR="009C556E">
        <w:rPr>
          <w:rFonts w:ascii="Times New Roman" w:eastAsia="Times New Roman" w:hAnsi="Times New Roman" w:cs="Times New Roman"/>
          <w:sz w:val="28"/>
          <w:szCs w:val="28"/>
          <w:lang w:val="ru-RU" w:eastAsia="ru-RU"/>
        </w:rPr>
        <w:t> </w:t>
      </w:r>
      <w:r w:rsidRPr="00156441">
        <w:rPr>
          <w:rFonts w:ascii="Times New Roman" w:eastAsia="Times New Roman" w:hAnsi="Times New Roman" w:cs="Times New Roman"/>
          <w:sz w:val="28"/>
          <w:szCs w:val="28"/>
          <w:lang w:eastAsia="ru-RU"/>
        </w:rPr>
        <w:t>Ю. Григорьева</w:t>
      </w:r>
      <w:r w:rsidR="009C556E">
        <w:rPr>
          <w:rFonts w:ascii="Times New Roman" w:eastAsia="Times New Roman" w:hAnsi="Times New Roman" w:cs="Times New Roman"/>
          <w:sz w:val="28"/>
          <w:szCs w:val="28"/>
          <w:lang w:eastAsia="ru-RU"/>
        </w:rPr>
        <w:t xml:space="preserve"> </w:t>
      </w:r>
      <w:r w:rsidR="009C556E">
        <w:rPr>
          <w:rFonts w:ascii="Times New Roman" w:eastAsia="Times New Roman" w:hAnsi="Times New Roman" w:cs="Times New Roman"/>
          <w:sz w:val="28"/>
          <w:szCs w:val="28"/>
          <w:lang w:val="ru-RU" w:eastAsia="ru-RU"/>
        </w:rPr>
        <w:t xml:space="preserve">[и др.] </w:t>
      </w:r>
      <w:r w:rsidRPr="00156441">
        <w:rPr>
          <w:rFonts w:ascii="Times New Roman" w:eastAsia="Times New Roman" w:hAnsi="Times New Roman" w:cs="Times New Roman"/>
          <w:sz w:val="28"/>
          <w:szCs w:val="28"/>
          <w:lang w:eastAsia="ru-RU"/>
        </w:rPr>
        <w:t>// Бюлл. физиологии и патологии дыхания</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2005</w:t>
      </w:r>
      <w:r w:rsidR="00F44EE4" w:rsidRPr="00156441">
        <w:rPr>
          <w:rFonts w:ascii="Times New Roman" w:eastAsia="Times New Roman" w:hAnsi="Times New Roman" w:cs="Times New Roman"/>
          <w:sz w:val="28"/>
          <w:szCs w:val="28"/>
          <w:lang w:eastAsia="ru-RU"/>
        </w:rPr>
        <w:t>. — </w:t>
      </w:r>
      <w:r w:rsidRPr="00156441">
        <w:rPr>
          <w:rFonts w:ascii="Times New Roman" w:eastAsia="Times New Roman" w:hAnsi="Times New Roman" w:cs="Times New Roman"/>
          <w:sz w:val="28"/>
          <w:szCs w:val="28"/>
          <w:lang w:eastAsia="ru-RU"/>
        </w:rPr>
        <w:t>Вып. 21</w:t>
      </w:r>
      <w:r w:rsidR="00F44EE4" w:rsidRPr="00156441">
        <w:rPr>
          <w:rFonts w:ascii="Times New Roman" w:eastAsia="Times New Roman" w:hAnsi="Times New Roman" w:cs="Times New Roman"/>
          <w:sz w:val="28"/>
          <w:szCs w:val="28"/>
          <w:lang w:eastAsia="ru-RU"/>
        </w:rPr>
        <w:t>. — С. </w:t>
      </w:r>
      <w:r w:rsidRPr="00156441">
        <w:rPr>
          <w:rFonts w:ascii="Times New Roman" w:eastAsia="Times New Roman" w:hAnsi="Times New Roman" w:cs="Times New Roman"/>
          <w:sz w:val="28"/>
          <w:szCs w:val="28"/>
          <w:lang w:eastAsia="ru-RU"/>
        </w:rPr>
        <w:t>52</w:t>
      </w:r>
      <w:r w:rsidR="009C556E">
        <w:rPr>
          <w:rFonts w:ascii="Times New Roman" w:eastAsia="Times New Roman" w:hAnsi="Times New Roman" w:cs="Times New Roman"/>
          <w:sz w:val="28"/>
          <w:szCs w:val="28"/>
          <w:lang w:eastAsia="ru-RU"/>
        </w:rPr>
        <w:t>–</w:t>
      </w:r>
      <w:r w:rsidRPr="00156441">
        <w:rPr>
          <w:rFonts w:ascii="Times New Roman" w:eastAsia="Times New Roman" w:hAnsi="Times New Roman" w:cs="Times New Roman"/>
          <w:sz w:val="28"/>
          <w:szCs w:val="28"/>
          <w:lang w:eastAsia="ru-RU"/>
        </w:rPr>
        <w:t>56.</w:t>
      </w:r>
      <w:bookmarkEnd w:id="285"/>
    </w:p>
    <w:p w:rsidR="005438B0" w:rsidRPr="00156441" w:rsidRDefault="00F3176C" w:rsidP="009720A3">
      <w:pPr>
        <w:pStyle w:val="a4"/>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286" w:name="_Ref502745516"/>
      <w:r w:rsidRPr="00156441">
        <w:rPr>
          <w:rFonts w:ascii="Times New Roman" w:eastAsia="Times New Roman" w:hAnsi="Times New Roman" w:cs="Times New Roman"/>
          <w:bCs/>
          <w:sz w:val="28"/>
          <w:szCs w:val="28"/>
          <w:lang w:eastAsia="ru-RU"/>
        </w:rPr>
        <w:t>Ефремов А.В. Уровень микроэлементов в крови у пациентов с хронической обструктивной болезнью легких на разных стадіях заболевания / А.</w:t>
      </w:r>
      <w:r w:rsidR="009C556E">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В.</w:t>
      </w:r>
      <w:r w:rsidR="009C556E">
        <w:rPr>
          <w:rFonts w:ascii="Times New Roman" w:eastAsia="Times New Roman" w:hAnsi="Times New Roman" w:cs="Times New Roman"/>
          <w:bCs/>
          <w:sz w:val="28"/>
          <w:szCs w:val="28"/>
          <w:lang w:eastAsia="ru-RU"/>
        </w:rPr>
        <w:t> </w:t>
      </w:r>
      <w:r w:rsidRPr="00156441">
        <w:rPr>
          <w:rFonts w:ascii="Times New Roman" w:eastAsia="Times New Roman" w:hAnsi="Times New Roman" w:cs="Times New Roman"/>
          <w:bCs/>
          <w:sz w:val="28"/>
          <w:szCs w:val="28"/>
          <w:lang w:eastAsia="ru-RU"/>
        </w:rPr>
        <w:t>Ефремов, Р.</w:t>
      </w:r>
      <w:r w:rsidR="009C556E">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bCs/>
          <w:sz w:val="28"/>
          <w:szCs w:val="28"/>
          <w:lang w:eastAsia="ru-RU"/>
        </w:rPr>
        <w:t>Е. Тулеутаева, И.</w:t>
      </w:r>
      <w:r w:rsidR="009C556E">
        <w:rPr>
          <w:rFonts w:ascii="Times New Roman" w:eastAsia="Times New Roman" w:hAnsi="Times New Roman" w:cs="Times New Roman"/>
          <w:bCs/>
          <w:sz w:val="28"/>
          <w:szCs w:val="28"/>
          <w:lang w:eastAsia="ru-RU"/>
        </w:rPr>
        <w:t xml:space="preserve"> </w:t>
      </w:r>
      <w:r w:rsidRPr="00156441">
        <w:rPr>
          <w:rFonts w:ascii="Times New Roman" w:eastAsia="Times New Roman" w:hAnsi="Times New Roman" w:cs="Times New Roman"/>
          <w:bCs/>
          <w:sz w:val="28"/>
          <w:szCs w:val="28"/>
          <w:lang w:eastAsia="ru-RU"/>
        </w:rPr>
        <w:t>Д. Сафронов // Вестник КазНМУ</w:t>
      </w:r>
      <w:r w:rsidR="00F44EE4" w:rsidRPr="00156441">
        <w:rPr>
          <w:rFonts w:ascii="Times New Roman" w:eastAsia="Times New Roman" w:hAnsi="Times New Roman" w:cs="Times New Roman"/>
          <w:bCs/>
          <w:sz w:val="28"/>
          <w:szCs w:val="28"/>
          <w:lang w:eastAsia="ru-RU"/>
        </w:rPr>
        <w:t>. — </w:t>
      </w:r>
      <w:r w:rsidRPr="00156441">
        <w:rPr>
          <w:rFonts w:ascii="Times New Roman" w:eastAsia="Times New Roman" w:hAnsi="Times New Roman" w:cs="Times New Roman"/>
          <w:bCs/>
          <w:sz w:val="28"/>
          <w:szCs w:val="28"/>
          <w:lang w:eastAsia="ru-RU"/>
        </w:rPr>
        <w:t>2015</w:t>
      </w:r>
      <w:r w:rsidR="00F44EE4" w:rsidRPr="00156441">
        <w:rPr>
          <w:rFonts w:ascii="Times New Roman" w:eastAsia="Times New Roman" w:hAnsi="Times New Roman" w:cs="Times New Roman"/>
          <w:bCs/>
          <w:sz w:val="28"/>
          <w:szCs w:val="28"/>
          <w:lang w:eastAsia="ru-RU"/>
        </w:rPr>
        <w:t>. — </w:t>
      </w:r>
      <w:r w:rsidRPr="00156441">
        <w:rPr>
          <w:rFonts w:ascii="Times New Roman" w:eastAsia="Times New Roman" w:hAnsi="Times New Roman" w:cs="Times New Roman"/>
          <w:bCs/>
          <w:sz w:val="28"/>
          <w:szCs w:val="28"/>
          <w:lang w:eastAsia="ru-RU"/>
        </w:rPr>
        <w:t>№ 3</w:t>
      </w:r>
      <w:r w:rsidR="00F44EE4" w:rsidRPr="00156441">
        <w:rPr>
          <w:rFonts w:ascii="Times New Roman" w:eastAsia="Times New Roman" w:hAnsi="Times New Roman" w:cs="Times New Roman"/>
          <w:bCs/>
          <w:sz w:val="28"/>
          <w:szCs w:val="28"/>
          <w:lang w:eastAsia="ru-RU"/>
        </w:rPr>
        <w:t>. — С. </w:t>
      </w:r>
      <w:r w:rsidRPr="00156441">
        <w:rPr>
          <w:rFonts w:ascii="Times New Roman" w:eastAsia="Times New Roman" w:hAnsi="Times New Roman" w:cs="Times New Roman"/>
          <w:bCs/>
          <w:sz w:val="28"/>
          <w:szCs w:val="28"/>
          <w:lang w:eastAsia="ru-RU"/>
        </w:rPr>
        <w:t>277</w:t>
      </w:r>
      <w:r w:rsidR="009C556E">
        <w:rPr>
          <w:rFonts w:ascii="Times New Roman" w:eastAsia="Times New Roman" w:hAnsi="Times New Roman" w:cs="Times New Roman"/>
          <w:bCs/>
          <w:sz w:val="28"/>
          <w:szCs w:val="28"/>
          <w:lang w:eastAsia="ru-RU"/>
        </w:rPr>
        <w:t>–</w:t>
      </w:r>
      <w:r w:rsidRPr="00156441">
        <w:rPr>
          <w:rFonts w:ascii="Times New Roman" w:eastAsia="Times New Roman" w:hAnsi="Times New Roman" w:cs="Times New Roman"/>
          <w:bCs/>
          <w:sz w:val="28"/>
          <w:szCs w:val="28"/>
          <w:lang w:eastAsia="ru-RU"/>
        </w:rPr>
        <w:t>278</w:t>
      </w:r>
      <w:bookmarkEnd w:id="286"/>
      <w:r w:rsidR="00F44EE4" w:rsidRPr="00156441">
        <w:rPr>
          <w:rFonts w:ascii="Times New Roman" w:eastAsia="Times New Roman" w:hAnsi="Times New Roman" w:cs="Times New Roman"/>
          <w:bCs/>
          <w:sz w:val="28"/>
          <w:szCs w:val="28"/>
          <w:lang w:eastAsia="ru-RU"/>
        </w:rPr>
        <w:t>.</w:t>
      </w:r>
    </w:p>
    <w:sectPr w:rsidR="005438B0" w:rsidRPr="00156441" w:rsidSect="008242A9">
      <w:headerReference w:type="default" r:id="rId75"/>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0E1" w:rsidRDefault="008E20E1">
      <w:pPr>
        <w:spacing w:after="0" w:line="240" w:lineRule="auto"/>
      </w:pPr>
      <w:r>
        <w:separator/>
      </w:r>
    </w:p>
  </w:endnote>
  <w:endnote w:type="continuationSeparator" w:id="0">
    <w:p w:rsidR="008E20E1" w:rsidRDefault="008E2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0E1" w:rsidRDefault="008E20E1">
      <w:pPr>
        <w:spacing w:after="0" w:line="240" w:lineRule="auto"/>
      </w:pPr>
      <w:r>
        <w:separator/>
      </w:r>
    </w:p>
  </w:footnote>
  <w:footnote w:type="continuationSeparator" w:id="0">
    <w:p w:rsidR="008E20E1" w:rsidRDefault="008E2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159595630"/>
      <w:docPartObj>
        <w:docPartGallery w:val="Page Numbers (Top of Page)"/>
        <w:docPartUnique/>
      </w:docPartObj>
    </w:sdtPr>
    <w:sdtContent>
      <w:p w:rsidR="008E20E1" w:rsidRPr="003B436B" w:rsidRDefault="008E20E1">
        <w:pPr>
          <w:pStyle w:val="a6"/>
          <w:jc w:val="right"/>
          <w:rPr>
            <w:rFonts w:ascii="Times New Roman" w:hAnsi="Times New Roman" w:cs="Times New Roman"/>
            <w:sz w:val="28"/>
            <w:szCs w:val="28"/>
          </w:rPr>
        </w:pPr>
        <w:r w:rsidRPr="003B436B">
          <w:rPr>
            <w:rFonts w:ascii="Times New Roman" w:hAnsi="Times New Roman" w:cs="Times New Roman"/>
            <w:sz w:val="28"/>
            <w:szCs w:val="28"/>
          </w:rPr>
          <w:fldChar w:fldCharType="begin"/>
        </w:r>
        <w:r w:rsidRPr="003B436B">
          <w:rPr>
            <w:rFonts w:ascii="Times New Roman" w:hAnsi="Times New Roman" w:cs="Times New Roman"/>
            <w:sz w:val="28"/>
            <w:szCs w:val="28"/>
          </w:rPr>
          <w:instrText>PAGE   \* MERGEFORMAT</w:instrText>
        </w:r>
        <w:r w:rsidRPr="003B436B">
          <w:rPr>
            <w:rFonts w:ascii="Times New Roman" w:hAnsi="Times New Roman" w:cs="Times New Roman"/>
            <w:sz w:val="28"/>
            <w:szCs w:val="28"/>
          </w:rPr>
          <w:fldChar w:fldCharType="separate"/>
        </w:r>
        <w:r w:rsidR="001C0081" w:rsidRPr="001C0081">
          <w:rPr>
            <w:rFonts w:ascii="Times New Roman" w:hAnsi="Times New Roman" w:cs="Times New Roman"/>
            <w:noProof/>
            <w:sz w:val="28"/>
            <w:szCs w:val="28"/>
            <w:lang w:val="ru-RU"/>
          </w:rPr>
          <w:t>128</w:t>
        </w:r>
        <w:r w:rsidRPr="003B436B">
          <w:rPr>
            <w:rFonts w:ascii="Times New Roman" w:hAnsi="Times New Roman" w:cs="Times New Roman"/>
            <w:sz w:val="28"/>
            <w:szCs w:val="28"/>
          </w:rPr>
          <w:fldChar w:fldCharType="end"/>
        </w:r>
      </w:p>
    </w:sdtContent>
  </w:sdt>
  <w:p w:rsidR="008E20E1" w:rsidRDefault="008E20E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1B96"/>
    <w:multiLevelType w:val="hybridMultilevel"/>
    <w:tmpl w:val="E7902B4E"/>
    <w:lvl w:ilvl="0" w:tplc="4EA2200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0101A"/>
    <w:multiLevelType w:val="multilevel"/>
    <w:tmpl w:val="AE10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114BB"/>
    <w:multiLevelType w:val="hybridMultilevel"/>
    <w:tmpl w:val="0DB2AF0E"/>
    <w:lvl w:ilvl="0" w:tplc="1F3237F4">
      <w:start w:val="1"/>
      <w:numFmt w:val="decimal"/>
      <w:lvlText w:val="%1."/>
      <w:lvlJc w:val="left"/>
      <w:pPr>
        <w:ind w:left="11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907DA4"/>
    <w:multiLevelType w:val="multilevel"/>
    <w:tmpl w:val="85C69D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3809E5"/>
    <w:multiLevelType w:val="hybridMultilevel"/>
    <w:tmpl w:val="72E2A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F84A79"/>
    <w:multiLevelType w:val="multilevel"/>
    <w:tmpl w:val="81F66162"/>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C3F745A"/>
    <w:multiLevelType w:val="multilevel"/>
    <w:tmpl w:val="900489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7C47AD"/>
    <w:multiLevelType w:val="hybridMultilevel"/>
    <w:tmpl w:val="BF523D7A"/>
    <w:lvl w:ilvl="0" w:tplc="3C946F9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37B510E"/>
    <w:multiLevelType w:val="multilevel"/>
    <w:tmpl w:val="793A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87E18"/>
    <w:multiLevelType w:val="multilevel"/>
    <w:tmpl w:val="85C69D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DE0289"/>
    <w:multiLevelType w:val="multilevel"/>
    <w:tmpl w:val="C22EDFD8"/>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102797"/>
    <w:multiLevelType w:val="hybridMultilevel"/>
    <w:tmpl w:val="0810B452"/>
    <w:lvl w:ilvl="0" w:tplc="B47EC0C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E04228"/>
    <w:multiLevelType w:val="multilevel"/>
    <w:tmpl w:val="0F408392"/>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13F132A"/>
    <w:multiLevelType w:val="multilevel"/>
    <w:tmpl w:val="792888D8"/>
    <w:lvl w:ilvl="0">
      <w:start w:val="2"/>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4" w15:restartNumberingAfterBreak="0">
    <w:nsid w:val="54917430"/>
    <w:multiLevelType w:val="hybridMultilevel"/>
    <w:tmpl w:val="2AFC8CA2"/>
    <w:lvl w:ilvl="0" w:tplc="4EA2200A">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8853522"/>
    <w:multiLevelType w:val="multilevel"/>
    <w:tmpl w:val="792888D8"/>
    <w:lvl w:ilvl="0">
      <w:start w:val="2"/>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15:restartNumberingAfterBreak="0">
    <w:nsid w:val="5CE92CDD"/>
    <w:multiLevelType w:val="hybridMultilevel"/>
    <w:tmpl w:val="B1EC49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6E0130"/>
    <w:multiLevelType w:val="hybridMultilevel"/>
    <w:tmpl w:val="7C787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3C3022"/>
    <w:multiLevelType w:val="hybridMultilevel"/>
    <w:tmpl w:val="1E58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8D46CF"/>
    <w:multiLevelType w:val="multilevel"/>
    <w:tmpl w:val="4E9871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2B6071"/>
    <w:multiLevelType w:val="hybridMultilevel"/>
    <w:tmpl w:val="BC102A20"/>
    <w:lvl w:ilvl="0" w:tplc="50F09D96">
      <w:numFmt w:val="decimal"/>
      <w:lvlText w:val="%1."/>
      <w:lvlJc w:val="left"/>
      <w:pPr>
        <w:ind w:left="720" w:hanging="360"/>
      </w:pPr>
      <w:rPr>
        <w:rFonts w:hint="default"/>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825678B"/>
    <w:multiLevelType w:val="multilevel"/>
    <w:tmpl w:val="2820D6DC"/>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9D10FDC"/>
    <w:multiLevelType w:val="hybridMultilevel"/>
    <w:tmpl w:val="649ACB7C"/>
    <w:lvl w:ilvl="0" w:tplc="0422000F">
      <w:start w:val="1"/>
      <w:numFmt w:val="decimal"/>
      <w:lvlText w:val="%1."/>
      <w:lvlJc w:val="left"/>
      <w:pPr>
        <w:ind w:left="220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E4B502F"/>
    <w:multiLevelType w:val="hybridMultilevel"/>
    <w:tmpl w:val="67CED14A"/>
    <w:lvl w:ilvl="0" w:tplc="4EA2200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
  </w:num>
  <w:num w:numId="4">
    <w:abstractNumId w:val="7"/>
  </w:num>
  <w:num w:numId="5">
    <w:abstractNumId w:val="23"/>
  </w:num>
  <w:num w:numId="6">
    <w:abstractNumId w:val="11"/>
  </w:num>
  <w:num w:numId="7">
    <w:abstractNumId w:val="0"/>
  </w:num>
  <w:num w:numId="8">
    <w:abstractNumId w:val="14"/>
  </w:num>
  <w:num w:numId="9">
    <w:abstractNumId w:val="19"/>
  </w:num>
  <w:num w:numId="10">
    <w:abstractNumId w:val="8"/>
  </w:num>
  <w:num w:numId="11">
    <w:abstractNumId w:val="1"/>
  </w:num>
  <w:num w:numId="12">
    <w:abstractNumId w:val="6"/>
  </w:num>
  <w:num w:numId="13">
    <w:abstractNumId w:val="22"/>
  </w:num>
  <w:num w:numId="14">
    <w:abstractNumId w:val="20"/>
  </w:num>
  <w:num w:numId="15">
    <w:abstractNumId w:val="9"/>
  </w:num>
  <w:num w:numId="16">
    <w:abstractNumId w:val="15"/>
  </w:num>
  <w:num w:numId="17">
    <w:abstractNumId w:val="4"/>
  </w:num>
  <w:num w:numId="18">
    <w:abstractNumId w:val="17"/>
  </w:num>
  <w:num w:numId="19">
    <w:abstractNumId w:val="5"/>
  </w:num>
  <w:num w:numId="20">
    <w:abstractNumId w:val="12"/>
  </w:num>
  <w:num w:numId="21">
    <w:abstractNumId w:val="10"/>
  </w:num>
  <w:num w:numId="22">
    <w:abstractNumId w:val="21"/>
  </w:num>
  <w:num w:numId="23">
    <w:abstractNumId w:val="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289"/>
    <w:rsid w:val="000042EB"/>
    <w:rsid w:val="00006F94"/>
    <w:rsid w:val="000075AE"/>
    <w:rsid w:val="00007631"/>
    <w:rsid w:val="00032038"/>
    <w:rsid w:val="00041629"/>
    <w:rsid w:val="00043835"/>
    <w:rsid w:val="00062E1A"/>
    <w:rsid w:val="00063395"/>
    <w:rsid w:val="00064C29"/>
    <w:rsid w:val="00081807"/>
    <w:rsid w:val="00090835"/>
    <w:rsid w:val="000A53DE"/>
    <w:rsid w:val="000C1BC3"/>
    <w:rsid w:val="000D24FE"/>
    <w:rsid w:val="000D60C8"/>
    <w:rsid w:val="000E6879"/>
    <w:rsid w:val="000F7C61"/>
    <w:rsid w:val="00104F9B"/>
    <w:rsid w:val="001132C7"/>
    <w:rsid w:val="00115C3D"/>
    <w:rsid w:val="00145947"/>
    <w:rsid w:val="0015317A"/>
    <w:rsid w:val="00155CDF"/>
    <w:rsid w:val="00156441"/>
    <w:rsid w:val="001611A8"/>
    <w:rsid w:val="00163C1D"/>
    <w:rsid w:val="001647C1"/>
    <w:rsid w:val="00184106"/>
    <w:rsid w:val="00194772"/>
    <w:rsid w:val="001B332E"/>
    <w:rsid w:val="001C0081"/>
    <w:rsid w:val="001C36B2"/>
    <w:rsid w:val="001E0F2F"/>
    <w:rsid w:val="001E52F1"/>
    <w:rsid w:val="002032B2"/>
    <w:rsid w:val="002211E3"/>
    <w:rsid w:val="00227248"/>
    <w:rsid w:val="00240A13"/>
    <w:rsid w:val="00246C20"/>
    <w:rsid w:val="00247AF0"/>
    <w:rsid w:val="00254DA2"/>
    <w:rsid w:val="002601BC"/>
    <w:rsid w:val="002A2F36"/>
    <w:rsid w:val="002A7D11"/>
    <w:rsid w:val="002B5B85"/>
    <w:rsid w:val="002C7A3B"/>
    <w:rsid w:val="002C7BE9"/>
    <w:rsid w:val="002C7E0C"/>
    <w:rsid w:val="002D19D0"/>
    <w:rsid w:val="002D26C1"/>
    <w:rsid w:val="002E755E"/>
    <w:rsid w:val="002F3011"/>
    <w:rsid w:val="002F5D23"/>
    <w:rsid w:val="00301DBA"/>
    <w:rsid w:val="00331BAE"/>
    <w:rsid w:val="00333B2D"/>
    <w:rsid w:val="00343268"/>
    <w:rsid w:val="00352C3C"/>
    <w:rsid w:val="00354B4F"/>
    <w:rsid w:val="00355639"/>
    <w:rsid w:val="003612EB"/>
    <w:rsid w:val="00365F21"/>
    <w:rsid w:val="00366558"/>
    <w:rsid w:val="00371BE9"/>
    <w:rsid w:val="00373BA9"/>
    <w:rsid w:val="003814B7"/>
    <w:rsid w:val="0038306C"/>
    <w:rsid w:val="00386222"/>
    <w:rsid w:val="00391112"/>
    <w:rsid w:val="003A4503"/>
    <w:rsid w:val="003B436B"/>
    <w:rsid w:val="003D1E20"/>
    <w:rsid w:val="003D483E"/>
    <w:rsid w:val="003E39B2"/>
    <w:rsid w:val="003E513A"/>
    <w:rsid w:val="003F2037"/>
    <w:rsid w:val="0040024C"/>
    <w:rsid w:val="00441D17"/>
    <w:rsid w:val="00461CC4"/>
    <w:rsid w:val="00472926"/>
    <w:rsid w:val="004A5F52"/>
    <w:rsid w:val="004B5660"/>
    <w:rsid w:val="004B5DAC"/>
    <w:rsid w:val="004C1468"/>
    <w:rsid w:val="004D3135"/>
    <w:rsid w:val="004D581D"/>
    <w:rsid w:val="004E702C"/>
    <w:rsid w:val="005008D6"/>
    <w:rsid w:val="00511D6B"/>
    <w:rsid w:val="00520E5A"/>
    <w:rsid w:val="00524AB5"/>
    <w:rsid w:val="005438B0"/>
    <w:rsid w:val="00543A59"/>
    <w:rsid w:val="00545346"/>
    <w:rsid w:val="0055118D"/>
    <w:rsid w:val="00553F65"/>
    <w:rsid w:val="00562414"/>
    <w:rsid w:val="00565570"/>
    <w:rsid w:val="0056592D"/>
    <w:rsid w:val="00570069"/>
    <w:rsid w:val="00584B2B"/>
    <w:rsid w:val="00596B89"/>
    <w:rsid w:val="005A024E"/>
    <w:rsid w:val="005A450B"/>
    <w:rsid w:val="005C11DF"/>
    <w:rsid w:val="005D61D5"/>
    <w:rsid w:val="006006E1"/>
    <w:rsid w:val="006044D3"/>
    <w:rsid w:val="00607EC8"/>
    <w:rsid w:val="00626B0D"/>
    <w:rsid w:val="006344C2"/>
    <w:rsid w:val="00644B91"/>
    <w:rsid w:val="006549C4"/>
    <w:rsid w:val="0065760A"/>
    <w:rsid w:val="00670C70"/>
    <w:rsid w:val="0067154C"/>
    <w:rsid w:val="0068569E"/>
    <w:rsid w:val="00690289"/>
    <w:rsid w:val="0069372A"/>
    <w:rsid w:val="006970A5"/>
    <w:rsid w:val="006B528B"/>
    <w:rsid w:val="006B7BEE"/>
    <w:rsid w:val="006E70D2"/>
    <w:rsid w:val="006F22D0"/>
    <w:rsid w:val="00710B8D"/>
    <w:rsid w:val="00723800"/>
    <w:rsid w:val="00732200"/>
    <w:rsid w:val="00742A2B"/>
    <w:rsid w:val="007461B5"/>
    <w:rsid w:val="0075196F"/>
    <w:rsid w:val="00783230"/>
    <w:rsid w:val="007A2690"/>
    <w:rsid w:val="007C1462"/>
    <w:rsid w:val="007E09E1"/>
    <w:rsid w:val="007F516E"/>
    <w:rsid w:val="007F7074"/>
    <w:rsid w:val="008029A8"/>
    <w:rsid w:val="00804DE5"/>
    <w:rsid w:val="00804F04"/>
    <w:rsid w:val="0082153A"/>
    <w:rsid w:val="00821A4D"/>
    <w:rsid w:val="008242A9"/>
    <w:rsid w:val="008422D5"/>
    <w:rsid w:val="0084323E"/>
    <w:rsid w:val="00850D46"/>
    <w:rsid w:val="00852C6F"/>
    <w:rsid w:val="0087093D"/>
    <w:rsid w:val="008A3555"/>
    <w:rsid w:val="008A4A41"/>
    <w:rsid w:val="008C344C"/>
    <w:rsid w:val="008E20E1"/>
    <w:rsid w:val="008E5F84"/>
    <w:rsid w:val="00920013"/>
    <w:rsid w:val="00921FC7"/>
    <w:rsid w:val="009226BB"/>
    <w:rsid w:val="00931C7C"/>
    <w:rsid w:val="00933F2D"/>
    <w:rsid w:val="00934E4F"/>
    <w:rsid w:val="00940EC6"/>
    <w:rsid w:val="00956824"/>
    <w:rsid w:val="009720A3"/>
    <w:rsid w:val="0097316B"/>
    <w:rsid w:val="00975C93"/>
    <w:rsid w:val="00983656"/>
    <w:rsid w:val="00990512"/>
    <w:rsid w:val="009A5A1D"/>
    <w:rsid w:val="009B0CBD"/>
    <w:rsid w:val="009C1748"/>
    <w:rsid w:val="009C4375"/>
    <w:rsid w:val="009C556E"/>
    <w:rsid w:val="009C6C87"/>
    <w:rsid w:val="009D1EAE"/>
    <w:rsid w:val="009D2378"/>
    <w:rsid w:val="009D3F92"/>
    <w:rsid w:val="009F5852"/>
    <w:rsid w:val="009F6F70"/>
    <w:rsid w:val="00A05646"/>
    <w:rsid w:val="00A27861"/>
    <w:rsid w:val="00A60896"/>
    <w:rsid w:val="00A60D4E"/>
    <w:rsid w:val="00A7727E"/>
    <w:rsid w:val="00A833BD"/>
    <w:rsid w:val="00AB5142"/>
    <w:rsid w:val="00AC5021"/>
    <w:rsid w:val="00AC7375"/>
    <w:rsid w:val="00AC7CE0"/>
    <w:rsid w:val="00B1632E"/>
    <w:rsid w:val="00B23B08"/>
    <w:rsid w:val="00B30AF1"/>
    <w:rsid w:val="00B46E01"/>
    <w:rsid w:val="00B5007C"/>
    <w:rsid w:val="00B67F48"/>
    <w:rsid w:val="00BA46DA"/>
    <w:rsid w:val="00BC4A3C"/>
    <w:rsid w:val="00BE49BD"/>
    <w:rsid w:val="00BF50E9"/>
    <w:rsid w:val="00C216F5"/>
    <w:rsid w:val="00C33995"/>
    <w:rsid w:val="00C53837"/>
    <w:rsid w:val="00C556BA"/>
    <w:rsid w:val="00C70355"/>
    <w:rsid w:val="00C879B0"/>
    <w:rsid w:val="00CA03FD"/>
    <w:rsid w:val="00CA152C"/>
    <w:rsid w:val="00CC5488"/>
    <w:rsid w:val="00D162F4"/>
    <w:rsid w:val="00D1740C"/>
    <w:rsid w:val="00D25272"/>
    <w:rsid w:val="00D53929"/>
    <w:rsid w:val="00D574A8"/>
    <w:rsid w:val="00D60FA4"/>
    <w:rsid w:val="00D95B76"/>
    <w:rsid w:val="00D97DA7"/>
    <w:rsid w:val="00DC4C8F"/>
    <w:rsid w:val="00DE66F8"/>
    <w:rsid w:val="00E17CE4"/>
    <w:rsid w:val="00E23702"/>
    <w:rsid w:val="00E26D7A"/>
    <w:rsid w:val="00E3005A"/>
    <w:rsid w:val="00E5410F"/>
    <w:rsid w:val="00E5710C"/>
    <w:rsid w:val="00E73087"/>
    <w:rsid w:val="00E80394"/>
    <w:rsid w:val="00E9360D"/>
    <w:rsid w:val="00E95D2B"/>
    <w:rsid w:val="00EA1D5E"/>
    <w:rsid w:val="00EC468D"/>
    <w:rsid w:val="00EC6FA9"/>
    <w:rsid w:val="00ED151B"/>
    <w:rsid w:val="00ED2F14"/>
    <w:rsid w:val="00ED4BEF"/>
    <w:rsid w:val="00EF604C"/>
    <w:rsid w:val="00F06381"/>
    <w:rsid w:val="00F131EE"/>
    <w:rsid w:val="00F2420D"/>
    <w:rsid w:val="00F3176C"/>
    <w:rsid w:val="00F37FED"/>
    <w:rsid w:val="00F44EE4"/>
    <w:rsid w:val="00F71595"/>
    <w:rsid w:val="00F771CD"/>
    <w:rsid w:val="00FA1602"/>
    <w:rsid w:val="00FA23AF"/>
    <w:rsid w:val="00FA49DA"/>
    <w:rsid w:val="00FA6E72"/>
    <w:rsid w:val="00FC48A2"/>
    <w:rsid w:val="00FC5933"/>
    <w:rsid w:val="00FD61BA"/>
    <w:rsid w:val="00FE7FBD"/>
    <w:rsid w:val="00FF5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8D8F1DA-2B72-4FE6-9C3D-481B3638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289"/>
    <w:rPr>
      <w:lang w:val="uk-UA"/>
    </w:rPr>
  </w:style>
  <w:style w:type="paragraph" w:styleId="1">
    <w:name w:val="heading 1"/>
    <w:basedOn w:val="a"/>
    <w:next w:val="a"/>
    <w:link w:val="10"/>
    <w:qFormat/>
    <w:rsid w:val="006E70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E70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E70D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E70D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70D2"/>
    <w:rPr>
      <w:rFonts w:asciiTheme="majorHAnsi" w:eastAsiaTheme="majorEastAsia" w:hAnsiTheme="majorHAnsi" w:cstheme="majorBidi"/>
      <w:b/>
      <w:bCs/>
      <w:color w:val="365F91" w:themeColor="accent1" w:themeShade="BF"/>
      <w:sz w:val="28"/>
      <w:szCs w:val="28"/>
      <w:lang w:val="uk-UA"/>
    </w:rPr>
  </w:style>
  <w:style w:type="character" w:customStyle="1" w:styleId="20">
    <w:name w:val="Заголовок 2 Знак"/>
    <w:basedOn w:val="a0"/>
    <w:link w:val="2"/>
    <w:uiPriority w:val="9"/>
    <w:rsid w:val="006E70D2"/>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rsid w:val="006E70D2"/>
    <w:rPr>
      <w:rFonts w:asciiTheme="majorHAnsi" w:eastAsiaTheme="majorEastAsia" w:hAnsiTheme="majorHAnsi" w:cstheme="majorBidi"/>
      <w:b/>
      <w:bCs/>
      <w:color w:val="4F81BD" w:themeColor="accent1"/>
      <w:lang w:val="uk-UA"/>
    </w:rPr>
  </w:style>
  <w:style w:type="character" w:customStyle="1" w:styleId="40">
    <w:name w:val="Заголовок 4 Знак"/>
    <w:basedOn w:val="a0"/>
    <w:link w:val="4"/>
    <w:uiPriority w:val="9"/>
    <w:rsid w:val="006E70D2"/>
    <w:rPr>
      <w:rFonts w:asciiTheme="majorHAnsi" w:eastAsiaTheme="majorEastAsia" w:hAnsiTheme="majorHAnsi" w:cstheme="majorBidi"/>
      <w:b/>
      <w:bCs/>
      <w:i/>
      <w:iCs/>
      <w:color w:val="4F81BD" w:themeColor="accent1"/>
      <w:lang w:val="uk-UA"/>
    </w:rPr>
  </w:style>
  <w:style w:type="paragraph" w:styleId="a3">
    <w:name w:val="No Spacing"/>
    <w:uiPriority w:val="1"/>
    <w:qFormat/>
    <w:rsid w:val="006E70D2"/>
    <w:pPr>
      <w:spacing w:after="0" w:line="240" w:lineRule="auto"/>
    </w:pPr>
    <w:rPr>
      <w:lang w:val="uk-UA"/>
    </w:rPr>
  </w:style>
  <w:style w:type="paragraph" w:styleId="a4">
    <w:name w:val="List Paragraph"/>
    <w:basedOn w:val="a"/>
    <w:uiPriority w:val="34"/>
    <w:qFormat/>
    <w:rsid w:val="00690289"/>
    <w:pPr>
      <w:ind w:left="720"/>
      <w:contextualSpacing/>
    </w:pPr>
  </w:style>
  <w:style w:type="table" w:styleId="a5">
    <w:name w:val="Table Grid"/>
    <w:basedOn w:val="a1"/>
    <w:rsid w:val="00007631"/>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rsid w:val="000076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83656"/>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983656"/>
    <w:rPr>
      <w:lang w:val="uk-UA"/>
    </w:rPr>
  </w:style>
  <w:style w:type="paragraph" w:styleId="a8">
    <w:name w:val="Balloon Text"/>
    <w:basedOn w:val="a"/>
    <w:link w:val="a9"/>
    <w:uiPriority w:val="99"/>
    <w:semiHidden/>
    <w:unhideWhenUsed/>
    <w:rsid w:val="00983656"/>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83656"/>
    <w:rPr>
      <w:rFonts w:ascii="Tahoma" w:hAnsi="Tahoma" w:cs="Tahoma"/>
      <w:sz w:val="16"/>
      <w:szCs w:val="16"/>
      <w:lang w:val="uk-UA"/>
    </w:rPr>
  </w:style>
  <w:style w:type="numbering" w:customStyle="1" w:styleId="12">
    <w:name w:val="Нет списка1"/>
    <w:next w:val="a2"/>
    <w:semiHidden/>
    <w:rsid w:val="001E52F1"/>
  </w:style>
  <w:style w:type="paragraph" w:customStyle="1" w:styleId="aa">
    <w:name w:val="Название подзаголовка"/>
    <w:basedOn w:val="ab"/>
    <w:rsid w:val="001E52F1"/>
    <w:pPr>
      <w:widowControl w:val="0"/>
      <w:tabs>
        <w:tab w:val="num" w:pos="360"/>
      </w:tabs>
      <w:autoSpaceDE w:val="0"/>
      <w:autoSpaceDN w:val="0"/>
      <w:adjustRightInd w:val="0"/>
      <w:spacing w:before="0" w:after="0" w:line="360" w:lineRule="auto"/>
      <w:ind w:left="360" w:hanging="360"/>
      <w:outlineLvl w:val="9"/>
    </w:pPr>
    <w:rPr>
      <w:rFonts w:ascii="Times New Roman" w:hAnsi="Times New Roman" w:cs="Times New Roman"/>
      <w:bCs w:val="0"/>
      <w:kern w:val="0"/>
      <w:sz w:val="28"/>
      <w:szCs w:val="20"/>
    </w:rPr>
  </w:style>
  <w:style w:type="paragraph" w:customStyle="1" w:styleId="13">
    <w:name w:val="Знак1"/>
    <w:basedOn w:val="a"/>
    <w:autoRedefine/>
    <w:rsid w:val="001E52F1"/>
    <w:pPr>
      <w:spacing w:after="160" w:line="240" w:lineRule="exact"/>
    </w:pPr>
    <w:rPr>
      <w:rFonts w:ascii="Times New Roman" w:eastAsia="Times New Roman" w:hAnsi="Times New Roman" w:cs="Times New Roman"/>
      <w:sz w:val="28"/>
      <w:szCs w:val="28"/>
      <w:lang w:val="en-US"/>
    </w:rPr>
  </w:style>
  <w:style w:type="paragraph" w:styleId="ab">
    <w:name w:val="Title"/>
    <w:basedOn w:val="a"/>
    <w:link w:val="ac"/>
    <w:qFormat/>
    <w:rsid w:val="001E52F1"/>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ac">
    <w:name w:val="Назва Знак"/>
    <w:basedOn w:val="a0"/>
    <w:link w:val="ab"/>
    <w:rsid w:val="001E52F1"/>
    <w:rPr>
      <w:rFonts w:ascii="Arial" w:eastAsia="Times New Roman" w:hAnsi="Arial" w:cs="Arial"/>
      <w:b/>
      <w:bCs/>
      <w:kern w:val="28"/>
      <w:sz w:val="32"/>
      <w:szCs w:val="32"/>
      <w:lang w:eastAsia="ru-RU"/>
    </w:rPr>
  </w:style>
  <w:style w:type="character" w:styleId="ad">
    <w:name w:val="Hyperlink"/>
    <w:uiPriority w:val="99"/>
    <w:rsid w:val="001E52F1"/>
    <w:rPr>
      <w:color w:val="0000FF"/>
      <w:u w:val="single"/>
    </w:rPr>
  </w:style>
  <w:style w:type="character" w:customStyle="1" w:styleId="apple-converted-space">
    <w:name w:val="apple-converted-space"/>
    <w:basedOn w:val="a0"/>
    <w:rsid w:val="001E52F1"/>
  </w:style>
  <w:style w:type="character" w:styleId="ae">
    <w:name w:val="page number"/>
    <w:basedOn w:val="a0"/>
    <w:rsid w:val="001E52F1"/>
  </w:style>
  <w:style w:type="character" w:styleId="af">
    <w:name w:val="Strong"/>
    <w:qFormat/>
    <w:rsid w:val="001E52F1"/>
    <w:rPr>
      <w:b/>
      <w:bCs/>
    </w:rPr>
  </w:style>
  <w:style w:type="paragraph" w:styleId="af0">
    <w:name w:val="Normal (Web)"/>
    <w:aliases w:val="Обычный (Web)1"/>
    <w:basedOn w:val="a"/>
    <w:rsid w:val="001E52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Emphasis"/>
    <w:qFormat/>
    <w:rsid w:val="001E52F1"/>
    <w:rPr>
      <w:i/>
      <w:iCs/>
    </w:rPr>
  </w:style>
  <w:style w:type="paragraph" w:customStyle="1" w:styleId="default">
    <w:name w:val="default"/>
    <w:basedOn w:val="a"/>
    <w:rsid w:val="001E52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0">
    <w:name w:val="Default"/>
    <w:rsid w:val="001E52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symb1">
    <w:name w:val="fsymb1"/>
    <w:basedOn w:val="a0"/>
    <w:rsid w:val="001E52F1"/>
  </w:style>
  <w:style w:type="paragraph" w:customStyle="1" w:styleId="lit">
    <w:name w:val="lit"/>
    <w:basedOn w:val="a"/>
    <w:rsid w:val="001E52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ic">
    <w:name w:val="lic"/>
    <w:basedOn w:val="a"/>
    <w:rsid w:val="001E52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l">
    <w:name w:val="hl"/>
    <w:basedOn w:val="a0"/>
    <w:rsid w:val="001E52F1"/>
  </w:style>
  <w:style w:type="character" w:customStyle="1" w:styleId="bigtext">
    <w:name w:val="bigtext"/>
    <w:basedOn w:val="a0"/>
    <w:rsid w:val="001E52F1"/>
  </w:style>
  <w:style w:type="paragraph" w:customStyle="1" w:styleId="14">
    <w:name w:val="Абзац списка1"/>
    <w:basedOn w:val="a"/>
    <w:rsid w:val="001E52F1"/>
    <w:pPr>
      <w:ind w:left="720"/>
    </w:pPr>
    <w:rPr>
      <w:rFonts w:ascii="Calibri" w:eastAsia="Times New Roman" w:hAnsi="Calibri" w:cs="Times New Roman"/>
    </w:rPr>
  </w:style>
  <w:style w:type="character" w:customStyle="1" w:styleId="rvts6">
    <w:name w:val="rvts6"/>
    <w:basedOn w:val="a0"/>
    <w:rsid w:val="001E52F1"/>
  </w:style>
  <w:style w:type="paragraph" w:styleId="af2">
    <w:name w:val="footer"/>
    <w:basedOn w:val="a"/>
    <w:link w:val="af3"/>
    <w:uiPriority w:val="99"/>
    <w:unhideWhenUsed/>
    <w:rsid w:val="009F6F70"/>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9F6F70"/>
    <w:rPr>
      <w:lang w:val="uk-UA"/>
    </w:rPr>
  </w:style>
  <w:style w:type="character" w:customStyle="1" w:styleId="Mention">
    <w:name w:val="Mention"/>
    <w:basedOn w:val="a0"/>
    <w:uiPriority w:val="99"/>
    <w:semiHidden/>
    <w:unhideWhenUsed/>
    <w:rsid w:val="009F6F7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42" Type="http://schemas.openxmlformats.org/officeDocument/2006/relationships/image" Target="media/image18.e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emf"/><Relationship Id="rId16" Type="http://schemas.openxmlformats.org/officeDocument/2006/relationships/image" Target="media/image5.emf"/><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chart" Target="charts/chart2.xml"/><Relationship Id="rId5" Type="http://schemas.openxmlformats.org/officeDocument/2006/relationships/webSettings" Target="webSettings.xml"/><Relationship Id="rId61" Type="http://schemas.openxmlformats.org/officeDocument/2006/relationships/oleObject" Target="embeddings/oleObject27.bin"/><Relationship Id="rId19" Type="http://schemas.openxmlformats.org/officeDocument/2006/relationships/oleObject" Target="embeddings/oleObject6.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oleObject31.bin"/><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7.emf"/><Relationship Id="rId41" Type="http://schemas.openxmlformats.org/officeDocument/2006/relationships/oleObject" Target="embeddings/oleObject17.bin"/><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oleObject29.bin"/><Relationship Id="rId73"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2.bin"/><Relationship Id="rId2" Type="http://schemas.openxmlformats.org/officeDocument/2006/relationships/numbering" Target="numbering.xml"/><Relationship Id="rId29" Type="http://schemas.openxmlformats.org/officeDocument/2006/relationships/oleObject" Target="embeddings/oleObject11.bin"/></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000000000000001E-2"/>
          <c:y val="5.4669703872437359E-2"/>
          <c:w val="0.92959999999999998"/>
          <c:h val="0.67676460110076264"/>
        </c:manualLayout>
      </c:layout>
      <c:barChart>
        <c:barDir val="col"/>
        <c:grouping val="clustered"/>
        <c:varyColors val="0"/>
        <c:ser>
          <c:idx val="0"/>
          <c:order val="0"/>
          <c:tx>
            <c:strRef>
              <c:f>Sheet1!$A$2</c:f>
              <c:strCache>
                <c:ptCount val="1"/>
                <c:pt idx="0">
                  <c:v>По відношенню до контролю</c:v>
                </c:pt>
              </c:strCache>
            </c:strRef>
          </c:tx>
          <c:spPr>
            <a:solidFill>
              <a:srgbClr val="000000"/>
            </a:solidFill>
            <a:ln w="12700">
              <a:solidFill>
                <a:srgbClr val="000000"/>
              </a:solidFill>
              <a:prstDash val="solid"/>
            </a:ln>
          </c:spPr>
          <c:invertIfNegative val="0"/>
          <c:cat>
            <c:strRef>
              <c:f>Sheet1!$B$1:$K$1</c:f>
              <c:strCache>
                <c:ptCount val="10"/>
                <c:pt idx="0">
                  <c:v>Адреналін</c:v>
                </c:pt>
                <c:pt idx="1">
                  <c:v>Норадреналін</c:v>
                </c:pt>
                <c:pt idx="2">
                  <c:v>Дофамін</c:v>
                </c:pt>
                <c:pt idx="3">
                  <c:v>ВЕФР</c:v>
                </c:pt>
                <c:pt idx="4">
                  <c:v>ВІП</c:v>
                </c:pt>
                <c:pt idx="5">
                  <c:v>Нітрити</c:v>
                </c:pt>
                <c:pt idx="6">
                  <c:v>Нітрати</c:v>
                </c:pt>
                <c:pt idx="7">
                  <c:v>еNOS</c:v>
                </c:pt>
                <c:pt idx="8">
                  <c:v>iNOS</c:v>
                </c:pt>
                <c:pt idx="9">
                  <c:v>S-НТ</c:v>
                </c:pt>
              </c:strCache>
            </c:strRef>
          </c:cat>
          <c:val>
            <c:numRef>
              <c:f>Sheet1!$B$2:$K$2</c:f>
              <c:numCache>
                <c:formatCode>General</c:formatCode>
                <c:ptCount val="10"/>
                <c:pt idx="0">
                  <c:v>3.05</c:v>
                </c:pt>
                <c:pt idx="1">
                  <c:v>1.94</c:v>
                </c:pt>
                <c:pt idx="2">
                  <c:v>2.35</c:v>
                </c:pt>
                <c:pt idx="3">
                  <c:v>1.88</c:v>
                </c:pt>
                <c:pt idx="4">
                  <c:v>0.5</c:v>
                </c:pt>
                <c:pt idx="5">
                  <c:v>2.08</c:v>
                </c:pt>
                <c:pt idx="6">
                  <c:v>2.36</c:v>
                </c:pt>
                <c:pt idx="7">
                  <c:v>2.06</c:v>
                </c:pt>
                <c:pt idx="8">
                  <c:v>4.2</c:v>
                </c:pt>
                <c:pt idx="9">
                  <c:v>3.64</c:v>
                </c:pt>
              </c:numCache>
            </c:numRef>
          </c:val>
        </c:ser>
        <c:ser>
          <c:idx val="1"/>
          <c:order val="1"/>
          <c:tx>
            <c:strRef>
              <c:f>Sheet1!$A$3</c:f>
              <c:strCache>
                <c:ptCount val="1"/>
                <c:pt idx="0">
                  <c:v>По відношенню до групи порівняння</c:v>
                </c:pt>
              </c:strCache>
            </c:strRef>
          </c:tx>
          <c:spPr>
            <a:pattFill prst="ltDnDiag">
              <a:fgClr>
                <a:srgbClr xmlns:mc="http://schemas.openxmlformats.org/markup-compatibility/2006" xmlns:a14="http://schemas.microsoft.com/office/drawing/2010/main" val="333333" mc:Ignorable="a14" a14:legacySpreadsheetColorIndex="63"/>
              </a:fgClr>
              <a:bgClr>
                <a:srgbClr xmlns:mc="http://schemas.openxmlformats.org/markup-compatibility/2006" xmlns:a14="http://schemas.microsoft.com/office/drawing/2010/main" val="FFFFFF" mc:Ignorable="a14" a14:legacySpreadsheetColorIndex="9"/>
              </a:bgClr>
            </a:pattFill>
            <a:ln w="12700">
              <a:solidFill>
                <a:srgbClr val="333333"/>
              </a:solidFill>
              <a:prstDash val="solid"/>
            </a:ln>
          </c:spPr>
          <c:invertIfNegative val="0"/>
          <c:cat>
            <c:strRef>
              <c:f>Sheet1!$B$1:$K$1</c:f>
              <c:strCache>
                <c:ptCount val="10"/>
                <c:pt idx="0">
                  <c:v>Адреналін</c:v>
                </c:pt>
                <c:pt idx="1">
                  <c:v>Норадреналін</c:v>
                </c:pt>
                <c:pt idx="2">
                  <c:v>Дофамін</c:v>
                </c:pt>
                <c:pt idx="3">
                  <c:v>ВЕФР</c:v>
                </c:pt>
                <c:pt idx="4">
                  <c:v>ВІП</c:v>
                </c:pt>
                <c:pt idx="5">
                  <c:v>Нітрити</c:v>
                </c:pt>
                <c:pt idx="6">
                  <c:v>Нітрати</c:v>
                </c:pt>
                <c:pt idx="7">
                  <c:v>еNOS</c:v>
                </c:pt>
                <c:pt idx="8">
                  <c:v>iNOS</c:v>
                </c:pt>
                <c:pt idx="9">
                  <c:v>S-НТ</c:v>
                </c:pt>
              </c:strCache>
            </c:strRef>
          </c:cat>
          <c:val>
            <c:numRef>
              <c:f>Sheet1!$B$3:$K$3</c:f>
              <c:numCache>
                <c:formatCode>General</c:formatCode>
                <c:ptCount val="10"/>
                <c:pt idx="0">
                  <c:v>1.57</c:v>
                </c:pt>
                <c:pt idx="1">
                  <c:v>1.44</c:v>
                </c:pt>
                <c:pt idx="2">
                  <c:v>1.53</c:v>
                </c:pt>
                <c:pt idx="3">
                  <c:v>1.32</c:v>
                </c:pt>
                <c:pt idx="4">
                  <c:v>0.5</c:v>
                </c:pt>
                <c:pt idx="5">
                  <c:v>1.45</c:v>
                </c:pt>
                <c:pt idx="6">
                  <c:v>1.57</c:v>
                </c:pt>
                <c:pt idx="7">
                  <c:v>1.36</c:v>
                </c:pt>
                <c:pt idx="8">
                  <c:v>2.2000000000000002</c:v>
                </c:pt>
                <c:pt idx="9">
                  <c:v>1.8</c:v>
                </c:pt>
              </c:numCache>
            </c:numRef>
          </c:val>
        </c:ser>
        <c:dLbls>
          <c:showLegendKey val="0"/>
          <c:showVal val="0"/>
          <c:showCatName val="0"/>
          <c:showSerName val="0"/>
          <c:showPercent val="0"/>
          <c:showBubbleSize val="0"/>
        </c:dLbls>
        <c:gapWidth val="150"/>
        <c:axId val="-2036914688"/>
        <c:axId val="-2036921216"/>
      </c:barChart>
      <c:catAx>
        <c:axId val="-2036914688"/>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Cyr"/>
                <a:ea typeface="Arial Cyr"/>
                <a:cs typeface="Arial Cyr"/>
              </a:defRPr>
            </a:pPr>
            <a:endParaRPr lang="ru-RU"/>
          </a:p>
        </c:txPr>
        <c:crossAx val="-2036921216"/>
        <c:crosses val="autoZero"/>
        <c:auto val="1"/>
        <c:lblAlgn val="ctr"/>
        <c:lblOffset val="100"/>
        <c:tickLblSkip val="1"/>
        <c:tickMarkSkip val="1"/>
        <c:noMultiLvlLbl val="0"/>
      </c:catAx>
      <c:valAx>
        <c:axId val="-20369212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Cyr"/>
                <a:ea typeface="Arial Cyr"/>
                <a:cs typeface="Arial Cyr"/>
              </a:defRPr>
            </a:pPr>
            <a:endParaRPr lang="ru-RU"/>
          </a:p>
        </c:txPr>
        <c:crossAx val="-2036914688"/>
        <c:crosses val="autoZero"/>
        <c:crossBetween val="between"/>
      </c:valAx>
      <c:spPr>
        <a:solidFill>
          <a:srgbClr val="FFFFFF"/>
        </a:solidFill>
        <a:ln w="12700">
          <a:solidFill>
            <a:srgbClr val="808080"/>
          </a:solidFill>
          <a:prstDash val="solid"/>
        </a:ln>
      </c:spPr>
    </c:plotArea>
    <c:legend>
      <c:legendPos val="b"/>
      <c:layout>
        <c:manualLayout>
          <c:xMode val="edge"/>
          <c:yMode val="edge"/>
          <c:x val="8.9801640936615204E-2"/>
          <c:y val="0.93154012258163021"/>
          <c:w val="0.8448"/>
          <c:h val="6.6059225512528477E-2"/>
        </c:manualLayout>
      </c:layout>
      <c:overlay val="0"/>
      <c:spPr>
        <a:noFill/>
        <a:ln w="3175">
          <a:no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99999999999997E-2"/>
          <c:y val="5.2631578947368418E-2"/>
          <c:w val="0.93120000000000003"/>
          <c:h val="0.50060949277891986"/>
        </c:manualLayout>
      </c:layout>
      <c:barChart>
        <c:barDir val="col"/>
        <c:grouping val="clustered"/>
        <c:varyColors val="0"/>
        <c:ser>
          <c:idx val="0"/>
          <c:order val="0"/>
          <c:tx>
            <c:strRef>
              <c:f>Sheet1!$A$2</c:f>
              <c:strCache>
                <c:ptCount val="1"/>
                <c:pt idx="0">
                  <c:v>По відношенню до контролю</c:v>
                </c:pt>
              </c:strCache>
            </c:strRef>
          </c:tx>
          <c:spPr>
            <a:solidFill>
              <a:srgbClr val="000000"/>
            </a:solidFill>
            <a:ln w="12700">
              <a:solidFill>
                <a:srgbClr val="000000"/>
              </a:solidFill>
              <a:prstDash val="solid"/>
            </a:ln>
          </c:spPr>
          <c:invertIfNegative val="0"/>
          <c:cat>
            <c:strRef>
              <c:f>Sheet1!$B$1:$H$1</c:f>
              <c:strCache>
                <c:ptCount val="7"/>
                <c:pt idx="0">
                  <c:v>АПФ</c:v>
                </c:pt>
                <c:pt idx="1">
                  <c:v>Карбоксипептидаза N</c:v>
                </c:pt>
                <c:pt idx="2">
                  <c:v>АДГ</c:v>
                </c:pt>
                <c:pt idx="3">
                  <c:v>Альдостерон</c:v>
                </c:pt>
                <c:pt idx="4">
                  <c:v>Калікреїн</c:v>
                </c:pt>
                <c:pt idx="5">
                  <c:v>Калікреїноген</c:v>
                </c:pt>
                <c:pt idx="6">
                  <c:v>Ренін</c:v>
                </c:pt>
              </c:strCache>
            </c:strRef>
          </c:cat>
          <c:val>
            <c:numRef>
              <c:f>Sheet1!$B$2:$H$2</c:f>
              <c:numCache>
                <c:formatCode>General</c:formatCode>
                <c:ptCount val="7"/>
                <c:pt idx="0">
                  <c:v>3.05</c:v>
                </c:pt>
                <c:pt idx="1">
                  <c:v>2.5</c:v>
                </c:pt>
                <c:pt idx="2">
                  <c:v>2.35</c:v>
                </c:pt>
                <c:pt idx="3">
                  <c:v>1.88</c:v>
                </c:pt>
                <c:pt idx="4">
                  <c:v>0.96</c:v>
                </c:pt>
                <c:pt idx="5">
                  <c:v>2.08</c:v>
                </c:pt>
                <c:pt idx="6">
                  <c:v>2.36</c:v>
                </c:pt>
              </c:numCache>
            </c:numRef>
          </c:val>
        </c:ser>
        <c:ser>
          <c:idx val="1"/>
          <c:order val="1"/>
          <c:tx>
            <c:strRef>
              <c:f>Sheet1!$A$3</c:f>
              <c:strCache>
                <c:ptCount val="1"/>
                <c:pt idx="0">
                  <c:v>По відношенню до групи порівняння</c:v>
                </c:pt>
              </c:strCache>
            </c:strRef>
          </c:tx>
          <c:spPr>
            <a:pattFill prst="ltDnDiag">
              <a:fgClr>
                <a:srgbClr xmlns:mc="http://schemas.openxmlformats.org/markup-compatibility/2006" xmlns:a14="http://schemas.microsoft.com/office/drawing/2010/main" val="333333" mc:Ignorable="a14" a14:legacySpreadsheetColorIndex="63"/>
              </a:fgClr>
              <a:bgClr>
                <a:srgbClr xmlns:mc="http://schemas.openxmlformats.org/markup-compatibility/2006" xmlns:a14="http://schemas.microsoft.com/office/drawing/2010/main" val="FFFFFF" mc:Ignorable="a14" a14:legacySpreadsheetColorIndex="9"/>
              </a:bgClr>
            </a:pattFill>
            <a:ln w="12700">
              <a:solidFill>
                <a:srgbClr val="333333"/>
              </a:solidFill>
              <a:prstDash val="solid"/>
            </a:ln>
          </c:spPr>
          <c:invertIfNegative val="0"/>
          <c:cat>
            <c:strRef>
              <c:f>Sheet1!$B$1:$H$1</c:f>
              <c:strCache>
                <c:ptCount val="7"/>
                <c:pt idx="0">
                  <c:v>АПФ</c:v>
                </c:pt>
                <c:pt idx="1">
                  <c:v>Карбоксипептидаза N</c:v>
                </c:pt>
                <c:pt idx="2">
                  <c:v>АДГ</c:v>
                </c:pt>
                <c:pt idx="3">
                  <c:v>Альдостерон</c:v>
                </c:pt>
                <c:pt idx="4">
                  <c:v>Калікреїн</c:v>
                </c:pt>
                <c:pt idx="5">
                  <c:v>Калікреїноген</c:v>
                </c:pt>
                <c:pt idx="6">
                  <c:v>Ренін</c:v>
                </c:pt>
              </c:strCache>
            </c:strRef>
          </c:cat>
          <c:val>
            <c:numRef>
              <c:f>Sheet1!$B$3:$H$3</c:f>
              <c:numCache>
                <c:formatCode>General</c:formatCode>
                <c:ptCount val="7"/>
                <c:pt idx="0">
                  <c:v>1.57</c:v>
                </c:pt>
                <c:pt idx="1">
                  <c:v>2.2999999999999998</c:v>
                </c:pt>
                <c:pt idx="2">
                  <c:v>1.53</c:v>
                </c:pt>
                <c:pt idx="3">
                  <c:v>1.32</c:v>
                </c:pt>
                <c:pt idx="4">
                  <c:v>0.5</c:v>
                </c:pt>
                <c:pt idx="5">
                  <c:v>1.45</c:v>
                </c:pt>
                <c:pt idx="6">
                  <c:v>1.57</c:v>
                </c:pt>
              </c:numCache>
            </c:numRef>
          </c:val>
        </c:ser>
        <c:dLbls>
          <c:showLegendKey val="0"/>
          <c:showVal val="0"/>
          <c:showCatName val="0"/>
          <c:showSerName val="0"/>
          <c:showPercent val="0"/>
          <c:showBubbleSize val="0"/>
        </c:dLbls>
        <c:gapWidth val="150"/>
        <c:axId val="-2036927200"/>
        <c:axId val="-2036921760"/>
      </c:barChart>
      <c:catAx>
        <c:axId val="-2036927200"/>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a:pPr>
            <a:endParaRPr lang="ru-RU"/>
          </a:p>
        </c:txPr>
        <c:crossAx val="-2036921760"/>
        <c:crosses val="autoZero"/>
        <c:auto val="1"/>
        <c:lblAlgn val="ctr"/>
        <c:lblOffset val="100"/>
        <c:tickLblSkip val="1"/>
        <c:tickMarkSkip val="1"/>
        <c:noMultiLvlLbl val="0"/>
      </c:catAx>
      <c:valAx>
        <c:axId val="-20369217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ru-RU"/>
          </a:p>
        </c:txPr>
        <c:crossAx val="-2036927200"/>
        <c:crosses val="autoZero"/>
        <c:crossBetween val="between"/>
      </c:valAx>
      <c:spPr>
        <a:solidFill>
          <a:srgbClr val="FFFFFF"/>
        </a:solidFill>
        <a:ln w="12700">
          <a:solidFill>
            <a:srgbClr val="808080"/>
          </a:solidFill>
          <a:prstDash val="solid"/>
        </a:ln>
      </c:spPr>
    </c:plotArea>
    <c:legend>
      <c:legendPos val="b"/>
      <c:layout>
        <c:manualLayout>
          <c:xMode val="edge"/>
          <c:yMode val="edge"/>
          <c:x val="5.1236902473804455E-4"/>
          <c:y val="0.91327370763437177"/>
          <c:w val="0.97078421890177113"/>
          <c:h val="6.9984879607440389E-2"/>
        </c:manualLayout>
      </c:layout>
      <c:overlay val="0"/>
      <c:spPr>
        <a:noFill/>
        <a:ln w="3175">
          <a:noFill/>
          <a:prstDash val="solid"/>
        </a:ln>
      </c:spPr>
    </c:legend>
    <c:plotVisOnly val="1"/>
    <c:dispBlanksAs val="gap"/>
    <c:showDLblsOverMax val="0"/>
  </c:chart>
  <c:spPr>
    <a:noFill/>
    <a:ln>
      <a:noFill/>
    </a:ln>
  </c:spPr>
  <c:txPr>
    <a:bodyPr/>
    <a:lstStyle/>
    <a:p>
      <a:pPr>
        <a:defRPr sz="14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44F18-7835-4E76-B462-C4BC5A38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177</Pages>
  <Words>46957</Words>
  <Characters>267661</Characters>
  <Application>Microsoft Office Word</Application>
  <DocSecurity>0</DocSecurity>
  <Lines>2230</Lines>
  <Paragraphs>627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345</dc:creator>
  <cp:lastModifiedBy>Пользователь Windows</cp:lastModifiedBy>
  <cp:revision>33</cp:revision>
  <cp:lastPrinted>2018-02-01T12:43:00Z</cp:lastPrinted>
  <dcterms:created xsi:type="dcterms:W3CDTF">2018-01-31T08:46:00Z</dcterms:created>
  <dcterms:modified xsi:type="dcterms:W3CDTF">2018-02-01T12:44:00Z</dcterms:modified>
</cp:coreProperties>
</file>