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center"/>
        <w:spacing w:lineRule="auto" w:line="264" w:before="0" w:after="0"/>
        <w:ind w:right="0" w:firstLine="0"/>
        <w:rPr>
          <w:b w:val="1"/>
          <w:color w:val="auto"/>
          <w:position w:val="0"/>
          <w:sz w:val="30"/>
          <w:szCs w:val="30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b w:val="1"/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МИКРОБИОТА  И ЗДОРОВЬЕ ЧЕЛОВЕКА:  НОВЫЙ ВЗГЛЯД  НА </w:t>
      </w:r>
      <w:r>
        <w:rPr>
          <w:b w:val="1"/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СТАРУЮ ПРОБЛЕМУ.</w:t>
      </w:r>
    </w:p>
    <w:p>
      <w:pPr>
        <w:numPr>
          <w:ilvl w:val="0"/>
          <w:numId w:val="0"/>
        </w:numPr>
        <w:jc w:val="center"/>
        <w:spacing w:lineRule="auto" w:line="264" w:before="0" w:after="0"/>
        <w:ind w:right="0" w:firstLine="0"/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Ж.Д. Семидоцкая </w:t>
      </w:r>
      <w:r>
        <w:rPr>
          <w:vertAlign w:val="superscript"/>
          <w:color w:val="auto"/>
          <w:position w:val="0"/>
          <w:sz w:val="30"/>
          <w:szCs w:val="30"/>
          <w:rFonts w:ascii="Times New Roman" w:eastAsia="Times New Roman" w:hAnsi="Times New Roman" w:hint="default"/>
        </w:rPr>
        <w:t>1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, И.А.Чернякова </w:t>
      </w:r>
      <w:r>
        <w:rPr>
          <w:vertAlign w:val="superscript"/>
          <w:color w:val="auto"/>
          <w:position w:val="0"/>
          <w:sz w:val="30"/>
          <w:szCs w:val="30"/>
          <w:rFonts w:ascii="Times New Roman" w:eastAsia="Times New Roman" w:hAnsi="Times New Roman" w:hint="default"/>
        </w:rPr>
        <w:t>1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, М.Ю. Неффа </w:t>
      </w:r>
      <w:r>
        <w:rPr>
          <w:vertAlign w:val="superscript"/>
          <w:color w:val="auto"/>
          <w:position w:val="0"/>
          <w:sz w:val="30"/>
          <w:szCs w:val="30"/>
          <w:rFonts w:ascii="Times New Roman" w:eastAsia="Times New Roman" w:hAnsi="Times New Roman" w:hint="default"/>
        </w:rPr>
        <w:t>2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, А.Е.Чернякова </w:t>
      </w:r>
      <w:r>
        <w:rPr>
          <w:vertAlign w:val="superscript"/>
          <w:color w:val="auto"/>
          <w:position w:val="0"/>
          <w:sz w:val="30"/>
          <w:szCs w:val="30"/>
          <w:rFonts w:ascii="Times New Roman" w:eastAsia="Times New Roman" w:hAnsi="Times New Roman" w:hint="default"/>
        </w:rPr>
        <w:t>1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>.</w:t>
      </w:r>
    </w:p>
    <w:p>
      <w:pPr>
        <w:numPr>
          <w:ilvl w:val="0"/>
          <w:numId w:val="0"/>
        </w:numPr>
        <w:jc w:val="center"/>
        <w:spacing w:lineRule="auto" w:line="264" w:before="0" w:after="0"/>
        <w:ind w:right="0" w:firstLine="0"/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>1.</w:t>
      </w:r>
      <w:r>
        <w:rPr>
          <w:b w:val="1"/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Харьковский национальный медицинский университет,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Харьков,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>Украина</w:t>
      </w:r>
    </w:p>
    <w:p>
      <w:pPr>
        <w:numPr>
          <w:ilvl w:val="0"/>
          <w:numId w:val="0"/>
        </w:numPr>
        <w:jc w:val="center"/>
        <w:spacing w:lineRule="auto" w:line="264" w:before="0" w:after="0"/>
        <w:ind w:right="0" w:firstLine="0"/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2. </w:t>
      </w:r>
      <w:r>
        <w:rPr>
          <w:b w:val="1"/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КНП ХОС ОКСД радиоционной защиты населения,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 Харьков,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>Украина</w:t>
      </w:r>
    </w:p>
    <w:p>
      <w:pPr>
        <w:numPr>
          <w:ilvl w:val="0"/>
          <w:numId w:val="0"/>
        </w:numPr>
        <w:jc w:val="both"/>
        <w:spacing w:lineRule="auto" w:line="264" w:before="0" w:after="0"/>
        <w:ind w:left="-567" w:right="0" w:firstLine="0"/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Роль микрофлоры  в поддержании гомеостаза живых организмов, которые она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населяет,  изучается  с конца ХIХ века. В последние десятилетия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секвенирование генома человека и бактерий, развитие т.н. «омикс»-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технологий, метагеномики, метатранскриптомики, протеомики, метаболомики 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позволили по-новому увидеть сложный мир живых существ, которые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окружают нас и живут внутри нашего тела. Доказано, что микроорганизмы в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биологических системах обладают сложной социальной структурой,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способностью общаться между собой и с  клетками организма макробионта,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«хозяина» (host), с помощью секреции молекулярных сигналов,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координировать своё поведение.  Это явление получило название  «Quorum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sensing”,  “QS”, « Чувство кворума», особый тип регуляции экспрессии генов,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зависящий от плотности популяции динамического многовидового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сообщества бактерий, вирусов, грибов, археев, простейших, которое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называется микробиотой.  </w:t>
      </w:r>
    </w:p>
    <w:p>
      <w:pPr>
        <w:numPr>
          <w:ilvl w:val="0"/>
          <w:numId w:val="0"/>
        </w:numPr>
        <w:jc w:val="both"/>
        <w:spacing w:lineRule="auto" w:line="264" w:before="0" w:after="0"/>
        <w:ind w:left="-567" w:right="0" w:firstLine="0"/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Микробиота  обладает  взаимным синергизмом  с организмом хозяина, зависит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от его генетики, пола, возраста, иммунной системы, антропометрии, места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обитания, особенностей питания, лечения, состояния здоровья в целом.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Исследования последних лет свидетельствуют о существовании тесных связей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(«оси») микробиоты с головным мозгом хозяина («второй мозг»), почками,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описан «перекрёстный разговор» кишечной микробиоты с почками при их 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заболеваниях, участие микробиоты в регуляции артериального давления.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Показано, что у пациентов с АГ в результате приёма пробиотиков снижалось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АД, уменьшался уровень липидов в крови, кардиоваскулярный риск.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Пациенты с выраженной АГ и «прегипертензией» имеют сходный состав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микробиоты кишечника, что позволяет выделить в качестве группы риска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развития АГ лиц с обеднённым составом микрофлоры, разработать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соответствующие профилактические мероприятия. </w:t>
      </w:r>
    </w:p>
    <w:p>
      <w:pPr>
        <w:numPr>
          <w:ilvl w:val="0"/>
          <w:numId w:val="0"/>
        </w:numPr>
        <w:jc w:val="both"/>
        <w:spacing w:lineRule="auto" w:line="264" w:before="0" w:after="0"/>
        <w:ind w:left="-567" w:right="0" w:firstLine="0"/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 Кишечная микробиота рассматривается как центральный узел взаимодействия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с органами макробионта,  ведущая роль при этом отводится оси «кишечник –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головной мозг – костный мозг».  В результате влияния различных факторов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(недостаточная квота продуктов растительного  происхождения, содержащих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пищевые волокна, в питании, приём антибиотиков (АБ), плохое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пережёвывание пищи, отклонения в опорожнении кишечника и мочевого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пузыря, курение, алкоголь)  изменяется состав микробиоты, уменьшается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количество ацидофильных, бифидобактерий, активируется условно-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патогенная флора, создаются условия для развития патогенной микрофлоры,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развивается дисбиоз. </w:t>
      </w:r>
    </w:p>
    <w:p>
      <w:pPr>
        <w:numPr>
          <w:ilvl w:val="0"/>
          <w:numId w:val="0"/>
        </w:numPr>
        <w:jc w:val="both"/>
        <w:spacing w:lineRule="auto" w:line="264" w:before="0" w:after="0"/>
        <w:ind w:left="-567" w:right="0" w:firstLine="0"/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 Изучается роль дисбиоза в патогенезе ожирения, колита, бронхиальной астмы,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атопии, сердечно-сосудистых заболеваний, метаболического синдрома,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болезней печени, почек, головного мозга, болезней ЛОР-органов,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злокачественных опухолей. Нарушение видового разнообразия и функций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микробиоты считается одной из ведущих причин развития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антибиотикорезистентности (АБР). Микробиота становится резервуаром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накопления генов лекарственной устойчивости и передачи АБР патогенам. </w:t>
      </w:r>
    </w:p>
    <w:p>
      <w:pPr>
        <w:numPr>
          <w:ilvl w:val="0"/>
          <w:numId w:val="0"/>
        </w:numPr>
        <w:jc w:val="both"/>
        <w:spacing w:lineRule="auto" w:line="264" w:before="0" w:after="0"/>
        <w:ind w:left="-567" w:right="0" w:firstLine="0"/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 Перспективной представляется активная разработка новых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фармакологических стратегий противодействия нарастающей АБР: изучение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потенциала  развития молекулярно-генетических  механизмов АБР у бактерий,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колонизирующих различные биотопы организма хозяина, улучшение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лекарственных форм,  использование  здоровых биоценозов, препятствующих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инфекции и контролирующих метаболизм, бактериальных сообществ, менее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склонных к АБР, модификация микробиоты (ребиоз). Необходимо продолжать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изучение возможностей применения пребиотиков, пробиотиков, синбиотиков,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постбиотиков,  для лечения болезней сердечно-сосудистой, дыхательной,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печёночно-билиарной систем, болезней ЛОР-органов, гинекологических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болезней, злокачественных опухолей, ожирения, метаболического синдрома  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и других болезней в комплексной этиопатогенетической терапии. 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Обсуждаются молекулярные механизмы QS, которые могут быть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использованы для таргетной антимикробной терапии дисбиоза. В качестве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естественных ингибиторов QS, угнетающих сигнальные молекулы патогенов, 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выступают  пептиды, жирные кислоты, кетоны, адреналин, норэпинефрин,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энзимы. Изучаются антагонистические пептиды натуральных  соединений: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полифенолы чая,  мёда, чеснока, гвоздики, морских организмов, грибов. </w:t>
      </w:r>
    </w:p>
    <w:p>
      <w:pPr>
        <w:numPr>
          <w:ilvl w:val="0"/>
          <w:numId w:val="0"/>
        </w:numPr>
        <w:jc w:val="both"/>
        <w:spacing w:lineRule="auto" w:line="264" w:before="0" w:after="0"/>
        <w:ind w:left="-567" w:right="0" w:firstLine="0"/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Ингибиторами QS, одновременно препятствующими образованию биоплёнок, 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являются синтетические препараты: 5-фторурацил, азитромицин,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полиэтиленгликоль, производные фуранонов, тиазолидиноны. Омикс –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технологии уже сегодня позволяют  провести секвенирование генома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микробиоты пациента, исследование её протеома, метаболома, разработать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индивидуализированные профилактические и терапевтические  подходы к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лечению, осуществить подбор фармакологических препаратов  согласно </w:t>
      </w:r>
      <w:r>
        <w:rPr>
          <w:color w:val="auto"/>
          <w:position w:val="0"/>
          <w:sz w:val="30"/>
          <w:szCs w:val="30"/>
          <w:rFonts w:ascii="Times New Roman" w:eastAsia="Times New Roman" w:hAnsi="Times New Roman" w:hint="default"/>
        </w:rPr>
        <w:t xml:space="preserve">принципам персонализированной медицины ХХ1 века.</w:t>
      </w:r>
    </w:p>
    <w:sectPr>
      <w:pgSz w:w="11906" w:h="16838"/>
      <w:pgMar w:top="1134" w:left="1134" w:bottom="1134" w:right="1134" w:header="708" w:footer="708" w:gutter="0"/>
      <w:pgNumType w:fmt="decimal"/>
      <w:docGrid w:type="default" w:linePitch="360" w:charSiz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isplayHorizontalDrawingGridEvery w:val="0"/>
  <w:displayVerticalDrawingGridEvery w:val="2"/>
  <w:noPunctuationKerning/>
  <w:characterSpacingControl w:val="doNotCompress"/>
  <w:bordersDoNotSurroundHeader/>
  <w:bordersDoNotSurroundFooter/>
  <w:compat w:val="227">
    <w:doNotExpandShiftReturn/>
    <w:useFELayout/>
    <w:compatSetting w:name="compatibilityMode" w:uri="http://schemas.microsoft.com/office/word" w:val="14"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:stylePaneFormatFilter w:val="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Calibri" w:eastAsia="Calibri" w:hAnsi="Calibri"/>
        <w:shd w:val="clear"/>
        <w:sz w:val="22"/>
        <w:szCs w:val="22"/>
        <w:w w:val="100"/>
      </w:rPr>
    </w:rPrDefault>
  </w:docDefaults>
  <w:style w:default="1" w:styleId="PO1" w:type="paragraph">
    <w:name w:val="Normal"/>
    <w:qFormat/>
    <w:uiPriority w:val="1"/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uiPriority w:val="3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0"/>
      <w:szCs w:val="20"/>
      <w:w w:val="100"/>
    </w:rPr>
  </w:style>
  <w:style w:styleId="PO6" w:type="paragraph">
    <w:name w:val="Title"/>
    <w:link w:val="PO-1"/>
    <w:qFormat/>
    <w:uiPriority w:val="6"/>
    <w:pPr>
      <w:autoSpaceDE w:val="1"/>
      <w:autoSpaceDN w:val="1"/>
      <w:jc w:val="center"/>
      <w:widowControl/>
      <w:wordWrap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autoSpaceDE w:val="1"/>
      <w:autoSpaceDN w:val="1"/>
      <w:jc w:val="both"/>
      <w:widowControl/>
      <w:wordWrap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autoSpaceDE w:val="1"/>
      <w:autoSpaceDN w:val="1"/>
      <w:jc w:val="both"/>
      <w:widowControl/>
      <w:wordWrap/>
    </w:pPr>
    <w:rPr>
      <w:shd w:val="clear"/>
      <w:sz w:val="20"/>
      <w:szCs w:val="20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0"/>
      <w:szCs w:val="20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0"/>
      <w:szCs w:val="20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0"/>
      <w:szCs w:val="20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0"/>
      <w:szCs w:val="20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0"/>
      <w:szCs w:val="20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0"/>
      <w:szCs w:val="20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0"/>
      <w:szCs w:val="20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0"/>
      <w:szCs w:val="20"/>
      <w:w w:val="100"/>
    </w:rPr>
  </w:style>
  <w:style w:styleId="PO18" w:type="character">
    <w:name w:val="Emphasis"/>
    <w:qFormat/>
    <w:uiPriority w:val="18"/>
    <w:rPr>
      <w:i/>
      <w:shd w:val="clear"/>
      <w:sz w:val="20"/>
      <w:szCs w:val="20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0"/>
      <w:szCs w:val="20"/>
      <w:w w:val="100"/>
    </w:rPr>
  </w:style>
  <w:style w:styleId="PO20" w:type="character">
    <w:name w:val="Strong"/>
    <w:qFormat/>
    <w:uiPriority w:val="20"/>
    <w:rPr>
      <w:b/>
      <w:shd w:val="clear"/>
      <w:sz w:val="20"/>
      <w:szCs w:val="20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0"/>
      <w:szCs w:val="20"/>
      <w:w w:val="100"/>
    </w:rPr>
  </w:style>
  <w:style w:styleId="PO22" w:type="paragraph">
    <w:name w:val="Intense Quote"/>
    <w:link w:val="PO-1"/>
    <w:qFormat/>
    <w:uiPriority w:val="22"/>
    <w:pPr>
      <w:pBdr>
        <w:top w:val="single" w:sz="1" w:space="10" w:color="5B9BD5"/>
        <w:bottom w:val="single" w:sz="1" w:space="10" w:color="5B9BD5"/>
      </w:pBd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0"/>
      <w:szCs w:val="20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0"/>
      <w:szCs w:val="20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0"/>
      <w:szCs w:val="20"/>
      <w:w w:val="100"/>
    </w:rPr>
  </w:style>
  <w:style w:styleId="PO25" w:type="character">
    <w:name w:val="Book Title"/>
    <w:qFormat/>
    <w:uiPriority w:val="25"/>
    <w:rPr>
      <w:i/>
      <w:b/>
      <w:shd w:val="clear"/>
      <w:sz w:val="20"/>
      <w:szCs w:val="20"/>
      <w:w w:val="100"/>
    </w:rPr>
  </w:style>
  <w:style w:styleId="PO26" w:type="paragraph">
    <w:name w:val="List Paragraph"/>
    <w:link w:val="PO-1"/>
    <w:qFormat/>
    <w:uiPriority w:val="26"/>
    <w:pPr>
      <w:autoSpaceDE w:val="1"/>
      <w:autoSpaceDN w:val="1"/>
      <w:ind w:left="850" w:firstLine="0"/>
      <w:jc w:val="both"/>
      <w:widowControl/>
      <w:wordWrap/>
    </w:pPr>
    <w:rPr>
      <w:shd w:val="clear"/>
      <w:sz w:val="20"/>
      <w:szCs w:val="20"/>
      <w:w w:val="100"/>
    </w:r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0"/>
      <w:szCs w:val="20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0"/>
      <w:szCs w:val="20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0"/>
      <w:szCs w:val="20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0"/>
      <w:szCs w:val="20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0"/>
      <w:szCs w:val="20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0"/>
      <w:szCs w:val="20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0"/>
      <w:szCs w:val="20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0"/>
      <w:szCs w:val="20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0"/>
      <w:szCs w:val="20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AppVersion>12.000</AppVersion>
  <Characters>0</Characters>
  <CharactersWithSpaces>0</CharactersWithSpaces>
  <DocSecurity>0</DocSecurity>
  <HyperlinksChanged>false</HyperlinksChanged>
  <Lines>43</Lines>
  <LinksUpToDate>false</LinksUpToDate>
  <Pages>3</Pages>
  <Paragraphs>12</Paragraphs>
  <Words>917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user</dc:creator>
  <cp:lastModifiedBy/>
  <dcterms:modified xsi:type="dcterms:W3CDTF">2019-02-02T16:04:00Z</dcterms:modified>
</cp:coreProperties>
</file>