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A4" w:rsidRPr="003625DB" w:rsidRDefault="00E032A4" w:rsidP="00E032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УДК:</w:t>
      </w:r>
      <w:r w:rsidR="00EF79CB" w:rsidRPr="003625DB">
        <w:rPr>
          <w:rFonts w:ascii="Times New Roman" w:hAnsi="Times New Roman" w:cs="Times New Roman"/>
          <w:sz w:val="20"/>
          <w:szCs w:val="20"/>
        </w:rPr>
        <w:t xml:space="preserve"> 616.521-078:612.017.1</w:t>
      </w:r>
    </w:p>
    <w:p w:rsidR="00E032A4" w:rsidRPr="003625DB" w:rsidRDefault="00C924D6" w:rsidP="00E032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25DB">
        <w:rPr>
          <w:rFonts w:ascii="Times New Roman" w:hAnsi="Times New Roman" w:cs="Times New Roman"/>
          <w:b/>
          <w:sz w:val="20"/>
          <w:szCs w:val="20"/>
        </w:rPr>
        <w:t>ВЕГЕТАТИВНЫЙ ТОНУС У БОЛЬНЫХ</w:t>
      </w:r>
      <w:r w:rsidR="00E032A4" w:rsidRPr="003625DB">
        <w:rPr>
          <w:rFonts w:ascii="Times New Roman" w:hAnsi="Times New Roman" w:cs="Times New Roman"/>
          <w:b/>
          <w:sz w:val="20"/>
          <w:szCs w:val="20"/>
        </w:rPr>
        <w:t xml:space="preserve"> ЭКЗЕМОЙ</w:t>
      </w:r>
      <w:r w:rsidRPr="003625DB">
        <w:rPr>
          <w:rFonts w:ascii="Times New Roman" w:hAnsi="Times New Roman" w:cs="Times New Roman"/>
          <w:b/>
          <w:sz w:val="20"/>
          <w:szCs w:val="20"/>
        </w:rPr>
        <w:t>.</w:t>
      </w:r>
    </w:p>
    <w:p w:rsidR="003A07D3" w:rsidRPr="003625DB" w:rsidRDefault="003A07D3" w:rsidP="003A07D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3625DB">
        <w:rPr>
          <w:rFonts w:ascii="Times New Roman" w:hAnsi="Times New Roman" w:cs="Times New Roman"/>
          <w:i/>
          <w:sz w:val="20"/>
          <w:szCs w:val="20"/>
        </w:rPr>
        <w:t>Фоміна</w:t>
      </w:r>
      <w:proofErr w:type="spellEnd"/>
      <w:r w:rsidRPr="003625DB">
        <w:rPr>
          <w:rFonts w:ascii="Times New Roman" w:hAnsi="Times New Roman" w:cs="Times New Roman"/>
          <w:i/>
          <w:sz w:val="20"/>
          <w:szCs w:val="20"/>
        </w:rPr>
        <w:t xml:space="preserve"> Л.В.</w:t>
      </w:r>
    </w:p>
    <w:p w:rsidR="00E032A4" w:rsidRPr="003625DB" w:rsidRDefault="003A07D3" w:rsidP="003A07D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3625DB">
        <w:rPr>
          <w:rFonts w:ascii="Times New Roman" w:hAnsi="Times New Roman" w:cs="Times New Roman"/>
          <w:i/>
          <w:sz w:val="20"/>
          <w:szCs w:val="20"/>
        </w:rPr>
        <w:t>Харківський</w:t>
      </w:r>
      <w:proofErr w:type="spellEnd"/>
      <w:r w:rsidRPr="003625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i/>
          <w:sz w:val="20"/>
          <w:szCs w:val="20"/>
        </w:rPr>
        <w:t>Національний</w:t>
      </w:r>
      <w:proofErr w:type="spellEnd"/>
      <w:r w:rsidRPr="003625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i/>
          <w:sz w:val="20"/>
          <w:szCs w:val="20"/>
        </w:rPr>
        <w:t>Медичний</w:t>
      </w:r>
      <w:proofErr w:type="spellEnd"/>
      <w:r w:rsidRPr="003625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i/>
          <w:sz w:val="20"/>
          <w:szCs w:val="20"/>
        </w:rPr>
        <w:t>Університет</w:t>
      </w:r>
      <w:proofErr w:type="spellEnd"/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i/>
          <w:sz w:val="20"/>
          <w:szCs w:val="20"/>
        </w:rPr>
        <w:t>Ключевые слова</w:t>
      </w:r>
      <w:r w:rsidRPr="003625DB">
        <w:rPr>
          <w:rFonts w:ascii="Times New Roman" w:hAnsi="Times New Roman" w:cs="Times New Roman"/>
          <w:sz w:val="20"/>
          <w:szCs w:val="20"/>
        </w:rPr>
        <w:t>: вегетативная нервн</w:t>
      </w:r>
      <w:r w:rsidR="00C924D6" w:rsidRPr="003625DB">
        <w:rPr>
          <w:rFonts w:ascii="Times New Roman" w:hAnsi="Times New Roman" w:cs="Times New Roman"/>
          <w:sz w:val="20"/>
          <w:szCs w:val="20"/>
        </w:rPr>
        <w:t>ая система, гистамин, серотонин</w:t>
      </w:r>
      <w:r w:rsidRPr="003625DB">
        <w:rPr>
          <w:rFonts w:ascii="Times New Roman" w:hAnsi="Times New Roman" w:cs="Times New Roman"/>
          <w:sz w:val="20"/>
          <w:szCs w:val="20"/>
        </w:rPr>
        <w:t>,</w:t>
      </w:r>
      <w:r w:rsidR="00C924D6" w:rsidRPr="003625DB">
        <w:rPr>
          <w:rFonts w:ascii="Times New Roman" w:hAnsi="Times New Roman" w:cs="Times New Roman"/>
          <w:sz w:val="20"/>
          <w:szCs w:val="20"/>
        </w:rPr>
        <w:t xml:space="preserve"> </w:t>
      </w:r>
      <w:r w:rsidRPr="003625DB">
        <w:rPr>
          <w:rFonts w:ascii="Times New Roman" w:hAnsi="Times New Roman" w:cs="Times New Roman"/>
          <w:sz w:val="20"/>
          <w:szCs w:val="20"/>
        </w:rPr>
        <w:t>адреналин, норадреналин.</w:t>
      </w:r>
    </w:p>
    <w:p w:rsidR="00C924D6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Экзема является наиболее распространенным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аллергодерматозом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i/>
          <w:sz w:val="20"/>
          <w:szCs w:val="20"/>
        </w:rPr>
        <w:t>Целью</w:t>
      </w:r>
      <w:r w:rsidRPr="003625DB">
        <w:rPr>
          <w:rFonts w:ascii="Times New Roman" w:hAnsi="Times New Roman" w:cs="Times New Roman"/>
          <w:sz w:val="20"/>
          <w:szCs w:val="20"/>
        </w:rPr>
        <w:t xml:space="preserve"> работы явилось изучение вегетативного тонуса у больных экземой.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Всего под нашим наблюдением находилось 134 больных экземой, мужчин.</w:t>
      </w:r>
      <w:r w:rsidR="00C924D6" w:rsidRPr="003625DB">
        <w:rPr>
          <w:rFonts w:ascii="Times New Roman" w:hAnsi="Times New Roman" w:cs="Times New Roman"/>
          <w:sz w:val="20"/>
          <w:szCs w:val="20"/>
        </w:rPr>
        <w:t xml:space="preserve"> </w:t>
      </w:r>
      <w:r w:rsidRPr="003625DB">
        <w:rPr>
          <w:rFonts w:ascii="Times New Roman" w:hAnsi="Times New Roman" w:cs="Times New Roman"/>
          <w:sz w:val="20"/>
          <w:szCs w:val="20"/>
        </w:rPr>
        <w:t>У всех больных тщательно собирался анамнез, анализировалось начало и дальнейшее развитие заболевания, учитывались острота и распространенн</w:t>
      </w:r>
      <w:r w:rsidR="00C924D6" w:rsidRPr="003625DB">
        <w:rPr>
          <w:rFonts w:ascii="Times New Roman" w:hAnsi="Times New Roman" w:cs="Times New Roman"/>
          <w:sz w:val="20"/>
          <w:szCs w:val="20"/>
        </w:rPr>
        <w:t xml:space="preserve">ость экзематозного </w:t>
      </w:r>
      <w:proofErr w:type="gramStart"/>
      <w:r w:rsidR="00C924D6" w:rsidRPr="003625DB">
        <w:rPr>
          <w:rFonts w:ascii="Times New Roman" w:hAnsi="Times New Roman" w:cs="Times New Roman"/>
          <w:sz w:val="20"/>
          <w:szCs w:val="20"/>
        </w:rPr>
        <w:t>процесса</w:t>
      </w:r>
      <w:proofErr w:type="gram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и его</w:t>
      </w:r>
      <w:r w:rsidRPr="003625DB">
        <w:rPr>
          <w:rFonts w:ascii="Times New Roman" w:hAnsi="Times New Roman" w:cs="Times New Roman"/>
          <w:sz w:val="20"/>
          <w:szCs w:val="20"/>
        </w:rPr>
        <w:t xml:space="preserve"> давность.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В</w:t>
      </w:r>
      <w:r w:rsidR="00C924D6" w:rsidRPr="003625DB">
        <w:rPr>
          <w:rFonts w:ascii="Times New Roman" w:hAnsi="Times New Roman" w:cs="Times New Roman"/>
          <w:sz w:val="20"/>
          <w:szCs w:val="20"/>
        </w:rPr>
        <w:t>сем больным проводились</w:t>
      </w:r>
      <w:r w:rsidRPr="003625DB">
        <w:rPr>
          <w:rFonts w:ascii="Times New Roman" w:hAnsi="Times New Roman" w:cs="Times New Roman"/>
          <w:sz w:val="20"/>
          <w:szCs w:val="20"/>
        </w:rPr>
        <w:t xml:space="preserve"> лабораторные исследования: клинический анализ </w:t>
      </w:r>
      <w:r w:rsidR="00C924D6" w:rsidRPr="003625DB">
        <w:rPr>
          <w:rFonts w:ascii="Times New Roman" w:hAnsi="Times New Roman" w:cs="Times New Roman"/>
          <w:sz w:val="20"/>
          <w:szCs w:val="20"/>
        </w:rPr>
        <w:t>крови, клинический анализ мочи</w:t>
      </w:r>
      <w:r w:rsidRPr="003625DB">
        <w:rPr>
          <w:rFonts w:ascii="Times New Roman" w:hAnsi="Times New Roman" w:cs="Times New Roman"/>
          <w:sz w:val="20"/>
          <w:szCs w:val="20"/>
        </w:rPr>
        <w:t xml:space="preserve">, реакция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микропреципитации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, анализ кала на яйца глист</w:t>
      </w:r>
      <w:r w:rsidR="00C924D6" w:rsidRPr="003625DB">
        <w:rPr>
          <w:rFonts w:ascii="Times New Roman" w:hAnsi="Times New Roman" w:cs="Times New Roman"/>
          <w:sz w:val="20"/>
          <w:szCs w:val="20"/>
        </w:rPr>
        <w:t>ов</w:t>
      </w:r>
      <w:r w:rsidRPr="003625DB">
        <w:rPr>
          <w:rFonts w:ascii="Times New Roman" w:hAnsi="Times New Roman" w:cs="Times New Roman"/>
          <w:sz w:val="20"/>
          <w:szCs w:val="20"/>
        </w:rPr>
        <w:t xml:space="preserve">. Кроме того, у значительной части больных проводились некоторые дополнительные исследования: общий белок сыворотки крови унифицированным методом и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биуретовой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реакции и белковые фракции крови методом электрофоретическог</w:t>
      </w:r>
      <w:r w:rsidR="00C924D6" w:rsidRPr="003625DB">
        <w:rPr>
          <w:rFonts w:ascii="Times New Roman" w:hAnsi="Times New Roman" w:cs="Times New Roman"/>
          <w:sz w:val="20"/>
          <w:szCs w:val="20"/>
        </w:rPr>
        <w:t>о разделения на бумаге, сахар крови.[1,2</w:t>
      </w:r>
      <w:r w:rsidRPr="003625DB">
        <w:rPr>
          <w:rFonts w:ascii="Times New Roman" w:hAnsi="Times New Roman" w:cs="Times New Roman"/>
          <w:sz w:val="20"/>
          <w:szCs w:val="20"/>
        </w:rPr>
        <w:t>,7]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У 72 больных при поступлении определялся вегетативный статус – вегетативный тонус, вегетативная реактивность и вегетативная обеспеченность деятельности. Методики определения в основном были взяты из монографии А.М.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Вейн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. «</w:t>
      </w:r>
      <w:r w:rsidR="00C924D6" w:rsidRPr="003625DB">
        <w:rPr>
          <w:rFonts w:ascii="Times New Roman" w:hAnsi="Times New Roman" w:cs="Times New Roman"/>
          <w:sz w:val="20"/>
          <w:szCs w:val="20"/>
        </w:rPr>
        <w:t>Вегетососудистая дистония»</w:t>
      </w:r>
      <w:r w:rsidRPr="003625DB">
        <w:rPr>
          <w:rFonts w:ascii="Times New Roman" w:hAnsi="Times New Roman" w:cs="Times New Roman"/>
          <w:sz w:val="20"/>
          <w:szCs w:val="20"/>
        </w:rPr>
        <w:t>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Вегетативный тонус исследовали с помощью специальных таблиц, сочетающих элементы опросника с учетом объективных показателей вегетативной нервной</w:t>
      </w:r>
      <w:r w:rsidR="00C924D6" w:rsidRPr="003625DB">
        <w:rPr>
          <w:rFonts w:ascii="Times New Roman" w:hAnsi="Times New Roman" w:cs="Times New Roman"/>
          <w:sz w:val="20"/>
          <w:szCs w:val="20"/>
        </w:rPr>
        <w:t xml:space="preserve"> системы (А.М.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Вейн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>.</w:t>
      </w:r>
      <w:r w:rsidRPr="003625DB">
        <w:rPr>
          <w:rFonts w:ascii="Times New Roman" w:hAnsi="Times New Roman" w:cs="Times New Roman"/>
          <w:sz w:val="20"/>
          <w:szCs w:val="20"/>
        </w:rPr>
        <w:t xml:space="preserve">), а также путем вычисления вегетативного индекса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Кердо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(О.В. Давыдов, 1974; В.А. Штанько, 1987). 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Последний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3625DB">
        <w:rPr>
          <w:rFonts w:ascii="Times New Roman" w:hAnsi="Times New Roman" w:cs="Times New Roman"/>
          <w:sz w:val="20"/>
          <w:szCs w:val="20"/>
        </w:rPr>
        <w:t xml:space="preserve">вычисляется по формуле: ВИК= (I – d/p) х 100%, где d –величина диастолического давления в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мм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>т.ст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., р-частота сердечных сокращений. 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ВИК с отрицательным значением свидетельствует о преобладании парасимпатических влияний, с положительным – о преобладании симпатических влияний, при ВИК= 0 отмечается равн</w:t>
      </w:r>
      <w:r w:rsidR="00C924D6" w:rsidRPr="003625DB">
        <w:rPr>
          <w:rFonts w:ascii="Times New Roman" w:hAnsi="Times New Roman" w:cs="Times New Roman"/>
          <w:sz w:val="20"/>
          <w:szCs w:val="20"/>
        </w:rPr>
        <w:t>овесие этих влияний (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эйтония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>).[3</w:t>
      </w:r>
      <w:r w:rsidRPr="003625DB">
        <w:rPr>
          <w:rFonts w:ascii="Times New Roman" w:hAnsi="Times New Roman" w:cs="Times New Roman"/>
          <w:sz w:val="20"/>
          <w:szCs w:val="20"/>
        </w:rPr>
        <w:t>,5,6]</w:t>
      </w:r>
      <w:proofErr w:type="gramEnd"/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Вегетативная реактивность изучалась путем вызывания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глазо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-сердечного рефлекса (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Даниньи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Ашнера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).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Вегетативное обеспечение деятельности определялось с помощью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орт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клиностатических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 проб.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С целью изучения влияния разработанной нами терапии на обмен серотонина, гистамина и катехоламинов мы распределили всех больных экземой на 3 группы: контрольную (30 человек), 1 основную (30 человек) и 2 основную (74 человек). Группы были сбалансированы по возрасту, давности заболевания, характеру течения, распространенности кожного процесса.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Больные контрольной группы получали традиционное общее и местное медикаментозное лечение, 1 основной - традиционное общее лечение, а больные 2 основной групп</w:t>
      </w:r>
      <w:r w:rsidR="00C924D6" w:rsidRPr="003625DB">
        <w:rPr>
          <w:rFonts w:ascii="Times New Roman" w:hAnsi="Times New Roman" w:cs="Times New Roman"/>
          <w:sz w:val="20"/>
          <w:szCs w:val="20"/>
        </w:rPr>
        <w:t>ы предложенную нами терапию.[1,4</w:t>
      </w:r>
      <w:r w:rsidRPr="003625DB">
        <w:rPr>
          <w:rFonts w:ascii="Times New Roman" w:hAnsi="Times New Roman" w:cs="Times New Roman"/>
          <w:sz w:val="20"/>
          <w:szCs w:val="20"/>
        </w:rPr>
        <w:t xml:space="preserve">,7] 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Серотонин, гистамин, адреналин и норадреналин исследовали в цельной крови больных т</w:t>
      </w:r>
      <w:r w:rsidR="00C924D6" w:rsidRPr="003625DB">
        <w:rPr>
          <w:rFonts w:ascii="Times New Roman" w:hAnsi="Times New Roman" w:cs="Times New Roman"/>
          <w:sz w:val="20"/>
          <w:szCs w:val="20"/>
        </w:rPr>
        <w:t>роекратно: при поступлении, на 9</w:t>
      </w:r>
      <w:r w:rsidRPr="003625DB">
        <w:rPr>
          <w:rFonts w:ascii="Times New Roman" w:hAnsi="Times New Roman" w:cs="Times New Roman"/>
          <w:sz w:val="20"/>
          <w:szCs w:val="20"/>
        </w:rPr>
        <w:t xml:space="preserve">-10 день лечения и при выписке. Забор крови проводился, в основном, в весенне-летний период, в одно и то же утреннее время. В течение 2-3 дней больные не принимали медикаментов, которые могли бы повлиять на обмен исследуемых веществ. 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Серотонин определяли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нингидриновым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спектрофлюориметрич</w:t>
      </w:r>
      <w:r w:rsidR="00C924D6" w:rsidRPr="003625DB">
        <w:rPr>
          <w:rFonts w:ascii="Times New Roman" w:hAnsi="Times New Roman" w:cs="Times New Roman"/>
          <w:sz w:val="20"/>
          <w:szCs w:val="20"/>
        </w:rPr>
        <w:t>еским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методом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Snyder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S.H.</w:t>
      </w:r>
      <w:r w:rsidRPr="003625DB">
        <w:rPr>
          <w:rFonts w:ascii="Times New Roman" w:hAnsi="Times New Roman" w:cs="Times New Roman"/>
          <w:sz w:val="20"/>
          <w:szCs w:val="20"/>
        </w:rPr>
        <w:t xml:space="preserve"> в модификации В.И.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Кули</w:t>
      </w:r>
      <w:r w:rsidR="00C924D6" w:rsidRPr="003625DB">
        <w:rPr>
          <w:rFonts w:ascii="Times New Roman" w:hAnsi="Times New Roman" w:cs="Times New Roman"/>
          <w:sz w:val="20"/>
          <w:szCs w:val="20"/>
        </w:rPr>
        <w:t>нского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Л.С.Костюковской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. Метод основан на образовании ярко флюоресцирующего вещества при конденсации серотонина с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нингидрином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Для определения гистамина использовали классический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спектрофлюориметрический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метод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Shore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P.A.</w:t>
      </w:r>
      <w:r w:rsidRPr="003625DB">
        <w:rPr>
          <w:rFonts w:ascii="Times New Roman" w:hAnsi="Times New Roman" w:cs="Times New Roman"/>
          <w:sz w:val="20"/>
          <w:szCs w:val="20"/>
        </w:rPr>
        <w:t xml:space="preserve">, основанный на образовании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флюорофора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при </w:t>
      </w:r>
      <w:r w:rsidR="00C924D6" w:rsidRPr="003625DB">
        <w:rPr>
          <w:rFonts w:ascii="Times New Roman" w:hAnsi="Times New Roman" w:cs="Times New Roman"/>
          <w:sz w:val="20"/>
          <w:szCs w:val="20"/>
        </w:rPr>
        <w:t>взаимодействии гистамина с орто</w:t>
      </w:r>
      <w:r w:rsidRPr="003625DB">
        <w:rPr>
          <w:rFonts w:ascii="Times New Roman" w:hAnsi="Times New Roman" w:cs="Times New Roman"/>
          <w:sz w:val="20"/>
          <w:szCs w:val="20"/>
        </w:rPr>
        <w:t>фталевым альдегидом.[2,3,5,7]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На окончательном этапе определения серотонина и гистамина применяли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спектрофлюориметр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«Хитачи» (Япония).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Адреналин и норадреналин определялись дифференциальным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флюорисцентно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-аналитическим методом В.</w:t>
      </w:r>
      <w:r w:rsidR="00C924D6" w:rsidRPr="003625DB">
        <w:rPr>
          <w:rFonts w:ascii="Times New Roman" w:hAnsi="Times New Roman" w:cs="Times New Roman"/>
          <w:sz w:val="20"/>
          <w:szCs w:val="20"/>
        </w:rPr>
        <w:t xml:space="preserve">О.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Осинской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 xml:space="preserve"> (В.С. </w:t>
      </w:r>
      <w:proofErr w:type="spellStart"/>
      <w:r w:rsidR="00C924D6" w:rsidRPr="003625DB">
        <w:rPr>
          <w:rFonts w:ascii="Times New Roman" w:hAnsi="Times New Roman" w:cs="Times New Roman"/>
          <w:sz w:val="20"/>
          <w:szCs w:val="20"/>
        </w:rPr>
        <w:t>Асатиани</w:t>
      </w:r>
      <w:proofErr w:type="spellEnd"/>
      <w:r w:rsidR="00C924D6" w:rsidRPr="003625DB">
        <w:rPr>
          <w:rFonts w:ascii="Times New Roman" w:hAnsi="Times New Roman" w:cs="Times New Roman"/>
          <w:sz w:val="20"/>
          <w:szCs w:val="20"/>
        </w:rPr>
        <w:t>.</w:t>
      </w:r>
      <w:r w:rsidRPr="003625DB">
        <w:rPr>
          <w:rFonts w:ascii="Times New Roman" w:hAnsi="Times New Roman" w:cs="Times New Roman"/>
          <w:sz w:val="20"/>
          <w:szCs w:val="20"/>
        </w:rPr>
        <w:t>).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Для сравнения содержания серотонина, гистамина, адреналина и норадреналина в крови больных экземой с аналогичными показателями в норме мы подобрали и обследовали сбалансированную по возрасту группу практически здоровых мужчин в количестве 15 человек.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Содержание серотонина в крови здоровых лиц равнялось 0,47+- 0,04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мкмоль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/л, что было близко к данным Л.Г.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Цырульниковой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.(1971), Ю.К. Скрипкина (1973), Ю.А.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Плюшкиса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. (1980), В.А, Гребенникова и К.К. Борисенко (1987), С.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Юденфренда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(1965) и др.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Уровень гистамина в крови здоровых лиц составил 0,73+-0,09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мкмоль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/л, что соответствовало </w:t>
      </w:r>
      <w:r w:rsidR="00D45B74" w:rsidRPr="003625DB">
        <w:rPr>
          <w:rFonts w:ascii="Times New Roman" w:hAnsi="Times New Roman" w:cs="Times New Roman"/>
          <w:sz w:val="20"/>
          <w:szCs w:val="20"/>
        </w:rPr>
        <w:t xml:space="preserve">результатам Л.Я. Прошиной, Н.Ф. Дейнеко с </w:t>
      </w:r>
      <w:proofErr w:type="spellStart"/>
      <w:r w:rsidR="00D45B74"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D45B74" w:rsidRPr="003625DB">
        <w:rPr>
          <w:rFonts w:ascii="Times New Roman" w:hAnsi="Times New Roman" w:cs="Times New Roman"/>
          <w:sz w:val="20"/>
          <w:szCs w:val="20"/>
        </w:rPr>
        <w:t>.</w:t>
      </w:r>
      <w:r w:rsidRPr="003625DB">
        <w:rPr>
          <w:rFonts w:ascii="Times New Roman" w:hAnsi="Times New Roman" w:cs="Times New Roman"/>
          <w:sz w:val="20"/>
          <w:szCs w:val="20"/>
        </w:rPr>
        <w:t>, В.А. Гребенникова и К.К. Борисе</w:t>
      </w:r>
      <w:r w:rsidR="00D45B74" w:rsidRPr="003625DB">
        <w:rPr>
          <w:rFonts w:ascii="Times New Roman" w:hAnsi="Times New Roman" w:cs="Times New Roman"/>
          <w:sz w:val="20"/>
          <w:szCs w:val="20"/>
        </w:rPr>
        <w:t>нко</w:t>
      </w:r>
      <w:r w:rsidRPr="003625DB">
        <w:rPr>
          <w:rFonts w:ascii="Times New Roman" w:hAnsi="Times New Roman" w:cs="Times New Roman"/>
          <w:sz w:val="20"/>
          <w:szCs w:val="20"/>
        </w:rPr>
        <w:t xml:space="preserve"> и др.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Содержание адреналина в крови здоровых лиц равнялось 2,37+-0,14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нмоль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/л, а норадреналина – 4,82+-0,24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нмоль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/л, что согласуется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данными А.С</w:t>
      </w:r>
      <w:r w:rsidR="00D45B74" w:rsidRPr="003625DB">
        <w:rPr>
          <w:rFonts w:ascii="Times New Roman" w:hAnsi="Times New Roman" w:cs="Times New Roman"/>
          <w:sz w:val="20"/>
          <w:szCs w:val="20"/>
        </w:rPr>
        <w:t xml:space="preserve">. Ефимова и Е.П. Тихонова, В.Г. </w:t>
      </w:r>
      <w:proofErr w:type="spellStart"/>
      <w:r w:rsidR="00D45B74" w:rsidRPr="003625DB">
        <w:rPr>
          <w:rFonts w:ascii="Times New Roman" w:hAnsi="Times New Roman" w:cs="Times New Roman"/>
          <w:sz w:val="20"/>
          <w:szCs w:val="20"/>
        </w:rPr>
        <w:t>Коляденко</w:t>
      </w:r>
      <w:proofErr w:type="spellEnd"/>
      <w:r w:rsidR="00D45B74" w:rsidRPr="003625DB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="00D45B74" w:rsidRPr="003625DB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D45B74" w:rsidRPr="003625DB">
        <w:rPr>
          <w:rFonts w:ascii="Times New Roman" w:hAnsi="Times New Roman" w:cs="Times New Roman"/>
          <w:sz w:val="20"/>
          <w:szCs w:val="20"/>
        </w:rPr>
        <w:t>.</w:t>
      </w:r>
      <w:r w:rsidRPr="003625DB">
        <w:rPr>
          <w:rFonts w:ascii="Times New Roman" w:hAnsi="Times New Roman" w:cs="Times New Roman"/>
          <w:sz w:val="20"/>
          <w:szCs w:val="20"/>
        </w:rPr>
        <w:t xml:space="preserve"> и др.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Анализ полученных данных показал, что начальный уровень серотонина и гистамина в крови больных на экзему был повышен, по сравнению со здоровыми пациентами и находится в прямой зависимости от остроты и распространенности кожного процесса. Во время лечения в контрольной группе уровень показателей снизился, а в 1 группе гистамин нормализовался, а уровень серотонина незначительно был повышен. Во время выписки уровень серотонина и гистамина нормализовался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lastRenderedPageBreak/>
        <w:t>Уровень адреналина, достоверно повышен во всех группах при поступлении в клинику, нормализовались показатели в течени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лечения в 1 и во 2 основной группах, в контрольной группе показатели были незначительно повышены; при выписке  не отличались от нормы во всех 3 группах.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Статистическая обработка данных производилась на IBM/PC-AT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Pentium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III с использованием пакета статистических программ “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Statistica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5,5”. Достоверность отличий средних значений показателей оценивали с помощью  t –критерия Стьюдента, корреляционный анализ проводили с помощью критерия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Спирмена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, с вычислением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коефициента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корреляции (r).[3,5,7] 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Таким образом можно считать, что полученные нами средние показатели содержания серотонина,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гистамина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>дреналина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и норадреналина могут быть использованы для оценки соответствующих показателей у больных экземой.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25DB">
        <w:rPr>
          <w:rFonts w:ascii="Times New Roman" w:hAnsi="Times New Roman" w:cs="Times New Roman"/>
          <w:b/>
          <w:sz w:val="20"/>
          <w:szCs w:val="20"/>
        </w:rPr>
        <w:t>Литература.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1.</w:t>
      </w:r>
      <w:r w:rsidRPr="003625DB">
        <w:rPr>
          <w:rFonts w:ascii="Times New Roman" w:hAnsi="Times New Roman" w:cs="Times New Roman"/>
          <w:sz w:val="20"/>
          <w:szCs w:val="20"/>
        </w:rPr>
        <w:tab/>
        <w:t xml:space="preserve"> Аллергология и иммунология. Национальное руководство. Под ред. Р. М.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Хаитова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, Н. И. Ильиной. М.: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Геотар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-Медиа. 2009. 656 с.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2.</w:t>
      </w:r>
      <w:r w:rsidRPr="003625DB">
        <w:rPr>
          <w:rFonts w:ascii="Times New Roman" w:hAnsi="Times New Roman" w:cs="Times New Roman"/>
          <w:sz w:val="20"/>
          <w:szCs w:val="20"/>
        </w:rPr>
        <w:tab/>
        <w:t xml:space="preserve"> Белоусова Т. А., Лукашова Н. Н. Дифференцированный подход к выбору наружных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глюкокортикостероидов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в терапии дерматозов //2012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3.</w:t>
      </w:r>
      <w:r w:rsidRPr="003625DB">
        <w:rPr>
          <w:rFonts w:ascii="Times New Roman" w:hAnsi="Times New Roman" w:cs="Times New Roman"/>
          <w:sz w:val="20"/>
          <w:szCs w:val="20"/>
        </w:rPr>
        <w:tab/>
        <w:t xml:space="preserve"> Клинические рекомендации.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Дерматовенерология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. Под ред. А. А.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Кубановой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. М.: ДЭКС-Пресс. 2010. 428 с.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>4.</w:t>
      </w:r>
      <w:r w:rsidRPr="003625DB">
        <w:rPr>
          <w:rFonts w:ascii="Times New Roman" w:hAnsi="Times New Roman" w:cs="Times New Roman"/>
          <w:sz w:val="20"/>
          <w:szCs w:val="20"/>
        </w:rPr>
        <w:tab/>
        <w:t xml:space="preserve"> Клиническая дерматология и венерология. 2006.Хэбиф. № 3. С. 74–78.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  <w:lang w:val="en-US"/>
        </w:rPr>
        <w:t>5.</w:t>
      </w:r>
      <w:r w:rsidRPr="003625DB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Charles J., Pan Y., Miller G. </w:t>
      </w:r>
      <w:proofErr w:type="spellStart"/>
      <w:r w:rsidRPr="003625DB">
        <w:rPr>
          <w:rFonts w:ascii="Times New Roman" w:hAnsi="Times New Roman" w:cs="Times New Roman"/>
          <w:sz w:val="20"/>
          <w:szCs w:val="20"/>
          <w:lang w:val="en-US"/>
        </w:rPr>
        <w:t>Aust</w:t>
      </w:r>
      <w:proofErr w:type="spell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3625DB">
        <w:rPr>
          <w:rFonts w:ascii="Times New Roman" w:hAnsi="Times New Roman" w:cs="Times New Roman"/>
          <w:sz w:val="20"/>
          <w:szCs w:val="20"/>
          <w:lang w:val="en-US"/>
        </w:rPr>
        <w:t>Fam</w:t>
      </w:r>
      <w:proofErr w:type="spellEnd"/>
      <w:proofErr w:type="gram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Physician // Eczema. </w:t>
      </w:r>
      <w:r w:rsidRPr="003625DB">
        <w:rPr>
          <w:rFonts w:ascii="Times New Roman" w:hAnsi="Times New Roman" w:cs="Times New Roman"/>
          <w:sz w:val="20"/>
          <w:szCs w:val="20"/>
        </w:rPr>
        <w:t xml:space="preserve">2011, </w:t>
      </w:r>
      <w:r w:rsidRPr="003625DB">
        <w:rPr>
          <w:rFonts w:ascii="Times New Roman" w:hAnsi="Times New Roman" w:cs="Times New Roman"/>
          <w:sz w:val="20"/>
          <w:szCs w:val="20"/>
          <w:lang w:val="en-US"/>
        </w:rPr>
        <w:t>Jul</w:t>
      </w:r>
      <w:r w:rsidRPr="003625DB">
        <w:rPr>
          <w:rFonts w:ascii="Times New Roman" w:hAnsi="Times New Roman" w:cs="Times New Roman"/>
          <w:sz w:val="20"/>
          <w:szCs w:val="20"/>
        </w:rPr>
        <w:t>: 40 (7): 467.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25DB">
        <w:rPr>
          <w:rFonts w:ascii="Times New Roman" w:hAnsi="Times New Roman" w:cs="Times New Roman"/>
          <w:sz w:val="20"/>
          <w:szCs w:val="20"/>
          <w:lang w:val="en-US"/>
        </w:rPr>
        <w:t>6.</w:t>
      </w:r>
      <w:r w:rsidRPr="003625DB">
        <w:rPr>
          <w:rFonts w:ascii="Times New Roman" w:hAnsi="Times New Roman" w:cs="Times New Roman"/>
          <w:sz w:val="20"/>
          <w:szCs w:val="20"/>
          <w:lang w:val="en-US"/>
        </w:rPr>
        <w:tab/>
        <w:t xml:space="preserve"> Hoare C., Li Wan Po A., Williams H. Systematic review of treatments for atopic eczema // Health </w:t>
      </w:r>
      <w:proofErr w:type="spellStart"/>
      <w:r w:rsidRPr="003625DB">
        <w:rPr>
          <w:rFonts w:ascii="Times New Roman" w:hAnsi="Times New Roman" w:cs="Times New Roman"/>
          <w:sz w:val="20"/>
          <w:szCs w:val="20"/>
          <w:lang w:val="en-US"/>
        </w:rPr>
        <w:t>Technol</w:t>
      </w:r>
      <w:proofErr w:type="spell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Assess. 2000. V. 4. P. 1–191.</w:t>
      </w:r>
    </w:p>
    <w:p w:rsidR="00E032A4" w:rsidRPr="003625DB" w:rsidRDefault="00E032A4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25DB">
        <w:rPr>
          <w:rFonts w:ascii="Times New Roman" w:hAnsi="Times New Roman" w:cs="Times New Roman"/>
          <w:sz w:val="20"/>
          <w:szCs w:val="20"/>
          <w:lang w:val="en-US"/>
        </w:rPr>
        <w:t>7.</w:t>
      </w:r>
      <w:r w:rsidRPr="003625DB">
        <w:rPr>
          <w:rFonts w:ascii="Times New Roman" w:hAnsi="Times New Roman" w:cs="Times New Roman"/>
          <w:sz w:val="20"/>
          <w:szCs w:val="20"/>
          <w:lang w:val="en-US"/>
        </w:rPr>
        <w:tab/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  <w:lang w:val="en-US"/>
        </w:rPr>
        <w:t>Sohn</w:t>
      </w:r>
      <w:proofErr w:type="spell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A., Frankel A., Patel R. V. et al. Eczema // Mt Sinai J Med. 2011, Sep-Oct, 78 (5): 730–739.</w:t>
      </w:r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25DB">
        <w:rPr>
          <w:rFonts w:ascii="Times New Roman" w:hAnsi="Times New Roman" w:cs="Times New Roman"/>
          <w:b/>
          <w:sz w:val="20"/>
          <w:szCs w:val="20"/>
        </w:rPr>
        <w:t>ВЕГЕТАТИВНИЙ ТОНУС У ХВОРИХ НА ЕКЗЕМУ.</w:t>
      </w:r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Фоміна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Л.В.</w:t>
      </w:r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25DB">
        <w:rPr>
          <w:rFonts w:ascii="Times New Roman" w:hAnsi="Times New Roman" w:cs="Times New Roman"/>
          <w:sz w:val="20"/>
          <w:szCs w:val="20"/>
        </w:rPr>
        <w:t xml:space="preserve">У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даній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роботі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розглядаються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аспекти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поняття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про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екземі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, метою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було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вивчення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25DB">
        <w:rPr>
          <w:rFonts w:ascii="Times New Roman" w:hAnsi="Times New Roman" w:cs="Times New Roman"/>
          <w:sz w:val="20"/>
          <w:szCs w:val="20"/>
        </w:rPr>
        <w:t>вегетативного</w:t>
      </w:r>
      <w:proofErr w:type="gramEnd"/>
      <w:r w:rsidRPr="003625DB">
        <w:rPr>
          <w:rFonts w:ascii="Times New Roman" w:hAnsi="Times New Roman" w:cs="Times New Roman"/>
          <w:sz w:val="20"/>
          <w:szCs w:val="20"/>
        </w:rPr>
        <w:t xml:space="preserve"> тонусу у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5DB">
        <w:rPr>
          <w:rFonts w:ascii="Times New Roman" w:hAnsi="Times New Roman" w:cs="Times New Roman"/>
          <w:sz w:val="20"/>
          <w:szCs w:val="20"/>
        </w:rPr>
        <w:t>екземою</w:t>
      </w:r>
      <w:proofErr w:type="spellEnd"/>
      <w:r w:rsidRPr="003625DB">
        <w:rPr>
          <w:rFonts w:ascii="Times New Roman" w:hAnsi="Times New Roman" w:cs="Times New Roman"/>
          <w:sz w:val="20"/>
          <w:szCs w:val="20"/>
        </w:rPr>
        <w:t>.</w:t>
      </w:r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3625DB">
        <w:rPr>
          <w:rFonts w:ascii="Times New Roman" w:hAnsi="Times New Roman" w:cs="Times New Roman"/>
          <w:b/>
          <w:sz w:val="20"/>
          <w:szCs w:val="20"/>
          <w:lang w:val="en-US"/>
        </w:rPr>
        <w:t>VEGETATIVE TONE IN PATIENTS WITH ECZEMA.</w:t>
      </w:r>
      <w:proofErr w:type="gramEnd"/>
    </w:p>
    <w:p w:rsidR="003A07D3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625DB">
        <w:rPr>
          <w:rFonts w:ascii="Times New Roman" w:hAnsi="Times New Roman" w:cs="Times New Roman"/>
          <w:sz w:val="20"/>
          <w:szCs w:val="20"/>
          <w:lang w:val="en-US"/>
        </w:rPr>
        <w:t>Fomina</w:t>
      </w:r>
      <w:proofErr w:type="spell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L.V.</w:t>
      </w:r>
    </w:p>
    <w:p w:rsidR="002249C2" w:rsidRPr="003625DB" w:rsidRDefault="003A07D3" w:rsidP="003625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This paper reviews aspects and concepts of </w:t>
      </w:r>
      <w:proofErr w:type="gramStart"/>
      <w:r w:rsidRPr="003625DB">
        <w:rPr>
          <w:rFonts w:ascii="Times New Roman" w:hAnsi="Times New Roman" w:cs="Times New Roman"/>
          <w:sz w:val="20"/>
          <w:szCs w:val="20"/>
          <w:lang w:val="en-US"/>
        </w:rPr>
        <w:t>eczema,</w:t>
      </w:r>
      <w:proofErr w:type="gramEnd"/>
      <w:r w:rsidRPr="003625DB">
        <w:rPr>
          <w:rFonts w:ascii="Times New Roman" w:hAnsi="Times New Roman" w:cs="Times New Roman"/>
          <w:sz w:val="20"/>
          <w:szCs w:val="20"/>
          <w:lang w:val="en-US"/>
        </w:rPr>
        <w:t xml:space="preserve"> the purpose of work was to study autonomic tone in patients with eczema.</w:t>
      </w:r>
    </w:p>
    <w:sectPr w:rsidR="002249C2" w:rsidRPr="0036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C2"/>
    <w:rsid w:val="002249C2"/>
    <w:rsid w:val="003625DB"/>
    <w:rsid w:val="003A07D3"/>
    <w:rsid w:val="00C924D6"/>
    <w:rsid w:val="00D45B74"/>
    <w:rsid w:val="00E032A4"/>
    <w:rsid w:val="00E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2019-05-16T09:18:00Z</cp:lastPrinted>
  <dcterms:created xsi:type="dcterms:W3CDTF">2017-05-19T08:43:00Z</dcterms:created>
  <dcterms:modified xsi:type="dcterms:W3CDTF">2019-05-16T09:26:00Z</dcterms:modified>
</cp:coreProperties>
</file>