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F" w:rsidRPr="00331CEF" w:rsidRDefault="00331CEF" w:rsidP="00331CEF">
      <w:pPr>
        <w:suppressAutoHyphens w:val="0"/>
        <w:spacing w:line="360" w:lineRule="auto"/>
        <w:jc w:val="right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uk-UA"/>
        </w:rPr>
        <w:t>Секція №1</w:t>
      </w:r>
    </w:p>
    <w:p w:rsidR="00331CEF" w:rsidRPr="00331CEF" w:rsidRDefault="00331CEF" w:rsidP="00331CE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A.V.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Synepol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, O.G.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Gusak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Charkiwer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Nationale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Medizinische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Universität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HIV-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positiven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Patienten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ernste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Infektionskrankheit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verschiedenartige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Mykobakterien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Kochs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Stäbchenbakterien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)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verursacht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Der Name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kommt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Wort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"Tuberculum", das "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Tuberkel</w:t>
      </w:r>
      <w:proofErr w:type="spellEnd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"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bedeutet</w:t>
      </w:r>
      <w:proofErr w:type="spellEnd"/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: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Entzündungsherd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kleinen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Geschwulst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dem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Knötchen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ähnlich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Ohne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Behandlung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Tod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Am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häufigsten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befällt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pathologische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Prozesse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anderen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Geweben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Organen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entwickeln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Wie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erkrankt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man an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? 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Hauptübertragungsweg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Mensch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Mensch.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übergetragen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hustet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niest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oder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andere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Weise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Erreger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auswirft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Niesen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können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bis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40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Tausend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Tröpfchen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kommen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jeder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Wahrscheinlichkeit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hängt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Dauer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Intensität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Kontakts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Stärke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Immunsystems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Menschen und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Virulenz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Erregerstamms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ab.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Lüftungsraum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spielt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wichtige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Rolle [1].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i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Staub-Infektion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i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Tröpfchen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tuberkulösen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Sputums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 den Boden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absetzen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trocknen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werden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Staubteilchen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Mycobacterium tuberculosis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bleibt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Staub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einige</w:t>
      </w:r>
      <w:proofErr w:type="spellEnd"/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lang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lebensfähig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starken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Luftbewegung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steigen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Staubteilchen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dringen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verursachen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[2].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Welche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Symptome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haben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Infizierten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?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i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Lungenaktivität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 xml:space="preserve">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beginnt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Schwäche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Müdigkeit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Charakteristisch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Fieber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Appetitlosigkeit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wesentlichem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Gewichtsverlust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Nachtschweiß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Husten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manchmal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blutigem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 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Auswurf</w:t>
      </w:r>
      <w:proofErr w:type="spellEnd"/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Schmerzen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Atmen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). 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i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Lokalisierung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in 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anderen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Organen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 xml:space="preserve"> (</w:t>
      </w:r>
      <w:proofErr w:type="spellStart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seltener</w:t>
      </w:r>
      <w:proofErr w:type="spellEnd"/>
      <w:r w:rsidRPr="00331CEF">
        <w:rPr>
          <w:rFonts w:ascii="Times New Roman" w:hAnsi="Times New Roman" w:cs="Times New Roman"/>
          <w:i/>
          <w:kern w:val="0"/>
          <w:sz w:val="28"/>
          <w:szCs w:val="28"/>
          <w:lang w:val="en-US"/>
        </w:rPr>
        <w:t>)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Mikroorganismen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Gefäßsystem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verteilt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werden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können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Lymphknoten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Pleura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Harnwege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betroffen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sein.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ansteckende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Inkubationszeit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Infektiosität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Ungefähr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Drittel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Weltbevölkerung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hat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latente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Die Menschen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Bakterium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aber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Solche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Personen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gelten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als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Ausbreiter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Nach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Angaben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WHO (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Weltgesundheitsorganisation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)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beträgt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mögliche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weitere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während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Lebens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Menschen 10% [3]. So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gibt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drei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Möglichkeiten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nach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:</w:t>
      </w:r>
      <w:proofErr w:type="gramEnd"/>
    </w:p>
    <w:p w:rsidR="00331CEF" w:rsidRPr="00331CEF" w:rsidRDefault="00331CEF" w:rsidP="00331CEF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Da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Immunsystem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Erreger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erkennt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neutralisiert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entwickelt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meisten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Fällen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Erreger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Lungengewebe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abgelagert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bildet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kleine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Entzündungsherde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(1-2 cm),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Symptome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verursachen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Aktive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Form. Dies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spätes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Stadium,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großen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Entzündungsherde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in</w:t>
      </w:r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Zerfall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Geweben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Der Patient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ansteckend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solange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reproduktive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Mycobacterium tuberculosis in die Umwelt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auswirft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Früherkennung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richtige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Behandlung</w:t>
      </w:r>
      <w:proofErr w:type="spellEnd"/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reduzieren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Risiken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Verbreitung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Nebenwirkungen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[4].</w:t>
      </w:r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Wie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lange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dauert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Behandlung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gram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der 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Tuberkulose</w:t>
      </w:r>
      <w:proofErr w:type="spellEnd"/>
      <w:proofErr w:type="gram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?</w:t>
      </w:r>
    </w:p>
    <w:p w:rsidR="00331CEF" w:rsidRPr="00331CEF" w:rsidRDefault="00331CEF" w:rsidP="00331CEF">
      <w:pPr>
        <w:shd w:val="clear" w:color="auto" w:fill="FFFFFF"/>
        <w:suppressAutoHyphens w:val="0"/>
        <w:spacing w:before="72"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</w:rPr>
      </w:pPr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Die </w:t>
      </w:r>
      <w:proofErr w:type="spellStart"/>
      <w:proofErr w:type="gram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Behandlung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r w:rsidRPr="00331CE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331CE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shd w:val="clear" w:color="auto" w:fill="FFFFFF"/>
          <w:lang w:val="en-US" w:eastAsia="ru-RU"/>
        </w:rPr>
        <w:t>einer</w:t>
      </w:r>
      <w:proofErr w:type="spellEnd"/>
      <w:proofErr w:type="gramEnd"/>
      <w:r w:rsidRPr="00331CE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shd w:val="clear" w:color="auto" w:fill="FFFFFF"/>
          <w:lang w:val="en-US" w:eastAsia="ru-RU"/>
        </w:rPr>
        <w:t>unkomplizierten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Tuberkulose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dauert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sechs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bis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acht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Monate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, </w:t>
      </w:r>
      <w:r w:rsidRPr="00331CE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ru-RU"/>
        </w:rPr>
        <w:t xml:space="preserve">der </w:t>
      </w:r>
      <w:proofErr w:type="spellStart"/>
      <w:r w:rsidRPr="00331CE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ru-RU"/>
        </w:rPr>
        <w:t>multiresistenten</w:t>
      </w:r>
      <w:proofErr w:type="spellEnd"/>
      <w:r w:rsidRPr="00331CE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ru-RU"/>
        </w:rPr>
        <w:t>Tuberkulose</w:t>
      </w:r>
      <w:proofErr w:type="spellEnd"/>
      <w:r w:rsidRPr="00331C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</w:rPr>
        <w:t xml:space="preserve"> -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bis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zu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 xml:space="preserve"> 18 </w:t>
      </w:r>
      <w:proofErr w:type="spellStart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Monaten</w:t>
      </w:r>
      <w:proofErr w:type="spellEnd"/>
      <w:r w:rsidRPr="00331CE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[1].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Wer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gefährdet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?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 xml:space="preserve">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Kontaktpersonen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aktiver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gegenüber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besonders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rezeptiv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Risikogruppe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gehören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Personen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geschwächten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Schutzkräften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Organismus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Beispiel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: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AIDS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oder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,</w:t>
      </w:r>
      <w:proofErr w:type="gramEnd"/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Einnahme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Medikamenten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,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Diabetes,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Alkoholkranke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Zusätzliche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Faktoren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ungünstige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Umwelt-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Sozialbedingungen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Drogenabhängigkeit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Unterernährung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und HIV-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Infektion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u w:val="single"/>
          <w:lang w:val="en-US"/>
        </w:rPr>
      </w:pP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 </w:t>
      </w:r>
      <w:hyperlink r:id="rId5" w:tooltip="HIV" w:history="1">
        <w:r w:rsidRPr="00331CEF">
          <w:rPr>
            <w:rStyle w:val="a3"/>
            <w:rFonts w:ascii="Times New Roman" w:hAnsi="Times New Roman" w:cs="Times New Roman"/>
            <w:kern w:val="0"/>
            <w:sz w:val="28"/>
            <w:szCs w:val="28"/>
            <w:shd w:val="clear" w:color="auto" w:fill="FFFFFF"/>
            <w:lang w:val="en-US"/>
          </w:rPr>
          <w:t>HIV</w:t>
        </w:r>
      </w:hyperlink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-</w:t>
      </w:r>
      <w:proofErr w:type="spellStart"/>
      <w:proofErr w:type="gram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Infizierten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u w:val="single"/>
          <w:lang w:val="en-US"/>
        </w:rPr>
        <w:t xml:space="preserve"> </w:t>
      </w: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Tuberkuloseinfektion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besonders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>problematisch</w:t>
      </w:r>
      <w:proofErr w:type="spellEnd"/>
      <w:r w:rsidRPr="00331CEF">
        <w:rPr>
          <w:rFonts w:ascii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val="en-US"/>
        </w:rPr>
        <w:t xml:space="preserve">. 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HIV (Human Immunodeficiency Virus)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schwächt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Immunsystem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gibt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günstigen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Grund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HIV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zerstört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menschliche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Monozyten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als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Eindringlinge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Fremdstoffen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wirken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Andere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werden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ebenfalls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zerstört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: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Makrophagen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, T-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Helfer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, Langerhans-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Mikroglia-Zellen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dendritische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AIDS (Acquired Immune Deficiency Syndrome),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Endstadiums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solchen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Menschen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läuft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Tuberculose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viel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schwieriger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neigt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dazu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auszubreiten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voranzukommen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solche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kombinierte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TB-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HIV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HIV / TB-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genannt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Kontakt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Mycobacterium tuberculosis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produziert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Körper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positiven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notwendigen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Antikörper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Schäden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anderen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lebenswichtigen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Organen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Bakterium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dringt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Gehirn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Knochenmark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Meningitis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Perikard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betroffen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Herzens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entwickeln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Krankheitsverlauf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kompliziert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sehr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Tod.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latenter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müssen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Koinfizierten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vorbeugende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Therapie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nehmen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da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Risiko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Übergangs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aktive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Phase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hoch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Am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häufigsten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verschreibt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man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Pyrazinamid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Rifampicin.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Behandlung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aktiven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Form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Verschreibung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Biseptol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ergänzt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wirkt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Mykobakterien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man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nehmt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Arznei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Prävention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Pneumocystis-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Pneumonie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Toxoplasmose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Übergang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HIV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AIDS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gibt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katastrophale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Lebensgefahr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In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Fall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leiden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Herz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Lymphknoten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(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bis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chirurgischen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Eingriff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) und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andere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Organe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so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beschädigt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Hauptmerkmal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AIDS.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primäre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Medikament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Therapie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Rifampicin,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halbsynthetisches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Antibiotikum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breiten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antibakteriellen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Wirkungsspektrum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Untersuchung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zur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Erkennung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Krankheiten</w:t>
      </w:r>
      <w:proofErr w:type="spellEnd"/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gehört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den 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bakteriellen</w:t>
      </w:r>
      <w:proofErr w:type="spellEnd"/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pathogenen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Mikroorganismen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verursacht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werden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in der Regel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Erkrankung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gesunder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Menschen,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aber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den Menschen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Immundefizienzzuständen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entwickeln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Diagnose von HIV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wird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Patient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sofort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untersucht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Am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informativsten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folgende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Testverfahren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: 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-Test (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Mantoux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-Test), um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Risiko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Mycobacterium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bestimmen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;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•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Röntgenuntersuchungen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Brust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;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• Sputum-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Analyse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für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Vorhandensein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von Mycobacterium tuberculosis.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Was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Dynamik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von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und HIV-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Infektion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?</w:t>
      </w: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haben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höchste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TB-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Inzidenz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unter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Risikogruppen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Anteil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wächst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allgemeinen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jedes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Jahr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Zunahme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Fälle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>kombinierten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HIV / TB-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deutet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Zunahme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der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Epidemie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Land </w:t>
      </w:r>
      <w:proofErr w:type="spellStart"/>
      <w:proofErr w:type="gram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hin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[</w:t>
      </w:r>
      <w:proofErr w:type="gram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5].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AF0F09" wp14:editId="402667D3">
            <wp:simplePos x="0" y="0"/>
            <wp:positionH relativeFrom="margin">
              <wp:posOffset>824230</wp:posOffset>
            </wp:positionH>
            <wp:positionV relativeFrom="margin">
              <wp:posOffset>772795</wp:posOffset>
            </wp:positionV>
            <wp:extent cx="4373880" cy="3152140"/>
            <wp:effectExtent l="0" t="0" r="762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Was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sind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Sterberaten</w:t>
      </w:r>
      <w:proofErr w:type="spellEnd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?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In den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letzten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zehn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Jahren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Todesrate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durch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TB um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mehr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als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1,5 mal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zurückgegangen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Ab 2016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betrug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Zahl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9,5 pro 100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Tausend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Einwohner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Bei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TB /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Koinfektion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nimmt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Zahl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langsam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ab.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Sterblichkeit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Patienten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beträgt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4,2 pro 100.000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Einwohner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Sie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sehen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also,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dass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Tuberkulose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eine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ziemlich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schwere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es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rechtzeitig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ist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diese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Krankheit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zu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diagnostizieren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können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die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negativen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Folgen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vermieden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werden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Die Menschen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mit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Immundefizienz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sollten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besonders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auf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ihre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Gesundheit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achten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insbesondere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betrifft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das HIV-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infizierte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Menschen,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weil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Ihr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Immunsystem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nicht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vollständig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schützen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kann</w:t>
      </w:r>
      <w:proofErr w:type="spellEnd"/>
      <w:r w:rsidRPr="00331CEF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:rsidR="00331CEF" w:rsidRPr="00331CEF" w:rsidRDefault="00331CEF" w:rsidP="00331CEF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  <w:proofErr w:type="spellStart"/>
      <w:r w:rsidRPr="00331CEF"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Quellen</w:t>
      </w:r>
      <w:proofErr w:type="spellEnd"/>
    </w:p>
    <w:p w:rsidR="00331CEF" w:rsidRPr="00331CEF" w:rsidRDefault="00174485" w:rsidP="00331CEF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hyperlink r:id="rId7" w:history="1">
        <w:r w:rsidR="00331CEF" w:rsidRPr="00331CEF">
          <w:rPr>
            <w:rStyle w:val="a3"/>
            <w:rFonts w:ascii="Times New Roman" w:hAnsi="Times New Roman" w:cs="Times New Roman"/>
            <w:color w:val="0563C1"/>
            <w:kern w:val="0"/>
            <w:sz w:val="28"/>
            <w:szCs w:val="28"/>
            <w:lang w:val="en-US"/>
          </w:rPr>
          <w:t>https://glavcom.ua/publications/tuberkuloz-v-ukrajini-golovni-cifri-i-fakti-405156.html</w:t>
        </w:r>
      </w:hyperlink>
    </w:p>
    <w:p w:rsidR="00331CEF" w:rsidRPr="00331CEF" w:rsidRDefault="00174485" w:rsidP="00331CEF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hyperlink r:id="rId8" w:history="1">
        <w:r w:rsidR="00331CEF" w:rsidRPr="00331CEF">
          <w:rPr>
            <w:rStyle w:val="a3"/>
            <w:rFonts w:ascii="Times New Roman" w:hAnsi="Times New Roman" w:cs="Times New Roman"/>
            <w:color w:val="0563C1"/>
            <w:kern w:val="0"/>
            <w:sz w:val="28"/>
            <w:szCs w:val="28"/>
            <w:lang w:val="en-US"/>
          </w:rPr>
          <w:t>http://web-local.rudn.ru/web-local/uem/med/3/html2/tub_rus_2006/01_etio/01_02_infection.htm</w:t>
        </w:r>
      </w:hyperlink>
    </w:p>
    <w:p w:rsidR="00331CEF" w:rsidRPr="00331CEF" w:rsidRDefault="00174485" w:rsidP="00331CEF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hyperlink r:id="rId9" w:history="1">
        <w:r w:rsidR="00331CEF" w:rsidRPr="00331CEF">
          <w:rPr>
            <w:rStyle w:val="a3"/>
            <w:rFonts w:ascii="Times New Roman" w:hAnsi="Times New Roman" w:cs="Times New Roman"/>
            <w:color w:val="0563C1"/>
            <w:kern w:val="0"/>
            <w:sz w:val="28"/>
            <w:szCs w:val="28"/>
            <w:lang w:val="en-US"/>
          </w:rPr>
          <w:t>http://www.who.int/features/qa/08/ru/</w:t>
        </w:r>
      </w:hyperlink>
    </w:p>
    <w:p w:rsidR="00331CEF" w:rsidRPr="00331CEF" w:rsidRDefault="00174485" w:rsidP="00331CEF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hyperlink r:id="rId10" w:history="1">
        <w:r w:rsidR="00331CEF" w:rsidRPr="00331CEF">
          <w:rPr>
            <w:rStyle w:val="a3"/>
            <w:rFonts w:ascii="Times New Roman" w:hAnsi="Times New Roman" w:cs="Times New Roman"/>
            <w:color w:val="0563C1"/>
            <w:kern w:val="0"/>
            <w:sz w:val="28"/>
            <w:szCs w:val="28"/>
            <w:lang w:val="en-US"/>
          </w:rPr>
          <w:t>https://www.infektionsschutz.de/erregersteckbriefe/tuberkulose/</w:t>
        </w:r>
      </w:hyperlink>
    </w:p>
    <w:p w:rsidR="00331CEF" w:rsidRPr="00331CEF" w:rsidRDefault="00331CEF" w:rsidP="00331CEF">
      <w:pPr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331CEF">
        <w:rPr>
          <w:rFonts w:ascii="Times New Roman" w:hAnsi="Times New Roman" w:cs="Times New Roman"/>
          <w:kern w:val="0"/>
          <w:sz w:val="28"/>
          <w:szCs w:val="28"/>
          <w:lang w:val="uk-UA"/>
        </w:rPr>
        <w:t>Туберкульоз в Україні / Аналітично-статистичний довідник за 2016 рік. – Київ, 2017. – 216 с. (ДУ «Центр громадського здоров’я Міністерства охорони здоров’я України»)</w:t>
      </w: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331CEF" w:rsidRPr="00331CEF" w:rsidRDefault="00331CEF" w:rsidP="00331CEF">
      <w:pPr>
        <w:suppressAutoHyphens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bookmarkStart w:id="0" w:name="_GoBack"/>
      <w:bookmarkEnd w:id="0"/>
    </w:p>
    <w:p w:rsidR="00331CEF" w:rsidRPr="00331CEF" w:rsidRDefault="00331CEF" w:rsidP="00331C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154C" w:rsidRPr="00331CEF" w:rsidRDefault="00DB154C" w:rsidP="00331CE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54C" w:rsidRPr="00331CEF" w:rsidSect="00331C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84A"/>
    <w:multiLevelType w:val="hybridMultilevel"/>
    <w:tmpl w:val="5544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7F88"/>
    <w:multiLevelType w:val="hybridMultilevel"/>
    <w:tmpl w:val="8FF2B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174485"/>
    <w:rsid w:val="002708CB"/>
    <w:rsid w:val="00331CEF"/>
    <w:rsid w:val="00D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8EA4-A376-4999-99B4-C01D323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EF"/>
    <w:pPr>
      <w:suppressAutoHyphens/>
      <w:spacing w:line="256" w:lineRule="auto"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local.rudn.ru/web-local/uem/med/3/html2/tub_rus_2006/01_etio/01_02_infec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avcom.ua/publications/tuberkuloz-v-ukrajini-golovni-cifri-i-fakti-40515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HIV" TargetMode="External"/><Relationship Id="rId10" Type="http://schemas.openxmlformats.org/officeDocument/2006/relationships/hyperlink" Target="https://www.infektionsschutz.de/erregersteckbriefe/tuberkul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features/qa/08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5207</Words>
  <Characters>2968</Characters>
  <Application>Microsoft Office Word</Application>
  <DocSecurity>0</DocSecurity>
  <Lines>24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Синепол</dc:creator>
  <cp:keywords/>
  <dc:description/>
  <cp:lastModifiedBy>Maryna Bogun</cp:lastModifiedBy>
  <cp:revision>4</cp:revision>
  <dcterms:created xsi:type="dcterms:W3CDTF">2018-03-10T17:50:00Z</dcterms:created>
  <dcterms:modified xsi:type="dcterms:W3CDTF">2018-04-18T17:45:00Z</dcterms:modified>
</cp:coreProperties>
</file>