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5E3" w:rsidRPr="002E6ECA" w:rsidRDefault="007815E3" w:rsidP="007815E3">
      <w:pPr>
        <w:shd w:val="clear" w:color="auto" w:fill="FFFFFF"/>
        <w:spacing w:line="360" w:lineRule="auto"/>
        <w:ind w:right="-1"/>
        <w:jc w:val="center"/>
        <w:rPr>
          <w:sz w:val="28"/>
          <w:szCs w:val="28"/>
          <w:lang w:val="uk-UA"/>
        </w:rPr>
      </w:pPr>
      <w:r w:rsidRPr="002E6ECA">
        <w:rPr>
          <w:sz w:val="28"/>
          <w:szCs w:val="28"/>
          <w:lang w:val="uk-UA"/>
        </w:rPr>
        <w:t>ДЕРЖАВНА УСТАНОВА «ІНСТИТУТ ОХОРОНИ ЗДОРОВ’Я ДІТЕЙ ТА ПІДЛІТКІВ НАЦІОНАЛЬНОЇ АКАДЕМІЇ МЕДИЧНИХ НАУК УКРАЇНИ»</w:t>
      </w:r>
      <w:r w:rsidR="00B14B2C" w:rsidRPr="002E6ECA">
        <w:rPr>
          <w:sz w:val="28"/>
          <w:szCs w:val="28"/>
          <w:lang w:val="uk-UA"/>
        </w:rPr>
        <w:t xml:space="preserve"> </w:t>
      </w:r>
    </w:p>
    <w:p w:rsidR="00B14B2C" w:rsidRPr="002E6ECA" w:rsidRDefault="00F235B8" w:rsidP="00B14B2C">
      <w:pPr>
        <w:spacing w:line="360" w:lineRule="auto"/>
        <w:jc w:val="center"/>
        <w:rPr>
          <w:sz w:val="28"/>
          <w:szCs w:val="28"/>
          <w:lang w:val="uk-UA"/>
        </w:rPr>
      </w:pPr>
      <w:r w:rsidRPr="002E6ECA">
        <w:rPr>
          <w:sz w:val="28"/>
          <w:szCs w:val="28"/>
        </w:rPr>
        <w:t>Х</w:t>
      </w:r>
      <w:r w:rsidRPr="002E6ECA">
        <w:rPr>
          <w:sz w:val="28"/>
          <w:szCs w:val="28"/>
          <w:lang w:val="uk-UA"/>
        </w:rPr>
        <w:t xml:space="preserve">АРКІВСЬКИЙ НАЦІОНАЛЬНИЙ МЕДИЧНИЙ УНІВЕРСИТЕТ </w:t>
      </w:r>
      <w:r w:rsidR="00613D95" w:rsidRPr="002E6ECA">
        <w:rPr>
          <w:sz w:val="28"/>
          <w:szCs w:val="28"/>
          <w:lang w:val="uk-UA"/>
        </w:rPr>
        <w:t xml:space="preserve">               </w:t>
      </w:r>
      <w:r w:rsidRPr="002E6ECA">
        <w:rPr>
          <w:sz w:val="28"/>
          <w:szCs w:val="28"/>
          <w:lang w:val="uk-UA"/>
        </w:rPr>
        <w:t xml:space="preserve">МОЗ УКРАЇНИ </w:t>
      </w:r>
    </w:p>
    <w:p w:rsidR="00B14B2C" w:rsidRPr="002E6ECA" w:rsidRDefault="00B14B2C" w:rsidP="007815E3">
      <w:pPr>
        <w:shd w:val="clear" w:color="auto" w:fill="FFFFFF"/>
        <w:spacing w:line="360" w:lineRule="auto"/>
        <w:ind w:right="-1"/>
        <w:jc w:val="center"/>
        <w:rPr>
          <w:lang w:val="uk-UA"/>
        </w:rPr>
      </w:pPr>
    </w:p>
    <w:p w:rsidR="007815E3" w:rsidRPr="002E6ECA" w:rsidRDefault="007815E3" w:rsidP="007815E3">
      <w:pPr>
        <w:shd w:val="clear" w:color="auto" w:fill="FFFFFF"/>
        <w:spacing w:line="360" w:lineRule="auto"/>
        <w:ind w:right="1229" w:firstLine="709"/>
        <w:jc w:val="center"/>
        <w:rPr>
          <w:lang w:val="uk-UA"/>
        </w:rPr>
      </w:pPr>
    </w:p>
    <w:p w:rsidR="00B14B2C" w:rsidRPr="002E6ECA" w:rsidRDefault="00B14B2C" w:rsidP="00B14B2C">
      <w:pPr>
        <w:shd w:val="clear" w:color="auto" w:fill="FFFFFF"/>
        <w:spacing w:line="360" w:lineRule="auto"/>
        <w:ind w:right="-1"/>
        <w:jc w:val="center"/>
        <w:rPr>
          <w:sz w:val="28"/>
          <w:szCs w:val="28"/>
        </w:rPr>
      </w:pPr>
      <w:r w:rsidRPr="002E6ECA">
        <w:rPr>
          <w:sz w:val="28"/>
          <w:szCs w:val="28"/>
          <w:lang w:val="uk-UA"/>
        </w:rPr>
        <w:t xml:space="preserve">                                                                                          Кваліфікаційна наукова</w:t>
      </w:r>
      <w:r w:rsidRPr="002E6ECA">
        <w:rPr>
          <w:sz w:val="28"/>
          <w:szCs w:val="28"/>
        </w:rPr>
        <w:t xml:space="preserve"> </w:t>
      </w:r>
    </w:p>
    <w:p w:rsidR="007815E3" w:rsidRPr="002E6ECA" w:rsidRDefault="00B14B2C" w:rsidP="00B14B2C">
      <w:pPr>
        <w:shd w:val="clear" w:color="auto" w:fill="FFFFFF"/>
        <w:spacing w:line="360" w:lineRule="auto"/>
        <w:ind w:right="-1"/>
        <w:jc w:val="right"/>
        <w:rPr>
          <w:sz w:val="28"/>
          <w:szCs w:val="28"/>
          <w:lang w:val="uk-UA"/>
        </w:rPr>
      </w:pPr>
      <w:r w:rsidRPr="002E6ECA">
        <w:rPr>
          <w:sz w:val="28"/>
          <w:szCs w:val="28"/>
          <w:lang w:val="uk-UA"/>
        </w:rPr>
        <w:t>п</w:t>
      </w:r>
      <w:r w:rsidR="007815E3" w:rsidRPr="002E6ECA">
        <w:rPr>
          <w:sz w:val="28"/>
          <w:szCs w:val="28"/>
          <w:lang w:val="uk-UA"/>
        </w:rPr>
        <w:t>раця</w:t>
      </w:r>
      <w:r w:rsidRPr="002E6ECA">
        <w:rPr>
          <w:sz w:val="28"/>
          <w:szCs w:val="28"/>
        </w:rPr>
        <w:t xml:space="preserve"> </w:t>
      </w:r>
      <w:r w:rsidR="007815E3" w:rsidRPr="002E6ECA">
        <w:rPr>
          <w:sz w:val="28"/>
          <w:szCs w:val="28"/>
          <w:lang w:val="uk-UA"/>
        </w:rPr>
        <w:t>на правах рукопису</w:t>
      </w:r>
    </w:p>
    <w:p w:rsidR="007815E3" w:rsidRPr="002E6ECA" w:rsidRDefault="007815E3" w:rsidP="007815E3">
      <w:pPr>
        <w:shd w:val="clear" w:color="auto" w:fill="FFFFFF"/>
        <w:spacing w:line="360" w:lineRule="auto"/>
        <w:ind w:right="1229" w:firstLine="709"/>
        <w:jc w:val="center"/>
        <w:rPr>
          <w:lang w:val="uk-UA"/>
        </w:rPr>
      </w:pPr>
      <w:r w:rsidRPr="002E6ECA">
        <w:rPr>
          <w:lang w:val="uk-UA"/>
        </w:rPr>
        <w:t xml:space="preserve"> </w:t>
      </w:r>
    </w:p>
    <w:p w:rsidR="007815E3" w:rsidRPr="002E6ECA" w:rsidRDefault="007815E3" w:rsidP="007815E3">
      <w:pPr>
        <w:shd w:val="clear" w:color="auto" w:fill="FFFFFF"/>
        <w:spacing w:line="360" w:lineRule="auto"/>
        <w:ind w:right="1229" w:firstLine="709"/>
        <w:jc w:val="center"/>
        <w:rPr>
          <w:lang w:val="uk-UA"/>
        </w:rPr>
      </w:pPr>
    </w:p>
    <w:p w:rsidR="007815E3" w:rsidRPr="002E6ECA" w:rsidRDefault="007815E3" w:rsidP="007815E3">
      <w:pPr>
        <w:shd w:val="clear" w:color="auto" w:fill="FFFFFF"/>
        <w:spacing w:line="360" w:lineRule="auto"/>
        <w:ind w:right="1229" w:firstLine="709"/>
        <w:jc w:val="center"/>
        <w:rPr>
          <w:sz w:val="28"/>
          <w:szCs w:val="28"/>
          <w:lang w:val="uk-UA"/>
        </w:rPr>
      </w:pPr>
      <w:r w:rsidRPr="002E6ECA">
        <w:rPr>
          <w:sz w:val="28"/>
          <w:szCs w:val="28"/>
          <w:lang w:val="uk-UA"/>
        </w:rPr>
        <w:t>СОТНІКОВА-МЕЛЕШКІНА ЖАННА ВЛАДИСЛАВІВНА</w:t>
      </w:r>
    </w:p>
    <w:p w:rsidR="007815E3" w:rsidRPr="002E6ECA" w:rsidRDefault="007815E3" w:rsidP="007815E3">
      <w:pPr>
        <w:shd w:val="clear" w:color="auto" w:fill="FFFFFF"/>
        <w:spacing w:line="360" w:lineRule="auto"/>
        <w:ind w:right="1229" w:firstLine="709"/>
        <w:jc w:val="center"/>
        <w:rPr>
          <w:lang w:val="uk-UA"/>
        </w:rPr>
      </w:pPr>
    </w:p>
    <w:p w:rsidR="007815E3" w:rsidRPr="002E6ECA" w:rsidRDefault="007815E3" w:rsidP="00E049AA">
      <w:pPr>
        <w:shd w:val="clear" w:color="auto" w:fill="FFFFFF"/>
        <w:spacing w:line="360" w:lineRule="auto"/>
        <w:ind w:left="707" w:right="1229" w:firstLine="709"/>
        <w:jc w:val="right"/>
        <w:rPr>
          <w:sz w:val="28"/>
          <w:szCs w:val="28"/>
          <w:lang w:val="uk-UA"/>
        </w:rPr>
      </w:pPr>
      <w:r w:rsidRPr="002E6ECA">
        <w:rPr>
          <w:sz w:val="28"/>
          <w:szCs w:val="28"/>
          <w:lang w:val="uk-UA"/>
        </w:rPr>
        <w:t>УДК 613.995:373(043.3)</w:t>
      </w:r>
    </w:p>
    <w:p w:rsidR="007815E3" w:rsidRPr="002E6ECA" w:rsidRDefault="007815E3" w:rsidP="007815E3">
      <w:pPr>
        <w:shd w:val="clear" w:color="auto" w:fill="FFFFFF"/>
        <w:spacing w:line="360" w:lineRule="auto"/>
        <w:ind w:left="707" w:right="1229" w:firstLine="709"/>
        <w:jc w:val="center"/>
        <w:rPr>
          <w:sz w:val="28"/>
          <w:szCs w:val="28"/>
          <w:lang w:val="uk-UA"/>
        </w:rPr>
      </w:pPr>
    </w:p>
    <w:p w:rsidR="007815E3" w:rsidRPr="002E6ECA" w:rsidRDefault="007815E3" w:rsidP="007815E3">
      <w:pPr>
        <w:shd w:val="clear" w:color="auto" w:fill="FFFFFF"/>
        <w:spacing w:line="360" w:lineRule="auto"/>
        <w:ind w:right="1229" w:firstLine="709"/>
        <w:jc w:val="center"/>
        <w:rPr>
          <w:lang w:val="uk-UA"/>
        </w:rPr>
      </w:pPr>
      <w:r w:rsidRPr="002E6ECA">
        <w:rPr>
          <w:b/>
          <w:bCs/>
          <w:sz w:val="28"/>
          <w:szCs w:val="28"/>
          <w:lang w:val="uk-UA"/>
        </w:rPr>
        <w:t>ДИСЕРТАЦІЯ</w:t>
      </w:r>
    </w:p>
    <w:p w:rsidR="007815E3" w:rsidRPr="002E6ECA" w:rsidRDefault="007815E3" w:rsidP="007815E3">
      <w:pPr>
        <w:shd w:val="clear" w:color="auto" w:fill="FFFFFF"/>
        <w:spacing w:line="360" w:lineRule="auto"/>
        <w:ind w:right="-1" w:firstLine="709"/>
        <w:jc w:val="center"/>
        <w:rPr>
          <w:sz w:val="28"/>
          <w:szCs w:val="28"/>
          <w:lang w:val="uk-UA"/>
        </w:rPr>
      </w:pPr>
      <w:r w:rsidRPr="002E6ECA">
        <w:rPr>
          <w:sz w:val="28"/>
          <w:szCs w:val="28"/>
          <w:lang w:val="uk-UA"/>
        </w:rPr>
        <w:t>ОБҐРУНТУВАННЯ КОНЦЕПТУАЛЬНОЇ МОДЕЛІ ГІГІЄНІЧНОГО МОНІТОРИНГУ ГРУПОВОГО ЗДОРОВ’Я ШКОЛЯРІВ В УМОВАХ ІНТЕНСИФІКАЦІЇ НАВЧАЛЬНОГО ПРОЦЕСУ</w:t>
      </w:r>
    </w:p>
    <w:p w:rsidR="007815E3" w:rsidRPr="002E6ECA" w:rsidRDefault="007815E3" w:rsidP="007815E3">
      <w:pPr>
        <w:shd w:val="clear" w:color="auto" w:fill="FFFFFF"/>
        <w:spacing w:line="360" w:lineRule="auto"/>
        <w:ind w:right="1229" w:firstLine="709"/>
        <w:jc w:val="center"/>
        <w:rPr>
          <w:sz w:val="28"/>
          <w:szCs w:val="28"/>
          <w:lang w:val="uk-UA"/>
        </w:rPr>
      </w:pPr>
    </w:p>
    <w:p w:rsidR="007815E3" w:rsidRPr="002E6ECA" w:rsidRDefault="007815E3" w:rsidP="007815E3">
      <w:pPr>
        <w:shd w:val="clear" w:color="auto" w:fill="FFFFFF"/>
        <w:spacing w:line="360" w:lineRule="auto"/>
        <w:ind w:right="-1"/>
        <w:jc w:val="center"/>
        <w:rPr>
          <w:sz w:val="28"/>
          <w:szCs w:val="28"/>
          <w:lang w:val="uk-UA"/>
        </w:rPr>
      </w:pPr>
      <w:r w:rsidRPr="002E6ECA">
        <w:rPr>
          <w:sz w:val="28"/>
          <w:szCs w:val="28"/>
          <w:lang w:val="uk-UA"/>
        </w:rPr>
        <w:t>14.02.01 – гігієна та професійна патологія</w:t>
      </w:r>
    </w:p>
    <w:p w:rsidR="00B14B2C" w:rsidRPr="002E6ECA" w:rsidRDefault="00B14B2C" w:rsidP="007815E3">
      <w:pPr>
        <w:shd w:val="clear" w:color="auto" w:fill="FFFFFF"/>
        <w:spacing w:line="360" w:lineRule="auto"/>
        <w:ind w:right="-1"/>
        <w:jc w:val="center"/>
        <w:rPr>
          <w:sz w:val="28"/>
          <w:szCs w:val="28"/>
          <w:lang w:val="uk-UA"/>
        </w:rPr>
      </w:pPr>
    </w:p>
    <w:p w:rsidR="00613D95" w:rsidRPr="002E6ECA" w:rsidRDefault="00613D95" w:rsidP="007815E3">
      <w:pPr>
        <w:shd w:val="clear" w:color="auto" w:fill="FFFFFF"/>
        <w:spacing w:line="360" w:lineRule="auto"/>
        <w:ind w:right="-1"/>
        <w:jc w:val="center"/>
        <w:rPr>
          <w:sz w:val="28"/>
          <w:szCs w:val="28"/>
          <w:lang w:val="uk-UA"/>
        </w:rPr>
      </w:pPr>
    </w:p>
    <w:p w:rsidR="007815E3" w:rsidRPr="002E6ECA" w:rsidRDefault="007815E3" w:rsidP="00B14B2C">
      <w:pPr>
        <w:shd w:val="clear" w:color="auto" w:fill="FFFFFF"/>
        <w:spacing w:line="360" w:lineRule="auto"/>
        <w:ind w:right="-1"/>
        <w:jc w:val="center"/>
        <w:rPr>
          <w:sz w:val="28"/>
          <w:szCs w:val="28"/>
          <w:lang w:val="uk-UA"/>
        </w:rPr>
      </w:pPr>
      <w:r w:rsidRPr="002E6ECA">
        <w:rPr>
          <w:sz w:val="28"/>
          <w:szCs w:val="28"/>
          <w:lang w:val="uk-UA"/>
        </w:rPr>
        <w:t>Подається на здобуття наукового ступеня доктора медичних наук</w:t>
      </w:r>
    </w:p>
    <w:p w:rsidR="007815E3" w:rsidRPr="002E6ECA" w:rsidRDefault="007815E3" w:rsidP="007815E3">
      <w:pPr>
        <w:shd w:val="clear" w:color="auto" w:fill="FFFFFF"/>
        <w:spacing w:line="360" w:lineRule="auto"/>
        <w:ind w:right="-1"/>
        <w:jc w:val="both"/>
        <w:rPr>
          <w:sz w:val="28"/>
          <w:szCs w:val="28"/>
          <w:lang w:val="uk-UA"/>
        </w:rPr>
      </w:pPr>
      <w:r w:rsidRPr="002E6ECA">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815E3" w:rsidRPr="002E6ECA" w:rsidRDefault="007815E3" w:rsidP="007815E3">
      <w:pPr>
        <w:shd w:val="clear" w:color="auto" w:fill="FFFFFF"/>
        <w:spacing w:line="360" w:lineRule="auto"/>
        <w:ind w:right="1229"/>
        <w:rPr>
          <w:sz w:val="28"/>
          <w:szCs w:val="28"/>
          <w:lang w:val="uk-UA"/>
        </w:rPr>
      </w:pPr>
      <w:r w:rsidRPr="002E6ECA">
        <w:rPr>
          <w:sz w:val="28"/>
          <w:szCs w:val="28"/>
          <w:lang w:val="uk-UA"/>
        </w:rPr>
        <w:t>___________________________ Ж. В. Сотнікова-Мелешкіна</w:t>
      </w:r>
    </w:p>
    <w:p w:rsidR="007815E3" w:rsidRPr="002E6ECA" w:rsidRDefault="007815E3" w:rsidP="007815E3">
      <w:pPr>
        <w:shd w:val="clear" w:color="auto" w:fill="FFFFFF"/>
        <w:spacing w:line="360" w:lineRule="auto"/>
        <w:ind w:right="-1"/>
        <w:rPr>
          <w:sz w:val="28"/>
          <w:szCs w:val="28"/>
          <w:lang w:val="uk-UA"/>
        </w:rPr>
      </w:pPr>
    </w:p>
    <w:p w:rsidR="007815E3" w:rsidRPr="002E6ECA" w:rsidRDefault="007815E3" w:rsidP="007815E3">
      <w:pPr>
        <w:shd w:val="clear" w:color="auto" w:fill="FFFFFF"/>
        <w:spacing w:line="360" w:lineRule="auto"/>
        <w:ind w:right="-1"/>
        <w:rPr>
          <w:sz w:val="28"/>
          <w:szCs w:val="28"/>
          <w:lang w:val="uk-UA"/>
        </w:rPr>
      </w:pPr>
      <w:r w:rsidRPr="002E6ECA">
        <w:rPr>
          <w:sz w:val="28"/>
          <w:szCs w:val="28"/>
          <w:lang w:val="uk-UA"/>
        </w:rPr>
        <w:t>Науковий консультант: Даниленко Георгій Миколайович, доктор медичних наук, професор</w:t>
      </w:r>
    </w:p>
    <w:p w:rsidR="007815E3" w:rsidRPr="002E6ECA" w:rsidRDefault="007815E3" w:rsidP="007815E3">
      <w:pPr>
        <w:shd w:val="clear" w:color="auto" w:fill="FFFFFF"/>
        <w:spacing w:line="360" w:lineRule="auto"/>
        <w:ind w:right="-1"/>
        <w:rPr>
          <w:sz w:val="28"/>
          <w:szCs w:val="28"/>
          <w:lang w:val="uk-UA"/>
        </w:rPr>
      </w:pPr>
    </w:p>
    <w:p w:rsidR="006374EA" w:rsidRPr="002E6ECA" w:rsidRDefault="007815E3" w:rsidP="007815E3">
      <w:pPr>
        <w:shd w:val="clear" w:color="auto" w:fill="FFFFFF"/>
        <w:spacing w:line="360" w:lineRule="auto"/>
        <w:ind w:right="-1"/>
        <w:jc w:val="center"/>
        <w:rPr>
          <w:b/>
          <w:bCs/>
          <w:sz w:val="28"/>
          <w:szCs w:val="28"/>
          <w:lang w:val="uk-UA"/>
        </w:rPr>
      </w:pPr>
      <w:r w:rsidRPr="002E6ECA">
        <w:rPr>
          <w:sz w:val="28"/>
          <w:szCs w:val="28"/>
          <w:lang w:val="uk-UA"/>
        </w:rPr>
        <w:t>Харків – 2021</w:t>
      </w:r>
      <w:r w:rsidR="006374EA" w:rsidRPr="002E6ECA">
        <w:rPr>
          <w:b/>
          <w:bCs/>
          <w:sz w:val="28"/>
          <w:szCs w:val="28"/>
          <w:lang w:val="uk-UA"/>
        </w:rPr>
        <w:br w:type="page"/>
      </w:r>
    </w:p>
    <w:p w:rsidR="006374EA" w:rsidRPr="002E6ECA" w:rsidRDefault="006374EA" w:rsidP="006374EA">
      <w:pPr>
        <w:spacing w:after="200" w:line="360" w:lineRule="auto"/>
        <w:jc w:val="center"/>
        <w:rPr>
          <w:lang w:val="uk-UA"/>
        </w:rPr>
      </w:pPr>
      <w:r w:rsidRPr="002E6ECA">
        <w:rPr>
          <w:b/>
          <w:bCs/>
          <w:sz w:val="28"/>
          <w:szCs w:val="28"/>
          <w:lang w:val="uk-UA"/>
        </w:rPr>
        <w:lastRenderedPageBreak/>
        <w:t>АНОТАЦІЯ</w:t>
      </w:r>
      <w:r w:rsidR="00586B61" w:rsidRPr="002E6ECA">
        <w:rPr>
          <w:b/>
          <w:bCs/>
          <w:sz w:val="28"/>
          <w:szCs w:val="28"/>
          <w:lang w:val="uk-UA"/>
        </w:rPr>
        <w:t xml:space="preserve"> </w:t>
      </w:r>
    </w:p>
    <w:p w:rsidR="006374EA" w:rsidRPr="002E6ECA" w:rsidRDefault="006374EA" w:rsidP="006374EA">
      <w:pPr>
        <w:spacing w:line="360" w:lineRule="auto"/>
        <w:ind w:firstLine="709"/>
        <w:jc w:val="both"/>
        <w:rPr>
          <w:sz w:val="28"/>
          <w:szCs w:val="28"/>
          <w:lang w:val="uk-UA"/>
        </w:rPr>
      </w:pPr>
      <w:r w:rsidRPr="002E6ECA">
        <w:rPr>
          <w:sz w:val="28"/>
          <w:szCs w:val="28"/>
          <w:lang w:val="uk-UA"/>
        </w:rPr>
        <w:t>Сотнікова-Мелешкіна Ж.В. Обґрунтування концептуальної моделі гігієнічного моніторингу групового здоров’я школярів в умовах інтенсифікації навчального процесу – Кваліфікаційна наукова праця на правах рукопису.</w:t>
      </w:r>
    </w:p>
    <w:p w:rsidR="006374EA" w:rsidRPr="002E6ECA" w:rsidRDefault="006374EA" w:rsidP="006374EA">
      <w:pPr>
        <w:spacing w:line="360" w:lineRule="auto"/>
        <w:ind w:firstLine="709"/>
        <w:jc w:val="both"/>
        <w:rPr>
          <w:sz w:val="28"/>
          <w:szCs w:val="28"/>
          <w:lang w:val="uk-UA"/>
        </w:rPr>
      </w:pPr>
      <w:r w:rsidRPr="002E6ECA">
        <w:rPr>
          <w:sz w:val="28"/>
          <w:szCs w:val="28"/>
          <w:lang w:val="uk-UA"/>
        </w:rPr>
        <w:t>Дисертація на здобуття наукового ступеня доктора медичних наук за спеціальністю 14.02.</w:t>
      </w:r>
      <w:r w:rsidR="006B32ED" w:rsidRPr="002E6ECA">
        <w:rPr>
          <w:sz w:val="28"/>
          <w:szCs w:val="28"/>
          <w:lang w:val="uk-UA"/>
        </w:rPr>
        <w:t xml:space="preserve">01 </w:t>
      </w:r>
      <w:r w:rsidR="006F7895" w:rsidRPr="002E6ECA">
        <w:rPr>
          <w:sz w:val="28"/>
          <w:szCs w:val="28"/>
          <w:lang w:val="uk-UA"/>
        </w:rPr>
        <w:t>«</w:t>
      </w:r>
      <w:r w:rsidRPr="002E6ECA">
        <w:rPr>
          <w:sz w:val="28"/>
          <w:szCs w:val="28"/>
          <w:lang w:val="uk-UA"/>
        </w:rPr>
        <w:t>Гігієна та професійна патологія</w:t>
      </w:r>
      <w:r w:rsidR="006F7895" w:rsidRPr="002E6ECA">
        <w:rPr>
          <w:sz w:val="28"/>
          <w:szCs w:val="28"/>
          <w:lang w:val="uk-UA"/>
        </w:rPr>
        <w:t>»</w:t>
      </w:r>
      <w:r w:rsidRPr="002E6ECA">
        <w:rPr>
          <w:sz w:val="28"/>
          <w:szCs w:val="28"/>
          <w:lang w:val="uk-UA"/>
        </w:rPr>
        <w:t xml:space="preserve"> (222 – Медицина). – Державна установа «Інститут охорони здоров’я дітей та підлітків Національної академії медичних наук України», Харків, 2021</w:t>
      </w:r>
      <w:r w:rsidR="006F7895" w:rsidRPr="002E6ECA">
        <w:rPr>
          <w:sz w:val="28"/>
          <w:szCs w:val="28"/>
          <w:lang w:val="uk-UA"/>
        </w:rPr>
        <w:t>.</w:t>
      </w:r>
    </w:p>
    <w:p w:rsidR="006F7895" w:rsidRPr="002E6ECA" w:rsidRDefault="006F7895" w:rsidP="006F7895">
      <w:pPr>
        <w:spacing w:line="360" w:lineRule="auto"/>
        <w:ind w:firstLine="709"/>
        <w:jc w:val="both"/>
        <w:rPr>
          <w:sz w:val="28"/>
          <w:szCs w:val="28"/>
          <w:bdr w:val="none" w:sz="0" w:space="0" w:color="auto" w:frame="1"/>
          <w:lang w:val="uk-UA" w:eastAsia="uk-UA"/>
        </w:rPr>
      </w:pPr>
      <w:r w:rsidRPr="002E6ECA">
        <w:rPr>
          <w:sz w:val="28"/>
          <w:szCs w:val="28"/>
          <w:bdr w:val="none" w:sz="0" w:space="0" w:color="auto" w:frame="1"/>
          <w:lang w:val="uk-UA" w:eastAsia="uk-UA"/>
        </w:rPr>
        <w:t>Дисертація захищається в Харківському національному медичному  університеті МОЗ України, Харків, 2021.</w:t>
      </w:r>
    </w:p>
    <w:p w:rsidR="00192394" w:rsidRPr="002E6ECA" w:rsidRDefault="00E10BB1" w:rsidP="00192394">
      <w:pPr>
        <w:tabs>
          <w:tab w:val="left" w:pos="1134"/>
        </w:tabs>
        <w:spacing w:line="360" w:lineRule="auto"/>
        <w:ind w:firstLine="709"/>
        <w:jc w:val="both"/>
        <w:rPr>
          <w:rStyle w:val="fontstyle11"/>
          <w:color w:val="auto"/>
          <w:lang w:val="uk-UA"/>
        </w:rPr>
      </w:pPr>
      <w:r w:rsidRPr="002E6ECA">
        <w:rPr>
          <w:sz w:val="28"/>
          <w:szCs w:val="28"/>
          <w:lang w:val="uk-UA"/>
        </w:rPr>
        <w:t>Дисертацію присвячено розв’язанню важливої науково-практичної проблеми у галузі гігієни дітей та підлітків щодо збереження та зміцнення здоров’я, профілактики неінфекційних захворювань серед учнів середнього шкільного віку шляхом наукового обґрунтування та розробки концептуальної моделі гігієнічного моніторингу групового здоров’я школярів в умовах інтенсифікації навчального процесу, що складається з базової та поглибленої скринінг-діагностики із виокремленням групи ризику з формування шкільної дезадаптації; доведено її ефективність з позицій теорії керування.</w:t>
      </w:r>
    </w:p>
    <w:p w:rsidR="00192394" w:rsidRPr="002E6ECA" w:rsidRDefault="00192394" w:rsidP="00192394">
      <w:pPr>
        <w:spacing w:line="360" w:lineRule="auto"/>
        <w:ind w:firstLine="709"/>
        <w:jc w:val="both"/>
        <w:rPr>
          <w:sz w:val="28"/>
          <w:szCs w:val="28"/>
          <w:lang w:val="uk-UA"/>
        </w:rPr>
      </w:pPr>
      <w:r w:rsidRPr="002E6ECA">
        <w:rPr>
          <w:sz w:val="28"/>
          <w:szCs w:val="28"/>
          <w:lang w:val="uk-UA"/>
        </w:rPr>
        <w:t>Метою роботи є розроблення комплексної програми гігієнічного моніторингу групового здоров’я школярів щодо профілактики неінфекційних захворювань та шкільної дезадаптації учнів середнього шкільного віку в умовах інтенсифікації навчального процесу.</w:t>
      </w:r>
    </w:p>
    <w:p w:rsidR="00192394" w:rsidRPr="002E6ECA" w:rsidRDefault="00192394" w:rsidP="00192394">
      <w:pPr>
        <w:spacing w:line="360" w:lineRule="auto"/>
        <w:ind w:firstLine="709"/>
        <w:jc w:val="both"/>
        <w:rPr>
          <w:sz w:val="28"/>
          <w:szCs w:val="28"/>
          <w:lang w:val="uk-UA"/>
        </w:rPr>
      </w:pPr>
      <w:r w:rsidRPr="002E6ECA">
        <w:rPr>
          <w:sz w:val="28"/>
          <w:szCs w:val="28"/>
          <w:lang w:val="uk-UA"/>
        </w:rPr>
        <w:t xml:space="preserve">Дослідження проводились на базі 47 закладів загальної середньої освіти, що розташовані у обласних центрах, містах районного значення, селищах та селах Дніпровської, Донецької, Київської, Львівської, Рівненської, Харківської області, міст Вінниця, Тернопіль, Кривий Ріг, Чернівці.  </w:t>
      </w:r>
    </w:p>
    <w:p w:rsidR="00192394" w:rsidRPr="002E6ECA" w:rsidRDefault="00192394" w:rsidP="00192394">
      <w:pPr>
        <w:spacing w:line="360" w:lineRule="auto"/>
        <w:ind w:firstLine="567"/>
        <w:jc w:val="both"/>
        <w:rPr>
          <w:b/>
          <w:bCs/>
          <w:sz w:val="28"/>
          <w:szCs w:val="28"/>
          <w:lang w:val="uk-UA"/>
        </w:rPr>
      </w:pPr>
      <w:r w:rsidRPr="002E6ECA">
        <w:rPr>
          <w:bCs/>
          <w:sz w:val="28"/>
          <w:szCs w:val="28"/>
          <w:lang w:val="uk-UA"/>
        </w:rPr>
        <w:t>У роботі було використано</w:t>
      </w:r>
      <w:r w:rsidRPr="002E6ECA">
        <w:rPr>
          <w:sz w:val="28"/>
          <w:szCs w:val="28"/>
          <w:lang w:val="uk-UA"/>
        </w:rPr>
        <w:t xml:space="preserve"> гігієнічні, клінічні, медико-соціологічні, психофізіологічні, психолого-педагогічні, статистичні</w:t>
      </w:r>
      <w:r w:rsidRPr="002E6ECA">
        <w:rPr>
          <w:bCs/>
          <w:sz w:val="28"/>
          <w:szCs w:val="28"/>
          <w:lang w:val="uk-UA"/>
        </w:rPr>
        <w:t xml:space="preserve"> </w:t>
      </w:r>
      <w:r w:rsidRPr="002E6ECA">
        <w:rPr>
          <w:b/>
          <w:bCs/>
          <w:sz w:val="28"/>
          <w:szCs w:val="28"/>
          <w:lang w:val="uk-UA"/>
        </w:rPr>
        <w:t xml:space="preserve">методи дослідження.  </w:t>
      </w:r>
    </w:p>
    <w:p w:rsidR="00586B61" w:rsidRPr="002E6ECA" w:rsidRDefault="006374EA" w:rsidP="006374EA">
      <w:pPr>
        <w:spacing w:line="360" w:lineRule="auto"/>
        <w:ind w:firstLine="851"/>
        <w:jc w:val="both"/>
        <w:rPr>
          <w:sz w:val="28"/>
          <w:szCs w:val="28"/>
          <w:lang w:val="uk-UA"/>
        </w:rPr>
      </w:pPr>
      <w:r w:rsidRPr="002E6ECA">
        <w:rPr>
          <w:b/>
          <w:sz w:val="28"/>
          <w:szCs w:val="28"/>
          <w:lang w:val="uk-UA"/>
        </w:rPr>
        <w:t>Наукова новизна отриманих результатів</w:t>
      </w:r>
      <w:r w:rsidRPr="002E6ECA">
        <w:rPr>
          <w:sz w:val="28"/>
          <w:szCs w:val="28"/>
          <w:lang w:val="uk-UA"/>
        </w:rPr>
        <w:t xml:space="preserve"> полягає у в тому, що вперше в Україні</w:t>
      </w:r>
      <w:r w:rsidR="00586B61" w:rsidRPr="002E6ECA">
        <w:rPr>
          <w:sz w:val="28"/>
          <w:szCs w:val="28"/>
          <w:lang w:val="uk-UA"/>
        </w:rPr>
        <w:t>:</w:t>
      </w:r>
      <w:r w:rsidRPr="002E6ECA">
        <w:rPr>
          <w:sz w:val="28"/>
          <w:szCs w:val="28"/>
          <w:lang w:val="uk-UA"/>
        </w:rPr>
        <w:t xml:space="preserve"> </w:t>
      </w:r>
    </w:p>
    <w:p w:rsidR="00262B5F" w:rsidRPr="002E6ECA" w:rsidRDefault="00262B5F" w:rsidP="009A2CF7">
      <w:pPr>
        <w:numPr>
          <w:ilvl w:val="0"/>
          <w:numId w:val="49"/>
        </w:numPr>
        <w:tabs>
          <w:tab w:val="clear" w:pos="1140"/>
          <w:tab w:val="left" w:pos="1276"/>
        </w:tabs>
        <w:spacing w:line="360" w:lineRule="auto"/>
        <w:ind w:left="0" w:firstLine="851"/>
        <w:jc w:val="both"/>
        <w:rPr>
          <w:sz w:val="28"/>
          <w:szCs w:val="28"/>
          <w:lang w:val="uk-UA"/>
        </w:rPr>
      </w:pPr>
      <w:r w:rsidRPr="002E6ECA">
        <w:rPr>
          <w:spacing w:val="-4"/>
          <w:sz w:val="28"/>
          <w:szCs w:val="28"/>
          <w:lang w:val="uk-UA"/>
        </w:rPr>
        <w:lastRenderedPageBreak/>
        <w:t>обґрунтовано модель гігієнічного моніторингу групового здоров’я дітей шкільного віку, що базується на двоетапному скринінгу суб’єктивних та об’єктивних показників здоров’я. Оцінено відповідність розробленої моделі основним положенням та принципам теорії керування та доведено її ефективність</w:t>
      </w:r>
      <w:r w:rsidRPr="002E6ECA">
        <w:rPr>
          <w:sz w:val="28"/>
          <w:szCs w:val="28"/>
          <w:lang w:val="uk-UA"/>
        </w:rPr>
        <w:t>;</w:t>
      </w:r>
    </w:p>
    <w:p w:rsidR="00262B5F" w:rsidRPr="002E6ECA" w:rsidRDefault="00262B5F" w:rsidP="009A2CF7">
      <w:pPr>
        <w:numPr>
          <w:ilvl w:val="0"/>
          <w:numId w:val="46"/>
        </w:numPr>
        <w:tabs>
          <w:tab w:val="left" w:pos="1276"/>
        </w:tabs>
        <w:spacing w:line="360" w:lineRule="auto"/>
        <w:ind w:left="0" w:firstLine="851"/>
        <w:jc w:val="both"/>
        <w:rPr>
          <w:sz w:val="28"/>
          <w:szCs w:val="28"/>
        </w:rPr>
      </w:pPr>
      <w:r w:rsidRPr="002E6ECA">
        <w:rPr>
          <w:spacing w:val="-4"/>
          <w:sz w:val="28"/>
          <w:szCs w:val="28"/>
        </w:rPr>
        <w:t xml:space="preserve">розроблено методику визначення провідної патології у навчальному колективі як показника групового здоров’я на підставі масового скринінгу у </w:t>
      </w:r>
      <w:r w:rsidRPr="002E6ECA">
        <w:rPr>
          <w:spacing w:val="-4"/>
          <w:sz w:val="28"/>
          <w:szCs w:val="28"/>
          <w:lang w:val="uk-UA"/>
        </w:rPr>
        <w:t>закладах загальної середньої освіти</w:t>
      </w:r>
      <w:r w:rsidRPr="002E6ECA">
        <w:rPr>
          <w:sz w:val="28"/>
          <w:szCs w:val="28"/>
        </w:rPr>
        <w:t>;</w:t>
      </w:r>
    </w:p>
    <w:p w:rsidR="00262B5F" w:rsidRPr="002E6ECA" w:rsidRDefault="00262B5F" w:rsidP="009A2CF7">
      <w:pPr>
        <w:numPr>
          <w:ilvl w:val="0"/>
          <w:numId w:val="46"/>
        </w:numPr>
        <w:tabs>
          <w:tab w:val="left" w:pos="1276"/>
        </w:tabs>
        <w:spacing w:line="360" w:lineRule="auto"/>
        <w:ind w:left="0" w:firstLine="851"/>
        <w:jc w:val="both"/>
        <w:rPr>
          <w:sz w:val="28"/>
          <w:szCs w:val="28"/>
        </w:rPr>
      </w:pPr>
      <w:r w:rsidRPr="002E6ECA">
        <w:rPr>
          <w:sz w:val="28"/>
          <w:szCs w:val="28"/>
        </w:rPr>
        <w:t>запропоновано цільову профілактичну програму з оптимізації способу життя у залежності від провідної патології як відображення підсумкового етапу моніторингу здоров’я;</w:t>
      </w:r>
    </w:p>
    <w:p w:rsidR="00262B5F" w:rsidRPr="002E6ECA" w:rsidRDefault="00262B5F" w:rsidP="009A2CF7">
      <w:pPr>
        <w:numPr>
          <w:ilvl w:val="0"/>
          <w:numId w:val="46"/>
        </w:numPr>
        <w:tabs>
          <w:tab w:val="left" w:pos="1134"/>
          <w:tab w:val="left" w:pos="1276"/>
        </w:tabs>
        <w:spacing w:line="360" w:lineRule="auto"/>
        <w:ind w:left="0" w:firstLine="851"/>
        <w:jc w:val="both"/>
        <w:rPr>
          <w:sz w:val="28"/>
          <w:szCs w:val="28"/>
        </w:rPr>
      </w:pPr>
      <w:r w:rsidRPr="002E6ECA">
        <w:rPr>
          <w:sz w:val="28"/>
          <w:szCs w:val="28"/>
        </w:rPr>
        <w:t>з позицій донозологічної діагностики розроблено алгоритм скринінг-діагностики для школярів групи ризику, що включає методики для визначення ступеню регуляції та функціональних резервів. Даний алгоритм є інструментом визначення шкільної дезадаптації як форми навчальної донозології;</w:t>
      </w:r>
    </w:p>
    <w:p w:rsidR="00262B5F" w:rsidRPr="002E6ECA" w:rsidRDefault="00262B5F" w:rsidP="009A2CF7">
      <w:pPr>
        <w:numPr>
          <w:ilvl w:val="0"/>
          <w:numId w:val="46"/>
        </w:numPr>
        <w:tabs>
          <w:tab w:val="left" w:pos="1134"/>
        </w:tabs>
        <w:spacing w:line="360" w:lineRule="auto"/>
        <w:ind w:left="0" w:firstLine="851"/>
        <w:jc w:val="both"/>
        <w:rPr>
          <w:sz w:val="28"/>
          <w:szCs w:val="28"/>
        </w:rPr>
      </w:pPr>
      <w:r w:rsidRPr="002E6ECA">
        <w:rPr>
          <w:sz w:val="28"/>
          <w:szCs w:val="28"/>
        </w:rPr>
        <w:t>обґрунтовано та розроблено спосіб визначення компонентів соматотипу на підставі стандартних антропометричних та фізіометричних показників;</w:t>
      </w:r>
    </w:p>
    <w:p w:rsidR="00262B5F" w:rsidRPr="002E6ECA" w:rsidRDefault="00262B5F" w:rsidP="009A2CF7">
      <w:pPr>
        <w:numPr>
          <w:ilvl w:val="0"/>
          <w:numId w:val="46"/>
        </w:numPr>
        <w:tabs>
          <w:tab w:val="left" w:pos="1134"/>
        </w:tabs>
        <w:spacing w:line="360" w:lineRule="auto"/>
        <w:ind w:left="0" w:firstLine="851"/>
        <w:jc w:val="both"/>
        <w:rPr>
          <w:sz w:val="28"/>
          <w:szCs w:val="28"/>
        </w:rPr>
      </w:pPr>
      <w:r w:rsidRPr="002E6ECA">
        <w:rPr>
          <w:sz w:val="28"/>
          <w:szCs w:val="28"/>
        </w:rPr>
        <w:t>створено та запроваджено систему сполученого використання методик оцінки якості життя, що пов’язана зі здоров’ям, та психосоціального функціонування, що дозволяє визначати механізми формування психологічної та соціальної дезадаптації учнів;</w:t>
      </w:r>
    </w:p>
    <w:p w:rsidR="00262B5F" w:rsidRPr="002E6ECA" w:rsidRDefault="00262B5F" w:rsidP="009A2CF7">
      <w:pPr>
        <w:numPr>
          <w:ilvl w:val="0"/>
          <w:numId w:val="46"/>
        </w:numPr>
        <w:tabs>
          <w:tab w:val="left" w:pos="1134"/>
        </w:tabs>
        <w:spacing w:line="360" w:lineRule="auto"/>
        <w:ind w:left="0" w:firstLine="851"/>
        <w:jc w:val="both"/>
        <w:rPr>
          <w:sz w:val="28"/>
          <w:szCs w:val="28"/>
        </w:rPr>
      </w:pPr>
      <w:r w:rsidRPr="002E6ECA">
        <w:rPr>
          <w:sz w:val="28"/>
          <w:szCs w:val="28"/>
        </w:rPr>
        <w:t>доповнено та розширено наявні наукові положення щодо закономірностей формування здоров'я та розумової працездатності, статево-вікових особливостей шкільної адаптації та якості життя, що пов’язана зі здоров’ям, учнів середнього шкільного віку за різних соціально-гігієнічних умов навчального середовища та різного рівня академічної успішності;</w:t>
      </w:r>
    </w:p>
    <w:p w:rsidR="00262B5F" w:rsidRPr="002E6ECA" w:rsidRDefault="00262B5F" w:rsidP="009A2CF7">
      <w:pPr>
        <w:numPr>
          <w:ilvl w:val="0"/>
          <w:numId w:val="46"/>
        </w:numPr>
        <w:tabs>
          <w:tab w:val="left" w:pos="1134"/>
        </w:tabs>
        <w:spacing w:line="360" w:lineRule="auto"/>
        <w:ind w:left="0" w:firstLine="851"/>
        <w:jc w:val="both"/>
        <w:rPr>
          <w:sz w:val="28"/>
          <w:szCs w:val="28"/>
        </w:rPr>
      </w:pPr>
      <w:r w:rsidRPr="002E6ECA">
        <w:rPr>
          <w:sz w:val="28"/>
          <w:szCs w:val="28"/>
        </w:rPr>
        <w:t xml:space="preserve">розширено та систематизовано відомості щодо оцінки фізичного розвитку дітей шкільного віку згідно з національним стандартом, запропоновано та апробовано алгоритм його визначення у залежності від ланки медичного обслуговування (від експрес-оцінки фізичного розвитку та </w:t>
      </w:r>
      <w:r w:rsidRPr="002E6ECA">
        <w:rPr>
          <w:sz w:val="28"/>
          <w:szCs w:val="28"/>
        </w:rPr>
        <w:lastRenderedPageBreak/>
        <w:t xml:space="preserve">харчового статусу за створеними агрегованими таблицями </w:t>
      </w:r>
      <w:r w:rsidRPr="002E6ECA">
        <w:rPr>
          <w:sz w:val="28"/>
          <w:szCs w:val="28"/>
          <w:lang w:val="uk-UA"/>
        </w:rPr>
        <w:t>індексу маси тіла</w:t>
      </w:r>
      <w:r w:rsidRPr="002E6ECA">
        <w:rPr>
          <w:sz w:val="28"/>
          <w:szCs w:val="28"/>
        </w:rPr>
        <w:t xml:space="preserve"> до оцінки гармонійності фізичного розвитку, зросту та маси тіла відповідно до критеріїв оцінки фізичного розвитку);</w:t>
      </w:r>
    </w:p>
    <w:p w:rsidR="00262B5F" w:rsidRPr="002E6ECA" w:rsidRDefault="00262B5F" w:rsidP="009A2CF7">
      <w:pPr>
        <w:numPr>
          <w:ilvl w:val="0"/>
          <w:numId w:val="46"/>
        </w:numPr>
        <w:tabs>
          <w:tab w:val="left" w:pos="1134"/>
        </w:tabs>
        <w:spacing w:line="360" w:lineRule="auto"/>
        <w:ind w:left="0" w:firstLine="851"/>
        <w:jc w:val="both"/>
        <w:rPr>
          <w:sz w:val="28"/>
          <w:szCs w:val="28"/>
        </w:rPr>
      </w:pPr>
      <w:r w:rsidRPr="002E6ECA">
        <w:rPr>
          <w:spacing w:val="-4"/>
          <w:sz w:val="28"/>
          <w:szCs w:val="28"/>
        </w:rPr>
        <w:t>підтверджено дані щодо дослідження розумової працездатності за характером її змін як критерію рівня втоми, динамічної реакції серцево-судинної системи та самопочуття учнів у циклі вивчення окремих навчальних предметів</w:t>
      </w:r>
      <w:r w:rsidRPr="002E6ECA">
        <w:rPr>
          <w:sz w:val="28"/>
          <w:szCs w:val="28"/>
        </w:rPr>
        <w:t>.</w:t>
      </w:r>
    </w:p>
    <w:p w:rsidR="006374EA" w:rsidRPr="002E6ECA" w:rsidRDefault="006374EA" w:rsidP="00262B5F">
      <w:pPr>
        <w:spacing w:line="360" w:lineRule="auto"/>
        <w:ind w:firstLine="851"/>
        <w:jc w:val="both"/>
        <w:rPr>
          <w:sz w:val="28"/>
          <w:szCs w:val="28"/>
          <w:lang w:val="uk-UA"/>
        </w:rPr>
      </w:pPr>
      <w:r w:rsidRPr="002E6ECA">
        <w:rPr>
          <w:b/>
          <w:sz w:val="28"/>
          <w:szCs w:val="28"/>
          <w:lang w:val="uk-UA"/>
        </w:rPr>
        <w:t>Теоретичне значення</w:t>
      </w:r>
      <w:r w:rsidRPr="002E6ECA">
        <w:rPr>
          <w:sz w:val="28"/>
          <w:szCs w:val="28"/>
          <w:lang w:val="uk-UA"/>
        </w:rPr>
        <w:t xml:space="preserve"> полягає в удосконаленні моніторингу здоров’я школярів в умовах інтенсифікації навчального процесу відповідно до існуючих проблем щодо медичного забезпечення учнівської молоді. Розширено наявні відомості щодо використання донозологічної діагностики для прогнозу шкільної дезадаптації, оптимізації виявлення чинників ризику здоров’я школярів в умовах інтенсифікації навчального процесу. Доведено можливість використання особливостей гострої захворюваності та патологічної враженості школярів як індикатору стану адаптаційних можливостей. Обґрунтовано використання аналізу харчової поведінки школярів як критерію донозологічної діагностики. Здійснено комплексний аналіз шкільної дезадаптації як донозологічного стану, запропоновано критерії її прогнозу та обґрунтовано профілактичні заходи. Доведено можливість використання академічної успішності у якості предиктору соціальної адаптації школярів.</w:t>
      </w:r>
    </w:p>
    <w:p w:rsidR="006374EA" w:rsidRPr="002E6ECA" w:rsidRDefault="006374EA" w:rsidP="006374EA">
      <w:pPr>
        <w:spacing w:line="360" w:lineRule="auto"/>
        <w:ind w:firstLine="851"/>
        <w:jc w:val="both"/>
        <w:rPr>
          <w:sz w:val="28"/>
          <w:szCs w:val="28"/>
          <w:lang w:val="uk-UA"/>
        </w:rPr>
      </w:pPr>
      <w:r w:rsidRPr="002E6ECA">
        <w:rPr>
          <w:b/>
          <w:sz w:val="28"/>
          <w:szCs w:val="28"/>
          <w:lang w:val="uk-UA"/>
        </w:rPr>
        <w:t>Практичне значення</w:t>
      </w:r>
      <w:r w:rsidRPr="002E6ECA">
        <w:rPr>
          <w:sz w:val="28"/>
          <w:szCs w:val="28"/>
          <w:lang w:val="uk-UA"/>
        </w:rPr>
        <w:t xml:space="preserve"> отриманих результатів полягає в тому, що впровадження гігієнічного моніторингу групового здоров’я школярів щодо виявлення закономірностей формування донозологічних станів дозволить виокремлювати групи ризику дітей та прогнозувати рівень порушення стану здоров’я дітей та підлітків. Розроблена методика визначення провідної патології щодо ризику підвищення захворюваності у навчальному колективі є інструментом аналізу та прогнозування здоров’я школярів на індивідуальному та груповому рівнях. Розроблено та впроваджено в роботу закладів загальної середньої освіти комплекс первинних профілактичних заходів, що стосується елементів режиму дня, які постають чинниками ризику розвитку неінфекційних захворювань у учнів середнього шкільного віку. Розроблено та в</w:t>
      </w:r>
      <w:r w:rsidRPr="002E6ECA">
        <w:rPr>
          <w:bCs/>
          <w:sz w:val="28"/>
          <w:szCs w:val="28"/>
          <w:lang w:val="uk-UA"/>
        </w:rPr>
        <w:t xml:space="preserve">проваджено </w:t>
      </w:r>
      <w:r w:rsidRPr="002E6ECA">
        <w:rPr>
          <w:bCs/>
          <w:sz w:val="28"/>
          <w:szCs w:val="28"/>
          <w:lang w:val="uk-UA"/>
        </w:rPr>
        <w:lastRenderedPageBreak/>
        <w:t xml:space="preserve">методику сполученого використання </w:t>
      </w:r>
      <w:r w:rsidRPr="002E6ECA">
        <w:rPr>
          <w:sz w:val="28"/>
          <w:szCs w:val="28"/>
          <w:lang w:val="uk-UA"/>
        </w:rPr>
        <w:t xml:space="preserve">опитувальника з </w:t>
      </w:r>
      <w:r w:rsidR="00262B5F" w:rsidRPr="002E6ECA">
        <w:rPr>
          <w:sz w:val="28"/>
          <w:szCs w:val="28"/>
          <w:lang w:val="uk-UA"/>
        </w:rPr>
        <w:t>якості життя, що пов’язана зі здоров’ям</w:t>
      </w:r>
      <w:r w:rsidRPr="002E6ECA">
        <w:rPr>
          <w:sz w:val="28"/>
          <w:szCs w:val="28"/>
          <w:lang w:val="uk-UA"/>
        </w:rPr>
        <w:t xml:space="preserve"> та анкети «Перелік дитячих симптомів» PSC-Ukr, що є ефективним та взаємодоповнюючим дослідженням дітей шкільного віку з метою з’ясування механізмів формування інтегрованої системи оцінювання психологічного здоров’я та напрямків (екстерналізованих або інтерналізованих) порушень психосоціального функціонування. Розроблено та запропоновано для впровадження в роботу медичного персоналу навчальних, лікувально-профілактичних закладів, фахівців з гігієни дітей і підлітків автоматизовану експрес-оцінку фізичного розвитку дітей та підлітків на виконання нормативно-правового акту – Наказу МОЗ України «Про затвердження Критеріїв оцінки фізичного розвитку дітей шкільного віку» для спрощення комплексної оцінки стану здоров’я за соматометричними показниками з метою своєчасного встановлення відхилень у процесах росту та розвитку. </w:t>
      </w:r>
    </w:p>
    <w:p w:rsidR="006374EA" w:rsidRPr="002E6ECA" w:rsidRDefault="006374EA" w:rsidP="006374EA">
      <w:pPr>
        <w:spacing w:line="360" w:lineRule="auto"/>
        <w:ind w:firstLine="709"/>
        <w:jc w:val="both"/>
        <w:rPr>
          <w:sz w:val="28"/>
          <w:szCs w:val="28"/>
          <w:lang w:val="uk-UA"/>
        </w:rPr>
      </w:pPr>
      <w:r w:rsidRPr="002E6ECA">
        <w:rPr>
          <w:sz w:val="28"/>
          <w:szCs w:val="28"/>
          <w:lang w:val="uk-UA"/>
        </w:rPr>
        <w:t xml:space="preserve">На підставі проведеного дослідження розроблена комплексна медико-профілактична програма щодо попередження несприятливого впливу шкільного середовища на здоров'я  учнів упродовж навчання у базовій школі, що сприятиме збереженню здоров’я учнів на тлі агресивного впливу підвищеного навчального навантаження, яка впроваджена у навчальних колективах експериментального </w:t>
      </w:r>
      <w:r w:rsidR="00262B5F" w:rsidRPr="002E6ECA">
        <w:rPr>
          <w:sz w:val="28"/>
          <w:szCs w:val="28"/>
          <w:lang w:val="uk-UA"/>
        </w:rPr>
        <w:t>закладу загальної середньої освіти</w:t>
      </w:r>
      <w:r w:rsidRPr="002E6ECA">
        <w:rPr>
          <w:sz w:val="28"/>
          <w:szCs w:val="28"/>
          <w:lang w:val="uk-UA"/>
        </w:rPr>
        <w:t>.</w:t>
      </w:r>
    </w:p>
    <w:p w:rsidR="006374EA" w:rsidRPr="002E6ECA" w:rsidRDefault="006374EA" w:rsidP="006374EA">
      <w:pPr>
        <w:tabs>
          <w:tab w:val="left" w:pos="1134"/>
        </w:tabs>
        <w:spacing w:line="360" w:lineRule="auto"/>
        <w:ind w:firstLine="709"/>
        <w:jc w:val="both"/>
        <w:rPr>
          <w:sz w:val="28"/>
          <w:szCs w:val="28"/>
          <w:lang w:val="uk-UA"/>
        </w:rPr>
      </w:pPr>
      <w:r w:rsidRPr="002E6ECA">
        <w:rPr>
          <w:sz w:val="28"/>
          <w:szCs w:val="28"/>
          <w:lang w:val="uk-UA"/>
        </w:rPr>
        <w:t>Встановлено взаємозв’язок між рівнем академічної успішності та станом здоров’я учнів середнього шкільного віку. Учні з низьким рівнем успішності мали найвищий рівень загальної патологічної ураженості (1847,8‰) із зростанням протягом навчання на 565,2‰; стабільно високий рівень захворюваності на ендокринну патологію, розлади психіки та поведінки; негативну динаміку загальної тривалості гострих захворювань протягом навчання у базовій школі (від 13,2±1,7 до 16,9±1,3 днів; р&lt;0,05). Загалом у дівчат реєструвалась вища поширеність патології ендокринної системи (520,7±57,7‰ проти 421,7±54,7‰ у хлопців) і органу зору та придаткового апарату (відповідно 386,7±56,2‰ і 265,1±52,7‰), у хлопців – розладів психіки та поведінки (відповідно 168,7±39,9</w:t>
      </w:r>
      <w:r w:rsidR="009F7134" w:rsidRPr="002E6ECA">
        <w:rPr>
          <w:sz w:val="28"/>
          <w:szCs w:val="28"/>
          <w:lang w:val="uk-UA"/>
        </w:rPr>
        <w:t>‰</w:t>
      </w:r>
      <w:r w:rsidRPr="002E6ECA">
        <w:rPr>
          <w:sz w:val="28"/>
          <w:szCs w:val="28"/>
          <w:lang w:val="uk-UA"/>
        </w:rPr>
        <w:t xml:space="preserve"> і 40,0±22,6</w:t>
      </w:r>
      <w:r w:rsidR="009F7134" w:rsidRPr="002E6ECA">
        <w:rPr>
          <w:sz w:val="28"/>
          <w:szCs w:val="28"/>
          <w:lang w:val="uk-UA"/>
        </w:rPr>
        <w:t>‰</w:t>
      </w:r>
      <w:r w:rsidRPr="002E6ECA">
        <w:rPr>
          <w:sz w:val="28"/>
          <w:szCs w:val="28"/>
          <w:lang w:val="uk-UA"/>
        </w:rPr>
        <w:t>; р&lt;0,05).</w:t>
      </w:r>
    </w:p>
    <w:p w:rsidR="006374EA" w:rsidRPr="002E6ECA" w:rsidRDefault="006374EA" w:rsidP="006374EA">
      <w:pPr>
        <w:tabs>
          <w:tab w:val="left" w:pos="1134"/>
        </w:tabs>
        <w:spacing w:line="360" w:lineRule="auto"/>
        <w:ind w:firstLine="709"/>
        <w:jc w:val="both"/>
        <w:rPr>
          <w:sz w:val="28"/>
          <w:szCs w:val="28"/>
          <w:lang w:val="uk-UA"/>
        </w:rPr>
      </w:pPr>
      <w:r w:rsidRPr="002E6ECA">
        <w:rPr>
          <w:sz w:val="28"/>
          <w:szCs w:val="28"/>
        </w:rPr>
        <w:lastRenderedPageBreak/>
        <w:t xml:space="preserve">Визначено, що незалежно від системи освіти і типу навчально-педагогічного проєкту рівень навантаження зростав з 5-го до 6-го класу у середньому на 7,19 балів (р&lt;0,01), щорічно до 8-го класу – на 2-3 бали та незначно знижувався при переході до 9-го класу (на 1,30 бали). За умов меритократичної системи освіти рівень навантаження за шкалою важкості навчальних предметів у 5-8 класах вищий на 1,1-3,3 бали, а у 9-му класі нижчий за традиційну на 0,2 бали. </w:t>
      </w:r>
      <w:r w:rsidRPr="002E6ECA">
        <w:rPr>
          <w:rStyle w:val="fontstyle11"/>
          <w:color w:val="auto"/>
        </w:rPr>
        <w:t xml:space="preserve">Суттєвих відмінностей за характеристикою умов навчання у різних </w:t>
      </w:r>
      <w:r w:rsidR="00262B5F" w:rsidRPr="002E6ECA">
        <w:rPr>
          <w:rStyle w:val="fontstyle11"/>
          <w:color w:val="auto"/>
          <w:lang w:val="uk-UA"/>
        </w:rPr>
        <w:t>закладах загальної середньої освіти</w:t>
      </w:r>
      <w:r w:rsidRPr="002E6ECA">
        <w:rPr>
          <w:rStyle w:val="fontstyle11"/>
          <w:color w:val="auto"/>
        </w:rPr>
        <w:t xml:space="preserve"> та при впровадженні різних навчально-педагогічних проєктів не встановлено, окрім показників рівня штучного освітлення у 9,94% точок вимірювання у навчальних кабінетах фізики, хімії та інформатики</w:t>
      </w:r>
      <w:r w:rsidRPr="002E6ECA">
        <w:rPr>
          <w:sz w:val="28"/>
          <w:szCs w:val="28"/>
        </w:rPr>
        <w:t>.</w:t>
      </w:r>
    </w:p>
    <w:p w:rsidR="006374EA" w:rsidRPr="002E6ECA" w:rsidRDefault="006374EA" w:rsidP="006374EA">
      <w:pPr>
        <w:tabs>
          <w:tab w:val="left" w:pos="1134"/>
        </w:tabs>
        <w:spacing w:line="360" w:lineRule="auto"/>
        <w:ind w:firstLine="709"/>
        <w:jc w:val="both"/>
        <w:rPr>
          <w:sz w:val="28"/>
          <w:szCs w:val="28"/>
          <w:lang w:val="uk-UA"/>
        </w:rPr>
      </w:pPr>
      <w:r w:rsidRPr="002E6ECA">
        <w:rPr>
          <w:spacing w:val="-2"/>
          <w:sz w:val="28"/>
          <w:szCs w:val="28"/>
          <w:lang w:val="uk-UA"/>
        </w:rPr>
        <w:t xml:space="preserve">Найбільш вагомими чинниками ризику для загального рівня неблагополуччя здоров’я визначились: термін приготування домашніх завдань, час перегляд телепередач, гра на комп’ютері, режим харчування – саме ті, що відносяться до </w:t>
      </w:r>
      <w:r w:rsidRPr="002E6ECA">
        <w:rPr>
          <w:spacing w:val="-4"/>
          <w:sz w:val="28"/>
          <w:szCs w:val="28"/>
          <w:lang w:val="uk-UA"/>
        </w:rPr>
        <w:t xml:space="preserve">керованих щодо розвитку дитячої патології. </w:t>
      </w:r>
      <w:r w:rsidRPr="002E6ECA">
        <w:rPr>
          <w:spacing w:val="-4"/>
          <w:sz w:val="28"/>
          <w:szCs w:val="28"/>
        </w:rPr>
        <w:t>Найбільш чутливими до порушень режиму дня виявляються ознаки кардіоревматологічних та гематологічних патологічних станів, астенізації та розладів психіки. Позитивний вплив на стан здоров’я учнів за окремими нозологічними групами мали такі важливі чинники як: регулярне виконання загартовуючих процедур (χ2=23,077; р&lt;0,001) та ранкової гімнастики (χ2=23,758; р&lt;0,001), прогулянки на свіжому повітрі не менше 1 години на добу (χ2=11,281; р=0,001), обмеження перегляду</w:t>
      </w:r>
      <w:r w:rsidRPr="002E6ECA">
        <w:rPr>
          <w:spacing w:val="-2"/>
          <w:sz w:val="28"/>
          <w:szCs w:val="28"/>
        </w:rPr>
        <w:t xml:space="preserve"> телепередач та занять за комп’ютером і з використанням гаджетів, поширеність активних способів організації дозвілля (р&lt;0,05).</w:t>
      </w:r>
    </w:p>
    <w:p w:rsidR="006374EA" w:rsidRPr="002E6ECA" w:rsidRDefault="006374EA" w:rsidP="006374EA">
      <w:pPr>
        <w:tabs>
          <w:tab w:val="left" w:pos="1134"/>
        </w:tabs>
        <w:spacing w:line="360" w:lineRule="auto"/>
        <w:ind w:firstLine="709"/>
        <w:jc w:val="both"/>
        <w:rPr>
          <w:sz w:val="28"/>
          <w:szCs w:val="28"/>
          <w:lang w:val="uk-UA"/>
        </w:rPr>
      </w:pPr>
      <w:r w:rsidRPr="002E6ECA">
        <w:rPr>
          <w:spacing w:val="-4"/>
          <w:sz w:val="28"/>
          <w:szCs w:val="28"/>
        </w:rPr>
        <w:t xml:space="preserve">Встановлено, що сенситивним періодом для вегетативних регуляторних систем з підвищеною чутливістю організму до впливу факторів освітнього середовища постає 12-13-річний вік. За меритократичної системи навчання у школярів саме у 6-му класі спостерігається вищий рівень напруження вегетативної регуляції, що обернено пропорційний до адаптаційного потенціалу учнів. Вища «ціна» адаптації за меритократичної системи навчання у 6-му класі порівняно з традиційною освітою, вимагає впровадження більш ретельного </w:t>
      </w:r>
      <w:r w:rsidRPr="002E6ECA">
        <w:rPr>
          <w:spacing w:val="-4"/>
          <w:sz w:val="28"/>
          <w:szCs w:val="28"/>
        </w:rPr>
        <w:lastRenderedPageBreak/>
        <w:t xml:space="preserve">донозологічного скринінгу стану здоров’я учнів у цей період  навчання. Рівень шкільного стресу за меритократичної освіти детермінований не стільки інтенсифікацією навчального процесу, скільки міжособистісними відносинами в навчальних колективах та/або індивідуально-психологічними особливостями учнів, а її впровадження </w:t>
      </w:r>
      <w:r w:rsidRPr="002E6ECA">
        <w:rPr>
          <w:bCs/>
          <w:spacing w:val="-4"/>
          <w:sz w:val="28"/>
          <w:szCs w:val="28"/>
        </w:rPr>
        <w:t>вчиняє розвиваючий вплив на вищі психічні функції учнів основної школи за результатами нейрофізіологічного дослідження.</w:t>
      </w:r>
    </w:p>
    <w:p w:rsidR="006374EA" w:rsidRPr="002E6ECA" w:rsidRDefault="006374EA" w:rsidP="006374EA">
      <w:pPr>
        <w:tabs>
          <w:tab w:val="left" w:pos="1134"/>
        </w:tabs>
        <w:spacing w:line="360" w:lineRule="auto"/>
        <w:ind w:firstLine="709"/>
        <w:jc w:val="both"/>
        <w:rPr>
          <w:rStyle w:val="fontstyle11"/>
          <w:color w:val="auto"/>
          <w:lang w:val="uk-UA"/>
        </w:rPr>
      </w:pPr>
      <w:r w:rsidRPr="002E6ECA">
        <w:rPr>
          <w:sz w:val="28"/>
          <w:szCs w:val="28"/>
          <w:lang w:val="uk-UA"/>
        </w:rPr>
        <w:t xml:space="preserve">Соціальне оточення і в першу чергу навчальний колектив суттєво впливають на </w:t>
      </w:r>
      <w:r w:rsidRPr="002E6ECA">
        <w:rPr>
          <w:spacing w:val="-2"/>
          <w:sz w:val="28"/>
          <w:szCs w:val="28"/>
          <w:lang w:val="uk-UA"/>
        </w:rPr>
        <w:t>рівень фізичного (</w:t>
      </w:r>
      <w:r w:rsidRPr="002E6ECA">
        <w:rPr>
          <w:spacing w:val="-2"/>
          <w:sz w:val="28"/>
          <w:szCs w:val="28"/>
        </w:rPr>
        <w:t>F</w:t>
      </w:r>
      <w:r w:rsidRPr="002E6ECA">
        <w:rPr>
          <w:spacing w:val="-2"/>
          <w:sz w:val="28"/>
          <w:szCs w:val="28"/>
          <w:lang w:val="uk-UA"/>
        </w:rPr>
        <w:t>=1,72, р=0,018) та шкільного функціонування (</w:t>
      </w:r>
      <w:r w:rsidRPr="002E6ECA">
        <w:rPr>
          <w:spacing w:val="-2"/>
          <w:sz w:val="28"/>
          <w:szCs w:val="28"/>
        </w:rPr>
        <w:t>F</w:t>
      </w:r>
      <w:r w:rsidRPr="002E6ECA">
        <w:rPr>
          <w:spacing w:val="-2"/>
          <w:sz w:val="28"/>
          <w:szCs w:val="28"/>
          <w:lang w:val="uk-UA"/>
        </w:rPr>
        <w:t>=1,99, р=0,003), а також психічне благополуччя (</w:t>
      </w:r>
      <w:r w:rsidRPr="002E6ECA">
        <w:rPr>
          <w:spacing w:val="-2"/>
          <w:sz w:val="28"/>
          <w:szCs w:val="28"/>
        </w:rPr>
        <w:t>F</w:t>
      </w:r>
      <w:r w:rsidRPr="002E6ECA">
        <w:rPr>
          <w:spacing w:val="-2"/>
          <w:sz w:val="28"/>
          <w:szCs w:val="28"/>
          <w:lang w:val="uk-UA"/>
        </w:rPr>
        <w:t xml:space="preserve">=2,34, р&lt;0,001) учнів базової школи. Сполучене використання опитувальника з </w:t>
      </w:r>
      <w:r w:rsidR="00262B5F" w:rsidRPr="002E6ECA">
        <w:rPr>
          <w:spacing w:val="-2"/>
          <w:sz w:val="28"/>
          <w:szCs w:val="28"/>
          <w:lang w:val="uk-UA"/>
        </w:rPr>
        <w:t>якості життя, що пов’язана зі здоров’ям</w:t>
      </w:r>
      <w:r w:rsidRPr="002E6ECA">
        <w:rPr>
          <w:spacing w:val="-2"/>
          <w:sz w:val="28"/>
          <w:szCs w:val="28"/>
          <w:lang w:val="uk-UA"/>
        </w:rPr>
        <w:t xml:space="preserve"> та скринінгової методики «Перелік дитячих симптомів» </w:t>
      </w:r>
      <w:r w:rsidRPr="002E6ECA">
        <w:rPr>
          <w:spacing w:val="-2"/>
          <w:sz w:val="28"/>
          <w:szCs w:val="28"/>
        </w:rPr>
        <w:t>Y</w:t>
      </w:r>
      <w:r w:rsidRPr="002E6ECA">
        <w:rPr>
          <w:spacing w:val="-2"/>
          <w:sz w:val="28"/>
          <w:szCs w:val="28"/>
          <w:lang w:val="uk-UA"/>
        </w:rPr>
        <w:t>-</w:t>
      </w:r>
      <w:r w:rsidRPr="002E6ECA">
        <w:rPr>
          <w:spacing w:val="-2"/>
          <w:sz w:val="28"/>
          <w:szCs w:val="28"/>
        </w:rPr>
        <w:t>PSC</w:t>
      </w:r>
      <w:r w:rsidRPr="002E6ECA">
        <w:rPr>
          <w:spacing w:val="-2"/>
          <w:sz w:val="28"/>
          <w:szCs w:val="28"/>
          <w:lang w:val="uk-UA"/>
        </w:rPr>
        <w:t>/</w:t>
      </w:r>
      <w:r w:rsidRPr="002E6ECA">
        <w:rPr>
          <w:spacing w:val="-2"/>
          <w:sz w:val="28"/>
          <w:szCs w:val="28"/>
        </w:rPr>
        <w:t>PSC</w:t>
      </w:r>
      <w:r w:rsidRPr="002E6ECA">
        <w:rPr>
          <w:spacing w:val="-2"/>
          <w:sz w:val="28"/>
          <w:szCs w:val="28"/>
          <w:lang w:val="uk-UA"/>
        </w:rPr>
        <w:t xml:space="preserve"> є ефективним та взаємодоповнюючим методом дослідження дітей шкільного віку. Негативний внесок до усіх </w:t>
      </w:r>
      <w:r w:rsidRPr="002E6ECA">
        <w:rPr>
          <w:spacing w:val="-4"/>
          <w:sz w:val="28"/>
          <w:szCs w:val="28"/>
          <w:lang w:val="uk-UA"/>
        </w:rPr>
        <w:t>складових якості життя школярів 5-9 років навчання мають ознаки інтерналізації (їх внутрішньоособистісне напруження, тривожність, депресивність), а внесок</w:t>
      </w:r>
      <w:r w:rsidRPr="002E6ECA">
        <w:rPr>
          <w:spacing w:val="-2"/>
          <w:sz w:val="28"/>
          <w:szCs w:val="28"/>
          <w:lang w:val="uk-UA"/>
        </w:rPr>
        <w:t xml:space="preserve"> екстерналізованих</w:t>
      </w:r>
      <w:r w:rsidRPr="002E6ECA">
        <w:rPr>
          <w:sz w:val="28"/>
          <w:szCs w:val="28"/>
          <w:lang w:val="uk-UA"/>
        </w:rPr>
        <w:t xml:space="preserve"> відхилень (порушень поведінки, агресивності, гіперактивності) – для загального та психологічного здоров’я, соціального та емоційного функціонування. </w:t>
      </w:r>
      <w:r w:rsidRPr="002E6ECA">
        <w:rPr>
          <w:sz w:val="28"/>
          <w:szCs w:val="28"/>
        </w:rPr>
        <w:t>Встановлено неконгруентність сприйняття шкільного життя та задоволеності від спілкування між дітьми та дорослими. Визначено, що завершення кожного етапу навчання (4, 9 та 11 класи) у аспекті соціальної адаптації школярів є кризовим періодом, який визначається  за напруженням і недостатністю ознак психосоціального функціонування з подальшою її компенсацією.</w:t>
      </w:r>
    </w:p>
    <w:p w:rsidR="006374EA" w:rsidRPr="002E6ECA" w:rsidRDefault="006374EA" w:rsidP="006374EA">
      <w:pPr>
        <w:tabs>
          <w:tab w:val="left" w:pos="1134"/>
        </w:tabs>
        <w:spacing w:line="360" w:lineRule="auto"/>
        <w:ind w:firstLine="709"/>
        <w:jc w:val="both"/>
        <w:rPr>
          <w:sz w:val="28"/>
          <w:szCs w:val="28"/>
          <w:lang w:val="uk-UA"/>
        </w:rPr>
      </w:pPr>
      <w:r w:rsidRPr="002E6ECA">
        <w:rPr>
          <w:spacing w:val="-2"/>
          <w:sz w:val="28"/>
          <w:szCs w:val="28"/>
        </w:rPr>
        <w:t>Встановлено різну «психофізіологічну ціну» вивчення предметів різного напряму та за різними системами освіти. Високий рівень розумової працездатності на уроках математичного профілю, що характеризується максимальним балом за шкалою важкості предметів, супроводжувався фізіологічним напруженням (підвищення ЧСС до 100,2 уд./хв.; р&lt;0,01). При вивченні математики за умов правильної організації освітнього процесу рівень розумової працездатності не тільки зберігався, а й підвищувався за кількісним та якісним критеріями у 40</w:t>
      </w:r>
      <w:r w:rsidR="0080667E" w:rsidRPr="002E6ECA">
        <w:rPr>
          <w:spacing w:val="-2"/>
          <w:sz w:val="28"/>
          <w:szCs w:val="28"/>
        </w:rPr>
        <w:t>%</w:t>
      </w:r>
      <w:r w:rsidRPr="002E6ECA">
        <w:rPr>
          <w:spacing w:val="-2"/>
          <w:sz w:val="28"/>
          <w:szCs w:val="28"/>
        </w:rPr>
        <w:t xml:space="preserve"> учнів. Вибір освітнього проєкту та навчальної </w:t>
      </w:r>
      <w:r w:rsidRPr="002E6ECA">
        <w:rPr>
          <w:spacing w:val="-2"/>
          <w:sz w:val="28"/>
          <w:szCs w:val="28"/>
        </w:rPr>
        <w:lastRenderedPageBreak/>
        <w:t>програми не мав такого впливу на рівень розумової працездатності при вивченні предметів середньої важкості.</w:t>
      </w:r>
    </w:p>
    <w:p w:rsidR="006374EA" w:rsidRPr="002E6ECA" w:rsidRDefault="006374EA" w:rsidP="006374EA">
      <w:pPr>
        <w:tabs>
          <w:tab w:val="left" w:pos="1134"/>
        </w:tabs>
        <w:spacing w:line="360" w:lineRule="auto"/>
        <w:ind w:firstLine="709"/>
        <w:jc w:val="both"/>
        <w:rPr>
          <w:spacing w:val="-4"/>
          <w:sz w:val="28"/>
          <w:szCs w:val="28"/>
          <w:lang w:val="uk-UA"/>
        </w:rPr>
      </w:pPr>
      <w:r w:rsidRPr="002E6ECA">
        <w:rPr>
          <w:spacing w:val="-4"/>
          <w:sz w:val="28"/>
          <w:szCs w:val="28"/>
          <w:lang w:val="uk-UA"/>
        </w:rPr>
        <w:t xml:space="preserve">На підставі отриманих результатів, проведеного аналізу та прогнозу обґрунтовано концептуальну модель моніторингу здоров’я школярів в умовах інтенсифікації навчального процесу, що складається з базової (самооцінка стану здоров’я, </w:t>
      </w:r>
      <w:r w:rsidR="00262B5F" w:rsidRPr="002E6ECA">
        <w:rPr>
          <w:spacing w:val="-4"/>
          <w:sz w:val="28"/>
          <w:szCs w:val="28"/>
          <w:lang w:val="uk-UA"/>
        </w:rPr>
        <w:t>якості життя, що пов’язана зі здоров’ям</w:t>
      </w:r>
      <w:r w:rsidRPr="002E6ECA">
        <w:rPr>
          <w:spacing w:val="-4"/>
          <w:sz w:val="28"/>
          <w:szCs w:val="28"/>
          <w:lang w:val="uk-UA"/>
        </w:rPr>
        <w:t xml:space="preserve"> та психосоціального функціонування) та поглибленої скринінг-діагностики фізичного (оцінка фізичного розвитку, гострої та хронічної захворюваності), психологічного (психофізіологічна характеристика навчальної діяльності за рівнем розумової працездатності, напруженості вегетативних регуляторних систем та особливостями нейрокогнітивних процесів) та соціального благополуччя (рівень академічної успішності, оцінка батьками рівня психосоціального функціонування школярів), що дає можливість виокремлювати групи ризику щодо формування шкільної дезадаптації; доведено її ефективність з позицій теорії керування.</w:t>
      </w:r>
    </w:p>
    <w:p w:rsidR="006374EA" w:rsidRPr="002E6ECA" w:rsidRDefault="006374EA" w:rsidP="006374EA">
      <w:pPr>
        <w:tabs>
          <w:tab w:val="left" w:pos="1134"/>
        </w:tabs>
        <w:spacing w:line="360" w:lineRule="auto"/>
        <w:ind w:firstLine="709"/>
        <w:jc w:val="both"/>
        <w:rPr>
          <w:sz w:val="28"/>
          <w:szCs w:val="28"/>
          <w:lang w:val="uk-UA"/>
        </w:rPr>
      </w:pPr>
      <w:r w:rsidRPr="002E6ECA">
        <w:rPr>
          <w:rStyle w:val="fontstyle11"/>
          <w:color w:val="auto"/>
          <w:lang w:val="uk-UA"/>
        </w:rPr>
        <w:t xml:space="preserve">Розроблено профілактичну програму </w:t>
      </w:r>
      <w:r w:rsidRPr="002E6ECA">
        <w:rPr>
          <w:sz w:val="28"/>
          <w:szCs w:val="28"/>
          <w:lang w:val="uk-UA"/>
        </w:rPr>
        <w:t>відносно оптимізації режиму дня та способу життя</w:t>
      </w:r>
      <w:r w:rsidRPr="002E6ECA">
        <w:rPr>
          <w:rStyle w:val="fontstyle11"/>
          <w:color w:val="auto"/>
          <w:lang w:val="uk-UA"/>
        </w:rPr>
        <w:t xml:space="preserve"> дітей шкільного віку, що ґрунтується на оцінці групового здоров’я за методом скринінг-діагностики та визначенні провідної патології для певного навчального колективу. </w:t>
      </w:r>
      <w:r w:rsidRPr="002E6ECA">
        <w:rPr>
          <w:rStyle w:val="fontstyle11"/>
          <w:color w:val="auto"/>
        </w:rPr>
        <w:t xml:space="preserve">Впровадження цієї програми забезпечило зниження рівня патологічної </w:t>
      </w:r>
      <w:r w:rsidRPr="002E6ECA">
        <w:rPr>
          <w:sz w:val="28"/>
          <w:szCs w:val="28"/>
        </w:rPr>
        <w:t>ураженості</w:t>
      </w:r>
      <w:r w:rsidRPr="002E6ECA">
        <w:t xml:space="preserve"> </w:t>
      </w:r>
      <w:r w:rsidRPr="002E6ECA">
        <w:rPr>
          <w:sz w:val="28"/>
          <w:szCs w:val="28"/>
        </w:rPr>
        <w:t xml:space="preserve">на 10% у експериментальній групі на тлі зростання патологічної ураженості у контрольній групі на 22,9%. </w:t>
      </w:r>
      <w:r w:rsidRPr="002E6ECA">
        <w:rPr>
          <w:rStyle w:val="fontstyle11"/>
          <w:color w:val="auto"/>
        </w:rPr>
        <w:t xml:space="preserve">Найбільш значущими заходами щодо профілактики неінфекційних захворювань постають нормалізація </w:t>
      </w:r>
      <w:r w:rsidRPr="002E6ECA">
        <w:rPr>
          <w:sz w:val="28"/>
          <w:szCs w:val="28"/>
        </w:rPr>
        <w:t xml:space="preserve">тривалості нічного сну, </w:t>
      </w:r>
      <w:r w:rsidRPr="002E6ECA">
        <w:rPr>
          <w:bCs/>
          <w:sz w:val="28"/>
          <w:szCs w:val="28"/>
        </w:rPr>
        <w:t>тривалості перебування на свіжому повітрі у навчальні дні та кратності харчування,</w:t>
      </w:r>
      <w:r w:rsidRPr="002E6ECA">
        <w:rPr>
          <w:sz w:val="28"/>
          <w:szCs w:val="28"/>
        </w:rPr>
        <w:t xml:space="preserve"> загартовуючі процедури,</w:t>
      </w:r>
      <w:r w:rsidRPr="002E6ECA">
        <w:rPr>
          <w:bCs/>
          <w:sz w:val="28"/>
          <w:szCs w:val="28"/>
        </w:rPr>
        <w:t xml:space="preserve"> а найбільш «чутливою» до їх впливу – патологія нервової (χ2=19,54; р&lt;0,0001), дихальної (χ2=13,47; р=0,001) та серцево-судинної систем (χ2=9,88; р=0,007).</w:t>
      </w:r>
    </w:p>
    <w:p w:rsidR="00262B5F" w:rsidRPr="002E6ECA" w:rsidRDefault="00262B5F" w:rsidP="00FF20BC">
      <w:pPr>
        <w:spacing w:after="200" w:line="360" w:lineRule="auto"/>
        <w:rPr>
          <w:b/>
          <w:bCs/>
          <w:sz w:val="28"/>
          <w:szCs w:val="28"/>
          <w:lang w:val="uk-UA"/>
        </w:rPr>
      </w:pPr>
    </w:p>
    <w:p w:rsidR="006374EA" w:rsidRPr="002E6ECA" w:rsidRDefault="006374EA" w:rsidP="00FF20BC">
      <w:pPr>
        <w:spacing w:after="200" w:line="360" w:lineRule="auto"/>
        <w:rPr>
          <w:bCs/>
          <w:sz w:val="28"/>
          <w:szCs w:val="28"/>
          <w:lang w:val="uk-UA"/>
        </w:rPr>
      </w:pPr>
      <w:r w:rsidRPr="002E6ECA">
        <w:rPr>
          <w:b/>
          <w:bCs/>
          <w:sz w:val="28"/>
          <w:szCs w:val="28"/>
          <w:lang w:val="uk-UA"/>
        </w:rPr>
        <w:t xml:space="preserve">Ключові слова: </w:t>
      </w:r>
      <w:r w:rsidRPr="002E6ECA">
        <w:rPr>
          <w:bCs/>
          <w:sz w:val="28"/>
          <w:szCs w:val="28"/>
          <w:lang w:val="uk-UA"/>
        </w:rPr>
        <w:t>гігієнічний моніторинг, групове здоров’я, школярі, середній шкільний вік, інтенсифікація навального процесу, скринінг-діагностика</w:t>
      </w:r>
      <w:r w:rsidR="006F7895" w:rsidRPr="002E6ECA">
        <w:rPr>
          <w:bCs/>
          <w:sz w:val="28"/>
          <w:szCs w:val="28"/>
          <w:lang w:val="uk-UA"/>
        </w:rPr>
        <w:t>.</w:t>
      </w:r>
      <w:r w:rsidRPr="002E6ECA">
        <w:rPr>
          <w:lang w:val="uk-UA"/>
        </w:rPr>
        <w:br w:type="page"/>
      </w:r>
    </w:p>
    <w:p w:rsidR="00FB57DA" w:rsidRPr="002E6ECA" w:rsidRDefault="00FB57DA" w:rsidP="00FB57DA">
      <w:pPr>
        <w:spacing w:after="200" w:line="360" w:lineRule="auto"/>
        <w:jc w:val="center"/>
        <w:rPr>
          <w:spacing w:val="-2"/>
          <w:lang w:val="en-US"/>
        </w:rPr>
      </w:pPr>
      <w:r w:rsidRPr="002E6ECA">
        <w:rPr>
          <w:b/>
          <w:bCs/>
          <w:spacing w:val="-2"/>
          <w:sz w:val="28"/>
          <w:szCs w:val="28"/>
          <w:lang w:val="en-US"/>
        </w:rPr>
        <w:lastRenderedPageBreak/>
        <w:t>ANNOTATION</w:t>
      </w:r>
    </w:p>
    <w:p w:rsidR="00FB57DA" w:rsidRPr="002E6ECA" w:rsidRDefault="00FB57DA" w:rsidP="00FB57DA">
      <w:pPr>
        <w:spacing w:line="360" w:lineRule="auto"/>
        <w:ind w:firstLine="709"/>
        <w:jc w:val="both"/>
        <w:rPr>
          <w:rFonts w:eastAsia="Arial Unicode MS"/>
          <w:bCs/>
          <w:spacing w:val="-2"/>
          <w:sz w:val="28"/>
          <w:szCs w:val="28"/>
          <w:u w:color="000000"/>
          <w:lang w:val="en-US"/>
        </w:rPr>
      </w:pPr>
      <w:r w:rsidRPr="002E6ECA">
        <w:rPr>
          <w:rFonts w:eastAsia="Arial Unicode MS"/>
          <w:b/>
          <w:bCs/>
          <w:spacing w:val="-2"/>
          <w:sz w:val="28"/>
          <w:szCs w:val="28"/>
          <w:u w:color="000000"/>
          <w:lang w:val="en-US"/>
        </w:rPr>
        <w:t>Sotnikova-Meleshkina</w:t>
      </w:r>
      <w:r w:rsidR="00DA2ED8" w:rsidRPr="002E6ECA">
        <w:rPr>
          <w:spacing w:val="-2"/>
          <w:sz w:val="28"/>
          <w:szCs w:val="28"/>
          <w:lang w:val="en-US"/>
        </w:rPr>
        <w:t xml:space="preserve"> </w:t>
      </w:r>
      <w:r w:rsidRPr="002E6ECA">
        <w:rPr>
          <w:rFonts w:eastAsia="Arial Unicode MS"/>
          <w:b/>
          <w:bCs/>
          <w:spacing w:val="-2"/>
          <w:sz w:val="28"/>
          <w:szCs w:val="28"/>
          <w:u w:color="000000"/>
          <w:lang w:val="en-US"/>
        </w:rPr>
        <w:t>Zh.V. Substantiation of the conceptual model of hygienic monitoring group health of schoolchildren under the conditions of intensification of the educational process. - Manuscript.</w:t>
      </w:r>
    </w:p>
    <w:p w:rsidR="007B6C5F" w:rsidRPr="002E6ECA" w:rsidRDefault="00FB57DA" w:rsidP="007B6C5F">
      <w:pPr>
        <w:spacing w:line="360" w:lineRule="auto"/>
        <w:ind w:firstLine="567"/>
        <w:jc w:val="both"/>
        <w:rPr>
          <w:rFonts w:eastAsia="Arial Unicode MS"/>
          <w:spacing w:val="-2"/>
          <w:sz w:val="28"/>
          <w:szCs w:val="28"/>
          <w:lang w:val="uk-UA"/>
        </w:rPr>
      </w:pPr>
      <w:r w:rsidRPr="002E6ECA">
        <w:rPr>
          <w:rFonts w:eastAsia="Arial Unicode MS"/>
          <w:spacing w:val="-2"/>
          <w:sz w:val="28"/>
          <w:szCs w:val="28"/>
          <w:lang w:val="en-US"/>
        </w:rPr>
        <w:t>Dissertation for the degree of Doctor of Med</w:t>
      </w:r>
      <w:r w:rsidR="006B32ED" w:rsidRPr="002E6ECA">
        <w:rPr>
          <w:rFonts w:eastAsia="Arial Unicode MS"/>
          <w:spacing w:val="-2"/>
          <w:sz w:val="28"/>
          <w:szCs w:val="28"/>
          <w:lang w:val="en-US"/>
        </w:rPr>
        <w:t xml:space="preserve">ical Sciences, </w:t>
      </w:r>
      <w:r w:rsidR="006B32ED" w:rsidRPr="002E6ECA">
        <w:rPr>
          <w:sz w:val="28"/>
          <w:szCs w:val="28"/>
          <w:bdr w:val="none" w:sz="0" w:space="0" w:color="auto" w:frame="1"/>
          <w:lang w:val="en-GB"/>
        </w:rPr>
        <w:t>on speciality</w:t>
      </w:r>
      <w:r w:rsidR="006B32ED" w:rsidRPr="002E6ECA">
        <w:rPr>
          <w:rFonts w:eastAsia="Arial Unicode MS"/>
          <w:spacing w:val="-2"/>
          <w:sz w:val="28"/>
          <w:szCs w:val="28"/>
          <w:lang w:val="en-US"/>
        </w:rPr>
        <w:t xml:space="preserve"> 14.02.01 </w:t>
      </w:r>
      <w:r w:rsidRPr="002E6ECA">
        <w:rPr>
          <w:rFonts w:eastAsia="Arial Unicode MS"/>
          <w:spacing w:val="-2"/>
          <w:sz w:val="28"/>
          <w:szCs w:val="28"/>
          <w:lang w:val="en-US"/>
        </w:rPr>
        <w:t xml:space="preserve"> “Hygiene and professional pathology” (222 – Medicine). – State Institution “Institute for Children and Adolescents Health Care at the National Academy of Medical Sciences of Ukraine”, Kharkiv, 2021. </w:t>
      </w:r>
    </w:p>
    <w:p w:rsidR="007B6C5F" w:rsidRPr="002E6ECA" w:rsidRDefault="007B6C5F" w:rsidP="007B6C5F">
      <w:pPr>
        <w:spacing w:line="360" w:lineRule="auto"/>
        <w:ind w:firstLine="567"/>
        <w:jc w:val="both"/>
        <w:rPr>
          <w:rFonts w:eastAsia="Arial Unicode MS"/>
          <w:spacing w:val="-2"/>
          <w:sz w:val="28"/>
          <w:szCs w:val="28"/>
          <w:lang w:val="uk-UA"/>
        </w:rPr>
      </w:pPr>
      <w:r w:rsidRPr="002E6ECA">
        <w:rPr>
          <w:sz w:val="28"/>
          <w:szCs w:val="28"/>
          <w:lang w:val="en-GB"/>
        </w:rPr>
        <w:t>The dissertation is to be presented in Kharkiv National Medical University of the Ministry of Health of Ukraine, Kharkiv, 2021.</w:t>
      </w:r>
    </w:p>
    <w:p w:rsidR="00FB57DA" w:rsidRPr="002E6ECA" w:rsidRDefault="00FB57DA" w:rsidP="00FB57DA">
      <w:pPr>
        <w:spacing w:line="360" w:lineRule="auto"/>
        <w:ind w:firstLine="567"/>
        <w:jc w:val="both"/>
        <w:rPr>
          <w:spacing w:val="-2"/>
          <w:sz w:val="28"/>
          <w:szCs w:val="28"/>
          <w:lang w:val="uk-UA"/>
        </w:rPr>
      </w:pPr>
      <w:r w:rsidRPr="002E6ECA">
        <w:rPr>
          <w:rFonts w:eastAsia="Arial Unicode MS"/>
          <w:spacing w:val="-2"/>
          <w:sz w:val="28"/>
          <w:szCs w:val="28"/>
          <w:lang w:val="en-US"/>
        </w:rPr>
        <w:t>The dissertation focuses on solving a key scientific and practical problem in the field of hygiene of children and adolescents concerning protecting and strengthening their health, preventing infectious diseases among average school age students by means of scientifically substantiating and developing the conceptual model of hygienically monitoring schoolchildren’s group health under the condition of intensifying the educational process, consisting of basic and  in-depth screening diagnostics with an allocation of “at-risk” groups in terms of school maladaptation, its efficiency proved from the standpoint of control theory.</w:t>
      </w:r>
    </w:p>
    <w:p w:rsidR="00FB57DA" w:rsidRPr="002E6ECA" w:rsidRDefault="00FB57DA" w:rsidP="00FB57DA">
      <w:pPr>
        <w:spacing w:line="360" w:lineRule="auto"/>
        <w:ind w:firstLine="567"/>
        <w:jc w:val="both"/>
        <w:rPr>
          <w:spacing w:val="-2"/>
          <w:sz w:val="28"/>
          <w:szCs w:val="28"/>
          <w:lang w:val="en-US"/>
        </w:rPr>
      </w:pPr>
      <w:r w:rsidRPr="002E6ECA">
        <w:rPr>
          <w:spacing w:val="-2"/>
          <w:sz w:val="28"/>
          <w:szCs w:val="28"/>
          <w:lang w:val="en-US"/>
        </w:rPr>
        <w:t xml:space="preserve">The </w:t>
      </w:r>
      <w:r w:rsidRPr="002E6ECA">
        <w:rPr>
          <w:b/>
          <w:bCs/>
          <w:spacing w:val="-2"/>
          <w:sz w:val="28"/>
          <w:szCs w:val="28"/>
          <w:lang w:val="en-US"/>
        </w:rPr>
        <w:t>purpose</w:t>
      </w:r>
      <w:r w:rsidRPr="002E6ECA">
        <w:rPr>
          <w:spacing w:val="-2"/>
          <w:sz w:val="28"/>
          <w:szCs w:val="28"/>
          <w:lang w:val="en-US"/>
        </w:rPr>
        <w:t xml:space="preserve"> of the work is to develop a comprehensive program of hygienic monitoring of schoolchildren’s group health in terms of preventing non-infectious diseases and school </w:t>
      </w:r>
      <w:r w:rsidRPr="002E6ECA">
        <w:rPr>
          <w:spacing w:val="-2"/>
          <w:sz w:val="28"/>
          <w:szCs w:val="28"/>
          <w:lang w:val="uk-UA"/>
        </w:rPr>
        <w:t>disadaptation</w:t>
      </w:r>
      <w:r w:rsidRPr="002E6ECA">
        <w:rPr>
          <w:spacing w:val="-2"/>
          <w:sz w:val="28"/>
          <w:szCs w:val="28"/>
          <w:lang w:val="en-US"/>
        </w:rPr>
        <w:t xml:space="preserve"> of adolescent students under the conditions of the intensification of the educational process. </w:t>
      </w:r>
    </w:p>
    <w:p w:rsidR="00FB57DA" w:rsidRPr="002E6ECA" w:rsidRDefault="00FB57DA" w:rsidP="00FB57DA">
      <w:pPr>
        <w:spacing w:line="360" w:lineRule="auto"/>
        <w:ind w:firstLine="709"/>
        <w:jc w:val="both"/>
        <w:rPr>
          <w:spacing w:val="-2"/>
          <w:sz w:val="28"/>
          <w:szCs w:val="28"/>
          <w:lang w:val="uk-UA"/>
        </w:rPr>
      </w:pPr>
      <w:r w:rsidRPr="002E6ECA">
        <w:rPr>
          <w:spacing w:val="-2"/>
          <w:sz w:val="28"/>
          <w:szCs w:val="28"/>
          <w:lang w:val="en-US"/>
        </w:rPr>
        <w:t xml:space="preserve">The research has been conducted on the basis of 47 </w:t>
      </w:r>
      <w:bookmarkStart w:id="0" w:name="_Hlk68182398"/>
      <w:r w:rsidR="00B12867" w:rsidRPr="002E6ECA">
        <w:rPr>
          <w:sz w:val="28"/>
          <w:szCs w:val="28"/>
          <w:lang w:val="en-US"/>
        </w:rPr>
        <w:t>comprehensive education institutions</w:t>
      </w:r>
      <w:bookmarkEnd w:id="0"/>
      <w:r w:rsidRPr="002E6ECA">
        <w:rPr>
          <w:spacing w:val="-2"/>
          <w:sz w:val="28"/>
          <w:szCs w:val="28"/>
          <w:lang w:val="en-US"/>
        </w:rPr>
        <w:t>, situated in regional centers, district centers</w:t>
      </w:r>
      <w:r w:rsidRPr="002E6ECA">
        <w:rPr>
          <w:spacing w:val="-2"/>
          <w:sz w:val="28"/>
          <w:szCs w:val="28"/>
          <w:lang w:val="uk-UA"/>
        </w:rPr>
        <w:t xml:space="preserve"> </w:t>
      </w:r>
      <w:r w:rsidRPr="002E6ECA">
        <w:rPr>
          <w:spacing w:val="-2"/>
          <w:sz w:val="28"/>
          <w:szCs w:val="28"/>
          <w:lang w:val="en-US"/>
        </w:rPr>
        <w:t>and villages of Dnipro, Donetsk, Kyiv, Lviv, Rivne, Kharkiv regions, in such cities as Vinnytsia, Ternopil, Kryvyi Rih, Cherniv</w:t>
      </w:r>
      <w:r w:rsidR="00DA2ED8" w:rsidRPr="002E6ECA">
        <w:rPr>
          <w:spacing w:val="-2"/>
          <w:sz w:val="28"/>
          <w:szCs w:val="28"/>
          <w:lang w:val="en-US"/>
        </w:rPr>
        <w:t>t</w:t>
      </w:r>
      <w:r w:rsidRPr="002E6ECA">
        <w:rPr>
          <w:spacing w:val="-2"/>
          <w:sz w:val="28"/>
          <w:szCs w:val="28"/>
          <w:lang w:val="en-US"/>
        </w:rPr>
        <w:t>si</w:t>
      </w:r>
      <w:r w:rsidRPr="002E6ECA">
        <w:rPr>
          <w:spacing w:val="-2"/>
          <w:sz w:val="28"/>
          <w:szCs w:val="28"/>
          <w:lang w:val="uk-UA"/>
        </w:rPr>
        <w:t xml:space="preserve">. </w:t>
      </w:r>
    </w:p>
    <w:p w:rsidR="00FB57DA" w:rsidRPr="002E6ECA" w:rsidRDefault="007B6C5F" w:rsidP="00FB57DA">
      <w:pPr>
        <w:spacing w:line="360" w:lineRule="auto"/>
        <w:ind w:firstLine="709"/>
        <w:jc w:val="both"/>
        <w:rPr>
          <w:spacing w:val="-2"/>
          <w:sz w:val="28"/>
          <w:szCs w:val="28"/>
          <w:lang w:val="uk-UA"/>
        </w:rPr>
      </w:pPr>
      <w:r w:rsidRPr="002E6ECA">
        <w:rPr>
          <w:sz w:val="28"/>
          <w:szCs w:val="28"/>
          <w:lang w:val="en-GB"/>
        </w:rPr>
        <w:t xml:space="preserve">In the work there have been used the following </w:t>
      </w:r>
      <w:r w:rsidRPr="002E6ECA">
        <w:rPr>
          <w:b/>
          <w:bCs/>
          <w:sz w:val="28"/>
          <w:szCs w:val="28"/>
          <w:lang w:val="en-GB"/>
        </w:rPr>
        <w:t>research methods</w:t>
      </w:r>
      <w:r w:rsidRPr="002E6ECA">
        <w:rPr>
          <w:sz w:val="28"/>
          <w:szCs w:val="28"/>
          <w:lang w:val="en-GB"/>
        </w:rPr>
        <w:t xml:space="preserve">: the </w:t>
      </w:r>
      <w:r w:rsidRPr="002E6ECA">
        <w:rPr>
          <w:sz w:val="28"/>
          <w:szCs w:val="28"/>
          <w:lang w:val="en-US"/>
        </w:rPr>
        <w:t>hygienic, clinical, medical-sociological, psychophysiological, psychological-pedagogical, statistical methods.</w:t>
      </w:r>
    </w:p>
    <w:p w:rsidR="00DA2ED8" w:rsidRPr="002E6ECA" w:rsidRDefault="00DA2ED8" w:rsidP="00DA2ED8">
      <w:pPr>
        <w:spacing w:line="360" w:lineRule="auto"/>
        <w:ind w:firstLine="709"/>
        <w:jc w:val="both"/>
        <w:rPr>
          <w:spacing w:val="-2"/>
          <w:sz w:val="28"/>
          <w:szCs w:val="28"/>
          <w:lang w:val="en-US"/>
        </w:rPr>
      </w:pPr>
      <w:r w:rsidRPr="002E6ECA">
        <w:rPr>
          <w:spacing w:val="-2"/>
          <w:sz w:val="28"/>
          <w:szCs w:val="28"/>
          <w:lang w:val="en-US"/>
        </w:rPr>
        <w:lastRenderedPageBreak/>
        <w:t xml:space="preserve">The scientific </w:t>
      </w:r>
      <w:r w:rsidRPr="002E6ECA">
        <w:rPr>
          <w:b/>
          <w:bCs/>
          <w:spacing w:val="-2"/>
          <w:sz w:val="28"/>
          <w:szCs w:val="28"/>
          <w:lang w:val="en-US"/>
        </w:rPr>
        <w:t>novelty</w:t>
      </w:r>
      <w:r w:rsidRPr="002E6ECA">
        <w:rPr>
          <w:spacing w:val="-2"/>
          <w:sz w:val="28"/>
          <w:szCs w:val="28"/>
          <w:lang w:val="en-US"/>
        </w:rPr>
        <w:t xml:space="preserve"> of the research results consists in the fact that for the first time in Ukraine:</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 xml:space="preserve">substantiated a model of hygienic monitoring of group health of adolescent school students that is based on a two-stage screening of subjective and objective health factors. The correspondence of the developed model with the main regulations and principles of the theory of management has been assessed and evaluated with its efficiency proved;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 xml:space="preserve">methods of determining leading pathologies in academic groups as indicators of group health have been developed on the basis of mass screening </w:t>
      </w:r>
      <w:r w:rsidR="00B12867" w:rsidRPr="002E6ECA">
        <w:rPr>
          <w:sz w:val="28"/>
          <w:szCs w:val="28"/>
          <w:lang w:val="en-US"/>
        </w:rPr>
        <w:t>in comprehensive education institutions</w:t>
      </w:r>
      <w:r w:rsidRPr="002E6ECA">
        <w:rPr>
          <w:spacing w:val="-2"/>
          <w:sz w:val="28"/>
          <w:szCs w:val="28"/>
          <w:lang w:val="en-US"/>
        </w:rPr>
        <w:t xml:space="preserve">;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 xml:space="preserve">a special prophylactic program to optimize ways of life depending on the kind of the leading pathology as a reflection of the final stage of health monitoring has been put forward;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 xml:space="preserve">within the framework of prenosological diagnostics there has been worked out an algorithm of screening diagnostics for risk group school students that includes methods of determining the degree of regulation and functional reserves. Such an algorithm is proved to be a tool for determining school disadaptation as a form of educational prenosology;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4"/>
          <w:sz w:val="28"/>
          <w:szCs w:val="28"/>
          <w:lang w:val="en-US"/>
        </w:rPr>
        <w:t>a specific method of revealing components of somatotypes on the basis of standard anthropometric and physiometric indices has been substantiated and developed</w:t>
      </w:r>
      <w:r w:rsidRPr="002E6ECA">
        <w:rPr>
          <w:spacing w:val="-2"/>
          <w:sz w:val="28"/>
          <w:szCs w:val="28"/>
          <w:lang w:val="en-US"/>
        </w:rPr>
        <w:t xml:space="preserve">;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 xml:space="preserve">there has been created and implemented a system of integrative usage of methods of assessing health related quality of life and psychosocial functioning, which makes it possible to determine mechanisms of forming school students’ psychological and social disadaptation;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 xml:space="preserve">the existing scientific provisions and principles as for mechanisms of forming health and cognitive efficiency, sex and age peculiarities of school adaptation and health related quality of life in adolescent school students under various social and hygienical conditions of educational environments and different levels of academic efficiency have been amended and broadened; </w:t>
      </w:r>
    </w:p>
    <w:p w:rsidR="00DA2ED8"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lastRenderedPageBreak/>
        <w:t xml:space="preserve">data concerning the assessment of school students’ physical development according to the national standard have been enriched and systematized, a special algorithm of determining the above depending on the type of medical service (ranging from express-assessment of physical development to nutritional status according to BMI aggregated tables and evaluating  the harmonicity balance of physical development, height and body mass in accordance with the criteria of physical development assessment) has been introduced and proven; </w:t>
      </w:r>
    </w:p>
    <w:p w:rsidR="00FB57DA" w:rsidRPr="002E6ECA" w:rsidRDefault="00DA2ED8" w:rsidP="009A2CF7">
      <w:pPr>
        <w:numPr>
          <w:ilvl w:val="0"/>
          <w:numId w:val="54"/>
        </w:numPr>
        <w:tabs>
          <w:tab w:val="left" w:pos="1134"/>
        </w:tabs>
        <w:spacing w:line="360" w:lineRule="auto"/>
        <w:ind w:left="0" w:firstLine="709"/>
        <w:jc w:val="both"/>
        <w:rPr>
          <w:spacing w:val="-2"/>
          <w:sz w:val="28"/>
          <w:szCs w:val="28"/>
          <w:lang w:val="en-US"/>
        </w:rPr>
      </w:pPr>
      <w:r w:rsidRPr="002E6ECA">
        <w:rPr>
          <w:spacing w:val="-2"/>
          <w:sz w:val="28"/>
          <w:szCs w:val="28"/>
          <w:lang w:val="en-US"/>
        </w:rPr>
        <w:t>the data as for researching mental capacity according to its variability as a criterion of the level of fatigue, school students’ cardio-vascular system dynamic reactions and their state of health in the cycle of studying certain academic subjects have been verified and corroborated.</w:t>
      </w:r>
    </w:p>
    <w:p w:rsidR="00FB57DA" w:rsidRPr="002E6ECA" w:rsidRDefault="00FB57DA" w:rsidP="00FB57DA">
      <w:pPr>
        <w:spacing w:line="360" w:lineRule="auto"/>
        <w:ind w:firstLine="851"/>
        <w:jc w:val="both"/>
        <w:rPr>
          <w:spacing w:val="-2"/>
          <w:sz w:val="28"/>
          <w:szCs w:val="28"/>
          <w:lang w:val="en-US"/>
        </w:rPr>
      </w:pPr>
      <w:r w:rsidRPr="002E6ECA">
        <w:rPr>
          <w:spacing w:val="-2"/>
          <w:sz w:val="28"/>
          <w:szCs w:val="28"/>
          <w:lang w:val="en-US"/>
        </w:rPr>
        <w:t xml:space="preserve">The </w:t>
      </w:r>
      <w:r w:rsidRPr="002E6ECA">
        <w:rPr>
          <w:b/>
          <w:bCs/>
          <w:spacing w:val="-2"/>
          <w:sz w:val="28"/>
          <w:szCs w:val="28"/>
          <w:lang w:val="en-US"/>
        </w:rPr>
        <w:t>theoretical value</w:t>
      </w:r>
      <w:r w:rsidRPr="002E6ECA">
        <w:rPr>
          <w:spacing w:val="-2"/>
          <w:sz w:val="28"/>
          <w:szCs w:val="28"/>
          <w:lang w:val="en-US"/>
        </w:rPr>
        <w:t xml:space="preserve"> of the work is in the improvement of monitoring school students’ health under the conditions of the intensification of educational processes in terms of the existing issues as for medical provision of school adolescents. The available data concerning the usage of prenosological diagnostics to forecast school disadaptation, to optimize revealing factors of risk for school students’ health under the conditions of the intensification of educational processes have been enriched. The possibility of using the peculiarities of acute disease incidence and morbidity in school students as an indicator of the state of adaptation potential has been proved. Using analyses of school students’ nutritional behavior as a criterion of prenosological diagnostics has been substantiated. There has been a comprehensive analysis pf school disadaptation as a prenosological state carried out with criteria of its prediction introduced and prevention measures explicated. The possibility of using academic efficiency as a predictor of school students’ social adaptation has been proved. </w:t>
      </w:r>
    </w:p>
    <w:p w:rsidR="00FB57DA" w:rsidRPr="002E6ECA" w:rsidRDefault="00FB57DA" w:rsidP="002401D9">
      <w:pPr>
        <w:spacing w:line="348" w:lineRule="auto"/>
        <w:ind w:firstLine="851"/>
        <w:jc w:val="both"/>
        <w:rPr>
          <w:spacing w:val="-2"/>
          <w:sz w:val="28"/>
          <w:szCs w:val="28"/>
          <w:lang w:val="en-US"/>
        </w:rPr>
      </w:pPr>
      <w:r w:rsidRPr="002E6ECA">
        <w:rPr>
          <w:spacing w:val="-2"/>
          <w:sz w:val="28"/>
          <w:szCs w:val="28"/>
          <w:lang w:val="en-US"/>
        </w:rPr>
        <w:t xml:space="preserve">The </w:t>
      </w:r>
      <w:r w:rsidRPr="002E6ECA">
        <w:rPr>
          <w:b/>
          <w:bCs/>
          <w:spacing w:val="-2"/>
          <w:sz w:val="28"/>
          <w:szCs w:val="28"/>
          <w:lang w:val="en-US"/>
        </w:rPr>
        <w:t>practical significance</w:t>
      </w:r>
      <w:r w:rsidRPr="002E6ECA">
        <w:rPr>
          <w:spacing w:val="-2"/>
          <w:sz w:val="28"/>
          <w:szCs w:val="28"/>
          <w:lang w:val="en-US"/>
        </w:rPr>
        <w:t xml:space="preserve"> </w:t>
      </w:r>
      <w:r w:rsidRPr="002E6ECA">
        <w:rPr>
          <w:spacing w:val="-4"/>
          <w:sz w:val="28"/>
          <w:szCs w:val="28"/>
          <w:lang w:val="en-US"/>
        </w:rPr>
        <w:t xml:space="preserve">of the research results lies in the fact that the implementation of hygienic monitoring of school students’ group health as for revealing mechanisms of forming prenosological states will make it possible to determine risk groups of children and to forecast the level of health disorders in children and adolescents. The developed methods of determining leading pathologies as for risks of increasing morbidity in academic groups are tools of analyzing and predicting school </w:t>
      </w:r>
      <w:r w:rsidRPr="002E6ECA">
        <w:rPr>
          <w:spacing w:val="-4"/>
          <w:sz w:val="28"/>
          <w:szCs w:val="28"/>
          <w:lang w:val="en-US"/>
        </w:rPr>
        <w:lastRenderedPageBreak/>
        <w:t xml:space="preserve">students’ health state at both individual and group levels. A system of initial prevention measures that concern day regimen elements that are proved to be risk factors in terms of the development of infectious diseases in adolescent school students has been developed and implemented in the work </w:t>
      </w:r>
      <w:r w:rsidR="00B12867" w:rsidRPr="002E6ECA">
        <w:rPr>
          <w:sz w:val="28"/>
          <w:szCs w:val="28"/>
          <w:lang w:val="en-US"/>
        </w:rPr>
        <w:t>of comprehensive education institutions</w:t>
      </w:r>
      <w:r w:rsidRPr="002E6ECA">
        <w:rPr>
          <w:spacing w:val="-4"/>
          <w:sz w:val="28"/>
          <w:szCs w:val="28"/>
          <w:lang w:val="en-US"/>
        </w:rPr>
        <w:t xml:space="preserve">. </w:t>
      </w:r>
      <w:r w:rsidRPr="002E6ECA">
        <w:rPr>
          <w:spacing w:val="-6"/>
          <w:sz w:val="28"/>
          <w:szCs w:val="28"/>
          <w:lang w:val="en-US"/>
        </w:rPr>
        <w:t xml:space="preserve">Methods of using both health related quality of life questionnaires and the questionnaire “The pediatric symptom checklist” </w:t>
      </w:r>
      <w:r w:rsidRPr="002E6ECA">
        <w:rPr>
          <w:spacing w:val="-6"/>
          <w:sz w:val="28"/>
          <w:szCs w:val="28"/>
          <w:lang w:val="uk-UA"/>
        </w:rPr>
        <w:t>PSC-Ukr</w:t>
      </w:r>
      <w:r w:rsidRPr="002E6ECA">
        <w:rPr>
          <w:spacing w:val="-6"/>
          <w:sz w:val="28"/>
          <w:szCs w:val="28"/>
          <w:lang w:val="en-US"/>
        </w:rPr>
        <w:t>, which is an effective and complementary research, focusing on school students with the purpose of revealing mechanisms of forming an integrative system of assessing psychological health and directions (externalized or internalized) as for psychosocial functioning disorders have been developed and implemented. Automatized express-assessment of children’s and adolescents’ physical development within the framework of the legislative act – the Order of the Ministry of Health of Ukraine “About the ratification of the Criteria of assessing physical development of school students” –</w:t>
      </w:r>
      <w:r w:rsidRPr="002E6ECA">
        <w:rPr>
          <w:spacing w:val="-4"/>
          <w:sz w:val="28"/>
          <w:szCs w:val="28"/>
          <w:lang w:val="en-US"/>
        </w:rPr>
        <w:t xml:space="preserve"> to simplify comprehensive assessment health states according to somatometric indicators with the purpose of timely determining deviations in height and development processes has been developed and put forward to implement in the work of medical staff of educational, treatment-and prophylactic establishments, of experts in the field of hygiene of children and adolescents.</w:t>
      </w:r>
      <w:r w:rsidRPr="002E6ECA">
        <w:rPr>
          <w:spacing w:val="-2"/>
          <w:sz w:val="28"/>
          <w:szCs w:val="28"/>
          <w:lang w:val="en-US"/>
        </w:rPr>
        <w:t xml:space="preserve"> </w:t>
      </w:r>
    </w:p>
    <w:p w:rsidR="00FB57DA" w:rsidRPr="002E6ECA" w:rsidRDefault="00FB57DA" w:rsidP="002401D9">
      <w:pPr>
        <w:spacing w:line="348" w:lineRule="auto"/>
        <w:ind w:firstLine="851"/>
        <w:jc w:val="both"/>
        <w:rPr>
          <w:spacing w:val="-4"/>
          <w:sz w:val="28"/>
          <w:szCs w:val="28"/>
          <w:lang w:val="en-US"/>
        </w:rPr>
      </w:pPr>
      <w:r w:rsidRPr="002E6ECA">
        <w:rPr>
          <w:spacing w:val="-4"/>
          <w:sz w:val="28"/>
          <w:szCs w:val="28"/>
          <w:lang w:val="en-US"/>
        </w:rPr>
        <w:t xml:space="preserve">On the basis of the research conducted a comprehensive medical and prophylactic program as for preventing unfavorable influence of school environments on school students’ health during their studies </w:t>
      </w:r>
      <w:r w:rsidR="000A2E4F" w:rsidRPr="002E6ECA">
        <w:rPr>
          <w:sz w:val="28"/>
          <w:szCs w:val="28"/>
          <w:lang w:val="en-US"/>
        </w:rPr>
        <w:t xml:space="preserve">in comprehensive schools </w:t>
      </w:r>
      <w:r w:rsidRPr="002E6ECA">
        <w:rPr>
          <w:spacing w:val="-4"/>
          <w:sz w:val="28"/>
          <w:szCs w:val="28"/>
          <w:lang w:val="en-US"/>
        </w:rPr>
        <w:t xml:space="preserve">has been developed, which will enhance maintaining school students’ health against the background of the aggressive impact of intensified academic load and which has been implemented in academic groups of experimental </w:t>
      </w:r>
      <w:r w:rsidR="000A2E4F" w:rsidRPr="002E6ECA">
        <w:rPr>
          <w:sz w:val="28"/>
          <w:szCs w:val="28"/>
          <w:lang w:val="en-US"/>
        </w:rPr>
        <w:t>comprehensive education institutions.</w:t>
      </w:r>
    </w:p>
    <w:p w:rsidR="00FB57DA" w:rsidRPr="002E6ECA" w:rsidRDefault="00FB57DA" w:rsidP="002401D9">
      <w:pPr>
        <w:tabs>
          <w:tab w:val="left" w:pos="1134"/>
        </w:tabs>
        <w:spacing w:line="348" w:lineRule="auto"/>
        <w:ind w:firstLine="709"/>
        <w:jc w:val="both"/>
        <w:rPr>
          <w:spacing w:val="-2"/>
          <w:sz w:val="28"/>
          <w:szCs w:val="28"/>
          <w:lang w:val="uk-UA"/>
        </w:rPr>
      </w:pPr>
      <w:r w:rsidRPr="002E6ECA">
        <w:rPr>
          <w:rStyle w:val="fontstyle11"/>
          <w:color w:val="auto"/>
          <w:spacing w:val="-2"/>
          <w:lang w:val="en-US"/>
        </w:rPr>
        <w:t>The correlation between adolescent school students’ level of academic proficiency and their health state has been established. Students with low levels of academic efficiency have proved to have the highest level of general morbidity</w:t>
      </w:r>
      <w:r w:rsidRPr="002E6ECA">
        <w:rPr>
          <w:spacing w:val="-2"/>
          <w:sz w:val="28"/>
          <w:szCs w:val="28"/>
          <w:lang w:val="uk-UA"/>
        </w:rPr>
        <w:t xml:space="preserve"> (1847,8‰) </w:t>
      </w:r>
      <w:r w:rsidRPr="002E6ECA">
        <w:rPr>
          <w:spacing w:val="-2"/>
          <w:sz w:val="28"/>
          <w:szCs w:val="28"/>
          <w:lang w:val="en-US"/>
        </w:rPr>
        <w:t xml:space="preserve">with its increase by </w:t>
      </w:r>
      <w:r w:rsidRPr="002E6ECA">
        <w:rPr>
          <w:spacing w:val="-2"/>
          <w:sz w:val="28"/>
          <w:szCs w:val="28"/>
          <w:lang w:val="uk-UA"/>
        </w:rPr>
        <w:t>565,2‰</w:t>
      </w:r>
      <w:r w:rsidRPr="002E6ECA">
        <w:rPr>
          <w:spacing w:val="-2"/>
          <w:sz w:val="28"/>
          <w:szCs w:val="28"/>
          <w:lang w:val="en-US"/>
        </w:rPr>
        <w:t xml:space="preserve"> during their studies; there has been observed a steadily high level of morbidity in terms of endocrine pathology, psychic and behavior disorders; negative dynamics of the overall duration of acute diseases throughout the period of studies in secondary school</w:t>
      </w:r>
      <w:r w:rsidRPr="002E6ECA">
        <w:rPr>
          <w:spacing w:val="-2"/>
          <w:sz w:val="28"/>
          <w:szCs w:val="28"/>
          <w:lang w:val="uk-UA"/>
        </w:rPr>
        <w:t xml:space="preserve"> (</w:t>
      </w:r>
      <w:r w:rsidRPr="002E6ECA">
        <w:rPr>
          <w:spacing w:val="-2"/>
          <w:sz w:val="28"/>
          <w:szCs w:val="28"/>
          <w:lang w:val="en-US"/>
        </w:rPr>
        <w:t>from</w:t>
      </w:r>
      <w:r w:rsidRPr="002E6ECA">
        <w:rPr>
          <w:spacing w:val="-2"/>
          <w:sz w:val="28"/>
          <w:szCs w:val="28"/>
          <w:lang w:val="uk-UA"/>
        </w:rPr>
        <w:t xml:space="preserve"> 13,2±1,7 </w:t>
      </w:r>
      <w:r w:rsidRPr="002E6ECA">
        <w:rPr>
          <w:spacing w:val="-2"/>
          <w:sz w:val="28"/>
          <w:szCs w:val="28"/>
          <w:lang w:val="en-US"/>
        </w:rPr>
        <w:t>up to</w:t>
      </w:r>
      <w:r w:rsidRPr="002E6ECA">
        <w:rPr>
          <w:spacing w:val="-2"/>
          <w:sz w:val="28"/>
          <w:szCs w:val="28"/>
          <w:lang w:val="uk-UA"/>
        </w:rPr>
        <w:t xml:space="preserve"> 16,9±1,3 </w:t>
      </w:r>
      <w:r w:rsidRPr="002E6ECA">
        <w:rPr>
          <w:spacing w:val="-2"/>
          <w:sz w:val="28"/>
          <w:szCs w:val="28"/>
          <w:lang w:val="en-US"/>
        </w:rPr>
        <w:t>days</w:t>
      </w:r>
      <w:r w:rsidRPr="002E6ECA">
        <w:rPr>
          <w:spacing w:val="-2"/>
          <w:sz w:val="28"/>
          <w:szCs w:val="28"/>
          <w:lang w:val="uk-UA"/>
        </w:rPr>
        <w:t xml:space="preserve">; р&lt;0,05). </w:t>
      </w:r>
      <w:r w:rsidRPr="002E6ECA">
        <w:rPr>
          <w:spacing w:val="-2"/>
          <w:sz w:val="28"/>
          <w:szCs w:val="28"/>
          <w:lang w:val="en-US"/>
        </w:rPr>
        <w:t>On</w:t>
      </w:r>
      <w:r w:rsidRPr="002E6ECA">
        <w:rPr>
          <w:spacing w:val="-2"/>
          <w:sz w:val="28"/>
          <w:szCs w:val="28"/>
          <w:lang w:val="uk-UA"/>
        </w:rPr>
        <w:t xml:space="preserve"> </w:t>
      </w:r>
      <w:r w:rsidRPr="002E6ECA">
        <w:rPr>
          <w:spacing w:val="-2"/>
          <w:sz w:val="28"/>
          <w:szCs w:val="28"/>
          <w:lang w:val="en-US"/>
        </w:rPr>
        <w:lastRenderedPageBreak/>
        <w:t>the</w:t>
      </w:r>
      <w:r w:rsidRPr="002E6ECA">
        <w:rPr>
          <w:spacing w:val="-2"/>
          <w:sz w:val="28"/>
          <w:szCs w:val="28"/>
          <w:lang w:val="uk-UA"/>
        </w:rPr>
        <w:t xml:space="preserve"> </w:t>
      </w:r>
      <w:r w:rsidRPr="002E6ECA">
        <w:rPr>
          <w:spacing w:val="-2"/>
          <w:sz w:val="28"/>
          <w:szCs w:val="28"/>
          <w:lang w:val="en-US"/>
        </w:rPr>
        <w:t>whole</w:t>
      </w:r>
      <w:r w:rsidRPr="002E6ECA">
        <w:rPr>
          <w:spacing w:val="-2"/>
          <w:sz w:val="28"/>
          <w:szCs w:val="28"/>
          <w:lang w:val="uk-UA"/>
        </w:rPr>
        <w:t xml:space="preserve">, </w:t>
      </w:r>
      <w:r w:rsidRPr="002E6ECA">
        <w:rPr>
          <w:spacing w:val="-2"/>
          <w:sz w:val="28"/>
          <w:szCs w:val="28"/>
          <w:lang w:val="en-US"/>
        </w:rPr>
        <w:t>in</w:t>
      </w:r>
      <w:r w:rsidRPr="002E6ECA">
        <w:rPr>
          <w:spacing w:val="-2"/>
          <w:sz w:val="28"/>
          <w:szCs w:val="28"/>
          <w:lang w:val="uk-UA"/>
        </w:rPr>
        <w:t xml:space="preserve"> </w:t>
      </w:r>
      <w:r w:rsidRPr="002E6ECA">
        <w:rPr>
          <w:spacing w:val="-2"/>
          <w:sz w:val="28"/>
          <w:szCs w:val="28"/>
          <w:lang w:val="en-US"/>
        </w:rPr>
        <w:t>girls</w:t>
      </w:r>
      <w:r w:rsidRPr="002E6ECA">
        <w:rPr>
          <w:spacing w:val="-2"/>
          <w:sz w:val="28"/>
          <w:szCs w:val="28"/>
          <w:lang w:val="uk-UA"/>
        </w:rPr>
        <w:t xml:space="preserve"> </w:t>
      </w:r>
      <w:r w:rsidRPr="002E6ECA">
        <w:rPr>
          <w:spacing w:val="-2"/>
          <w:sz w:val="28"/>
          <w:szCs w:val="28"/>
          <w:lang w:val="en-US"/>
        </w:rPr>
        <w:t xml:space="preserve">a higher abundance of endocrine system pathologies </w:t>
      </w:r>
      <w:r w:rsidRPr="002E6ECA">
        <w:rPr>
          <w:spacing w:val="-2"/>
          <w:sz w:val="28"/>
          <w:szCs w:val="28"/>
          <w:lang w:val="uk-UA"/>
        </w:rPr>
        <w:t xml:space="preserve">(520,7±57,7‰ </w:t>
      </w:r>
      <w:r w:rsidRPr="002E6ECA">
        <w:rPr>
          <w:spacing w:val="-2"/>
          <w:sz w:val="28"/>
          <w:szCs w:val="28"/>
          <w:lang w:val="en-US"/>
        </w:rPr>
        <w:t>in comparison with</w:t>
      </w:r>
      <w:r w:rsidRPr="002E6ECA">
        <w:rPr>
          <w:spacing w:val="-2"/>
          <w:sz w:val="28"/>
          <w:szCs w:val="28"/>
          <w:lang w:val="uk-UA"/>
        </w:rPr>
        <w:t xml:space="preserve"> 421,7±54,7‰ </w:t>
      </w:r>
      <w:r w:rsidRPr="002E6ECA">
        <w:rPr>
          <w:spacing w:val="-2"/>
          <w:sz w:val="28"/>
          <w:szCs w:val="28"/>
          <w:lang w:val="en-US"/>
        </w:rPr>
        <w:t>in boys</w:t>
      </w:r>
      <w:r w:rsidRPr="002E6ECA">
        <w:rPr>
          <w:spacing w:val="-2"/>
          <w:sz w:val="28"/>
          <w:szCs w:val="28"/>
          <w:lang w:val="uk-UA"/>
        </w:rPr>
        <w:t>)</w:t>
      </w:r>
      <w:r w:rsidRPr="002E6ECA">
        <w:rPr>
          <w:spacing w:val="-2"/>
          <w:sz w:val="28"/>
          <w:szCs w:val="28"/>
          <w:lang w:val="en-US"/>
        </w:rPr>
        <w:t xml:space="preserve">, pathologies as for organs of sight and adnexa system </w:t>
      </w:r>
      <w:r w:rsidRPr="002E6ECA">
        <w:rPr>
          <w:spacing w:val="-2"/>
          <w:sz w:val="28"/>
          <w:szCs w:val="28"/>
          <w:lang w:val="uk-UA"/>
        </w:rPr>
        <w:t xml:space="preserve">(386,7±56,2‰ </w:t>
      </w:r>
      <w:r w:rsidRPr="002E6ECA">
        <w:rPr>
          <w:spacing w:val="-2"/>
          <w:sz w:val="28"/>
          <w:szCs w:val="28"/>
          <w:lang w:val="en-US"/>
        </w:rPr>
        <w:t>and</w:t>
      </w:r>
      <w:r w:rsidRPr="002E6ECA">
        <w:rPr>
          <w:spacing w:val="-2"/>
          <w:sz w:val="28"/>
          <w:szCs w:val="28"/>
          <w:lang w:val="uk-UA"/>
        </w:rPr>
        <w:t xml:space="preserve"> 265,1±52,7‰</w:t>
      </w:r>
      <w:r w:rsidRPr="002E6ECA">
        <w:rPr>
          <w:spacing w:val="-2"/>
          <w:sz w:val="28"/>
          <w:szCs w:val="28"/>
          <w:lang w:val="en-US"/>
        </w:rPr>
        <w:t xml:space="preserve"> correspondingly</w:t>
      </w:r>
      <w:r w:rsidRPr="002E6ECA">
        <w:rPr>
          <w:spacing w:val="-2"/>
          <w:sz w:val="28"/>
          <w:szCs w:val="28"/>
          <w:lang w:val="uk-UA"/>
        </w:rPr>
        <w:t>)</w:t>
      </w:r>
      <w:r w:rsidRPr="002E6ECA">
        <w:rPr>
          <w:spacing w:val="-2"/>
          <w:sz w:val="28"/>
          <w:szCs w:val="28"/>
          <w:lang w:val="en-US"/>
        </w:rPr>
        <w:t xml:space="preserve"> have been registered, in boys psychic and behavior disorders </w:t>
      </w:r>
      <w:r w:rsidRPr="002E6ECA">
        <w:rPr>
          <w:spacing w:val="-2"/>
          <w:sz w:val="28"/>
          <w:szCs w:val="28"/>
          <w:lang w:val="uk-UA"/>
        </w:rPr>
        <w:t xml:space="preserve">(168,7±39,9‰ </w:t>
      </w:r>
      <w:r w:rsidRPr="002E6ECA">
        <w:rPr>
          <w:spacing w:val="-2"/>
          <w:sz w:val="28"/>
          <w:szCs w:val="28"/>
          <w:lang w:val="en-US"/>
        </w:rPr>
        <w:t xml:space="preserve">and </w:t>
      </w:r>
      <w:r w:rsidRPr="002E6ECA">
        <w:rPr>
          <w:spacing w:val="-2"/>
          <w:sz w:val="28"/>
          <w:szCs w:val="28"/>
          <w:lang w:val="uk-UA"/>
        </w:rPr>
        <w:t>40,0±22,6‰; р&lt;0,05</w:t>
      </w:r>
      <w:r w:rsidRPr="002E6ECA">
        <w:rPr>
          <w:spacing w:val="-2"/>
          <w:sz w:val="28"/>
          <w:szCs w:val="28"/>
          <w:lang w:val="en-US"/>
        </w:rPr>
        <w:t xml:space="preserve"> correspondingly</w:t>
      </w:r>
      <w:r w:rsidRPr="002E6ECA">
        <w:rPr>
          <w:spacing w:val="-2"/>
          <w:sz w:val="28"/>
          <w:szCs w:val="28"/>
          <w:lang w:val="uk-UA"/>
        </w:rPr>
        <w:t>)</w:t>
      </w:r>
      <w:r w:rsidRPr="002E6ECA">
        <w:rPr>
          <w:spacing w:val="-2"/>
          <w:sz w:val="28"/>
          <w:szCs w:val="28"/>
          <w:lang w:val="en-US"/>
        </w:rPr>
        <w:t xml:space="preserve"> have been observed</w:t>
      </w:r>
      <w:r w:rsidRPr="002E6ECA">
        <w:rPr>
          <w:spacing w:val="-2"/>
          <w:sz w:val="28"/>
          <w:szCs w:val="28"/>
          <w:lang w:val="uk-UA"/>
        </w:rPr>
        <w:t>.</w:t>
      </w:r>
    </w:p>
    <w:p w:rsidR="00FB57DA" w:rsidRPr="002E6ECA" w:rsidRDefault="00FB57DA" w:rsidP="002401D9">
      <w:pPr>
        <w:tabs>
          <w:tab w:val="left" w:pos="1134"/>
        </w:tabs>
        <w:spacing w:line="348" w:lineRule="auto"/>
        <w:ind w:firstLine="709"/>
        <w:jc w:val="both"/>
        <w:rPr>
          <w:rStyle w:val="fontstyle11"/>
          <w:color w:val="auto"/>
          <w:spacing w:val="-4"/>
          <w:lang w:val="en-US"/>
        </w:rPr>
      </w:pPr>
      <w:r w:rsidRPr="002E6ECA">
        <w:rPr>
          <w:spacing w:val="-4"/>
          <w:sz w:val="28"/>
          <w:szCs w:val="28"/>
          <w:lang w:val="en-US"/>
        </w:rPr>
        <w:t>It has been determined that regardless of systems of education and types of educational-pedagogic projects the level of academic load has been on average 7,19 points (</w:t>
      </w:r>
      <w:r w:rsidRPr="002E6ECA">
        <w:rPr>
          <w:spacing w:val="-4"/>
          <w:sz w:val="28"/>
          <w:szCs w:val="28"/>
        </w:rPr>
        <w:t>р</w:t>
      </w:r>
      <w:r w:rsidRPr="002E6ECA">
        <w:rPr>
          <w:spacing w:val="-4"/>
          <w:sz w:val="28"/>
          <w:szCs w:val="28"/>
          <w:lang w:val="en-US"/>
        </w:rPr>
        <w:t xml:space="preserve">&lt;0,01) higher from the fifth till the sixth grade, annually up to the eighth grade – 2-3 points higher with an insignificant decrease at the point of transfer to the ninth grade (1,30 points lower). Under the conditions of the </w:t>
      </w:r>
      <w:bookmarkStart w:id="1" w:name="_Hlk68247862"/>
      <w:r w:rsidRPr="002E6ECA">
        <w:rPr>
          <w:spacing w:val="-4"/>
          <w:sz w:val="28"/>
          <w:szCs w:val="28"/>
          <w:lang w:val="en-US"/>
        </w:rPr>
        <w:t xml:space="preserve">meritocratic system of education </w:t>
      </w:r>
      <w:bookmarkEnd w:id="1"/>
      <w:r w:rsidRPr="002E6ECA">
        <w:rPr>
          <w:spacing w:val="-4"/>
          <w:sz w:val="28"/>
          <w:szCs w:val="28"/>
          <w:lang w:val="en-US"/>
        </w:rPr>
        <w:t xml:space="preserve">according to the scale of difficulty of academic subjects the level of academic load in grades 5-8 is 1,1-3,3 points higher whereas in the ninth grade it is 0,2 points lower in comparison the traditional system of education. There haven’t been any considerable differences in terms of characteristics of academic conditions in different </w:t>
      </w:r>
      <w:r w:rsidR="000A2E4F" w:rsidRPr="002E6ECA">
        <w:rPr>
          <w:sz w:val="28"/>
          <w:szCs w:val="28"/>
          <w:lang w:val="en-US"/>
        </w:rPr>
        <w:t>comprehensive education institutions</w:t>
      </w:r>
      <w:r w:rsidRPr="002E6ECA">
        <w:rPr>
          <w:spacing w:val="-4"/>
          <w:sz w:val="28"/>
          <w:szCs w:val="28"/>
          <w:lang w:val="en-US"/>
        </w:rPr>
        <w:t xml:space="preserve"> and while implementing various educational and pedagogic projects revealed, except indicators of levels of artificial lighting equaling to </w:t>
      </w:r>
      <w:r w:rsidRPr="002E6ECA">
        <w:rPr>
          <w:rStyle w:val="fontstyle11"/>
          <w:color w:val="auto"/>
          <w:spacing w:val="-4"/>
          <w:lang w:val="en-US"/>
        </w:rPr>
        <w:t>9,94% measurement points in Physics, Chemistry and Computer Science classrooms</w:t>
      </w:r>
      <w:r w:rsidR="00DA2ED8" w:rsidRPr="002E6ECA">
        <w:rPr>
          <w:rStyle w:val="fontstyle11"/>
          <w:color w:val="auto"/>
          <w:spacing w:val="-4"/>
          <w:lang w:val="uk-UA"/>
        </w:rPr>
        <w:t>.</w:t>
      </w:r>
      <w:r w:rsidRPr="002E6ECA">
        <w:rPr>
          <w:rStyle w:val="fontstyle11"/>
          <w:color w:val="auto"/>
          <w:spacing w:val="-4"/>
          <w:lang w:val="en-US"/>
        </w:rPr>
        <w:t xml:space="preserve"> </w:t>
      </w:r>
    </w:p>
    <w:p w:rsidR="00FB57DA" w:rsidRPr="002E6ECA" w:rsidRDefault="00FB57DA" w:rsidP="002401D9">
      <w:pPr>
        <w:tabs>
          <w:tab w:val="left" w:pos="1134"/>
        </w:tabs>
        <w:spacing w:line="348" w:lineRule="auto"/>
        <w:ind w:firstLine="709"/>
        <w:jc w:val="both"/>
        <w:rPr>
          <w:rStyle w:val="fontstyle11"/>
          <w:color w:val="auto"/>
          <w:spacing w:val="-2"/>
          <w:lang w:val="en-US"/>
        </w:rPr>
      </w:pPr>
      <w:r w:rsidRPr="002E6ECA">
        <w:rPr>
          <w:spacing w:val="-2"/>
          <w:sz w:val="28"/>
          <w:szCs w:val="28"/>
          <w:lang w:val="en-US"/>
        </w:rPr>
        <w:t xml:space="preserve">Home assignment deadlines, TV program viewing time, computer games, dietary patterns have been determined as the most serious risk factors </w:t>
      </w:r>
      <w:r w:rsidRPr="002E6ECA">
        <w:rPr>
          <w:rStyle w:val="fontstyle11"/>
          <w:color w:val="auto"/>
          <w:spacing w:val="-2"/>
          <w:lang w:val="en-US"/>
        </w:rPr>
        <w:t xml:space="preserve">for the general level of health state as ones belonging to those causing the development of children’s health pathologies. It is symptoms of cardio-rheumatologic and hematologic pathological states, asthenia and psychic disorders that have proved to be the most sensitive as for day regimen violations. Such important factors as doing fitness tempering procedures regularly </w:t>
      </w:r>
      <w:r w:rsidRPr="002E6ECA">
        <w:rPr>
          <w:spacing w:val="-2"/>
          <w:sz w:val="28"/>
          <w:szCs w:val="28"/>
          <w:lang w:val="en-US"/>
        </w:rPr>
        <w:t>(</w:t>
      </w:r>
      <w:r w:rsidRPr="002E6ECA">
        <w:rPr>
          <w:spacing w:val="-2"/>
          <w:sz w:val="28"/>
          <w:szCs w:val="28"/>
        </w:rPr>
        <w:t>χ</w:t>
      </w:r>
      <w:r w:rsidRPr="002E6ECA">
        <w:rPr>
          <w:spacing w:val="-2"/>
          <w:sz w:val="28"/>
          <w:szCs w:val="28"/>
          <w:lang w:val="en-US"/>
        </w:rPr>
        <w:t xml:space="preserve">2=23,077; </w:t>
      </w:r>
      <w:r w:rsidRPr="002E6ECA">
        <w:rPr>
          <w:spacing w:val="-2"/>
          <w:sz w:val="28"/>
          <w:szCs w:val="28"/>
        </w:rPr>
        <w:t>р</w:t>
      </w:r>
      <w:r w:rsidRPr="002E6ECA">
        <w:rPr>
          <w:spacing w:val="-2"/>
          <w:sz w:val="28"/>
          <w:szCs w:val="28"/>
          <w:lang w:val="en-US"/>
        </w:rPr>
        <w:t>&lt;0,001) and morning exercises (</w:t>
      </w:r>
      <w:r w:rsidRPr="002E6ECA">
        <w:rPr>
          <w:spacing w:val="-2"/>
          <w:sz w:val="28"/>
          <w:szCs w:val="28"/>
        </w:rPr>
        <w:t>χ</w:t>
      </w:r>
      <w:r w:rsidRPr="002E6ECA">
        <w:rPr>
          <w:spacing w:val="-2"/>
          <w:sz w:val="28"/>
          <w:szCs w:val="28"/>
          <w:lang w:val="en-US"/>
        </w:rPr>
        <w:t xml:space="preserve">2=23,758; </w:t>
      </w:r>
      <w:r w:rsidRPr="002E6ECA">
        <w:rPr>
          <w:spacing w:val="-2"/>
          <w:sz w:val="28"/>
          <w:szCs w:val="28"/>
        </w:rPr>
        <w:t>р</w:t>
      </w:r>
      <w:r w:rsidRPr="002E6ECA">
        <w:rPr>
          <w:spacing w:val="-2"/>
          <w:sz w:val="28"/>
          <w:szCs w:val="28"/>
          <w:lang w:val="en-US"/>
        </w:rPr>
        <w:t>&lt;0,001), walks outside for at least one hour a day (</w:t>
      </w:r>
      <w:r w:rsidRPr="002E6ECA">
        <w:rPr>
          <w:spacing w:val="-2"/>
          <w:sz w:val="28"/>
          <w:szCs w:val="28"/>
        </w:rPr>
        <w:t>χ</w:t>
      </w:r>
      <w:r w:rsidRPr="002E6ECA">
        <w:rPr>
          <w:spacing w:val="-2"/>
          <w:sz w:val="28"/>
          <w:szCs w:val="28"/>
          <w:lang w:val="en-US"/>
        </w:rPr>
        <w:t xml:space="preserve">2=11,281; </w:t>
      </w:r>
      <w:r w:rsidRPr="002E6ECA">
        <w:rPr>
          <w:spacing w:val="-2"/>
          <w:sz w:val="28"/>
          <w:szCs w:val="28"/>
        </w:rPr>
        <w:t>р</w:t>
      </w:r>
      <w:r w:rsidRPr="002E6ECA">
        <w:rPr>
          <w:spacing w:val="-2"/>
          <w:sz w:val="28"/>
          <w:szCs w:val="28"/>
          <w:lang w:val="en-US"/>
        </w:rPr>
        <w:t>=0,001), reducing TV program viewing time, computer and gadget active time, making ways of spending leisure time active (</w:t>
      </w:r>
      <w:r w:rsidRPr="002E6ECA">
        <w:rPr>
          <w:spacing w:val="-2"/>
          <w:sz w:val="28"/>
          <w:szCs w:val="28"/>
        </w:rPr>
        <w:t>р</w:t>
      </w:r>
      <w:r w:rsidRPr="002E6ECA">
        <w:rPr>
          <w:spacing w:val="-2"/>
          <w:sz w:val="28"/>
          <w:szCs w:val="28"/>
          <w:lang w:val="en-US"/>
        </w:rPr>
        <w:t xml:space="preserve">&lt;0,05) have been proved to have a positive effect on school students' health state in certain nosological groups. </w:t>
      </w:r>
    </w:p>
    <w:p w:rsidR="00FB57DA" w:rsidRPr="002E6ECA" w:rsidRDefault="00FB57DA" w:rsidP="002401D9">
      <w:pPr>
        <w:tabs>
          <w:tab w:val="left" w:pos="1134"/>
        </w:tabs>
        <w:spacing w:line="348" w:lineRule="auto"/>
        <w:ind w:firstLine="709"/>
        <w:jc w:val="both"/>
        <w:rPr>
          <w:spacing w:val="-2"/>
          <w:sz w:val="28"/>
          <w:szCs w:val="28"/>
          <w:lang w:val="en-US"/>
        </w:rPr>
      </w:pPr>
      <w:r w:rsidRPr="002E6ECA">
        <w:rPr>
          <w:spacing w:val="-2"/>
          <w:sz w:val="28"/>
          <w:szCs w:val="28"/>
          <w:lang w:val="en-US"/>
        </w:rPr>
        <w:t xml:space="preserve">It has been established that the age of 12-13 is the sensitive period for vegetative regulator systems with hypersensitivity as for the influence of educational environment factors. Within the framework of the </w:t>
      </w:r>
      <w:bookmarkStart w:id="2" w:name="_Hlk68256676"/>
      <w:r w:rsidRPr="002E6ECA">
        <w:rPr>
          <w:spacing w:val="-2"/>
          <w:sz w:val="28"/>
          <w:szCs w:val="28"/>
          <w:lang w:val="en-US"/>
        </w:rPr>
        <w:t xml:space="preserve">meritocratic system of education </w:t>
      </w:r>
      <w:bookmarkEnd w:id="2"/>
      <w:r w:rsidRPr="002E6ECA">
        <w:rPr>
          <w:spacing w:val="-2"/>
          <w:sz w:val="28"/>
          <w:szCs w:val="28"/>
          <w:lang w:val="en-US"/>
        </w:rPr>
        <w:t>it is in sixth-</w:t>
      </w:r>
      <w:r w:rsidRPr="002E6ECA">
        <w:rPr>
          <w:spacing w:val="-2"/>
          <w:sz w:val="28"/>
          <w:szCs w:val="28"/>
          <w:lang w:val="en-US"/>
        </w:rPr>
        <w:lastRenderedPageBreak/>
        <w:t xml:space="preserve">graders that a higher level of vegetative regulation tension that is inversely proportional to school students’ adaptation potential has been revealed. Under the </w:t>
      </w:r>
      <w:bookmarkStart w:id="3" w:name="_Hlk68258760"/>
      <w:r w:rsidRPr="002E6ECA">
        <w:rPr>
          <w:spacing w:val="-2"/>
          <w:sz w:val="28"/>
          <w:szCs w:val="28"/>
          <w:lang w:val="en-US"/>
        </w:rPr>
        <w:t>meritocratic system of education</w:t>
      </w:r>
      <w:bookmarkEnd w:id="3"/>
      <w:r w:rsidRPr="002E6ECA">
        <w:rPr>
          <w:spacing w:val="-2"/>
          <w:sz w:val="28"/>
          <w:szCs w:val="28"/>
          <w:lang w:val="en-US"/>
        </w:rPr>
        <w:t xml:space="preserve">, the higher compared to traditional education adaptation threshold in the sixth grade requires implementing more accurate prenosological screening of school students’ health state during the above academic period. In the context of the meritocratic system of education the level of school stress anxiety is determined by interpersonal relationships in academic communities and/or school students’ individual-psychological peculiarities rather than by the intensification of educational processes, and the implementation of the meritocratic system of education itself has proved to have a developing influence on higher psychic functions of secondary school students, according to neurophysiological research results.  </w:t>
      </w:r>
    </w:p>
    <w:p w:rsidR="00FB57DA" w:rsidRPr="002E6ECA" w:rsidRDefault="00FB57DA" w:rsidP="002401D9">
      <w:pPr>
        <w:tabs>
          <w:tab w:val="left" w:pos="1134"/>
        </w:tabs>
        <w:spacing w:line="348" w:lineRule="auto"/>
        <w:ind w:firstLine="709"/>
        <w:jc w:val="both"/>
        <w:rPr>
          <w:spacing w:val="-4"/>
          <w:sz w:val="28"/>
          <w:szCs w:val="28"/>
          <w:lang w:val="en-US"/>
        </w:rPr>
      </w:pPr>
      <w:r w:rsidRPr="002E6ECA">
        <w:rPr>
          <w:spacing w:val="-4"/>
          <w:sz w:val="28"/>
          <w:szCs w:val="28"/>
          <w:lang w:val="en-US"/>
        </w:rPr>
        <w:t xml:space="preserve">Social environments and, first of all, academic communities have significant impacts on the level of physical </w:t>
      </w:r>
      <w:r w:rsidRPr="002E6ECA">
        <w:rPr>
          <w:spacing w:val="-4"/>
          <w:sz w:val="28"/>
          <w:szCs w:val="28"/>
          <w:lang w:val="uk-UA"/>
        </w:rPr>
        <w:t>(</w:t>
      </w:r>
      <w:r w:rsidRPr="002E6ECA">
        <w:rPr>
          <w:spacing w:val="-4"/>
          <w:sz w:val="28"/>
          <w:szCs w:val="28"/>
          <w:lang w:val="en-US"/>
        </w:rPr>
        <w:t>F</w:t>
      </w:r>
      <w:r w:rsidRPr="002E6ECA">
        <w:rPr>
          <w:spacing w:val="-4"/>
          <w:sz w:val="28"/>
          <w:szCs w:val="28"/>
          <w:lang w:val="uk-UA"/>
        </w:rPr>
        <w:t>=1,72, р=0,018)</w:t>
      </w:r>
      <w:r w:rsidRPr="002E6ECA">
        <w:rPr>
          <w:spacing w:val="-4"/>
          <w:sz w:val="28"/>
          <w:szCs w:val="28"/>
          <w:lang w:val="en-US"/>
        </w:rPr>
        <w:t xml:space="preserve"> and school functioning </w:t>
      </w:r>
      <w:r w:rsidRPr="002E6ECA">
        <w:rPr>
          <w:spacing w:val="-4"/>
          <w:sz w:val="28"/>
          <w:szCs w:val="28"/>
          <w:lang w:val="uk-UA"/>
        </w:rPr>
        <w:t>(</w:t>
      </w:r>
      <w:r w:rsidRPr="002E6ECA">
        <w:rPr>
          <w:spacing w:val="-4"/>
          <w:sz w:val="28"/>
          <w:szCs w:val="28"/>
          <w:lang w:val="en-US"/>
        </w:rPr>
        <w:t>F</w:t>
      </w:r>
      <w:r w:rsidRPr="002E6ECA">
        <w:rPr>
          <w:spacing w:val="-4"/>
          <w:sz w:val="28"/>
          <w:szCs w:val="28"/>
          <w:lang w:val="uk-UA"/>
        </w:rPr>
        <w:t>=1,99, р=0,003)</w:t>
      </w:r>
      <w:r w:rsidRPr="002E6ECA">
        <w:rPr>
          <w:spacing w:val="-4"/>
          <w:sz w:val="28"/>
          <w:szCs w:val="28"/>
          <w:lang w:val="en-US"/>
        </w:rPr>
        <w:t xml:space="preserve">, as well as on mental well-being </w:t>
      </w:r>
      <w:r w:rsidRPr="002E6ECA">
        <w:rPr>
          <w:spacing w:val="-4"/>
          <w:sz w:val="28"/>
          <w:szCs w:val="28"/>
          <w:lang w:val="uk-UA"/>
        </w:rPr>
        <w:t>(</w:t>
      </w:r>
      <w:r w:rsidRPr="002E6ECA">
        <w:rPr>
          <w:spacing w:val="-4"/>
          <w:sz w:val="28"/>
          <w:szCs w:val="28"/>
          <w:lang w:val="en-US"/>
        </w:rPr>
        <w:t>F</w:t>
      </w:r>
      <w:r w:rsidRPr="002E6ECA">
        <w:rPr>
          <w:spacing w:val="-4"/>
          <w:sz w:val="28"/>
          <w:szCs w:val="28"/>
          <w:lang w:val="uk-UA"/>
        </w:rPr>
        <w:t>=2,34, р&lt;0,001)</w:t>
      </w:r>
      <w:r w:rsidRPr="002E6ECA">
        <w:rPr>
          <w:spacing w:val="-4"/>
          <w:sz w:val="28"/>
          <w:szCs w:val="28"/>
          <w:lang w:val="en-US"/>
        </w:rPr>
        <w:t xml:space="preserve"> of secondary school students. Using both the health related quality of life questionnaire and the screening methods “List of symptoms in children” Y</w:t>
      </w:r>
      <w:r w:rsidRPr="002E6ECA">
        <w:rPr>
          <w:spacing w:val="-4"/>
          <w:sz w:val="28"/>
          <w:szCs w:val="28"/>
          <w:lang w:val="uk-UA"/>
        </w:rPr>
        <w:t>-</w:t>
      </w:r>
      <w:r w:rsidRPr="002E6ECA">
        <w:rPr>
          <w:spacing w:val="-4"/>
          <w:sz w:val="28"/>
          <w:szCs w:val="28"/>
          <w:lang w:val="en-US"/>
        </w:rPr>
        <w:t>PSC</w:t>
      </w:r>
      <w:r w:rsidRPr="002E6ECA">
        <w:rPr>
          <w:spacing w:val="-4"/>
          <w:sz w:val="28"/>
          <w:szCs w:val="28"/>
          <w:lang w:val="uk-UA"/>
        </w:rPr>
        <w:t>/</w:t>
      </w:r>
      <w:r w:rsidRPr="002E6ECA">
        <w:rPr>
          <w:spacing w:val="-4"/>
          <w:sz w:val="28"/>
          <w:szCs w:val="28"/>
          <w:lang w:val="en-US"/>
        </w:rPr>
        <w:t xml:space="preserve">PSC has proved to be an efficient and complementary method of studying school students. It is characteristics of internalization (inner individual tension, anxiety, depressiveness) that contribute negatively to all the components of the quality of life of school students aged 5-9, whereas negative influences on general and psychological health, social and emotional functioning are due to externalized disorders (behavior disorders, aggression, hyperactivity). Noncongruence between school life perception and satisfaction with communication between children and adults has been established. It has been concluded that in terms of school students’ social adaptation completing each stage of education (grades 4, 9 and 11) is a crisis period that is revealed due to tension and lack of features of psychosocial functioning with its eventual compensation. </w:t>
      </w:r>
    </w:p>
    <w:p w:rsidR="00FB57DA" w:rsidRPr="002E6ECA" w:rsidRDefault="00FB57DA" w:rsidP="002401D9">
      <w:pPr>
        <w:tabs>
          <w:tab w:val="left" w:pos="1134"/>
        </w:tabs>
        <w:spacing w:line="348" w:lineRule="auto"/>
        <w:ind w:firstLine="709"/>
        <w:jc w:val="both"/>
        <w:rPr>
          <w:spacing w:val="-4"/>
          <w:sz w:val="28"/>
          <w:szCs w:val="28"/>
          <w:lang w:val="en-US"/>
        </w:rPr>
      </w:pPr>
      <w:r w:rsidRPr="002E6ECA">
        <w:rPr>
          <w:spacing w:val="-4"/>
          <w:sz w:val="28"/>
          <w:szCs w:val="28"/>
          <w:lang w:val="en-US"/>
        </w:rPr>
        <w:t xml:space="preserve">There have been different “psychophysiological values” in terms of studying subjects of different fields under conditions of different systems of education established. High levels of cognitive capacity at lessons of mathematical domains characterized by maximum value according to the scale of subject difficulty have proved to be accompanied by physiological tension (rise in heart rates up to 100,2 beats/min.; </w:t>
      </w:r>
      <w:r w:rsidRPr="002E6ECA">
        <w:rPr>
          <w:spacing w:val="-4"/>
          <w:sz w:val="28"/>
          <w:szCs w:val="28"/>
        </w:rPr>
        <w:lastRenderedPageBreak/>
        <w:t>р</w:t>
      </w:r>
      <w:r w:rsidRPr="002E6ECA">
        <w:rPr>
          <w:spacing w:val="-4"/>
          <w:sz w:val="28"/>
          <w:szCs w:val="28"/>
          <w:lang w:val="en-US"/>
        </w:rPr>
        <w:t>&lt;0,01). While studying Mathematics under the conditions of the proper organization of the educational process levels of cognitive efficiency were not only maintained but raised as for quantitative and qualitative criteria in 40</w:t>
      </w:r>
      <w:r w:rsidR="0080667E" w:rsidRPr="002E6ECA">
        <w:rPr>
          <w:spacing w:val="-4"/>
          <w:sz w:val="28"/>
          <w:szCs w:val="28"/>
          <w:lang w:val="en-US"/>
        </w:rPr>
        <w:t>%</w:t>
      </w:r>
      <w:r w:rsidRPr="002E6ECA">
        <w:rPr>
          <w:spacing w:val="-4"/>
          <w:sz w:val="28"/>
          <w:szCs w:val="28"/>
          <w:lang w:val="en-US"/>
        </w:rPr>
        <w:t xml:space="preserve"> of school students. The choice of educational projects and curricula has not proved to have such impacts on the level of cognitive efficiency in the process of mastering average difficulty academic subjects </w:t>
      </w:r>
    </w:p>
    <w:p w:rsidR="00FB57DA" w:rsidRPr="002E6ECA" w:rsidRDefault="00FB57DA" w:rsidP="002401D9">
      <w:pPr>
        <w:tabs>
          <w:tab w:val="left" w:pos="1134"/>
        </w:tabs>
        <w:spacing w:line="348" w:lineRule="auto"/>
        <w:ind w:firstLine="709"/>
        <w:jc w:val="both"/>
        <w:rPr>
          <w:spacing w:val="-4"/>
          <w:sz w:val="28"/>
          <w:szCs w:val="28"/>
          <w:lang w:val="en-US"/>
        </w:rPr>
      </w:pPr>
      <w:r w:rsidRPr="002E6ECA">
        <w:rPr>
          <w:spacing w:val="-4"/>
          <w:sz w:val="28"/>
          <w:szCs w:val="28"/>
          <w:lang w:val="en-US"/>
        </w:rPr>
        <w:t xml:space="preserve">On the basis of the research outcomes, the analysis conducted and the corresponding forecast the author has substantiated the conceptual model of monitoring of school students’ health under the conditions of the intensification of educational processes which consists of </w:t>
      </w:r>
      <w:r w:rsidRPr="002E6ECA">
        <w:rPr>
          <w:spacing w:val="-6"/>
          <w:sz w:val="28"/>
          <w:szCs w:val="28"/>
          <w:lang w:val="en-US"/>
        </w:rPr>
        <w:t>a basic (health state self-assessment, health-related quality of life and psychosocial functioning) and an in-depth screening diagnostics of physical (assessment of physical development, acute and chronic morbidity), psychological (psychophysiological characteristics of academic activities according to levels of cognitive efficiency, tension of vegetative regulator systems and peculiarities of neurocognitive processes) and social well-being (levels of academic proficiency, parents’ assessment of school students’ levels of psychosocial</w:t>
      </w:r>
      <w:r w:rsidRPr="002E6ECA">
        <w:rPr>
          <w:spacing w:val="-4"/>
          <w:sz w:val="28"/>
          <w:szCs w:val="28"/>
          <w:lang w:val="en-US"/>
        </w:rPr>
        <w:t xml:space="preserve"> functioning), which makes it possible to reveal risk groups as for forming school disadaptation; the efficiency of the model has been proved from the point of view of the theory of management.   </w:t>
      </w:r>
    </w:p>
    <w:p w:rsidR="00FB57DA" w:rsidRPr="002E6ECA" w:rsidRDefault="00FB57DA" w:rsidP="002401D9">
      <w:pPr>
        <w:tabs>
          <w:tab w:val="left" w:pos="1134"/>
        </w:tabs>
        <w:spacing w:line="348" w:lineRule="auto"/>
        <w:ind w:firstLine="709"/>
        <w:jc w:val="both"/>
        <w:rPr>
          <w:spacing w:val="-4"/>
          <w:sz w:val="28"/>
          <w:szCs w:val="28"/>
          <w:lang w:val="en-US"/>
        </w:rPr>
      </w:pPr>
      <w:r w:rsidRPr="002E6ECA">
        <w:rPr>
          <w:spacing w:val="-4"/>
          <w:sz w:val="28"/>
          <w:szCs w:val="28"/>
          <w:lang w:val="en-US"/>
        </w:rPr>
        <w:t xml:space="preserve">There has been developed a program as for optimizing school students’ regimen and way of life that is based on assessing group health my means of the method of screening diagnostics and determining leading pathologies for certain academic communities. The implementation of the above program has led to a 10% decrease in morbidity in the experimental group in comparison with a 22,9% increase in morbidity in the control group. Normalizing the duration of night sleep, walking outside on working days, nutritional multiplicity, fitness training procedures have proved to be the most effective measures in terms of preventing non-infectious diseases, and it is pathologies of the nervous </w:t>
      </w:r>
      <w:r w:rsidRPr="002E6ECA">
        <w:rPr>
          <w:bCs/>
          <w:spacing w:val="-4"/>
          <w:sz w:val="28"/>
          <w:szCs w:val="28"/>
          <w:lang w:val="en-US"/>
        </w:rPr>
        <w:t>(</w:t>
      </w:r>
      <w:r w:rsidRPr="002E6ECA">
        <w:rPr>
          <w:bCs/>
          <w:spacing w:val="-4"/>
          <w:sz w:val="28"/>
          <w:szCs w:val="28"/>
        </w:rPr>
        <w:t>χ</w:t>
      </w:r>
      <w:r w:rsidRPr="002E6ECA">
        <w:rPr>
          <w:bCs/>
          <w:spacing w:val="-4"/>
          <w:sz w:val="28"/>
          <w:szCs w:val="28"/>
          <w:lang w:val="en-US"/>
        </w:rPr>
        <w:t xml:space="preserve">2=19,54; </w:t>
      </w:r>
      <w:r w:rsidRPr="002E6ECA">
        <w:rPr>
          <w:bCs/>
          <w:spacing w:val="-4"/>
          <w:sz w:val="28"/>
          <w:szCs w:val="28"/>
        </w:rPr>
        <w:t>р</w:t>
      </w:r>
      <w:r w:rsidRPr="002E6ECA">
        <w:rPr>
          <w:bCs/>
          <w:spacing w:val="-4"/>
          <w:sz w:val="28"/>
          <w:szCs w:val="28"/>
          <w:lang w:val="en-US"/>
        </w:rPr>
        <w:t>&lt;0,0001), respiratory (</w:t>
      </w:r>
      <w:r w:rsidRPr="002E6ECA">
        <w:rPr>
          <w:bCs/>
          <w:spacing w:val="-4"/>
          <w:sz w:val="28"/>
          <w:szCs w:val="28"/>
        </w:rPr>
        <w:t>χ</w:t>
      </w:r>
      <w:r w:rsidRPr="002E6ECA">
        <w:rPr>
          <w:bCs/>
          <w:spacing w:val="-4"/>
          <w:sz w:val="28"/>
          <w:szCs w:val="28"/>
          <w:lang w:val="en-US"/>
        </w:rPr>
        <w:t xml:space="preserve">2=13,47; </w:t>
      </w:r>
      <w:r w:rsidRPr="002E6ECA">
        <w:rPr>
          <w:bCs/>
          <w:spacing w:val="-4"/>
          <w:sz w:val="28"/>
          <w:szCs w:val="28"/>
        </w:rPr>
        <w:t>р</w:t>
      </w:r>
      <w:r w:rsidRPr="002E6ECA">
        <w:rPr>
          <w:bCs/>
          <w:spacing w:val="-4"/>
          <w:sz w:val="28"/>
          <w:szCs w:val="28"/>
          <w:lang w:val="en-US"/>
        </w:rPr>
        <w:t>=0,001) and cardio-vascular (</w:t>
      </w:r>
      <w:r w:rsidRPr="002E6ECA">
        <w:rPr>
          <w:bCs/>
          <w:spacing w:val="-4"/>
          <w:sz w:val="28"/>
          <w:szCs w:val="28"/>
        </w:rPr>
        <w:t>χ</w:t>
      </w:r>
      <w:r w:rsidRPr="002E6ECA">
        <w:rPr>
          <w:bCs/>
          <w:spacing w:val="-4"/>
          <w:sz w:val="28"/>
          <w:szCs w:val="28"/>
          <w:lang w:val="en-US"/>
        </w:rPr>
        <w:t xml:space="preserve">2=9,88; </w:t>
      </w:r>
      <w:r w:rsidRPr="002E6ECA">
        <w:rPr>
          <w:bCs/>
          <w:spacing w:val="-4"/>
          <w:sz w:val="28"/>
          <w:szCs w:val="28"/>
        </w:rPr>
        <w:t>р</w:t>
      </w:r>
      <w:r w:rsidRPr="002E6ECA">
        <w:rPr>
          <w:bCs/>
          <w:spacing w:val="-4"/>
          <w:sz w:val="28"/>
          <w:szCs w:val="28"/>
          <w:lang w:val="en-US"/>
        </w:rPr>
        <w:t xml:space="preserve">=0,007) systems that have proved to be the most “sensitive” to the impact of the above measures. </w:t>
      </w:r>
    </w:p>
    <w:p w:rsidR="00FB57DA" w:rsidRPr="002E6ECA" w:rsidRDefault="00FB57DA" w:rsidP="002401D9">
      <w:pPr>
        <w:spacing w:line="348" w:lineRule="auto"/>
        <w:ind w:firstLine="709"/>
        <w:jc w:val="both"/>
        <w:rPr>
          <w:rStyle w:val="fontstyle11"/>
          <w:b/>
          <w:bCs/>
          <w:color w:val="auto"/>
          <w:spacing w:val="-2"/>
          <w:lang w:val="en-US"/>
        </w:rPr>
      </w:pPr>
    </w:p>
    <w:p w:rsidR="006374EA" w:rsidRPr="002E6ECA" w:rsidRDefault="00FB57DA" w:rsidP="002401D9">
      <w:pPr>
        <w:spacing w:line="348" w:lineRule="auto"/>
        <w:ind w:firstLine="709"/>
        <w:jc w:val="both"/>
        <w:rPr>
          <w:spacing w:val="-2"/>
          <w:lang w:val="en-US"/>
        </w:rPr>
      </w:pPr>
      <w:r w:rsidRPr="002E6ECA">
        <w:rPr>
          <w:rStyle w:val="fontstyle11"/>
          <w:b/>
          <w:bCs/>
          <w:color w:val="auto"/>
          <w:spacing w:val="-2"/>
          <w:lang w:val="en-US"/>
        </w:rPr>
        <w:t>Key words</w:t>
      </w:r>
      <w:r w:rsidRPr="002E6ECA">
        <w:rPr>
          <w:rStyle w:val="fontstyle11"/>
          <w:color w:val="auto"/>
          <w:spacing w:val="-2"/>
          <w:lang w:val="en-US"/>
        </w:rPr>
        <w:t xml:space="preserve">: </w:t>
      </w:r>
      <w:r w:rsidRPr="002E6ECA">
        <w:rPr>
          <w:rFonts w:eastAsia="Arial Unicode MS"/>
          <w:spacing w:val="-2"/>
          <w:sz w:val="28"/>
          <w:szCs w:val="28"/>
          <w:lang w:val="en-US"/>
        </w:rPr>
        <w:t>hygienic monitoring, group health, schoolchildren, secondary school age, intensification of the educational process, screening-diagnostics.</w:t>
      </w:r>
      <w:r w:rsidR="006374EA" w:rsidRPr="002E6ECA">
        <w:rPr>
          <w:b/>
          <w:lang w:val="uk-UA"/>
        </w:rPr>
        <w:br w:type="page"/>
      </w:r>
    </w:p>
    <w:p w:rsidR="00A110CD" w:rsidRPr="002E6ECA" w:rsidRDefault="00A110CD" w:rsidP="00A110CD">
      <w:pPr>
        <w:tabs>
          <w:tab w:val="left" w:pos="1134"/>
        </w:tabs>
        <w:spacing w:line="360" w:lineRule="auto"/>
        <w:ind w:firstLine="709"/>
        <w:jc w:val="both"/>
        <w:rPr>
          <w:b/>
          <w:bCs/>
          <w:sz w:val="28"/>
          <w:szCs w:val="28"/>
        </w:rPr>
      </w:pPr>
      <w:r w:rsidRPr="002E6ECA">
        <w:rPr>
          <w:b/>
          <w:bCs/>
          <w:sz w:val="28"/>
          <w:szCs w:val="28"/>
        </w:rPr>
        <w:lastRenderedPageBreak/>
        <w:t>СПИСОК ОПУБЛІКОВАНИХ ПРАЦЬ ЗА ТЕМОЮ ДИСЕРТАЦІЇ</w:t>
      </w:r>
    </w:p>
    <w:p w:rsidR="00A110CD" w:rsidRPr="002E6ECA" w:rsidRDefault="00A110CD" w:rsidP="00A110CD">
      <w:pPr>
        <w:tabs>
          <w:tab w:val="left" w:pos="993"/>
        </w:tabs>
        <w:spacing w:line="360" w:lineRule="auto"/>
        <w:ind w:firstLine="567"/>
        <w:jc w:val="center"/>
        <w:rPr>
          <w:i/>
          <w:sz w:val="28"/>
          <w:szCs w:val="28"/>
        </w:rPr>
      </w:pPr>
      <w:r w:rsidRPr="002E6ECA">
        <w:rPr>
          <w:i/>
          <w:sz w:val="28"/>
          <w:szCs w:val="28"/>
        </w:rPr>
        <w:t>Наукові праці в яких висвітлено основні результати  дослідження</w:t>
      </w:r>
    </w:p>
    <w:p w:rsidR="00A110CD" w:rsidRPr="002E6ECA" w:rsidRDefault="00A110CD" w:rsidP="00A110CD">
      <w:pPr>
        <w:pStyle w:val="a3"/>
        <w:numPr>
          <w:ilvl w:val="0"/>
          <w:numId w:val="45"/>
        </w:numPr>
        <w:tabs>
          <w:tab w:val="left" w:pos="993"/>
        </w:tabs>
        <w:spacing w:line="360" w:lineRule="auto"/>
        <w:ind w:left="0" w:firstLine="709"/>
        <w:jc w:val="both"/>
        <w:rPr>
          <w:rStyle w:val="aa"/>
          <w:i w:val="0"/>
          <w:iCs w:val="0"/>
          <w:sz w:val="28"/>
          <w:szCs w:val="28"/>
          <w:lang w:val="uk-UA"/>
        </w:rPr>
      </w:pPr>
      <w:r w:rsidRPr="002E6ECA">
        <w:rPr>
          <w:sz w:val="28"/>
          <w:szCs w:val="28"/>
          <w:lang w:val="uk-UA"/>
        </w:rPr>
        <w:t xml:space="preserve">Сотнікова-Мелешкіна Ж. В., Авдієвська О. Г., Ісаєва Я. А. Характеристика харчового статусу учнівської молоді в системі профілактики неінфекційних захворювань. </w:t>
      </w:r>
      <w:r w:rsidRPr="002E6ECA">
        <w:rPr>
          <w:i/>
          <w:sz w:val="28"/>
          <w:szCs w:val="28"/>
          <w:lang w:val="uk-UA"/>
        </w:rPr>
        <w:t>Проблеми безперервної медичної освіти та науки</w:t>
      </w:r>
      <w:r w:rsidRPr="002E6ECA">
        <w:rPr>
          <w:sz w:val="28"/>
          <w:szCs w:val="28"/>
          <w:lang w:val="uk-UA"/>
        </w:rPr>
        <w:t>. 2018. № 4 (32). С. 27-31. (</w:t>
      </w:r>
      <w:r w:rsidRPr="002E6ECA">
        <w:rPr>
          <w:i/>
          <w:sz w:val="28"/>
          <w:szCs w:val="28"/>
          <w:lang w:val="uk-UA"/>
        </w:rPr>
        <w:t>Концепція та дизайн роботи, проведення дослідження, написання статті, формування висновків).</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Авдієвська О. Г., Сотнікова-Мелешкіна Ж. В., Ісаєва Я. А. Вплив родини на формування харчового статусу студентської молоді, харчові звички майбутніх батьків. </w:t>
      </w:r>
      <w:r w:rsidRPr="002E6ECA">
        <w:rPr>
          <w:i/>
          <w:sz w:val="28"/>
          <w:szCs w:val="28"/>
          <w:lang w:val="uk-UA"/>
        </w:rPr>
        <w:t>Здоров’я дитини</w:t>
      </w:r>
      <w:r w:rsidRPr="002E6ECA">
        <w:rPr>
          <w:sz w:val="28"/>
          <w:szCs w:val="28"/>
          <w:lang w:val="uk-UA"/>
        </w:rPr>
        <w:t>. 2019. № 14(1). С. 88-94. (</w:t>
      </w:r>
      <w:r w:rsidRPr="002E6ECA">
        <w:rPr>
          <w:i/>
          <w:sz w:val="28"/>
          <w:szCs w:val="28"/>
          <w:lang w:val="uk-UA"/>
        </w:rPr>
        <w:t>Концепція та дизайн роботи, проведення дослідження, формування висновків).</w:t>
      </w:r>
    </w:p>
    <w:p w:rsidR="00A110CD" w:rsidRPr="002E6ECA" w:rsidRDefault="00A110CD" w:rsidP="00A110CD">
      <w:pPr>
        <w:pStyle w:val="a3"/>
        <w:numPr>
          <w:ilvl w:val="0"/>
          <w:numId w:val="45"/>
        </w:numPr>
        <w:tabs>
          <w:tab w:val="left" w:pos="993"/>
        </w:tabs>
        <w:spacing w:line="360" w:lineRule="auto"/>
        <w:ind w:left="0" w:firstLine="709"/>
        <w:jc w:val="both"/>
        <w:rPr>
          <w:rStyle w:val="aa"/>
          <w:iCs w:val="0"/>
          <w:sz w:val="28"/>
          <w:szCs w:val="28"/>
          <w:lang w:val="uk-UA"/>
        </w:rPr>
      </w:pPr>
      <w:r w:rsidRPr="002E6ECA">
        <w:rPr>
          <w:sz w:val="28"/>
          <w:szCs w:val="28"/>
          <w:lang w:val="uk-UA"/>
        </w:rPr>
        <w:t xml:space="preserve">Romanenko V., Iermakov S., Podrigalo L., Rovnaya O., Sotnikova-Meleshkina Z., Goloha V., Ruban L. Analysis of interrelations of psychophysiological and physiological indicators of martial arts athletes. </w:t>
      </w:r>
      <w:r w:rsidRPr="002E6ECA">
        <w:rPr>
          <w:i/>
          <w:sz w:val="28"/>
          <w:szCs w:val="28"/>
          <w:lang w:val="uk-UA"/>
        </w:rPr>
        <w:t>Baltic Journal of Health and Physical Activity</w:t>
      </w:r>
      <w:r w:rsidRPr="002E6ECA">
        <w:rPr>
          <w:sz w:val="28"/>
          <w:szCs w:val="28"/>
          <w:lang w:val="uk-UA"/>
        </w:rPr>
        <w:t xml:space="preserve">. 2019. Vol. 11(4). Р. 58-68. </w:t>
      </w:r>
      <w:r w:rsidRPr="002E6ECA">
        <w:rPr>
          <w:i/>
          <w:sz w:val="28"/>
          <w:szCs w:val="28"/>
          <w:lang w:val="uk-UA"/>
        </w:rPr>
        <w:t xml:space="preserve">(Дизайн дослідження, збір даних, підготовка рукопису). </w:t>
      </w:r>
    </w:p>
    <w:p w:rsidR="00A110CD" w:rsidRPr="002E6ECA" w:rsidRDefault="00A110CD" w:rsidP="00A110CD">
      <w:pPr>
        <w:pStyle w:val="a3"/>
        <w:numPr>
          <w:ilvl w:val="0"/>
          <w:numId w:val="45"/>
        </w:numPr>
        <w:tabs>
          <w:tab w:val="left" w:pos="993"/>
        </w:tabs>
        <w:spacing w:line="360" w:lineRule="auto"/>
        <w:ind w:left="0" w:firstLine="709"/>
        <w:jc w:val="both"/>
        <w:rPr>
          <w:rStyle w:val="aa"/>
          <w:i w:val="0"/>
          <w:iCs w:val="0"/>
          <w:sz w:val="28"/>
          <w:szCs w:val="28"/>
          <w:lang w:val="uk-UA"/>
        </w:rPr>
      </w:pPr>
      <w:r w:rsidRPr="002E6ECA">
        <w:rPr>
          <w:sz w:val="28"/>
          <w:szCs w:val="28"/>
          <w:lang w:val="uk-UA"/>
        </w:rPr>
        <w:t xml:space="preserve">Кашкалда Д. А., Косовцова А. В., Турчина С. И., Сухова Л. Л., Сотникова-Мелешкина Ж. В. Особенности процессов свободнорадикального окисления и антиоксидантной защиты у мальчиков-подростков с гипоандрогенией в зависимости от функционального состояния щитовидной железы. </w:t>
      </w:r>
      <w:r w:rsidRPr="002E6ECA">
        <w:rPr>
          <w:i/>
          <w:sz w:val="28"/>
          <w:szCs w:val="28"/>
          <w:lang w:val="uk-UA"/>
        </w:rPr>
        <w:t>Проблеми ендокринної патології</w:t>
      </w:r>
      <w:r w:rsidRPr="002E6ECA">
        <w:rPr>
          <w:sz w:val="28"/>
          <w:szCs w:val="28"/>
          <w:lang w:val="uk-UA"/>
        </w:rPr>
        <w:t>. 2020. № 1. С. 30-35. (</w:t>
      </w:r>
      <w:r w:rsidRPr="002E6ECA">
        <w:rPr>
          <w:i/>
          <w:sz w:val="28"/>
          <w:szCs w:val="28"/>
          <w:lang w:val="uk-UA"/>
        </w:rPr>
        <w:t xml:space="preserve">Аналіз джерел наукової літератури, збір та аналіз даних). </w:t>
      </w:r>
    </w:p>
    <w:p w:rsidR="00A110CD" w:rsidRPr="002E6ECA" w:rsidRDefault="00A110CD" w:rsidP="00A110CD">
      <w:pPr>
        <w:pStyle w:val="a3"/>
        <w:numPr>
          <w:ilvl w:val="0"/>
          <w:numId w:val="45"/>
        </w:numPr>
        <w:tabs>
          <w:tab w:val="left" w:pos="993"/>
        </w:tabs>
        <w:spacing w:line="360" w:lineRule="auto"/>
        <w:ind w:left="0" w:firstLine="709"/>
        <w:jc w:val="both"/>
        <w:rPr>
          <w:rStyle w:val="aa"/>
          <w:bCs/>
          <w:sz w:val="28"/>
          <w:szCs w:val="28"/>
          <w:lang w:val="uk-UA"/>
        </w:rPr>
      </w:pPr>
      <w:r w:rsidRPr="002E6ECA">
        <w:rPr>
          <w:sz w:val="28"/>
          <w:szCs w:val="28"/>
          <w:lang w:val="uk-UA"/>
        </w:rPr>
        <w:t xml:space="preserve">Danylenko H. M., Sotnikova-Meleshkina Z. V., Smiianov V. A. The impact of an educational institution on development of healthy lifestyle skills for prevention of obesity in </w:t>
      </w:r>
      <w:r w:rsidRPr="002E6ECA">
        <w:rPr>
          <w:spacing w:val="-2"/>
          <w:sz w:val="28"/>
          <w:szCs w:val="28"/>
          <w:lang w:val="uk-UA"/>
        </w:rPr>
        <w:t xml:space="preserve">adolescents. </w:t>
      </w:r>
      <w:r w:rsidRPr="002E6ECA">
        <w:rPr>
          <w:i/>
          <w:spacing w:val="-2"/>
          <w:sz w:val="28"/>
          <w:szCs w:val="28"/>
          <w:lang w:val="uk-UA"/>
        </w:rPr>
        <w:t>Wiadomości Lekarskie</w:t>
      </w:r>
      <w:r w:rsidRPr="002E6ECA">
        <w:rPr>
          <w:spacing w:val="-2"/>
          <w:sz w:val="28"/>
          <w:szCs w:val="28"/>
          <w:lang w:val="uk-UA"/>
        </w:rPr>
        <w:t>. 2020. Vol. 73(5). Р. 978-982. DOI: 10.36740/WLek202005126. https://pubmed.ncbi.nlm.nih.gov/32386380/.</w:t>
      </w:r>
      <w:r w:rsidRPr="002E6ECA">
        <w:rPr>
          <w:sz w:val="28"/>
          <w:szCs w:val="28"/>
          <w:lang w:val="uk-UA"/>
        </w:rPr>
        <w:t xml:space="preserve"> </w:t>
      </w:r>
      <w:r w:rsidRPr="002E6ECA">
        <w:rPr>
          <w:i/>
          <w:iCs/>
          <w:sz w:val="28"/>
          <w:szCs w:val="28"/>
          <w:lang w:val="uk-UA"/>
        </w:rPr>
        <w:t>(</w:t>
      </w:r>
      <w:r w:rsidRPr="002E6ECA">
        <w:rPr>
          <w:bCs/>
          <w:i/>
          <w:iCs/>
          <w:sz w:val="28"/>
          <w:szCs w:val="28"/>
          <w:lang w:val="uk-UA"/>
        </w:rPr>
        <w:t xml:space="preserve">Концепція та дизайн роботи, аналіз результатів, статистичний аналіз, написання статті, критичний огляд наукових джерел).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bCs/>
          <w:iCs/>
          <w:sz w:val="28"/>
          <w:szCs w:val="28"/>
          <w:lang w:val="uk-UA"/>
        </w:rPr>
        <w:t>Martynenko</w:t>
      </w:r>
      <w:r w:rsidRPr="002E6ECA">
        <w:rPr>
          <w:sz w:val="28"/>
          <w:szCs w:val="28"/>
          <w:lang w:val="uk-UA"/>
        </w:rPr>
        <w:t> </w:t>
      </w:r>
      <w:r w:rsidRPr="002E6ECA">
        <w:rPr>
          <w:bCs/>
          <w:iCs/>
          <w:sz w:val="28"/>
          <w:szCs w:val="28"/>
          <w:lang w:val="uk-UA"/>
        </w:rPr>
        <w:t>A., Raimondi</w:t>
      </w:r>
      <w:r w:rsidRPr="002E6ECA">
        <w:rPr>
          <w:sz w:val="28"/>
          <w:szCs w:val="28"/>
          <w:lang w:val="uk-UA"/>
        </w:rPr>
        <w:t> </w:t>
      </w:r>
      <w:r w:rsidRPr="002E6ECA">
        <w:rPr>
          <w:bCs/>
          <w:iCs/>
          <w:sz w:val="28"/>
          <w:szCs w:val="28"/>
          <w:lang w:val="uk-UA"/>
        </w:rPr>
        <w:t>G., Sotnikova</w:t>
      </w:r>
      <w:r w:rsidRPr="002E6ECA">
        <w:rPr>
          <w:sz w:val="28"/>
          <w:szCs w:val="28"/>
          <w:lang w:val="uk-UA"/>
        </w:rPr>
        <w:t>-</w:t>
      </w:r>
      <w:r w:rsidRPr="002E6ECA">
        <w:rPr>
          <w:bCs/>
          <w:iCs/>
          <w:sz w:val="28"/>
          <w:szCs w:val="28"/>
          <w:lang w:val="uk-UA"/>
        </w:rPr>
        <w:t>Meleshkina</w:t>
      </w:r>
      <w:r w:rsidRPr="002E6ECA">
        <w:rPr>
          <w:sz w:val="28"/>
          <w:szCs w:val="28"/>
          <w:lang w:val="uk-UA"/>
        </w:rPr>
        <w:t> </w:t>
      </w:r>
      <w:r w:rsidRPr="002E6ECA">
        <w:rPr>
          <w:bCs/>
          <w:iCs/>
          <w:sz w:val="28"/>
          <w:szCs w:val="28"/>
          <w:lang w:val="uk-UA"/>
        </w:rPr>
        <w:t>Zh., Danylenko</w:t>
      </w:r>
      <w:r w:rsidRPr="002E6ECA">
        <w:rPr>
          <w:sz w:val="28"/>
          <w:szCs w:val="28"/>
          <w:lang w:val="uk-UA"/>
        </w:rPr>
        <w:t> </w:t>
      </w:r>
      <w:r w:rsidRPr="002E6ECA">
        <w:rPr>
          <w:bCs/>
          <w:iCs/>
          <w:sz w:val="28"/>
          <w:szCs w:val="28"/>
          <w:lang w:val="uk-UA"/>
        </w:rPr>
        <w:t>H., Budreiko</w:t>
      </w:r>
      <w:r w:rsidRPr="002E6ECA">
        <w:rPr>
          <w:sz w:val="28"/>
          <w:szCs w:val="28"/>
          <w:lang w:val="uk-UA"/>
        </w:rPr>
        <w:t> </w:t>
      </w:r>
      <w:r w:rsidRPr="002E6ECA">
        <w:rPr>
          <w:bCs/>
          <w:iCs/>
          <w:sz w:val="28"/>
          <w:szCs w:val="28"/>
          <w:lang w:val="uk-UA"/>
        </w:rPr>
        <w:t xml:space="preserve">N. </w:t>
      </w:r>
      <w:r w:rsidRPr="002E6ECA">
        <w:rPr>
          <w:sz w:val="28"/>
          <w:szCs w:val="28"/>
          <w:lang w:val="uk-UA"/>
        </w:rPr>
        <w:t xml:space="preserve">Statistical analysis of medical time series. </w:t>
      </w:r>
      <w:r w:rsidRPr="002E6ECA">
        <w:rPr>
          <w:i/>
          <w:sz w:val="28"/>
          <w:szCs w:val="28"/>
          <w:lang w:val="uk-UA"/>
        </w:rPr>
        <w:t xml:space="preserve">Journal of V. N. Karazin` </w:t>
      </w:r>
      <w:r w:rsidRPr="002E6ECA">
        <w:rPr>
          <w:i/>
          <w:sz w:val="28"/>
          <w:szCs w:val="28"/>
          <w:lang w:val="uk-UA"/>
        </w:rPr>
        <w:lastRenderedPageBreak/>
        <w:t>KhNU. Series «Medicine»</w:t>
      </w:r>
      <w:r w:rsidRPr="002E6ECA">
        <w:rPr>
          <w:sz w:val="28"/>
          <w:szCs w:val="28"/>
          <w:lang w:val="uk-UA"/>
        </w:rPr>
        <w:t xml:space="preserve">. 2020. Issue 40. Р. 5-12. </w:t>
      </w:r>
      <w:r w:rsidRPr="002E6ECA">
        <w:rPr>
          <w:iCs/>
          <w:sz w:val="28"/>
          <w:szCs w:val="28"/>
          <w:lang w:val="uk-UA"/>
        </w:rPr>
        <w:t>DOI: 10.26565/2313-6693-2020-40-01. (</w:t>
      </w:r>
      <w:r w:rsidRPr="002E6ECA">
        <w:rPr>
          <w:i/>
          <w:sz w:val="28"/>
          <w:szCs w:val="28"/>
          <w:lang w:val="uk-UA"/>
        </w:rPr>
        <w:t xml:space="preserve">Аналіз джерел наукової літератури, збір даних, підготовка рукопису). </w:t>
      </w:r>
    </w:p>
    <w:p w:rsidR="00A110CD" w:rsidRPr="002E6ECA" w:rsidRDefault="00A110CD" w:rsidP="00A110CD">
      <w:pPr>
        <w:pStyle w:val="a3"/>
        <w:numPr>
          <w:ilvl w:val="0"/>
          <w:numId w:val="45"/>
        </w:numPr>
        <w:tabs>
          <w:tab w:val="left" w:pos="993"/>
        </w:tabs>
        <w:spacing w:line="360" w:lineRule="auto"/>
        <w:ind w:left="0" w:firstLine="709"/>
        <w:jc w:val="both"/>
        <w:rPr>
          <w:rStyle w:val="aa"/>
          <w:bCs/>
          <w:sz w:val="28"/>
          <w:szCs w:val="28"/>
          <w:lang w:val="uk-UA"/>
        </w:rPr>
      </w:pPr>
      <w:r w:rsidRPr="002E6ECA">
        <w:rPr>
          <w:sz w:val="28"/>
          <w:szCs w:val="28"/>
          <w:lang w:val="uk-UA"/>
        </w:rPr>
        <w:t xml:space="preserve">Даниленко Г. М., Сотнікова-Мелешкіна Ж. В., Шкурапет Н. І., Міхановська Н. Г. Якість життя, що пов’язана зі здоров’ям учнів базової школи в умовах обмеженої фізичної та соціальної активності. </w:t>
      </w:r>
      <w:r w:rsidRPr="002E6ECA">
        <w:rPr>
          <w:i/>
          <w:sz w:val="28"/>
          <w:szCs w:val="28"/>
          <w:lang w:val="uk-UA"/>
        </w:rPr>
        <w:t>Вісник соціальної гігієни та організації охорони здоров’я України</w:t>
      </w:r>
      <w:r w:rsidRPr="002E6ECA">
        <w:rPr>
          <w:sz w:val="28"/>
          <w:szCs w:val="28"/>
          <w:lang w:val="uk-UA"/>
        </w:rPr>
        <w:t xml:space="preserve">. 2020. № 3. С. 28-33. DOI: </w:t>
      </w:r>
      <w:hyperlink r:id="rId9" w:history="1">
        <w:r w:rsidRPr="002E6ECA">
          <w:rPr>
            <w:sz w:val="28"/>
            <w:szCs w:val="28"/>
            <w:lang w:val="uk-UA"/>
          </w:rPr>
          <w:t>https://doi.org/10.11603/1681-2786.2020.3.11618</w:t>
        </w:r>
      </w:hyperlink>
      <w:r w:rsidRPr="002E6ECA">
        <w:rPr>
          <w:sz w:val="28"/>
          <w:szCs w:val="28"/>
          <w:lang w:val="uk-UA"/>
        </w:rPr>
        <w:t>. (</w:t>
      </w:r>
      <w:r w:rsidRPr="002E6ECA">
        <w:rPr>
          <w:bCs/>
          <w:i/>
          <w:iCs/>
          <w:sz w:val="28"/>
          <w:szCs w:val="28"/>
          <w:lang w:val="uk-UA"/>
        </w:rPr>
        <w:t xml:space="preserve">Концепція та дизайн роботи, збір та узагальнення результатів, статистичний аналіз, написання статті). </w:t>
      </w:r>
    </w:p>
    <w:p w:rsidR="00A110CD" w:rsidRPr="002E6ECA" w:rsidRDefault="00A110CD" w:rsidP="00A110CD">
      <w:pPr>
        <w:pStyle w:val="a3"/>
        <w:numPr>
          <w:ilvl w:val="0"/>
          <w:numId w:val="45"/>
        </w:numPr>
        <w:tabs>
          <w:tab w:val="left" w:pos="993"/>
        </w:tabs>
        <w:spacing w:line="360" w:lineRule="auto"/>
        <w:ind w:left="0" w:firstLine="709"/>
        <w:jc w:val="both"/>
        <w:rPr>
          <w:rStyle w:val="aa"/>
          <w:bCs/>
          <w:sz w:val="28"/>
          <w:szCs w:val="28"/>
          <w:lang w:val="uk-UA"/>
        </w:rPr>
      </w:pPr>
      <w:r w:rsidRPr="002E6ECA">
        <w:rPr>
          <w:sz w:val="28"/>
          <w:szCs w:val="28"/>
          <w:lang w:val="uk-UA"/>
        </w:rPr>
        <w:t>Даниленко Г. М., Сотнікова-Мелешкіна  Ж. В.</w:t>
      </w:r>
      <w:r w:rsidRPr="002E6ECA">
        <w:rPr>
          <w:sz w:val="28"/>
          <w:szCs w:val="28"/>
          <w:lang w:val="uk-UA" w:eastAsia="uk-UA"/>
        </w:rPr>
        <w:t xml:space="preserve"> Вплив організації освітнього процесу на розумову працездатність учнів базової школи</w:t>
      </w:r>
      <w:r w:rsidRPr="002E6ECA">
        <w:rPr>
          <w:bCs/>
          <w:sz w:val="28"/>
          <w:szCs w:val="28"/>
          <w:shd w:val="clear" w:color="auto" w:fill="FFFFFF"/>
          <w:lang w:val="uk-UA"/>
        </w:rPr>
        <w:t xml:space="preserve">. </w:t>
      </w:r>
      <w:r w:rsidRPr="002E6ECA">
        <w:rPr>
          <w:bCs/>
          <w:i/>
          <w:sz w:val="28"/>
          <w:szCs w:val="28"/>
          <w:shd w:val="clear" w:color="auto" w:fill="FFFFFF"/>
          <w:lang w:val="uk-UA"/>
        </w:rPr>
        <w:t xml:space="preserve">Вісник Вінницького національного медичного університету. </w:t>
      </w:r>
      <w:r w:rsidRPr="002E6ECA">
        <w:rPr>
          <w:bCs/>
          <w:sz w:val="28"/>
          <w:szCs w:val="28"/>
          <w:shd w:val="clear" w:color="auto" w:fill="FFFFFF"/>
          <w:lang w:val="uk-UA"/>
        </w:rPr>
        <w:t xml:space="preserve">2020. № 3 (Т. 24). С. 431-441. </w:t>
      </w:r>
      <w:r w:rsidRPr="002E6ECA">
        <w:rPr>
          <w:bCs/>
          <w:sz w:val="28"/>
          <w:szCs w:val="28"/>
          <w:lang w:val="uk-UA"/>
        </w:rPr>
        <w:t xml:space="preserve">DOI: 10.31393/reports-vnmedical-2020-24(3)-15. </w:t>
      </w:r>
      <w:r w:rsidRPr="002E6ECA">
        <w:rPr>
          <w:bCs/>
          <w:i/>
          <w:iCs/>
          <w:sz w:val="28"/>
          <w:szCs w:val="28"/>
          <w:lang w:val="uk-UA"/>
        </w:rPr>
        <w:t>(</w:t>
      </w:r>
      <w:r w:rsidRPr="002E6ECA">
        <w:rPr>
          <w:i/>
          <w:sz w:val="28"/>
          <w:szCs w:val="28"/>
          <w:lang w:val="uk-UA"/>
        </w:rPr>
        <w:t>Аналіз джерел наукової літератури, узагальнення результаті</w:t>
      </w:r>
      <w:r w:rsidRPr="002E6ECA">
        <w:rPr>
          <w:bCs/>
          <w:i/>
          <w:iCs/>
          <w:sz w:val="28"/>
          <w:szCs w:val="28"/>
          <w:lang w:val="uk-UA"/>
        </w:rPr>
        <w:t xml:space="preserve">, статистичний аналіз, написання статті). </w:t>
      </w:r>
    </w:p>
    <w:p w:rsidR="00A110CD" w:rsidRPr="002E6ECA" w:rsidRDefault="00A110CD" w:rsidP="00A110CD">
      <w:pPr>
        <w:pStyle w:val="a3"/>
        <w:numPr>
          <w:ilvl w:val="0"/>
          <w:numId w:val="45"/>
        </w:numPr>
        <w:tabs>
          <w:tab w:val="left" w:pos="993"/>
        </w:tabs>
        <w:spacing w:line="360" w:lineRule="auto"/>
        <w:ind w:left="0" w:firstLine="709"/>
        <w:jc w:val="both"/>
        <w:rPr>
          <w:bCs/>
          <w:i/>
          <w:iCs/>
          <w:sz w:val="28"/>
          <w:szCs w:val="28"/>
          <w:lang w:val="uk-UA"/>
        </w:rPr>
      </w:pPr>
      <w:r w:rsidRPr="002E6ECA">
        <w:rPr>
          <w:bCs/>
          <w:iCs/>
          <w:sz w:val="28"/>
          <w:szCs w:val="28"/>
          <w:lang w:val="uk-UA"/>
        </w:rPr>
        <w:t>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 Redka</w:t>
      </w:r>
      <w:r w:rsidRPr="002E6ECA">
        <w:rPr>
          <w:sz w:val="28"/>
          <w:szCs w:val="28"/>
          <w:lang w:val="uk-UA"/>
        </w:rPr>
        <w:t> </w:t>
      </w:r>
      <w:r w:rsidRPr="002E6ECA">
        <w:rPr>
          <w:bCs/>
          <w:iCs/>
          <w:sz w:val="28"/>
          <w:szCs w:val="28"/>
          <w:lang w:val="uk-UA"/>
        </w:rPr>
        <w:t>I.</w:t>
      </w:r>
      <w:r w:rsidRPr="002E6ECA">
        <w:rPr>
          <w:sz w:val="28"/>
          <w:szCs w:val="28"/>
          <w:lang w:val="uk-UA"/>
        </w:rPr>
        <w:t> </w:t>
      </w:r>
      <w:r w:rsidRPr="002E6ECA">
        <w:rPr>
          <w:bCs/>
          <w:iCs/>
          <w:sz w:val="28"/>
          <w:szCs w:val="28"/>
          <w:lang w:val="uk-UA"/>
        </w:rPr>
        <w:t>V., Mikhalchuk</w:t>
      </w:r>
      <w:r w:rsidRPr="002E6ECA">
        <w:rPr>
          <w:sz w:val="28"/>
          <w:szCs w:val="28"/>
          <w:lang w:val="uk-UA"/>
        </w:rPr>
        <w:t> </w:t>
      </w:r>
      <w:r w:rsidRPr="002E6ECA">
        <w:rPr>
          <w:bCs/>
          <w:iCs/>
          <w:sz w:val="28"/>
          <w:szCs w:val="28"/>
          <w:lang w:val="uk-UA"/>
        </w:rPr>
        <w:t>O.</w:t>
      </w:r>
      <w:r w:rsidRPr="002E6ECA">
        <w:rPr>
          <w:sz w:val="28"/>
          <w:szCs w:val="28"/>
          <w:lang w:val="uk-UA"/>
        </w:rPr>
        <w:t> </w:t>
      </w:r>
      <w:r w:rsidRPr="002E6ECA">
        <w:rPr>
          <w:bCs/>
          <w:iCs/>
          <w:sz w:val="28"/>
          <w:szCs w:val="28"/>
          <w:lang w:val="uk-UA"/>
        </w:rPr>
        <w:t xml:space="preserve">Ya. The state of vegetative regulatory systems of pupils with different academic performance. </w:t>
      </w:r>
      <w:r w:rsidRPr="002E6ECA">
        <w:rPr>
          <w:bCs/>
          <w:i/>
          <w:iCs/>
          <w:sz w:val="28"/>
          <w:szCs w:val="28"/>
          <w:lang w:val="uk-UA"/>
        </w:rPr>
        <w:t>Reports of Morphology</w:t>
      </w:r>
      <w:r w:rsidRPr="002E6ECA">
        <w:rPr>
          <w:bCs/>
          <w:iCs/>
          <w:sz w:val="28"/>
          <w:szCs w:val="28"/>
          <w:lang w:val="uk-UA"/>
        </w:rPr>
        <w:t xml:space="preserve">. 2020. Vol. 26. № 3. P. 46-51. DOI: 10.31393/morphology-journal-2020-26(3)-06. </w:t>
      </w:r>
      <w:r w:rsidRPr="002E6ECA">
        <w:rPr>
          <w:bCs/>
          <w:i/>
          <w:iCs/>
          <w:sz w:val="28"/>
          <w:szCs w:val="28"/>
          <w:lang w:val="uk-UA"/>
        </w:rPr>
        <w:t>(</w:t>
      </w:r>
      <w:r w:rsidRPr="002E6ECA">
        <w:rPr>
          <w:i/>
          <w:sz w:val="28"/>
          <w:szCs w:val="28"/>
          <w:lang w:val="uk-UA"/>
        </w:rPr>
        <w:t xml:space="preserve">Аналіз джерел наукової літератури, </w:t>
      </w:r>
      <w:r w:rsidRPr="002E6ECA">
        <w:rPr>
          <w:bCs/>
          <w:i/>
          <w:iCs/>
          <w:sz w:val="28"/>
          <w:szCs w:val="28"/>
          <w:lang w:val="uk-UA"/>
        </w:rPr>
        <w:t xml:space="preserve">статистичний аналіз даних, участь у написанні статті). </w:t>
      </w:r>
    </w:p>
    <w:p w:rsidR="00A110CD" w:rsidRPr="002E6ECA" w:rsidRDefault="00A110CD" w:rsidP="00A110CD">
      <w:pPr>
        <w:pStyle w:val="a3"/>
        <w:numPr>
          <w:ilvl w:val="0"/>
          <w:numId w:val="45"/>
        </w:numPr>
        <w:tabs>
          <w:tab w:val="left" w:pos="993"/>
        </w:tabs>
        <w:spacing w:line="360" w:lineRule="auto"/>
        <w:ind w:left="0" w:firstLine="709"/>
        <w:jc w:val="both"/>
        <w:rPr>
          <w:bCs/>
          <w:sz w:val="28"/>
          <w:szCs w:val="28"/>
          <w:lang w:val="uk-UA"/>
        </w:rPr>
      </w:pPr>
      <w:r w:rsidRPr="002E6ECA">
        <w:rPr>
          <w:sz w:val="28"/>
          <w:szCs w:val="28"/>
          <w:lang w:val="uk-UA"/>
        </w:rPr>
        <w:t xml:space="preserve">Сотнікова-Мелешкіна Ж. В., Міхановська Н. Г., Островська Г. Є., Романова Н. Г. Якість життя, що пов’язана зі здоров’ям та психосоціальне функціонування школярів: скринінгові методи оцінки. </w:t>
      </w:r>
      <w:r w:rsidRPr="002E6ECA">
        <w:rPr>
          <w:i/>
          <w:sz w:val="28"/>
          <w:szCs w:val="28"/>
          <w:lang w:val="uk-UA"/>
        </w:rPr>
        <w:t>Вісник проблем біології і медицини</w:t>
      </w:r>
      <w:r w:rsidRPr="002E6ECA">
        <w:rPr>
          <w:sz w:val="28"/>
          <w:szCs w:val="28"/>
          <w:lang w:val="uk-UA"/>
        </w:rPr>
        <w:t xml:space="preserve">. 2020. Вип. 4 (158). С. 88-92. </w:t>
      </w:r>
      <w:r w:rsidRPr="002E6ECA">
        <w:rPr>
          <w:bCs/>
          <w:sz w:val="28"/>
          <w:szCs w:val="28"/>
          <w:lang w:val="uk-UA"/>
        </w:rPr>
        <w:t xml:space="preserve">DOI: </w:t>
      </w:r>
      <w:hyperlink r:id="rId10" w:history="1">
        <w:r w:rsidRPr="002E6ECA">
          <w:rPr>
            <w:sz w:val="28"/>
            <w:szCs w:val="28"/>
            <w:lang w:val="uk-UA" w:eastAsia="uk-UA"/>
          </w:rPr>
          <w:t>10.29254/2077-4214-2020-4-158-88-92</w:t>
        </w:r>
      </w:hyperlink>
      <w:r w:rsidRPr="002E6ECA">
        <w:rPr>
          <w:sz w:val="28"/>
          <w:szCs w:val="28"/>
          <w:lang w:val="uk-UA" w:eastAsia="uk-UA"/>
        </w:rPr>
        <w:t xml:space="preserve">. </w:t>
      </w:r>
      <w:r w:rsidRPr="002E6ECA">
        <w:rPr>
          <w:bCs/>
          <w:i/>
          <w:iCs/>
          <w:sz w:val="28"/>
          <w:szCs w:val="28"/>
          <w:lang w:val="uk-UA"/>
        </w:rPr>
        <w:t>(Концепція та дизайн роботи, збір даних та узагальнення результатів, статистичний аналіз, написання статті).</w:t>
      </w:r>
      <w:r w:rsidRPr="002E6ECA">
        <w:rPr>
          <w:sz w:val="28"/>
          <w:szCs w:val="28"/>
          <w:lang w:val="uk-UA" w:eastAsia="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Скринінг-діагностика школярів як інструмент для визначення ризику виникнення неінфекційних захворювань у навчальному колективі. </w:t>
      </w:r>
      <w:r w:rsidRPr="002E6ECA">
        <w:rPr>
          <w:i/>
          <w:sz w:val="28"/>
          <w:szCs w:val="28"/>
          <w:lang w:val="uk-UA"/>
        </w:rPr>
        <w:t>Проблеми безперервної медичної освіти та науки</w:t>
      </w:r>
      <w:r w:rsidRPr="002E6ECA">
        <w:rPr>
          <w:sz w:val="28"/>
          <w:szCs w:val="28"/>
          <w:lang w:val="uk-UA"/>
        </w:rPr>
        <w:t>.</w:t>
      </w:r>
      <w:r w:rsidRPr="002E6ECA">
        <w:rPr>
          <w:rStyle w:val="aa"/>
          <w:sz w:val="28"/>
          <w:szCs w:val="28"/>
          <w:shd w:val="clear" w:color="auto" w:fill="FFFFFF"/>
          <w:lang w:val="uk-UA"/>
        </w:rPr>
        <w:t xml:space="preserve"> </w:t>
      </w:r>
      <w:r w:rsidRPr="002E6ECA">
        <w:rPr>
          <w:sz w:val="28"/>
          <w:szCs w:val="28"/>
          <w:lang w:val="uk-UA"/>
        </w:rPr>
        <w:t xml:space="preserve">2020. № 4. С. 55-60. </w:t>
      </w:r>
      <w:r w:rsidRPr="002E6ECA">
        <w:rPr>
          <w:bCs/>
          <w:sz w:val="28"/>
          <w:szCs w:val="28"/>
          <w:lang w:val="uk-UA"/>
        </w:rPr>
        <w:t xml:space="preserve">DOI: </w:t>
      </w:r>
      <w:r w:rsidRPr="002E6ECA">
        <w:rPr>
          <w:sz w:val="28"/>
          <w:szCs w:val="28"/>
          <w:lang w:val="uk-UA"/>
        </w:rPr>
        <w:t xml:space="preserve">https://doi.org/10.31071/promedosvity2020.04.055. </w:t>
      </w:r>
    </w:p>
    <w:p w:rsidR="00A110CD" w:rsidRPr="002E6ECA" w:rsidRDefault="00A110CD" w:rsidP="00A110CD">
      <w:pPr>
        <w:pStyle w:val="a3"/>
        <w:numPr>
          <w:ilvl w:val="0"/>
          <w:numId w:val="45"/>
        </w:numPr>
        <w:tabs>
          <w:tab w:val="left" w:pos="993"/>
        </w:tabs>
        <w:spacing w:line="360" w:lineRule="auto"/>
        <w:ind w:left="0" w:firstLine="709"/>
        <w:jc w:val="both"/>
        <w:rPr>
          <w:spacing w:val="-2"/>
          <w:sz w:val="28"/>
          <w:szCs w:val="28"/>
          <w:lang w:val="uk-UA"/>
        </w:rPr>
      </w:pPr>
      <w:r w:rsidRPr="002E6ECA">
        <w:rPr>
          <w:sz w:val="28"/>
          <w:szCs w:val="28"/>
          <w:lang w:val="uk-UA"/>
        </w:rPr>
        <w:lastRenderedPageBreak/>
        <w:t>Сотнікова-</w:t>
      </w:r>
      <w:r w:rsidRPr="002E6ECA">
        <w:rPr>
          <w:spacing w:val="-2"/>
          <w:sz w:val="28"/>
          <w:szCs w:val="28"/>
          <w:lang w:val="uk-UA"/>
        </w:rPr>
        <w:t xml:space="preserve">Мелешкіна Ж. В. </w:t>
      </w:r>
      <w:r w:rsidRPr="002E6ECA">
        <w:rPr>
          <w:spacing w:val="-2"/>
          <w:sz w:val="28"/>
          <w:szCs w:val="28"/>
          <w:shd w:val="clear" w:color="auto" w:fill="FFFFFF"/>
          <w:lang w:val="uk-UA"/>
        </w:rPr>
        <w:t xml:space="preserve">Експрес-оцінка фізичного розвитку дітей шкільного віку за допомогою індексу маси тіла. </w:t>
      </w:r>
      <w:r w:rsidRPr="002E6ECA">
        <w:rPr>
          <w:i/>
          <w:spacing w:val="-2"/>
          <w:sz w:val="28"/>
          <w:szCs w:val="28"/>
          <w:lang w:val="uk-UA"/>
        </w:rPr>
        <w:t>Український журнал дитячої ендокринології</w:t>
      </w:r>
      <w:r w:rsidRPr="002E6ECA">
        <w:rPr>
          <w:spacing w:val="-2"/>
          <w:sz w:val="28"/>
          <w:szCs w:val="28"/>
          <w:lang w:val="uk-UA"/>
        </w:rPr>
        <w:t xml:space="preserve">. 2020. № 4. С. 31-36. </w:t>
      </w:r>
      <w:r w:rsidRPr="002E6ECA">
        <w:rPr>
          <w:spacing w:val="-2"/>
          <w:sz w:val="28"/>
          <w:szCs w:val="28"/>
        </w:rPr>
        <w:t>DOI</w:t>
      </w:r>
      <w:r w:rsidRPr="002E6ECA">
        <w:rPr>
          <w:spacing w:val="-2"/>
          <w:sz w:val="28"/>
          <w:szCs w:val="28"/>
          <w:lang w:val="uk-UA"/>
        </w:rPr>
        <w:t xml:space="preserve">: </w:t>
      </w:r>
      <w:r w:rsidRPr="002E6ECA">
        <w:rPr>
          <w:spacing w:val="-2"/>
          <w:sz w:val="28"/>
          <w:szCs w:val="28"/>
        </w:rPr>
        <w:t>https</w:t>
      </w:r>
      <w:r w:rsidRPr="002E6ECA">
        <w:rPr>
          <w:spacing w:val="-2"/>
          <w:sz w:val="28"/>
          <w:szCs w:val="28"/>
          <w:lang w:val="uk-UA"/>
        </w:rPr>
        <w:t>://</w:t>
      </w:r>
      <w:r w:rsidRPr="002E6ECA">
        <w:rPr>
          <w:spacing w:val="-2"/>
          <w:sz w:val="28"/>
          <w:szCs w:val="28"/>
        </w:rPr>
        <w:t>doi</w:t>
      </w:r>
      <w:r w:rsidRPr="002E6ECA">
        <w:rPr>
          <w:spacing w:val="-2"/>
          <w:sz w:val="28"/>
          <w:szCs w:val="28"/>
          <w:lang w:val="uk-UA"/>
        </w:rPr>
        <w:t>.</w:t>
      </w:r>
      <w:r w:rsidRPr="002E6ECA">
        <w:rPr>
          <w:spacing w:val="-2"/>
          <w:sz w:val="28"/>
          <w:szCs w:val="28"/>
        </w:rPr>
        <w:t>org</w:t>
      </w:r>
      <w:r w:rsidRPr="002E6ECA">
        <w:rPr>
          <w:spacing w:val="-2"/>
          <w:sz w:val="28"/>
          <w:szCs w:val="28"/>
          <w:lang w:val="uk-UA"/>
        </w:rPr>
        <w:t>/10.30978/</w:t>
      </w:r>
      <w:r w:rsidRPr="002E6ECA">
        <w:rPr>
          <w:spacing w:val="-2"/>
          <w:sz w:val="28"/>
          <w:szCs w:val="28"/>
        </w:rPr>
        <w:t>UJPE</w:t>
      </w:r>
      <w:r w:rsidRPr="002E6ECA">
        <w:rPr>
          <w:spacing w:val="-2"/>
          <w:sz w:val="28"/>
          <w:szCs w:val="28"/>
          <w:lang w:val="uk-UA"/>
        </w:rPr>
        <w:t xml:space="preserve">2020-4-31.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Порівняльна характеристика впливу чинників ризику на суб’єктивну оцінку здоров’я школярів. </w:t>
      </w:r>
      <w:r w:rsidRPr="002E6ECA">
        <w:rPr>
          <w:bCs/>
          <w:i/>
          <w:iCs/>
          <w:sz w:val="28"/>
          <w:szCs w:val="28"/>
          <w:lang w:val="uk-UA"/>
        </w:rPr>
        <w:t>Міжнародн</w:t>
      </w:r>
      <w:r w:rsidRPr="002E6ECA">
        <w:rPr>
          <w:bCs/>
          <w:i/>
          <w:iCs/>
          <w:sz w:val="28"/>
          <w:szCs w:val="28"/>
        </w:rPr>
        <w:t>ий медичний журнал</w:t>
      </w:r>
      <w:r w:rsidRPr="002E6ECA">
        <w:rPr>
          <w:bCs/>
          <w:iCs/>
          <w:sz w:val="28"/>
          <w:szCs w:val="28"/>
        </w:rPr>
        <w:t>. 2020. № 4</w:t>
      </w:r>
      <w:r w:rsidRPr="002E6ECA">
        <w:rPr>
          <w:bCs/>
          <w:iCs/>
          <w:sz w:val="28"/>
          <w:szCs w:val="28"/>
          <w:lang w:val="uk-UA"/>
        </w:rPr>
        <w:t xml:space="preserve"> </w:t>
      </w:r>
      <w:r w:rsidRPr="002E6ECA">
        <w:rPr>
          <w:bCs/>
          <w:iCs/>
          <w:sz w:val="28"/>
          <w:szCs w:val="28"/>
        </w:rPr>
        <w:t xml:space="preserve">(104). С. 89-93. </w:t>
      </w:r>
      <w:r w:rsidRPr="002E6ECA">
        <w:rPr>
          <w:bCs/>
          <w:iCs/>
          <w:sz w:val="28"/>
          <w:szCs w:val="28"/>
          <w:lang w:val="en-US"/>
        </w:rPr>
        <w:t>DOI</w:t>
      </w:r>
      <w:r w:rsidRPr="002E6ECA">
        <w:rPr>
          <w:bCs/>
          <w:iCs/>
          <w:sz w:val="28"/>
          <w:szCs w:val="28"/>
        </w:rPr>
        <w:t>: https://doi.org/10.37436/2308-5274-2020-4-16.</w:t>
      </w:r>
      <w:r w:rsidRPr="002E6ECA">
        <w:rPr>
          <w:bCs/>
          <w:iCs/>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rStyle w:val="aa"/>
          <w:bCs/>
          <w:sz w:val="28"/>
          <w:szCs w:val="28"/>
          <w:lang w:val="uk-UA"/>
        </w:rPr>
      </w:pPr>
      <w:r w:rsidRPr="002E6ECA">
        <w:rPr>
          <w:spacing w:val="-4"/>
          <w:sz w:val="28"/>
          <w:szCs w:val="28"/>
          <w:lang w:val="uk-UA"/>
        </w:rPr>
        <w:t>Редька</w:t>
      </w:r>
      <w:r w:rsidRPr="002E6ECA">
        <w:rPr>
          <w:sz w:val="28"/>
          <w:szCs w:val="28"/>
          <w:lang w:val="uk-UA"/>
        </w:rPr>
        <w:t> </w:t>
      </w:r>
      <w:r w:rsidRPr="002E6ECA">
        <w:rPr>
          <w:spacing w:val="-4"/>
          <w:sz w:val="28"/>
          <w:szCs w:val="28"/>
          <w:lang w:val="uk-UA"/>
        </w:rPr>
        <w:t>І.</w:t>
      </w:r>
      <w:r w:rsidRPr="002E6ECA">
        <w:rPr>
          <w:sz w:val="28"/>
          <w:szCs w:val="28"/>
          <w:lang w:val="uk-UA"/>
        </w:rPr>
        <w:t> </w:t>
      </w:r>
      <w:r w:rsidRPr="002E6ECA">
        <w:rPr>
          <w:spacing w:val="-4"/>
          <w:sz w:val="28"/>
          <w:szCs w:val="28"/>
          <w:lang w:val="uk-UA"/>
        </w:rPr>
        <w:t>В., Даниленко</w:t>
      </w:r>
      <w:r w:rsidRPr="002E6ECA">
        <w:rPr>
          <w:sz w:val="28"/>
          <w:szCs w:val="28"/>
          <w:lang w:val="uk-UA"/>
        </w:rPr>
        <w:t> </w:t>
      </w:r>
      <w:r w:rsidRPr="002E6ECA">
        <w:rPr>
          <w:spacing w:val="-4"/>
          <w:sz w:val="28"/>
          <w:szCs w:val="28"/>
          <w:lang w:val="uk-UA"/>
        </w:rPr>
        <w:t>Г.</w:t>
      </w:r>
      <w:r w:rsidRPr="002E6ECA">
        <w:rPr>
          <w:sz w:val="28"/>
          <w:szCs w:val="28"/>
          <w:lang w:val="uk-UA"/>
        </w:rPr>
        <w:t> </w:t>
      </w:r>
      <w:r w:rsidRPr="002E6ECA">
        <w:rPr>
          <w:spacing w:val="-4"/>
          <w:sz w:val="28"/>
          <w:szCs w:val="28"/>
          <w:lang w:val="uk-UA"/>
        </w:rPr>
        <w:t>М., Сотнікова-Мелешкіна</w:t>
      </w:r>
      <w:r w:rsidRPr="002E6ECA">
        <w:rPr>
          <w:sz w:val="28"/>
          <w:szCs w:val="28"/>
          <w:lang w:val="uk-UA"/>
        </w:rPr>
        <w:t> </w:t>
      </w:r>
      <w:r w:rsidRPr="002E6ECA">
        <w:rPr>
          <w:spacing w:val="-4"/>
          <w:sz w:val="28"/>
          <w:szCs w:val="28"/>
          <w:lang w:val="uk-UA"/>
        </w:rPr>
        <w:t>Ж.</w:t>
      </w:r>
      <w:r w:rsidRPr="002E6ECA">
        <w:rPr>
          <w:sz w:val="28"/>
          <w:szCs w:val="28"/>
          <w:lang w:val="uk-UA"/>
        </w:rPr>
        <w:t> </w:t>
      </w:r>
      <w:r w:rsidRPr="002E6ECA">
        <w:rPr>
          <w:spacing w:val="-4"/>
          <w:sz w:val="28"/>
          <w:szCs w:val="28"/>
          <w:lang w:val="uk-UA"/>
        </w:rPr>
        <w:t>В., Михальчук</w:t>
      </w:r>
      <w:r w:rsidRPr="002E6ECA">
        <w:rPr>
          <w:sz w:val="28"/>
          <w:szCs w:val="28"/>
          <w:lang w:val="uk-UA"/>
        </w:rPr>
        <w:t> </w:t>
      </w:r>
      <w:r w:rsidRPr="002E6ECA">
        <w:rPr>
          <w:spacing w:val="-4"/>
          <w:sz w:val="28"/>
          <w:szCs w:val="28"/>
          <w:lang w:val="uk-UA"/>
        </w:rPr>
        <w:t>О.</w:t>
      </w:r>
      <w:r w:rsidRPr="002E6ECA">
        <w:rPr>
          <w:sz w:val="28"/>
          <w:szCs w:val="28"/>
          <w:lang w:val="uk-UA"/>
        </w:rPr>
        <w:t> </w:t>
      </w:r>
      <w:r w:rsidRPr="002E6ECA">
        <w:rPr>
          <w:spacing w:val="-4"/>
          <w:sz w:val="28"/>
          <w:szCs w:val="28"/>
          <w:lang w:val="uk-UA"/>
        </w:rPr>
        <w:t>Я. Особливості</w:t>
      </w:r>
      <w:r w:rsidRPr="002E6ECA">
        <w:rPr>
          <w:sz w:val="28"/>
          <w:szCs w:val="28"/>
          <w:lang w:val="uk-UA"/>
        </w:rPr>
        <w:t xml:space="preserve"> нейрокогнітивних процесів учнів основної школи за умов меритократичної освіти. </w:t>
      </w:r>
      <w:r w:rsidRPr="002E6ECA">
        <w:rPr>
          <w:i/>
          <w:sz w:val="28"/>
          <w:szCs w:val="28"/>
          <w:lang w:val="uk-UA"/>
        </w:rPr>
        <w:t>Актуальні проблеми сучасної медицини: Вісник Української медичної стоматологічної академії</w:t>
      </w:r>
      <w:r w:rsidRPr="002E6ECA">
        <w:rPr>
          <w:sz w:val="28"/>
          <w:szCs w:val="28"/>
          <w:lang w:val="uk-UA"/>
        </w:rPr>
        <w:t xml:space="preserve">. 2020. Т. 20. Вип. 4 (72). С. 146-150. DOI: 10.31718/2077-1096.20.4.146. </w:t>
      </w:r>
      <w:r w:rsidRPr="002E6ECA">
        <w:rPr>
          <w:bCs/>
          <w:i/>
          <w:iCs/>
          <w:sz w:val="28"/>
          <w:szCs w:val="28"/>
          <w:lang w:val="uk-UA"/>
        </w:rPr>
        <w:t>(</w:t>
      </w:r>
      <w:r w:rsidR="006B32ED" w:rsidRPr="002E6ECA">
        <w:rPr>
          <w:bCs/>
          <w:i/>
          <w:iCs/>
          <w:sz w:val="28"/>
          <w:szCs w:val="28"/>
          <w:lang w:val="uk-UA"/>
        </w:rPr>
        <w:t xml:space="preserve">Організація дослідження, </w:t>
      </w:r>
      <w:r w:rsidR="00090685" w:rsidRPr="002E6ECA">
        <w:rPr>
          <w:bCs/>
          <w:i/>
          <w:iCs/>
          <w:sz w:val="28"/>
          <w:szCs w:val="28"/>
          <w:lang w:val="uk-UA"/>
        </w:rPr>
        <w:t xml:space="preserve">узагальнення та </w:t>
      </w:r>
      <w:r w:rsidR="006B32ED" w:rsidRPr="002E6ECA">
        <w:rPr>
          <w:bCs/>
          <w:i/>
          <w:iCs/>
          <w:sz w:val="28"/>
          <w:szCs w:val="28"/>
          <w:lang w:val="uk-UA"/>
        </w:rPr>
        <w:t>с</w:t>
      </w:r>
      <w:r w:rsidRPr="002E6ECA">
        <w:rPr>
          <w:bCs/>
          <w:i/>
          <w:iCs/>
          <w:sz w:val="28"/>
          <w:szCs w:val="28"/>
          <w:lang w:val="uk-UA"/>
        </w:rPr>
        <w:t>татистичний аналіз даних, участь у написанні статті).</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Міхановська Н. Г., Островська Г. Є. </w:t>
      </w:r>
      <w:r w:rsidRPr="002E6ECA">
        <w:rPr>
          <w:spacing w:val="-4"/>
          <w:sz w:val="28"/>
          <w:szCs w:val="28"/>
          <w:lang w:val="uk-UA"/>
        </w:rPr>
        <w:t xml:space="preserve">Лонгітюдне дослідження якості життя, що пов’язана зі здоров’ям дітей молодшого шкільного віку. </w:t>
      </w:r>
      <w:r w:rsidRPr="002E6ECA">
        <w:rPr>
          <w:i/>
          <w:iCs/>
          <w:spacing w:val="-4"/>
          <w:sz w:val="28"/>
          <w:szCs w:val="28"/>
          <w:lang w:val="uk-UA"/>
        </w:rPr>
        <w:t>Клінічна та профілактична медицина</w:t>
      </w:r>
      <w:r w:rsidRPr="002E6ECA">
        <w:rPr>
          <w:spacing w:val="-4"/>
          <w:sz w:val="28"/>
          <w:szCs w:val="28"/>
          <w:lang w:val="uk-UA"/>
        </w:rPr>
        <w:t xml:space="preserve">. 2020. № </w:t>
      </w:r>
      <w:r w:rsidRPr="002E6ECA">
        <w:rPr>
          <w:iCs/>
          <w:spacing w:val="-4"/>
          <w:sz w:val="28"/>
          <w:szCs w:val="28"/>
          <w:lang w:val="uk-UA"/>
        </w:rPr>
        <w:t xml:space="preserve">4 </w:t>
      </w:r>
      <w:r w:rsidRPr="002E6ECA">
        <w:rPr>
          <w:spacing w:val="-4"/>
          <w:sz w:val="28"/>
          <w:szCs w:val="28"/>
          <w:lang w:val="uk-UA"/>
        </w:rPr>
        <w:t>(14).</w:t>
      </w:r>
      <w:r w:rsidRPr="002E6ECA">
        <w:rPr>
          <w:sz w:val="28"/>
          <w:szCs w:val="28"/>
          <w:lang w:val="uk-UA"/>
        </w:rPr>
        <w:t xml:space="preserve"> С. 62-69. </w:t>
      </w:r>
      <w:r w:rsidRPr="002E6ECA">
        <w:rPr>
          <w:bCs/>
          <w:sz w:val="28"/>
          <w:szCs w:val="28"/>
          <w:lang w:val="uk-UA"/>
        </w:rPr>
        <w:t xml:space="preserve">DOI: </w:t>
      </w:r>
      <w:hyperlink r:id="rId11" w:history="1">
        <w:r w:rsidRPr="002E6ECA">
          <w:rPr>
            <w:rStyle w:val="a8"/>
            <w:color w:val="auto"/>
            <w:sz w:val="28"/>
            <w:szCs w:val="28"/>
            <w:u w:val="none"/>
            <w:lang w:val="uk-UA"/>
          </w:rPr>
          <w:t>https://doi.org/10.31612/2616-4868.4(14).2020.05</w:t>
        </w:r>
      </w:hyperlink>
      <w:r w:rsidRPr="002E6ECA">
        <w:rPr>
          <w:sz w:val="28"/>
          <w:szCs w:val="28"/>
          <w:lang w:val="uk-UA"/>
        </w:rPr>
        <w:t xml:space="preserve">. </w:t>
      </w:r>
      <w:r w:rsidRPr="002E6ECA">
        <w:rPr>
          <w:bCs/>
          <w:i/>
          <w:iCs/>
          <w:sz w:val="28"/>
          <w:szCs w:val="28"/>
          <w:lang w:val="uk-UA"/>
        </w:rPr>
        <w:t>(Концепція та дизайн роботи, збір даних та узагальнення результатів, статистичний аналіз, написання статті).</w:t>
      </w:r>
      <w:r w:rsidRPr="002E6ECA">
        <w:rPr>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rStyle w:val="aa"/>
          <w:bCs/>
          <w:sz w:val="28"/>
          <w:szCs w:val="28"/>
          <w:lang w:val="uk-UA"/>
        </w:rPr>
      </w:pPr>
      <w:r w:rsidRPr="002E6ECA">
        <w:rPr>
          <w:sz w:val="28"/>
          <w:szCs w:val="28"/>
          <w:lang w:val="uk-UA"/>
        </w:rPr>
        <w:t xml:space="preserve">Міхановська Н. Г., Сотнікова-Мелешкіна Ж. В., Островська Г. Є., Штриголь Д. В. Скринінговий аналіз психосоціального функціонування молодших школярів в умовах навчального закладу. </w:t>
      </w:r>
      <w:r w:rsidRPr="002E6ECA">
        <w:rPr>
          <w:i/>
          <w:sz w:val="28"/>
          <w:szCs w:val="28"/>
          <w:lang w:val="uk-UA"/>
        </w:rPr>
        <w:t>EUMJ.</w:t>
      </w:r>
      <w:r w:rsidRPr="002E6ECA">
        <w:rPr>
          <w:sz w:val="28"/>
          <w:szCs w:val="28"/>
          <w:lang w:val="uk-UA"/>
        </w:rPr>
        <w:t xml:space="preserve"> 2020. № 8 (4). Р. 351-359. DOI: https://doi.org/10.21272/eumj.2020;8(4):351-359.</w:t>
      </w:r>
      <w:r w:rsidRPr="002E6ECA">
        <w:rPr>
          <w:bCs/>
          <w:i/>
          <w:iCs/>
          <w:sz w:val="28"/>
          <w:szCs w:val="28"/>
          <w:lang w:val="uk-UA"/>
        </w:rPr>
        <w:t xml:space="preserve"> (Концепція та дизайн роботи, збір даних та узагальнення результатів, статистичний аналіз, написання статті).</w:t>
      </w:r>
      <w:r w:rsidRPr="002E6ECA">
        <w:rPr>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b/>
          <w:bCs/>
          <w:i/>
          <w:iCs/>
          <w:sz w:val="28"/>
          <w:szCs w:val="28"/>
          <w:lang w:val="uk-UA"/>
        </w:rPr>
      </w:pPr>
      <w:r w:rsidRPr="002E6ECA">
        <w:rPr>
          <w:sz w:val="28"/>
          <w:szCs w:val="28"/>
          <w:lang w:val="uk-UA"/>
        </w:rPr>
        <w:t xml:space="preserve">Redka I. V., Mikhalchuk O. Ya., </w:t>
      </w:r>
      <w:r w:rsidRPr="002E6ECA">
        <w:rPr>
          <w:bCs/>
          <w:iCs/>
          <w:sz w:val="28"/>
          <w:szCs w:val="28"/>
          <w:lang w:val="uk-UA"/>
        </w:rPr>
        <w:t>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w:t>
      </w:r>
      <w:r w:rsidRPr="002E6ECA">
        <w:rPr>
          <w:sz w:val="28"/>
          <w:szCs w:val="28"/>
          <w:lang w:val="uk-UA"/>
        </w:rPr>
        <w:t xml:space="preserve"> Electroencephalographic monitoring of the brain functional condition in modern Ukrainian schoolchildren. </w:t>
      </w:r>
      <w:r w:rsidRPr="002E6ECA">
        <w:rPr>
          <w:i/>
          <w:sz w:val="28"/>
          <w:szCs w:val="28"/>
          <w:lang w:val="uk-UA" w:eastAsia="uk-UA"/>
        </w:rPr>
        <w:t>Wiadomości Lekarskie</w:t>
      </w:r>
      <w:r w:rsidRPr="002E6ECA">
        <w:rPr>
          <w:sz w:val="28"/>
          <w:szCs w:val="28"/>
          <w:lang w:val="uk-UA" w:eastAsia="uk-UA"/>
        </w:rPr>
        <w:t xml:space="preserve">. </w:t>
      </w:r>
      <w:r w:rsidRPr="002E6ECA">
        <w:rPr>
          <w:sz w:val="28"/>
          <w:szCs w:val="28"/>
          <w:lang w:val="uk-UA"/>
        </w:rPr>
        <w:t>2020</w:t>
      </w:r>
      <w:r w:rsidRPr="002E6ECA">
        <w:rPr>
          <w:sz w:val="28"/>
          <w:szCs w:val="28"/>
          <w:lang w:val="uk-UA" w:eastAsia="uk-UA"/>
        </w:rPr>
        <w:t xml:space="preserve">. Vol. LXXIII. Issue 12 (1). Р. </w:t>
      </w:r>
      <w:r w:rsidRPr="002E6ECA">
        <w:rPr>
          <w:sz w:val="28"/>
          <w:szCs w:val="28"/>
          <w:lang w:val="uk-UA" w:eastAsia="uk-UA"/>
        </w:rPr>
        <w:lastRenderedPageBreak/>
        <w:t>2634-2639.</w:t>
      </w:r>
      <w:r w:rsidRPr="002E6ECA">
        <w:rPr>
          <w:bCs/>
          <w:i/>
          <w:iCs/>
          <w:sz w:val="28"/>
          <w:szCs w:val="28"/>
          <w:lang w:val="uk-UA"/>
        </w:rPr>
        <w:t xml:space="preserve"> </w:t>
      </w:r>
      <w:r w:rsidR="00090685" w:rsidRPr="002E6ECA">
        <w:rPr>
          <w:bCs/>
          <w:i/>
          <w:iCs/>
          <w:sz w:val="28"/>
          <w:szCs w:val="28"/>
          <w:lang w:val="uk-UA"/>
        </w:rPr>
        <w:t>(Організація дослідження, узагальнення та статистичний аналіз даних, участь у написанні статті)</w:t>
      </w:r>
      <w:r w:rsidRPr="002E6ECA">
        <w:rPr>
          <w:bCs/>
          <w:i/>
          <w:iCs/>
          <w:sz w:val="28"/>
          <w:szCs w:val="28"/>
          <w:lang w:val="uk-UA"/>
        </w:rPr>
        <w:t>.</w:t>
      </w:r>
      <w:r w:rsidRPr="002E6ECA">
        <w:rPr>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rStyle w:val="aa"/>
          <w:bCs/>
          <w:sz w:val="28"/>
          <w:szCs w:val="28"/>
          <w:lang w:val="uk-UA"/>
        </w:rPr>
      </w:pPr>
      <w:r w:rsidRPr="002E6ECA">
        <w:rPr>
          <w:sz w:val="28"/>
          <w:szCs w:val="28"/>
          <w:lang w:val="uk-UA" w:eastAsia="uk-UA"/>
        </w:rPr>
        <w:t>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В., Мартиненко</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В. Спосіб валідизації методики оцінки якості життя, що пов’язана зі здоров’ям школярів.</w:t>
      </w:r>
      <w:r w:rsidRPr="002E6ECA">
        <w:rPr>
          <w:sz w:val="28"/>
          <w:szCs w:val="28"/>
          <w:lang w:val="uk-UA"/>
        </w:rPr>
        <w:t xml:space="preserve"> </w:t>
      </w:r>
      <w:r w:rsidRPr="002E6ECA">
        <w:rPr>
          <w:bCs/>
          <w:i/>
          <w:sz w:val="28"/>
          <w:szCs w:val="28"/>
          <w:lang w:val="uk-UA"/>
        </w:rPr>
        <w:t>Клін. інформат. і Телемед</w:t>
      </w:r>
      <w:r w:rsidRPr="002E6ECA">
        <w:rPr>
          <w:bCs/>
          <w:sz w:val="28"/>
          <w:szCs w:val="28"/>
          <w:lang w:val="uk-UA"/>
        </w:rPr>
        <w:t>. 2020. Т. 15. Вип. 16. С. 57-61. DOI: https://doi.org/10.31071/kit2020.16.16.</w:t>
      </w:r>
      <w:r w:rsidRPr="002E6ECA">
        <w:rPr>
          <w:b/>
          <w:bCs/>
          <w:sz w:val="28"/>
          <w:szCs w:val="28"/>
          <w:lang w:val="uk-UA"/>
        </w:rPr>
        <w:t xml:space="preserve"> </w:t>
      </w:r>
      <w:r w:rsidRPr="002E6ECA">
        <w:rPr>
          <w:bCs/>
          <w:sz w:val="28"/>
          <w:szCs w:val="28"/>
          <w:lang w:val="uk-UA"/>
        </w:rPr>
        <w:t>(</w:t>
      </w:r>
      <w:r w:rsidRPr="002E6ECA">
        <w:rPr>
          <w:bCs/>
          <w:i/>
          <w:iCs/>
          <w:sz w:val="28"/>
          <w:szCs w:val="28"/>
          <w:lang w:val="uk-UA"/>
        </w:rPr>
        <w:t xml:space="preserve">Концепція та дизайн роботи, збір та аналіз даних, написання статті, </w:t>
      </w:r>
      <w:r w:rsidRPr="002E6ECA">
        <w:rPr>
          <w:i/>
          <w:sz w:val="28"/>
          <w:szCs w:val="28"/>
          <w:lang w:val="uk-UA"/>
        </w:rPr>
        <w:t xml:space="preserve">аналіз джерел наукової літератури). </w:t>
      </w:r>
    </w:p>
    <w:p w:rsidR="00A110CD" w:rsidRPr="002E6ECA" w:rsidRDefault="00A110CD" w:rsidP="00A110CD">
      <w:pPr>
        <w:pStyle w:val="a3"/>
        <w:numPr>
          <w:ilvl w:val="0"/>
          <w:numId w:val="45"/>
        </w:numPr>
        <w:tabs>
          <w:tab w:val="left" w:pos="993"/>
        </w:tabs>
        <w:spacing w:line="360" w:lineRule="auto"/>
        <w:ind w:left="0" w:firstLine="709"/>
        <w:jc w:val="both"/>
        <w:rPr>
          <w:bCs/>
          <w:i/>
          <w:iCs/>
          <w:sz w:val="28"/>
          <w:szCs w:val="28"/>
          <w:lang w:val="uk-UA"/>
        </w:rPr>
      </w:pPr>
      <w:r w:rsidRPr="002E6ECA">
        <w:rPr>
          <w:sz w:val="28"/>
          <w:szCs w:val="28"/>
          <w:lang w:val="uk-UA"/>
        </w:rPr>
        <w:t xml:space="preserve">Сотнікова-Мелешкіна Ж. В., Мартиненко О. В. Мультиваріативний метод оцінки ефективності оптимізації режиму дня школярів. 2020. </w:t>
      </w:r>
      <w:r w:rsidRPr="002E6ECA">
        <w:rPr>
          <w:bCs/>
          <w:i/>
          <w:sz w:val="28"/>
          <w:szCs w:val="28"/>
          <w:shd w:val="clear" w:color="auto" w:fill="FFFFFF"/>
          <w:lang w:val="uk-UA"/>
        </w:rPr>
        <w:t xml:space="preserve">Вісник Вінницького національного медичного університету. </w:t>
      </w:r>
      <w:r w:rsidRPr="002E6ECA">
        <w:rPr>
          <w:bCs/>
          <w:sz w:val="28"/>
          <w:szCs w:val="28"/>
          <w:shd w:val="clear" w:color="auto" w:fill="FFFFFF"/>
          <w:lang w:val="uk-UA"/>
        </w:rPr>
        <w:t xml:space="preserve">2020. № </w:t>
      </w:r>
      <w:r w:rsidRPr="002E6ECA">
        <w:rPr>
          <w:sz w:val="28"/>
          <w:szCs w:val="28"/>
          <w:lang w:val="uk-UA"/>
        </w:rPr>
        <w:t xml:space="preserve">4. С. 647-652. DOI: </w:t>
      </w:r>
      <w:r w:rsidRPr="002E6ECA">
        <w:rPr>
          <w:bCs/>
          <w:sz w:val="28"/>
          <w:szCs w:val="28"/>
          <w:lang w:val="uk-UA" w:eastAsia="uk-UA"/>
        </w:rPr>
        <w:t>10.31393/reports-vnmedical-2020-24(4)-11. (</w:t>
      </w:r>
      <w:r w:rsidRPr="002E6ECA">
        <w:rPr>
          <w:bCs/>
          <w:i/>
          <w:iCs/>
          <w:sz w:val="28"/>
          <w:szCs w:val="28"/>
          <w:lang w:val="uk-UA"/>
        </w:rPr>
        <w:t xml:space="preserve">Концепція та дизайн роботи, збір та аналіз даних, </w:t>
      </w:r>
      <w:r w:rsidRPr="002E6ECA">
        <w:rPr>
          <w:i/>
          <w:sz w:val="28"/>
          <w:szCs w:val="28"/>
          <w:lang w:val="uk-UA"/>
        </w:rPr>
        <w:t xml:space="preserve">аналіз джерел наукової літератури, </w:t>
      </w:r>
      <w:r w:rsidRPr="002E6ECA">
        <w:rPr>
          <w:bCs/>
          <w:i/>
          <w:iCs/>
          <w:sz w:val="28"/>
          <w:szCs w:val="28"/>
          <w:lang w:val="uk-UA"/>
        </w:rPr>
        <w:t>написання статті).</w:t>
      </w:r>
      <w:r w:rsidRPr="002E6ECA">
        <w:rPr>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bCs/>
          <w:i/>
          <w:iCs/>
          <w:sz w:val="28"/>
          <w:szCs w:val="28"/>
          <w:lang w:val="uk-UA"/>
        </w:rPr>
      </w:pPr>
      <w:r w:rsidRPr="002E6ECA">
        <w:rPr>
          <w:sz w:val="28"/>
          <w:szCs w:val="28"/>
          <w:lang w:val="en-US"/>
        </w:rPr>
        <w:t>Sotnikova</w:t>
      </w:r>
      <w:r w:rsidRPr="002E6ECA">
        <w:rPr>
          <w:sz w:val="28"/>
          <w:szCs w:val="28"/>
          <w:lang w:val="uk-UA"/>
        </w:rPr>
        <w:t>-</w:t>
      </w:r>
      <w:r w:rsidRPr="002E6ECA">
        <w:rPr>
          <w:sz w:val="28"/>
          <w:szCs w:val="28"/>
          <w:lang w:val="en-US"/>
        </w:rPr>
        <w:t>Meleshkina</w:t>
      </w:r>
      <w:r w:rsidRPr="002E6ECA">
        <w:rPr>
          <w:sz w:val="28"/>
          <w:szCs w:val="28"/>
          <w:lang w:val="uk-UA"/>
        </w:rPr>
        <w:t> </w:t>
      </w:r>
      <w:r w:rsidRPr="002E6ECA">
        <w:rPr>
          <w:sz w:val="28"/>
          <w:szCs w:val="28"/>
          <w:lang w:val="en-US"/>
        </w:rPr>
        <w:t>Zh</w:t>
      </w:r>
      <w:r w:rsidRPr="002E6ECA">
        <w:rPr>
          <w:sz w:val="28"/>
          <w:szCs w:val="28"/>
          <w:lang w:val="uk-UA"/>
        </w:rPr>
        <w:t>. </w:t>
      </w:r>
      <w:r w:rsidRPr="002E6ECA">
        <w:rPr>
          <w:sz w:val="28"/>
          <w:szCs w:val="28"/>
          <w:lang w:val="en-US"/>
        </w:rPr>
        <w:t>V</w:t>
      </w:r>
      <w:r w:rsidRPr="002E6ECA">
        <w:rPr>
          <w:sz w:val="28"/>
          <w:szCs w:val="28"/>
          <w:lang w:val="uk-UA"/>
        </w:rPr>
        <w:t xml:space="preserve">. </w:t>
      </w:r>
      <w:r w:rsidRPr="002E6ECA">
        <w:rPr>
          <w:bCs/>
          <w:sz w:val="28"/>
          <w:szCs w:val="28"/>
          <w:shd w:val="clear" w:color="auto" w:fill="FFFFFF"/>
          <w:lang w:val="en-US"/>
        </w:rPr>
        <w:t>The</w:t>
      </w:r>
      <w:r w:rsidRPr="002E6ECA">
        <w:rPr>
          <w:bCs/>
          <w:sz w:val="28"/>
          <w:szCs w:val="28"/>
          <w:shd w:val="clear" w:color="auto" w:fill="FFFFFF"/>
          <w:lang w:val="uk-UA"/>
        </w:rPr>
        <w:t xml:space="preserve"> </w:t>
      </w:r>
      <w:r w:rsidRPr="002E6ECA">
        <w:rPr>
          <w:bCs/>
          <w:sz w:val="28"/>
          <w:szCs w:val="28"/>
          <w:shd w:val="clear" w:color="auto" w:fill="FFFFFF"/>
          <w:lang w:val="en-US"/>
        </w:rPr>
        <w:t>structure</w:t>
      </w:r>
      <w:r w:rsidRPr="002E6ECA">
        <w:rPr>
          <w:bCs/>
          <w:sz w:val="28"/>
          <w:szCs w:val="28"/>
          <w:shd w:val="clear" w:color="auto" w:fill="FFFFFF"/>
          <w:lang w:val="uk-UA"/>
        </w:rPr>
        <w:t xml:space="preserve"> </w:t>
      </w:r>
      <w:r w:rsidRPr="002E6ECA">
        <w:rPr>
          <w:bCs/>
          <w:sz w:val="28"/>
          <w:szCs w:val="28"/>
          <w:shd w:val="clear" w:color="auto" w:fill="FFFFFF"/>
          <w:lang w:val="en-US"/>
        </w:rPr>
        <w:t>of</w:t>
      </w:r>
      <w:r w:rsidRPr="002E6ECA">
        <w:rPr>
          <w:bCs/>
          <w:sz w:val="28"/>
          <w:szCs w:val="28"/>
          <w:shd w:val="clear" w:color="auto" w:fill="FFFFFF"/>
          <w:lang w:val="uk-UA"/>
        </w:rPr>
        <w:t xml:space="preserve"> </w:t>
      </w:r>
      <w:r w:rsidRPr="002E6ECA">
        <w:rPr>
          <w:bCs/>
          <w:sz w:val="28"/>
          <w:szCs w:val="28"/>
          <w:shd w:val="clear" w:color="auto" w:fill="FFFFFF"/>
          <w:lang w:val="en-US"/>
        </w:rPr>
        <w:t>morbidity</w:t>
      </w:r>
      <w:r w:rsidRPr="002E6ECA">
        <w:rPr>
          <w:bCs/>
          <w:sz w:val="28"/>
          <w:szCs w:val="28"/>
          <w:shd w:val="clear" w:color="auto" w:fill="FFFFFF"/>
          <w:lang w:val="uk-UA"/>
        </w:rPr>
        <w:t xml:space="preserve"> </w:t>
      </w:r>
      <w:r w:rsidRPr="002E6ECA">
        <w:rPr>
          <w:bCs/>
          <w:sz w:val="28"/>
          <w:szCs w:val="28"/>
          <w:shd w:val="clear" w:color="auto" w:fill="FFFFFF"/>
          <w:lang w:val="en-US"/>
        </w:rPr>
        <w:t>of</w:t>
      </w:r>
      <w:r w:rsidRPr="002E6ECA">
        <w:rPr>
          <w:bCs/>
          <w:sz w:val="28"/>
          <w:szCs w:val="28"/>
          <w:shd w:val="clear" w:color="auto" w:fill="FFFFFF"/>
          <w:lang w:val="uk-UA"/>
        </w:rPr>
        <w:t xml:space="preserve"> </w:t>
      </w:r>
      <w:r w:rsidRPr="002E6ECA">
        <w:rPr>
          <w:bCs/>
          <w:sz w:val="28"/>
          <w:szCs w:val="28"/>
          <w:shd w:val="clear" w:color="auto" w:fill="FFFFFF"/>
          <w:lang w:val="en-US"/>
        </w:rPr>
        <w:t>secondary</w:t>
      </w:r>
      <w:r w:rsidRPr="002E6ECA">
        <w:rPr>
          <w:bCs/>
          <w:sz w:val="28"/>
          <w:szCs w:val="28"/>
          <w:shd w:val="clear" w:color="auto" w:fill="FFFFFF"/>
          <w:lang w:val="uk-UA"/>
        </w:rPr>
        <w:t xml:space="preserve"> </w:t>
      </w:r>
      <w:r w:rsidRPr="002E6ECA">
        <w:rPr>
          <w:bCs/>
          <w:sz w:val="28"/>
          <w:szCs w:val="28"/>
          <w:shd w:val="clear" w:color="auto" w:fill="FFFFFF"/>
          <w:lang w:val="en-US"/>
        </w:rPr>
        <w:t>school</w:t>
      </w:r>
      <w:r w:rsidRPr="002E6ECA">
        <w:rPr>
          <w:bCs/>
          <w:sz w:val="28"/>
          <w:szCs w:val="28"/>
          <w:shd w:val="clear" w:color="auto" w:fill="FFFFFF"/>
          <w:lang w:val="uk-UA"/>
        </w:rPr>
        <w:t xml:space="preserve"> </w:t>
      </w:r>
      <w:r w:rsidRPr="002E6ECA">
        <w:rPr>
          <w:bCs/>
          <w:sz w:val="28"/>
          <w:szCs w:val="28"/>
          <w:shd w:val="clear" w:color="auto" w:fill="FFFFFF"/>
          <w:lang w:val="en-US"/>
        </w:rPr>
        <w:t>children</w:t>
      </w:r>
      <w:r w:rsidRPr="002E6ECA">
        <w:rPr>
          <w:bCs/>
          <w:sz w:val="28"/>
          <w:szCs w:val="28"/>
          <w:shd w:val="clear" w:color="auto" w:fill="FFFFFF"/>
          <w:lang w:val="uk-UA"/>
        </w:rPr>
        <w:t xml:space="preserve">. </w:t>
      </w:r>
      <w:r w:rsidRPr="002E6ECA">
        <w:rPr>
          <w:bCs/>
          <w:i/>
          <w:iCs/>
          <w:sz w:val="28"/>
          <w:szCs w:val="28"/>
          <w:lang w:val="en-US"/>
        </w:rPr>
        <w:t>Reports</w:t>
      </w:r>
      <w:r w:rsidRPr="002E6ECA">
        <w:rPr>
          <w:bCs/>
          <w:i/>
          <w:iCs/>
          <w:sz w:val="28"/>
          <w:szCs w:val="28"/>
          <w:lang w:val="uk-UA"/>
        </w:rPr>
        <w:t xml:space="preserve"> </w:t>
      </w:r>
      <w:r w:rsidRPr="002E6ECA">
        <w:rPr>
          <w:bCs/>
          <w:i/>
          <w:iCs/>
          <w:sz w:val="28"/>
          <w:szCs w:val="28"/>
          <w:lang w:val="en-US"/>
        </w:rPr>
        <w:t>of</w:t>
      </w:r>
      <w:r w:rsidRPr="002E6ECA">
        <w:rPr>
          <w:bCs/>
          <w:i/>
          <w:iCs/>
          <w:sz w:val="28"/>
          <w:szCs w:val="28"/>
          <w:lang w:val="uk-UA"/>
        </w:rPr>
        <w:t xml:space="preserve"> </w:t>
      </w:r>
      <w:r w:rsidRPr="002E6ECA">
        <w:rPr>
          <w:bCs/>
          <w:i/>
          <w:iCs/>
          <w:sz w:val="28"/>
          <w:szCs w:val="28"/>
          <w:lang w:val="en-US"/>
        </w:rPr>
        <w:t>Morphology</w:t>
      </w:r>
      <w:r w:rsidRPr="002E6ECA">
        <w:rPr>
          <w:bCs/>
          <w:iCs/>
          <w:sz w:val="28"/>
          <w:szCs w:val="28"/>
          <w:lang w:val="uk-UA"/>
        </w:rPr>
        <w:t xml:space="preserve">. 2020. </w:t>
      </w:r>
      <w:r w:rsidRPr="002E6ECA">
        <w:rPr>
          <w:bCs/>
          <w:iCs/>
          <w:sz w:val="28"/>
          <w:szCs w:val="28"/>
          <w:lang w:val="en-US"/>
        </w:rPr>
        <w:t>Vol</w:t>
      </w:r>
      <w:r w:rsidRPr="002E6ECA">
        <w:rPr>
          <w:bCs/>
          <w:iCs/>
          <w:sz w:val="28"/>
          <w:szCs w:val="28"/>
          <w:lang w:val="uk-UA"/>
        </w:rPr>
        <w:t xml:space="preserve">. 26. № 4. </w:t>
      </w:r>
      <w:r w:rsidRPr="002E6ECA">
        <w:rPr>
          <w:bCs/>
          <w:iCs/>
          <w:sz w:val="28"/>
          <w:szCs w:val="28"/>
          <w:lang w:val="en-US"/>
        </w:rPr>
        <w:t>P</w:t>
      </w:r>
      <w:r w:rsidRPr="002E6ECA">
        <w:rPr>
          <w:bCs/>
          <w:iCs/>
          <w:sz w:val="28"/>
          <w:szCs w:val="28"/>
          <w:lang w:val="uk-UA"/>
        </w:rPr>
        <w:t xml:space="preserve">. 30-35. </w:t>
      </w:r>
      <w:r w:rsidRPr="002E6ECA">
        <w:rPr>
          <w:bCs/>
          <w:iCs/>
          <w:sz w:val="28"/>
          <w:szCs w:val="28"/>
          <w:lang w:val="en-US"/>
        </w:rPr>
        <w:t>DOI</w:t>
      </w:r>
      <w:r w:rsidRPr="002E6ECA">
        <w:rPr>
          <w:bCs/>
          <w:iCs/>
          <w:sz w:val="28"/>
          <w:szCs w:val="28"/>
          <w:lang w:val="uk-UA"/>
        </w:rPr>
        <w:t xml:space="preserve">: </w:t>
      </w:r>
      <w:r w:rsidRPr="002E6ECA">
        <w:rPr>
          <w:bCs/>
          <w:sz w:val="28"/>
          <w:szCs w:val="28"/>
          <w:lang w:val="uk-UA"/>
        </w:rPr>
        <w:t>10.31393/</w:t>
      </w:r>
      <w:r w:rsidRPr="002E6ECA">
        <w:rPr>
          <w:bCs/>
          <w:sz w:val="28"/>
          <w:szCs w:val="28"/>
          <w:lang w:val="en-US"/>
        </w:rPr>
        <w:t>morphology</w:t>
      </w:r>
      <w:r w:rsidRPr="002E6ECA">
        <w:rPr>
          <w:bCs/>
          <w:sz w:val="28"/>
          <w:szCs w:val="28"/>
          <w:lang w:val="uk-UA"/>
        </w:rPr>
        <w:t>-</w:t>
      </w:r>
      <w:r w:rsidRPr="002E6ECA">
        <w:rPr>
          <w:bCs/>
          <w:sz w:val="28"/>
          <w:szCs w:val="28"/>
          <w:lang w:val="en-US"/>
        </w:rPr>
        <w:t>journal</w:t>
      </w:r>
      <w:r w:rsidRPr="002E6ECA">
        <w:rPr>
          <w:bCs/>
          <w:sz w:val="28"/>
          <w:szCs w:val="28"/>
          <w:lang w:val="uk-UA"/>
        </w:rPr>
        <w:t>-2020-26(4)-05.</w:t>
      </w:r>
      <w:r w:rsidRPr="002E6ECA">
        <w:rPr>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bCs/>
          <w:i/>
          <w:iCs/>
          <w:sz w:val="28"/>
          <w:szCs w:val="28"/>
          <w:lang w:val="uk-UA"/>
        </w:rPr>
      </w:pPr>
      <w:r w:rsidRPr="002E6ECA">
        <w:rPr>
          <w:bCs/>
          <w:iCs/>
          <w:sz w:val="28"/>
          <w:szCs w:val="28"/>
          <w:lang w:val="en-US"/>
        </w:rPr>
        <w:t>Redka</w:t>
      </w:r>
      <w:r w:rsidRPr="002E6ECA">
        <w:rPr>
          <w:sz w:val="28"/>
          <w:szCs w:val="28"/>
          <w:lang w:val="en-US"/>
        </w:rPr>
        <w:t> </w:t>
      </w:r>
      <w:r w:rsidRPr="002E6ECA">
        <w:rPr>
          <w:bCs/>
          <w:iCs/>
          <w:sz w:val="28"/>
          <w:szCs w:val="28"/>
          <w:lang w:val="en-US"/>
        </w:rPr>
        <w:t>I.</w:t>
      </w:r>
      <w:r w:rsidRPr="002E6ECA">
        <w:rPr>
          <w:sz w:val="28"/>
          <w:szCs w:val="28"/>
          <w:lang w:val="en-US"/>
        </w:rPr>
        <w:t> </w:t>
      </w:r>
      <w:r w:rsidRPr="002E6ECA">
        <w:rPr>
          <w:bCs/>
          <w:iCs/>
          <w:sz w:val="28"/>
          <w:szCs w:val="28"/>
          <w:lang w:val="en-US"/>
        </w:rPr>
        <w:t>V., Dan</w:t>
      </w:r>
      <w:r w:rsidR="00DA0230" w:rsidRPr="002E6ECA">
        <w:rPr>
          <w:bCs/>
          <w:iCs/>
          <w:sz w:val="28"/>
          <w:szCs w:val="28"/>
          <w:lang w:val="en-US"/>
        </w:rPr>
        <w:t>y</w:t>
      </w:r>
      <w:r w:rsidRPr="002E6ECA">
        <w:rPr>
          <w:bCs/>
          <w:iCs/>
          <w:sz w:val="28"/>
          <w:szCs w:val="28"/>
          <w:lang w:val="en-US"/>
        </w:rPr>
        <w:t>lenko</w:t>
      </w:r>
      <w:r w:rsidRPr="002E6ECA">
        <w:rPr>
          <w:sz w:val="28"/>
          <w:szCs w:val="28"/>
          <w:lang w:val="en-US"/>
        </w:rPr>
        <w:t> </w:t>
      </w:r>
      <w:r w:rsidRPr="002E6ECA">
        <w:rPr>
          <w:bCs/>
          <w:iCs/>
          <w:sz w:val="28"/>
          <w:szCs w:val="28"/>
          <w:lang w:val="en-US"/>
        </w:rPr>
        <w:t>H.</w:t>
      </w:r>
      <w:r w:rsidRPr="002E6ECA">
        <w:rPr>
          <w:sz w:val="28"/>
          <w:szCs w:val="28"/>
          <w:lang w:val="en-US"/>
        </w:rPr>
        <w:t> </w:t>
      </w:r>
      <w:r w:rsidRPr="002E6ECA">
        <w:rPr>
          <w:bCs/>
          <w:iCs/>
          <w:sz w:val="28"/>
          <w:szCs w:val="28"/>
          <w:lang w:val="en-US"/>
        </w:rPr>
        <w:t>M., Sotnikova-Meleshkina</w:t>
      </w:r>
      <w:r w:rsidRPr="002E6ECA">
        <w:rPr>
          <w:sz w:val="28"/>
          <w:szCs w:val="28"/>
          <w:lang w:val="en-US"/>
        </w:rPr>
        <w:t> </w:t>
      </w:r>
      <w:r w:rsidRPr="002E6ECA">
        <w:rPr>
          <w:bCs/>
          <w:iCs/>
          <w:sz w:val="28"/>
          <w:szCs w:val="28"/>
          <w:lang w:val="en-US"/>
        </w:rPr>
        <w:t>Zh.</w:t>
      </w:r>
      <w:r w:rsidRPr="002E6ECA">
        <w:rPr>
          <w:sz w:val="28"/>
          <w:szCs w:val="28"/>
          <w:lang w:val="en-US"/>
        </w:rPr>
        <w:t> </w:t>
      </w:r>
      <w:r w:rsidRPr="002E6ECA">
        <w:rPr>
          <w:bCs/>
          <w:iCs/>
          <w:sz w:val="28"/>
          <w:szCs w:val="28"/>
          <w:lang w:val="en-US"/>
        </w:rPr>
        <w:t>V., Mikhalchuk</w:t>
      </w:r>
      <w:r w:rsidRPr="002E6ECA">
        <w:rPr>
          <w:sz w:val="28"/>
          <w:szCs w:val="28"/>
          <w:lang w:val="en-US"/>
        </w:rPr>
        <w:t> </w:t>
      </w:r>
      <w:r w:rsidRPr="002E6ECA">
        <w:rPr>
          <w:bCs/>
          <w:iCs/>
          <w:sz w:val="28"/>
          <w:szCs w:val="28"/>
          <w:lang w:val="en-US"/>
        </w:rPr>
        <w:t>O.</w:t>
      </w:r>
      <w:r w:rsidRPr="002E6ECA">
        <w:rPr>
          <w:sz w:val="28"/>
          <w:szCs w:val="28"/>
          <w:lang w:val="en-US"/>
        </w:rPr>
        <w:t> </w:t>
      </w:r>
      <w:r w:rsidRPr="002E6ECA">
        <w:rPr>
          <w:bCs/>
          <w:iCs/>
          <w:sz w:val="28"/>
          <w:szCs w:val="28"/>
          <w:lang w:val="en-US"/>
        </w:rPr>
        <w:t>Ya.</w:t>
      </w:r>
      <w:r w:rsidRPr="002E6ECA">
        <w:rPr>
          <w:sz w:val="28"/>
          <w:szCs w:val="28"/>
          <w:shd w:val="clear" w:color="auto" w:fill="FFFFFF"/>
          <w:lang w:val="en-US"/>
        </w:rPr>
        <w:t xml:space="preserve"> Prenosological screening of autonomic regulatory systems tension in secondary school students</w:t>
      </w:r>
      <w:r w:rsidRPr="002E6ECA">
        <w:rPr>
          <w:sz w:val="28"/>
          <w:szCs w:val="28"/>
          <w:lang w:val="en-US" w:eastAsia="uk-UA"/>
        </w:rPr>
        <w:t xml:space="preserve">. </w:t>
      </w:r>
      <w:r w:rsidRPr="002E6ECA">
        <w:rPr>
          <w:rStyle w:val="a4"/>
          <w:b w:val="0"/>
          <w:i/>
          <w:sz w:val="28"/>
          <w:szCs w:val="28"/>
          <w:shd w:val="clear" w:color="auto" w:fill="FFFFFF"/>
          <w:lang w:val="en-US"/>
        </w:rPr>
        <w:t xml:space="preserve">Biomedical and Biosocial </w:t>
      </w:r>
      <w:r w:rsidR="00DA0230" w:rsidRPr="002E6ECA">
        <w:rPr>
          <w:rStyle w:val="a4"/>
          <w:b w:val="0"/>
          <w:i/>
          <w:sz w:val="28"/>
          <w:szCs w:val="28"/>
          <w:shd w:val="clear" w:color="auto" w:fill="FFFFFF"/>
          <w:lang w:val="en-US"/>
        </w:rPr>
        <w:t>A</w:t>
      </w:r>
      <w:r w:rsidRPr="002E6ECA">
        <w:rPr>
          <w:rStyle w:val="a4"/>
          <w:b w:val="0"/>
          <w:i/>
          <w:sz w:val="28"/>
          <w:szCs w:val="28"/>
          <w:shd w:val="clear" w:color="auto" w:fill="FFFFFF"/>
          <w:lang w:val="en-US"/>
        </w:rPr>
        <w:t xml:space="preserve">nthropology. </w:t>
      </w:r>
      <w:r w:rsidRPr="002E6ECA">
        <w:rPr>
          <w:rStyle w:val="a4"/>
          <w:b w:val="0"/>
          <w:sz w:val="28"/>
          <w:szCs w:val="28"/>
          <w:shd w:val="clear" w:color="auto" w:fill="FFFFFF"/>
          <w:lang w:val="en-US"/>
        </w:rPr>
        <w:t>2020</w:t>
      </w:r>
      <w:r w:rsidRPr="002E6ECA">
        <w:rPr>
          <w:rStyle w:val="a4"/>
          <w:b w:val="0"/>
          <w:i/>
          <w:sz w:val="28"/>
          <w:szCs w:val="28"/>
          <w:shd w:val="clear" w:color="auto" w:fill="FFFFFF"/>
          <w:lang w:val="en-US"/>
        </w:rPr>
        <w:t xml:space="preserve">. </w:t>
      </w:r>
      <w:r w:rsidRPr="002E6ECA">
        <w:rPr>
          <w:rStyle w:val="a4"/>
          <w:b w:val="0"/>
          <w:sz w:val="28"/>
          <w:szCs w:val="28"/>
          <w:shd w:val="clear" w:color="auto" w:fill="FFFFFF"/>
          <w:lang w:val="en-US"/>
        </w:rPr>
        <w:t>Vol. 38. Р. 47-53</w:t>
      </w:r>
      <w:r w:rsidRPr="002E6ECA">
        <w:rPr>
          <w:b/>
          <w:sz w:val="28"/>
          <w:szCs w:val="28"/>
          <w:lang w:val="en-US"/>
        </w:rPr>
        <w:t xml:space="preserve">. </w:t>
      </w:r>
      <w:r w:rsidRPr="002E6ECA">
        <w:rPr>
          <w:bCs/>
          <w:sz w:val="28"/>
          <w:szCs w:val="28"/>
          <w:lang w:val="en-US"/>
        </w:rPr>
        <w:t>DOI: 10.31393/bba38-2020-07.</w:t>
      </w:r>
      <w:r w:rsidRPr="002E6ECA">
        <w:rPr>
          <w:bCs/>
          <w:sz w:val="28"/>
          <w:szCs w:val="28"/>
          <w:lang w:val="uk-UA"/>
        </w:rPr>
        <w:t xml:space="preserve"> </w:t>
      </w:r>
      <w:r w:rsidR="00090685" w:rsidRPr="002E6ECA">
        <w:rPr>
          <w:bCs/>
          <w:i/>
          <w:iCs/>
          <w:sz w:val="28"/>
          <w:szCs w:val="28"/>
          <w:lang w:val="uk-UA"/>
        </w:rPr>
        <w:t>(Організація дослідження, узагальнення та статистичний аналіз даних, участь у написанні статті)</w:t>
      </w:r>
      <w:r w:rsidRPr="002E6ECA">
        <w:rPr>
          <w:bCs/>
          <w:i/>
          <w:iCs/>
          <w:sz w:val="28"/>
          <w:szCs w:val="28"/>
          <w:lang w:val="uk-UA"/>
        </w:rPr>
        <w:t>.</w:t>
      </w:r>
    </w:p>
    <w:p w:rsidR="00A110CD" w:rsidRPr="002E6ECA" w:rsidRDefault="00A110CD" w:rsidP="00A110CD">
      <w:pPr>
        <w:tabs>
          <w:tab w:val="left" w:pos="993"/>
        </w:tabs>
        <w:spacing w:line="360" w:lineRule="auto"/>
        <w:ind w:firstLine="709"/>
        <w:jc w:val="center"/>
        <w:rPr>
          <w:i/>
          <w:sz w:val="28"/>
          <w:szCs w:val="28"/>
          <w:lang w:val="uk-UA"/>
        </w:rPr>
      </w:pPr>
    </w:p>
    <w:p w:rsidR="00A110CD" w:rsidRPr="002E6ECA" w:rsidRDefault="00A110CD" w:rsidP="00A110CD">
      <w:pPr>
        <w:tabs>
          <w:tab w:val="left" w:pos="993"/>
        </w:tabs>
        <w:spacing w:line="360" w:lineRule="auto"/>
        <w:ind w:firstLine="709"/>
        <w:jc w:val="center"/>
        <w:rPr>
          <w:i/>
          <w:sz w:val="28"/>
          <w:szCs w:val="28"/>
        </w:rPr>
      </w:pPr>
      <w:r w:rsidRPr="002E6ECA">
        <w:rPr>
          <w:i/>
          <w:sz w:val="28"/>
          <w:szCs w:val="28"/>
        </w:rPr>
        <w:t>Опубліковані праці апробаційного характеру</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Кіндрук М. О. Вплив технологічної досконалості педагогічної інновації на формування коморбідних станів у учнів основної школи. </w:t>
      </w:r>
      <w:r w:rsidRPr="002E6ECA">
        <w:rPr>
          <w:i/>
          <w:sz w:val="28"/>
          <w:szCs w:val="28"/>
          <w:lang w:val="uk-UA"/>
        </w:rPr>
        <w:t xml:space="preserve">Актуальні питання фізіології, патології та організації медичного забезпечення дітей шкільного віку та підлітків. Проблемні питання коморбідних станів у дітей та підлітків : </w:t>
      </w:r>
      <w:r w:rsidRPr="002E6ECA">
        <w:rPr>
          <w:bCs/>
          <w:sz w:val="28"/>
          <w:szCs w:val="28"/>
          <w:lang w:val="uk-UA"/>
        </w:rPr>
        <w:t>науково-практична конференція з міжнародною участю</w:t>
      </w:r>
      <w:r w:rsidRPr="002E6ECA">
        <w:rPr>
          <w:sz w:val="28"/>
          <w:szCs w:val="28"/>
          <w:lang w:val="uk-UA"/>
        </w:rPr>
        <w:t xml:space="preserve">, м. Харків, 16-17 листопада 2017 р. Харків, 2017. С. 53-55.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lastRenderedPageBreak/>
        <w:t xml:space="preserve">Даниленко Г. М., Сотнікова-Мелешкіна Ж. В. Самооцінка здоров’я та якості життя як критерій визначення соціальної нерівності серед дітей та підлітків. </w:t>
      </w:r>
      <w:r w:rsidRPr="002E6ECA">
        <w:rPr>
          <w:i/>
          <w:sz w:val="28"/>
          <w:szCs w:val="28"/>
          <w:lang w:val="uk-UA"/>
        </w:rPr>
        <w:t xml:space="preserve">Нові нерівності – нові конфлікти: шляхи подолання : </w:t>
      </w:r>
      <w:r w:rsidRPr="002E6ECA">
        <w:rPr>
          <w:sz w:val="28"/>
          <w:szCs w:val="28"/>
          <w:lang w:val="uk-UA"/>
        </w:rPr>
        <w:t xml:space="preserve">тези доповідей та виступів учасників ІІІ Конгресу Соціологічної асоціації України, м. Харків, 12-13 жовтня 2017 р. Харків, 2017. С. 433-435.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shd w:val="clear" w:color="auto" w:fill="FFFFFF"/>
          <w:lang w:val="uk-UA"/>
        </w:rPr>
        <w:t>Danylenko</w:t>
      </w:r>
      <w:r w:rsidRPr="002E6ECA">
        <w:rPr>
          <w:sz w:val="28"/>
          <w:szCs w:val="28"/>
          <w:lang w:val="uk-UA"/>
        </w:rPr>
        <w:t> </w:t>
      </w:r>
      <w:r w:rsidRPr="002E6ECA">
        <w:rPr>
          <w:sz w:val="28"/>
          <w:szCs w:val="28"/>
          <w:shd w:val="clear" w:color="auto" w:fill="FFFFFF"/>
          <w:lang w:val="uk-UA"/>
        </w:rPr>
        <w:t>H.</w:t>
      </w:r>
      <w:r w:rsidRPr="002E6ECA">
        <w:rPr>
          <w:sz w:val="28"/>
          <w:szCs w:val="28"/>
          <w:lang w:val="uk-UA"/>
        </w:rPr>
        <w:t> </w:t>
      </w:r>
      <w:r w:rsidRPr="002E6ECA">
        <w:rPr>
          <w:sz w:val="28"/>
          <w:szCs w:val="28"/>
          <w:shd w:val="clear" w:color="auto" w:fill="FFFFFF"/>
          <w:lang w:val="uk-UA"/>
        </w:rPr>
        <w:t>M., Sotnikova-Meleshkina</w:t>
      </w:r>
      <w:r w:rsidRPr="002E6ECA">
        <w:rPr>
          <w:sz w:val="28"/>
          <w:szCs w:val="28"/>
          <w:lang w:val="uk-UA"/>
        </w:rPr>
        <w:t> </w:t>
      </w:r>
      <w:r w:rsidRPr="002E6ECA">
        <w:rPr>
          <w:sz w:val="28"/>
          <w:szCs w:val="28"/>
          <w:shd w:val="clear" w:color="auto" w:fill="FFFFFF"/>
          <w:lang w:val="uk-UA"/>
        </w:rPr>
        <w:t>Z.</w:t>
      </w:r>
      <w:r w:rsidRPr="002E6ECA">
        <w:rPr>
          <w:sz w:val="28"/>
          <w:szCs w:val="28"/>
          <w:lang w:val="uk-UA"/>
        </w:rPr>
        <w:t> </w:t>
      </w:r>
      <w:r w:rsidRPr="002E6ECA">
        <w:rPr>
          <w:sz w:val="28"/>
          <w:szCs w:val="28"/>
          <w:shd w:val="clear" w:color="auto" w:fill="FFFFFF"/>
          <w:lang w:val="uk-UA"/>
        </w:rPr>
        <w:t>V., Holubnicha</w:t>
      </w:r>
      <w:r w:rsidRPr="002E6ECA">
        <w:rPr>
          <w:sz w:val="28"/>
          <w:szCs w:val="28"/>
          <w:lang w:val="uk-UA"/>
        </w:rPr>
        <w:t> </w:t>
      </w:r>
      <w:r w:rsidRPr="002E6ECA">
        <w:rPr>
          <w:sz w:val="28"/>
          <w:szCs w:val="28"/>
          <w:shd w:val="clear" w:color="auto" w:fill="FFFFFF"/>
          <w:lang w:val="uk-UA"/>
        </w:rPr>
        <w:t>H.</w:t>
      </w:r>
      <w:r w:rsidRPr="002E6ECA">
        <w:rPr>
          <w:sz w:val="28"/>
          <w:szCs w:val="28"/>
          <w:lang w:val="uk-UA"/>
        </w:rPr>
        <w:t> </w:t>
      </w:r>
      <w:r w:rsidRPr="002E6ECA">
        <w:rPr>
          <w:sz w:val="28"/>
          <w:szCs w:val="28"/>
          <w:shd w:val="clear" w:color="auto" w:fill="FFFFFF"/>
          <w:lang w:val="uk-UA"/>
        </w:rPr>
        <w:t xml:space="preserve">I. Quality of life of pupils primary school – indicator their social well-being. Public Health Forum. </w:t>
      </w:r>
      <w:r w:rsidRPr="002E6ECA">
        <w:rPr>
          <w:iCs/>
          <w:sz w:val="28"/>
          <w:szCs w:val="28"/>
          <w:lang w:val="uk-UA"/>
        </w:rPr>
        <w:t>Journal of Polish Society of Public Health</w:t>
      </w:r>
      <w:r w:rsidRPr="002E6ECA">
        <w:rPr>
          <w:sz w:val="28"/>
          <w:szCs w:val="28"/>
          <w:shd w:val="clear" w:color="auto" w:fill="FFFFFF"/>
          <w:lang w:val="uk-UA"/>
        </w:rPr>
        <w:t xml:space="preserve"> Forum. </w:t>
      </w:r>
      <w:r w:rsidRPr="002E6ECA">
        <w:rPr>
          <w:iCs/>
          <w:sz w:val="28"/>
          <w:szCs w:val="28"/>
          <w:lang w:val="uk-UA"/>
        </w:rPr>
        <w:t>Czasopismo Polskiego Towarzystwa Zdrowia Publicznego</w:t>
      </w:r>
      <w:r w:rsidRPr="002E6ECA">
        <w:rPr>
          <w:sz w:val="28"/>
          <w:szCs w:val="28"/>
          <w:lang w:val="uk-UA"/>
        </w:rPr>
        <w:t>, Wroclaw, 22</w:t>
      </w:r>
      <w:r w:rsidRPr="002E6ECA">
        <w:rPr>
          <w:sz w:val="28"/>
          <w:szCs w:val="28"/>
          <w:lang w:val="en-US"/>
        </w:rPr>
        <w:t>d</w:t>
      </w:r>
      <w:r w:rsidRPr="002E6ECA">
        <w:rPr>
          <w:sz w:val="28"/>
          <w:szCs w:val="28"/>
          <w:lang w:val="uk-UA"/>
        </w:rPr>
        <w:t xml:space="preserve">-23th November 2018 Wroclaw, 2018. Р. 199.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Багаторічна динаміка антропометричних показників фізичного розвитку школярів м. Харкова. </w:t>
      </w:r>
      <w:r w:rsidRPr="002E6ECA">
        <w:rPr>
          <w:bCs/>
          <w:i/>
          <w:sz w:val="28"/>
          <w:szCs w:val="28"/>
          <w:lang w:val="uk-UA"/>
        </w:rPr>
        <w:t xml:space="preserve">Актуальні питання фізіології, патології та організації медичного забезпечення дітей шкільного віку та підлітків. Прогнозування формування хронічної соматичної патології : </w:t>
      </w:r>
      <w:r w:rsidRPr="002E6ECA">
        <w:rPr>
          <w:sz w:val="28"/>
          <w:szCs w:val="28"/>
          <w:lang w:val="uk-UA"/>
        </w:rPr>
        <w:t xml:space="preserve">науково-практична конференція з міжнародною участю, м. Харків, 14-15 листопада 2019 Харків, 2019. № 2. С. 83-84.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Кривонос К. А. Гігієнічний моніторинг атмосферного повітря як фактор забезпечення санітарно-епідемічного </w:t>
      </w:r>
      <w:r w:rsidRPr="002E6ECA">
        <w:rPr>
          <w:spacing w:val="-2"/>
          <w:sz w:val="28"/>
          <w:szCs w:val="28"/>
          <w:lang w:val="uk-UA"/>
        </w:rPr>
        <w:t xml:space="preserve">благополуччя та техногенно-екологічної безпеки дитячого населення мегаполісу. </w:t>
      </w:r>
      <w:r w:rsidRPr="002E6ECA">
        <w:rPr>
          <w:i/>
          <w:spacing w:val="-2"/>
          <w:sz w:val="28"/>
          <w:szCs w:val="28"/>
          <w:lang w:val="uk-UA"/>
        </w:rPr>
        <w:t>Проблеми техногенно-екологічної безпеки: освіта, наука, практика:</w:t>
      </w:r>
      <w:r w:rsidRPr="002E6ECA">
        <w:rPr>
          <w:spacing w:val="-2"/>
          <w:sz w:val="28"/>
          <w:szCs w:val="28"/>
          <w:lang w:val="uk-UA"/>
        </w:rPr>
        <w:t xml:space="preserve"> міжнародна науково-практична конференція</w:t>
      </w:r>
      <w:r w:rsidRPr="002E6ECA">
        <w:rPr>
          <w:sz w:val="28"/>
          <w:szCs w:val="28"/>
          <w:lang w:val="uk-UA"/>
        </w:rPr>
        <w:t xml:space="preserve">, м. Харків: НУЦЗУ, 21-22 листопада 2019 Харків, 2019. С. 254-255.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Sotnikova-Meleshkina Zh. V., Avdiievska O. H., Dudnik I. V. Formation of eating behavior of student youth as a factor in the prevention of noncommunicable diseases. Public Health Forum. Journal of Polish Society of Public Health Forum. Czasopismo Polskiego Towarzystwa Zdrowia Publicznego</w:t>
      </w:r>
      <w:r w:rsidRPr="002E6ECA">
        <w:rPr>
          <w:i/>
          <w:sz w:val="28"/>
          <w:szCs w:val="28"/>
          <w:lang w:val="uk-UA"/>
        </w:rPr>
        <w:t xml:space="preserve">, </w:t>
      </w:r>
      <w:r w:rsidRPr="002E6ECA">
        <w:rPr>
          <w:sz w:val="28"/>
          <w:szCs w:val="28"/>
          <w:lang w:val="uk-UA"/>
        </w:rPr>
        <w:t xml:space="preserve">Wroclaw, 28th-29th November 2019 Wroclaw, 2019. Р. 93.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eastAsia="uk-UA"/>
        </w:rPr>
        <w:t>Авдієвська</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 xml:space="preserve">Г., </w:t>
      </w:r>
      <w:r w:rsidRPr="002E6ECA">
        <w:rPr>
          <w:sz w:val="28"/>
          <w:szCs w:val="28"/>
          <w:lang w:val="uk-UA"/>
        </w:rPr>
        <w:t xml:space="preserve">Даниленко Г. М., Сотнікова-Мелешкіна Ж. В., Подрігало Л. В. Вплив родини на формування свідомого ставлення підлітків до власного здоров’я. </w:t>
      </w:r>
      <w:r w:rsidRPr="002E6ECA">
        <w:rPr>
          <w:i/>
          <w:sz w:val="28"/>
          <w:szCs w:val="28"/>
          <w:lang w:val="uk-UA"/>
        </w:rPr>
        <w:t xml:space="preserve">Громадське здоров’я в Україні - сучасні виклики і </w:t>
      </w:r>
      <w:r w:rsidRPr="002E6ECA">
        <w:rPr>
          <w:i/>
          <w:sz w:val="28"/>
          <w:szCs w:val="28"/>
          <w:lang w:val="uk-UA"/>
        </w:rPr>
        <w:lastRenderedPageBreak/>
        <w:t xml:space="preserve">перспективи розвитку : </w:t>
      </w:r>
      <w:r w:rsidRPr="002E6ECA">
        <w:rPr>
          <w:sz w:val="28"/>
          <w:szCs w:val="28"/>
          <w:lang w:val="uk-UA"/>
        </w:rPr>
        <w:t xml:space="preserve">міжнародна конференція з громадського здоров’я, м. Суми, 23-24 квітня 2020 р. Суми, 2020 (формат проведення: заочна on-line конференція). С. 1058-1059.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Даниленко Г. М., Сотнікова-Мелешкіна Ж. В., Кіндрук М. О. Розумова працездатність учнів середньої школи в умовах інтенсифікації освітнього процесу</w:t>
      </w:r>
      <w:r w:rsidRPr="002E6ECA">
        <w:rPr>
          <w:i/>
          <w:sz w:val="28"/>
          <w:szCs w:val="28"/>
          <w:lang w:val="uk-UA"/>
        </w:rPr>
        <w:t xml:space="preserve">. Актуальні проблеми громадського здоров’я : </w:t>
      </w:r>
      <w:r w:rsidRPr="002E6ECA">
        <w:rPr>
          <w:sz w:val="28"/>
          <w:szCs w:val="28"/>
          <w:lang w:val="uk-UA"/>
        </w:rPr>
        <w:t>Х Всеукраїнська конференція з міжнародною участю «Освіта і здоров’я</w:t>
      </w:r>
      <w:r w:rsidRPr="002E6ECA">
        <w:rPr>
          <w:spacing w:val="-2"/>
          <w:sz w:val="28"/>
          <w:szCs w:val="28"/>
          <w:lang w:val="uk-UA"/>
        </w:rPr>
        <w:t>», м. Суми</w:t>
      </w:r>
      <w:r w:rsidRPr="002E6ECA">
        <w:rPr>
          <w:sz w:val="28"/>
          <w:szCs w:val="28"/>
          <w:lang w:val="uk-UA"/>
        </w:rPr>
        <w:t xml:space="preserve">, 7-8 квітня 2020 р. Суми, 2020. С. 89-90.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Островська Г. Є. Порівняльна характеристика показників якості життя учнів початкової школи за різних систем навчання. </w:t>
      </w:r>
      <w:r w:rsidRPr="002E6ECA">
        <w:rPr>
          <w:i/>
          <w:sz w:val="28"/>
          <w:szCs w:val="28"/>
          <w:lang w:val="uk-UA"/>
        </w:rPr>
        <w:t xml:space="preserve">Актуальні проблеми громадського здоров’я : </w:t>
      </w:r>
      <w:r w:rsidRPr="002E6ECA">
        <w:rPr>
          <w:sz w:val="28"/>
          <w:szCs w:val="28"/>
          <w:lang w:val="uk-UA"/>
        </w:rPr>
        <w:t>Х Всеукраїнська конференція з міжнародною участю «Освіта і здоров’я</w:t>
      </w:r>
      <w:r w:rsidRPr="002E6ECA">
        <w:rPr>
          <w:spacing w:val="-2"/>
          <w:sz w:val="28"/>
          <w:szCs w:val="28"/>
          <w:lang w:val="uk-UA"/>
        </w:rPr>
        <w:t>», м. Суми</w:t>
      </w:r>
      <w:r w:rsidRPr="002E6ECA">
        <w:rPr>
          <w:sz w:val="28"/>
          <w:szCs w:val="28"/>
          <w:lang w:val="uk-UA"/>
        </w:rPr>
        <w:t xml:space="preserve">, 7-8 квітня 2020 р. Суми, 2020. С. 149-151.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Вплив інтенсивного зорового навантаження під час дистанційного навчання на якість життя, що пов’язана зі здоров’ям учнів базової школи. </w:t>
      </w:r>
      <w:r w:rsidRPr="002E6ECA">
        <w:rPr>
          <w:i/>
          <w:sz w:val="28"/>
          <w:szCs w:val="28"/>
          <w:lang w:val="uk-UA"/>
        </w:rPr>
        <w:t xml:space="preserve">Фізичні фактори довкілля і їх вплив на формування здоров’я населення України </w:t>
      </w:r>
      <w:r w:rsidRPr="002E6ECA">
        <w:rPr>
          <w:sz w:val="28"/>
          <w:szCs w:val="28"/>
          <w:lang w:val="uk-UA"/>
        </w:rPr>
        <w:t xml:space="preserve">: шістнадцяті Марзєєвські читання, м. Київ, 12-13 листопада 2020 р. Київ, 2020. С. 192-194.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eastAsia="uk-UA"/>
        </w:rPr>
        <w:t>Даниленко</w:t>
      </w:r>
      <w:r w:rsidRPr="002E6ECA">
        <w:rPr>
          <w:sz w:val="28"/>
          <w:szCs w:val="28"/>
          <w:lang w:val="uk-UA"/>
        </w:rPr>
        <w:t> </w:t>
      </w:r>
      <w:r w:rsidRPr="002E6ECA">
        <w:rPr>
          <w:sz w:val="28"/>
          <w:szCs w:val="28"/>
          <w:lang w:val="uk-UA" w:eastAsia="uk-UA"/>
        </w:rPr>
        <w:t>Г.</w:t>
      </w:r>
      <w:r w:rsidRPr="002E6ECA">
        <w:rPr>
          <w:sz w:val="28"/>
          <w:szCs w:val="28"/>
          <w:lang w:val="uk-UA"/>
        </w:rPr>
        <w:t> </w:t>
      </w:r>
      <w:r w:rsidRPr="002E6ECA">
        <w:rPr>
          <w:sz w:val="28"/>
          <w:szCs w:val="28"/>
          <w:lang w:val="uk-UA" w:eastAsia="uk-UA"/>
        </w:rPr>
        <w:t>М., 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 xml:space="preserve">В. </w:t>
      </w:r>
      <w:r w:rsidRPr="002E6ECA">
        <w:rPr>
          <w:sz w:val="28"/>
          <w:szCs w:val="28"/>
          <w:lang w:val="uk-UA"/>
        </w:rPr>
        <w:t xml:space="preserve">Вплив компонентів режиму дня на суб’єктивну та об’єктивну оцінку здоров’я учнями середнього шкільного віку. </w:t>
      </w:r>
      <w:r w:rsidRPr="002E6ECA">
        <w:rPr>
          <w:bCs/>
          <w:i/>
          <w:sz w:val="28"/>
          <w:szCs w:val="28"/>
          <w:lang w:val="uk-UA"/>
        </w:rPr>
        <w:t xml:space="preserve">Актуальні питання фізіології, патології та організації медичного забезпечення дітей шкільного віку та підлітків : </w:t>
      </w:r>
      <w:r w:rsidRPr="002E6ECA">
        <w:rPr>
          <w:bCs/>
          <w:sz w:val="28"/>
          <w:szCs w:val="28"/>
          <w:lang w:val="uk-UA"/>
        </w:rPr>
        <w:t>науково-практична конференція з міжнародною участю, м. Харків, 17-18 грудня 2020 р. Харків, 2020. С. 73-74.</w:t>
      </w:r>
      <w:r w:rsidRPr="002E6ECA">
        <w:rPr>
          <w:sz w:val="28"/>
          <w:szCs w:val="28"/>
          <w:lang w:val="uk-UA"/>
        </w:rPr>
        <w:t xml:space="preserve">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eastAsia="uk-UA"/>
        </w:rPr>
        <w:t>Сотнікова-Мелешкіна</w:t>
      </w:r>
      <w:r w:rsidRPr="002E6ECA">
        <w:rPr>
          <w:sz w:val="28"/>
          <w:szCs w:val="28"/>
          <w:lang w:val="uk-UA"/>
        </w:rPr>
        <w:t> </w:t>
      </w:r>
      <w:r w:rsidRPr="002E6ECA">
        <w:rPr>
          <w:sz w:val="28"/>
          <w:szCs w:val="28"/>
          <w:lang w:val="uk-UA" w:eastAsia="uk-UA"/>
        </w:rPr>
        <w:t>Ж</w:t>
      </w:r>
      <w:r w:rsidRPr="002E6ECA">
        <w:rPr>
          <w:spacing w:val="-4"/>
          <w:sz w:val="28"/>
          <w:szCs w:val="28"/>
          <w:lang w:val="uk-UA" w:eastAsia="uk-UA"/>
        </w:rPr>
        <w:t>.</w:t>
      </w:r>
      <w:r w:rsidRPr="002E6ECA">
        <w:rPr>
          <w:sz w:val="28"/>
          <w:szCs w:val="28"/>
          <w:lang w:val="uk-UA"/>
        </w:rPr>
        <w:t> </w:t>
      </w:r>
      <w:r w:rsidRPr="002E6ECA">
        <w:rPr>
          <w:spacing w:val="-4"/>
          <w:sz w:val="28"/>
          <w:szCs w:val="28"/>
          <w:lang w:val="uk-UA" w:eastAsia="uk-UA"/>
        </w:rPr>
        <w:t>В., Даниленко</w:t>
      </w:r>
      <w:r w:rsidRPr="002E6ECA">
        <w:rPr>
          <w:sz w:val="28"/>
          <w:szCs w:val="28"/>
          <w:lang w:val="uk-UA"/>
        </w:rPr>
        <w:t> </w:t>
      </w:r>
      <w:r w:rsidRPr="002E6ECA">
        <w:rPr>
          <w:spacing w:val="-4"/>
          <w:sz w:val="28"/>
          <w:szCs w:val="28"/>
          <w:lang w:val="uk-UA" w:eastAsia="uk-UA"/>
        </w:rPr>
        <w:t>Г.</w:t>
      </w:r>
      <w:r w:rsidRPr="002E6ECA">
        <w:rPr>
          <w:sz w:val="28"/>
          <w:szCs w:val="28"/>
          <w:lang w:val="uk-UA"/>
        </w:rPr>
        <w:t> </w:t>
      </w:r>
      <w:r w:rsidRPr="002E6ECA">
        <w:rPr>
          <w:spacing w:val="-4"/>
          <w:sz w:val="28"/>
          <w:szCs w:val="28"/>
          <w:lang w:val="uk-UA" w:eastAsia="uk-UA"/>
        </w:rPr>
        <w:t>М.,</w:t>
      </w:r>
      <w:r w:rsidRPr="002E6ECA">
        <w:rPr>
          <w:spacing w:val="-4"/>
          <w:sz w:val="28"/>
          <w:szCs w:val="28"/>
          <w:vertAlign w:val="superscript"/>
          <w:lang w:val="uk-UA" w:eastAsia="uk-UA"/>
        </w:rPr>
        <w:t xml:space="preserve"> </w:t>
      </w:r>
      <w:r w:rsidRPr="002E6ECA">
        <w:rPr>
          <w:spacing w:val="-4"/>
          <w:sz w:val="28"/>
          <w:szCs w:val="28"/>
          <w:lang w:val="uk-UA" w:eastAsia="uk-UA"/>
        </w:rPr>
        <w:t>Авдієвська</w:t>
      </w:r>
      <w:r w:rsidRPr="002E6ECA">
        <w:rPr>
          <w:sz w:val="28"/>
          <w:szCs w:val="28"/>
          <w:lang w:val="uk-UA"/>
        </w:rPr>
        <w:t> </w:t>
      </w:r>
      <w:r w:rsidRPr="002E6ECA">
        <w:rPr>
          <w:spacing w:val="-4"/>
          <w:sz w:val="28"/>
          <w:szCs w:val="28"/>
          <w:lang w:val="uk-UA" w:eastAsia="uk-UA"/>
        </w:rPr>
        <w:t>О.</w:t>
      </w:r>
      <w:r w:rsidRPr="002E6ECA">
        <w:rPr>
          <w:sz w:val="28"/>
          <w:szCs w:val="28"/>
          <w:lang w:val="uk-UA"/>
        </w:rPr>
        <w:t> </w:t>
      </w:r>
      <w:r w:rsidRPr="002E6ECA">
        <w:rPr>
          <w:spacing w:val="-4"/>
          <w:sz w:val="28"/>
          <w:szCs w:val="28"/>
          <w:lang w:val="uk-UA" w:eastAsia="uk-UA"/>
        </w:rPr>
        <w:t xml:space="preserve">Г. Вплив освітнього середовища на вибір групи харчових продуктів. </w:t>
      </w:r>
      <w:r w:rsidRPr="002E6ECA">
        <w:rPr>
          <w:i/>
          <w:spacing w:val="-4"/>
          <w:sz w:val="28"/>
          <w:szCs w:val="28"/>
          <w:lang w:val="uk-UA"/>
        </w:rPr>
        <w:t xml:space="preserve">Харчові добавки. Харчування здорової та хворої людини : </w:t>
      </w:r>
      <w:r w:rsidRPr="002E6ECA">
        <w:rPr>
          <w:spacing w:val="-4"/>
          <w:sz w:val="28"/>
          <w:szCs w:val="28"/>
          <w:lang w:val="uk-UA"/>
        </w:rPr>
        <w:t xml:space="preserve">ІХ Міжнародна науково-практична конференція, м. Кривий Ріг, 23 листопада 2020 р. Кривий Ріг, 2020. С. 152-153.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rStyle w:val="tlid-translation"/>
          <w:sz w:val="28"/>
          <w:szCs w:val="28"/>
          <w:lang w:val="uk-UA"/>
        </w:rPr>
        <w:lastRenderedPageBreak/>
        <w:t>Даниленко</w:t>
      </w:r>
      <w:r w:rsidRPr="002E6ECA">
        <w:rPr>
          <w:sz w:val="28"/>
          <w:szCs w:val="28"/>
          <w:lang w:val="uk-UA"/>
        </w:rPr>
        <w:t> </w:t>
      </w:r>
      <w:r w:rsidRPr="002E6ECA">
        <w:rPr>
          <w:rStyle w:val="tlid-translation"/>
          <w:sz w:val="28"/>
          <w:szCs w:val="28"/>
          <w:lang w:val="uk-UA"/>
        </w:rPr>
        <w:t>Г.</w:t>
      </w:r>
      <w:r w:rsidRPr="002E6ECA">
        <w:rPr>
          <w:sz w:val="28"/>
          <w:szCs w:val="28"/>
          <w:lang w:val="uk-UA"/>
        </w:rPr>
        <w:t> </w:t>
      </w:r>
      <w:r w:rsidRPr="002E6ECA">
        <w:rPr>
          <w:rStyle w:val="tlid-translation"/>
          <w:sz w:val="28"/>
          <w:szCs w:val="28"/>
          <w:lang w:val="uk-UA"/>
        </w:rPr>
        <w:t>М., Сотнікова-Мелешкіна</w:t>
      </w:r>
      <w:r w:rsidRPr="002E6ECA">
        <w:rPr>
          <w:sz w:val="28"/>
          <w:szCs w:val="28"/>
          <w:lang w:val="uk-UA"/>
        </w:rPr>
        <w:t> </w:t>
      </w:r>
      <w:r w:rsidRPr="002E6ECA">
        <w:rPr>
          <w:rStyle w:val="tlid-translation"/>
          <w:sz w:val="28"/>
          <w:szCs w:val="28"/>
          <w:lang w:val="uk-UA"/>
        </w:rPr>
        <w:t>Ж.</w:t>
      </w:r>
      <w:r w:rsidRPr="002E6ECA">
        <w:rPr>
          <w:sz w:val="28"/>
          <w:szCs w:val="28"/>
          <w:lang w:val="uk-UA"/>
        </w:rPr>
        <w:t> </w:t>
      </w:r>
      <w:r w:rsidRPr="002E6ECA">
        <w:rPr>
          <w:rStyle w:val="tlid-translation"/>
          <w:sz w:val="28"/>
          <w:szCs w:val="28"/>
          <w:lang w:val="uk-UA"/>
        </w:rPr>
        <w:t>В., Романова</w:t>
      </w:r>
      <w:r w:rsidRPr="002E6ECA">
        <w:rPr>
          <w:sz w:val="28"/>
          <w:szCs w:val="28"/>
          <w:lang w:val="uk-UA"/>
        </w:rPr>
        <w:t> </w:t>
      </w:r>
      <w:r w:rsidRPr="002E6ECA">
        <w:rPr>
          <w:rStyle w:val="tlid-translation"/>
          <w:sz w:val="28"/>
          <w:szCs w:val="28"/>
          <w:lang w:val="uk-UA"/>
        </w:rPr>
        <w:t>Н.</w:t>
      </w:r>
      <w:r w:rsidRPr="002E6ECA">
        <w:rPr>
          <w:sz w:val="28"/>
          <w:szCs w:val="28"/>
          <w:lang w:val="uk-UA"/>
        </w:rPr>
        <w:t> </w:t>
      </w:r>
      <w:r w:rsidRPr="002E6ECA">
        <w:rPr>
          <w:rStyle w:val="tlid-translation"/>
          <w:sz w:val="28"/>
          <w:szCs w:val="28"/>
          <w:lang w:val="uk-UA"/>
        </w:rPr>
        <w:t>Г.</w:t>
      </w:r>
      <w:r w:rsidRPr="002E6ECA">
        <w:rPr>
          <w:sz w:val="28"/>
          <w:szCs w:val="28"/>
          <w:lang w:val="uk-UA" w:eastAsia="uk-UA"/>
        </w:rPr>
        <w:t xml:space="preserve"> Формування навичок здорового способу життя у школярів із різним ставленням до освітнього закладу</w:t>
      </w:r>
      <w:r w:rsidRPr="002E6ECA">
        <w:rPr>
          <w:i/>
          <w:sz w:val="28"/>
          <w:szCs w:val="28"/>
          <w:lang w:val="uk-UA" w:eastAsia="uk-UA"/>
        </w:rPr>
        <w:t xml:space="preserve">. </w:t>
      </w:r>
      <w:r w:rsidRPr="002E6ECA">
        <w:rPr>
          <w:i/>
          <w:sz w:val="28"/>
          <w:szCs w:val="28"/>
          <w:lang w:val="uk-UA"/>
        </w:rPr>
        <w:t xml:space="preserve">Громадське здоров’я в Україні: проблеми та способи їх вирішення : </w:t>
      </w:r>
      <w:r w:rsidRPr="002E6ECA">
        <w:rPr>
          <w:sz w:val="28"/>
          <w:szCs w:val="28"/>
          <w:lang w:val="uk-UA"/>
        </w:rPr>
        <w:t xml:space="preserve">ІІІ науково-практична конференція з міжнародною участю, м. Харків, 05 листопада 2020 р. Харків, 2020. С. 22-23.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Зінчук О. Г. Характеристика фізичного розвитку за даними біоімпедансометрії. </w:t>
      </w:r>
      <w:r w:rsidRPr="002E6ECA">
        <w:rPr>
          <w:i/>
          <w:sz w:val="28"/>
          <w:szCs w:val="28"/>
          <w:lang w:val="uk-UA"/>
        </w:rPr>
        <w:t>Сучасні тенденції у медичних та фармацевтичних науках :</w:t>
      </w:r>
      <w:r w:rsidRPr="002E6ECA">
        <w:rPr>
          <w:sz w:val="28"/>
          <w:szCs w:val="28"/>
          <w:lang w:val="uk-UA"/>
        </w:rPr>
        <w:t xml:space="preserve"> міжнародна науково-практична конференція, м. Київ, 4-5 грудня 2020 р. Київ, 2020. С. 90-92. </w:t>
      </w:r>
    </w:p>
    <w:p w:rsidR="00A110CD" w:rsidRPr="002E6ECA" w:rsidRDefault="00A110CD" w:rsidP="00A110CD">
      <w:pPr>
        <w:tabs>
          <w:tab w:val="left" w:pos="993"/>
        </w:tabs>
        <w:spacing w:line="360" w:lineRule="auto"/>
        <w:ind w:firstLine="709"/>
        <w:jc w:val="both"/>
        <w:rPr>
          <w:bCs/>
          <w:i/>
          <w:sz w:val="28"/>
          <w:szCs w:val="28"/>
        </w:rPr>
      </w:pPr>
    </w:p>
    <w:p w:rsidR="00A110CD" w:rsidRPr="002E6ECA" w:rsidRDefault="00A110CD" w:rsidP="00A110CD">
      <w:pPr>
        <w:tabs>
          <w:tab w:val="left" w:pos="993"/>
        </w:tabs>
        <w:spacing w:line="360" w:lineRule="auto"/>
        <w:ind w:firstLine="709"/>
        <w:rPr>
          <w:b/>
          <w:i/>
          <w:sz w:val="28"/>
          <w:szCs w:val="28"/>
        </w:rPr>
      </w:pPr>
      <w:r w:rsidRPr="002E6ECA">
        <w:rPr>
          <w:bCs/>
          <w:i/>
          <w:sz w:val="28"/>
          <w:szCs w:val="28"/>
        </w:rPr>
        <w:t>Наукові праці</w:t>
      </w:r>
      <w:r w:rsidRPr="002E6ECA">
        <w:rPr>
          <w:i/>
          <w:sz w:val="28"/>
          <w:szCs w:val="28"/>
        </w:rPr>
        <w:t>, які додатково відображають результати дослідження</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Міхановська Н. Г., Сотнікова-Мелешкіна Ж. В., Голубнича Г. І. Комплексний підхід щодо визначення психофізіологічної складової шкільної дезадаптації у молодших школярів за різних систем освіти. </w:t>
      </w:r>
      <w:r w:rsidRPr="002E6ECA">
        <w:rPr>
          <w:i/>
          <w:sz w:val="28"/>
          <w:szCs w:val="28"/>
          <w:lang w:val="uk-UA"/>
        </w:rPr>
        <w:t>East European Scientific Journal</w:t>
      </w:r>
      <w:r w:rsidRPr="002E6ECA">
        <w:rPr>
          <w:sz w:val="28"/>
          <w:szCs w:val="28"/>
          <w:lang w:val="uk-UA"/>
        </w:rPr>
        <w:t xml:space="preserve">. 2019. № 6 (46). Ч. 2. С. 16-22. </w:t>
      </w:r>
    </w:p>
    <w:p w:rsidR="00A110CD" w:rsidRPr="002E6ECA" w:rsidRDefault="00A110CD" w:rsidP="00A110CD">
      <w:pPr>
        <w:pStyle w:val="a3"/>
        <w:numPr>
          <w:ilvl w:val="0"/>
          <w:numId w:val="45"/>
        </w:numPr>
        <w:tabs>
          <w:tab w:val="left" w:pos="993"/>
        </w:tabs>
        <w:spacing w:line="360" w:lineRule="auto"/>
        <w:ind w:left="0" w:firstLine="709"/>
        <w:jc w:val="both"/>
        <w:rPr>
          <w:rStyle w:val="aa"/>
          <w:i w:val="0"/>
          <w:iCs w:val="0"/>
          <w:sz w:val="28"/>
          <w:szCs w:val="28"/>
          <w:lang w:val="uk-UA"/>
        </w:rPr>
      </w:pPr>
      <w:r w:rsidRPr="002E6ECA">
        <w:rPr>
          <w:sz w:val="28"/>
          <w:szCs w:val="28"/>
          <w:lang w:val="uk-UA"/>
        </w:rPr>
        <w:t xml:space="preserve">Сотнікова-Мелешкіна Ж. В. Актуальні питання медичного супроводу інноваційних науково-педагогічних проєктів. </w:t>
      </w:r>
      <w:r w:rsidRPr="002E6ECA">
        <w:rPr>
          <w:i/>
          <w:sz w:val="28"/>
          <w:szCs w:val="28"/>
          <w:lang w:val="uk-UA" w:eastAsia="uk-UA"/>
        </w:rPr>
        <w:t>Український журнал медицини, біології та спорту</w:t>
      </w:r>
      <w:r w:rsidRPr="002E6ECA">
        <w:rPr>
          <w:sz w:val="28"/>
          <w:szCs w:val="28"/>
          <w:lang w:val="uk-UA" w:eastAsia="uk-UA"/>
        </w:rPr>
        <w:t xml:space="preserve">. </w:t>
      </w:r>
      <w:r w:rsidRPr="002E6ECA">
        <w:rPr>
          <w:rStyle w:val="HTML1"/>
          <w:sz w:val="28"/>
          <w:szCs w:val="28"/>
          <w:lang w:val="uk-UA"/>
        </w:rPr>
        <w:t xml:space="preserve">2020. № 5 (6). С. 51-58. </w:t>
      </w:r>
      <w:r w:rsidRPr="002E6ECA">
        <w:rPr>
          <w:bCs/>
          <w:sz w:val="28"/>
          <w:szCs w:val="28"/>
          <w:lang w:val="uk-UA"/>
        </w:rPr>
        <w:t xml:space="preserve">DOI: </w:t>
      </w:r>
      <w:r w:rsidRPr="002E6ECA">
        <w:rPr>
          <w:sz w:val="28"/>
          <w:szCs w:val="28"/>
          <w:lang w:val="uk-UA"/>
        </w:rPr>
        <w:t>https://doi.org/10.26693/jmbs05.06.051.</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Сотнікова-Мелешкіна </w:t>
      </w:r>
      <w:r w:rsidRPr="002E6ECA">
        <w:rPr>
          <w:spacing w:val="-6"/>
          <w:sz w:val="28"/>
          <w:szCs w:val="28"/>
          <w:lang w:val="uk-UA"/>
        </w:rPr>
        <w:t>Ж.</w:t>
      </w:r>
      <w:r w:rsidRPr="002E6ECA">
        <w:rPr>
          <w:sz w:val="28"/>
          <w:szCs w:val="28"/>
          <w:lang w:val="uk-UA"/>
        </w:rPr>
        <w:t> </w:t>
      </w:r>
      <w:r w:rsidRPr="002E6ECA">
        <w:rPr>
          <w:spacing w:val="-6"/>
          <w:sz w:val="28"/>
          <w:szCs w:val="28"/>
          <w:lang w:val="uk-UA"/>
        </w:rPr>
        <w:t>В</w:t>
      </w:r>
      <w:r w:rsidRPr="002E6ECA">
        <w:rPr>
          <w:sz w:val="28"/>
          <w:szCs w:val="28"/>
          <w:lang w:val="uk-UA"/>
        </w:rPr>
        <w:t>., Кривонос </w:t>
      </w:r>
      <w:r w:rsidRPr="002E6ECA">
        <w:rPr>
          <w:spacing w:val="-6"/>
          <w:sz w:val="28"/>
          <w:szCs w:val="28"/>
          <w:lang w:val="uk-UA"/>
        </w:rPr>
        <w:t>К.</w:t>
      </w:r>
      <w:r w:rsidRPr="002E6ECA">
        <w:rPr>
          <w:sz w:val="28"/>
          <w:szCs w:val="28"/>
          <w:lang w:val="uk-UA"/>
        </w:rPr>
        <w:t> </w:t>
      </w:r>
      <w:r w:rsidRPr="002E6ECA">
        <w:rPr>
          <w:spacing w:val="-6"/>
          <w:sz w:val="28"/>
          <w:szCs w:val="28"/>
          <w:lang w:val="uk-UA"/>
        </w:rPr>
        <w:t>А</w:t>
      </w:r>
      <w:r w:rsidRPr="002E6ECA">
        <w:rPr>
          <w:sz w:val="28"/>
          <w:szCs w:val="28"/>
          <w:lang w:val="uk-UA"/>
        </w:rPr>
        <w:t>., Деліч </w:t>
      </w:r>
      <w:r w:rsidRPr="002E6ECA">
        <w:rPr>
          <w:spacing w:val="-6"/>
          <w:sz w:val="28"/>
          <w:szCs w:val="28"/>
          <w:lang w:val="uk-UA"/>
        </w:rPr>
        <w:t>О.</w:t>
      </w:r>
      <w:r w:rsidRPr="002E6ECA">
        <w:rPr>
          <w:sz w:val="28"/>
          <w:szCs w:val="28"/>
          <w:lang w:val="uk-UA"/>
        </w:rPr>
        <w:t> </w:t>
      </w:r>
      <w:r w:rsidRPr="002E6ECA">
        <w:rPr>
          <w:spacing w:val="-6"/>
          <w:sz w:val="28"/>
          <w:szCs w:val="28"/>
          <w:lang w:val="uk-UA"/>
        </w:rPr>
        <w:t>Б.,</w:t>
      </w:r>
      <w:r w:rsidRPr="002E6ECA">
        <w:rPr>
          <w:sz w:val="28"/>
          <w:szCs w:val="28"/>
          <w:lang w:val="uk-UA"/>
        </w:rPr>
        <w:t xml:space="preserve"> </w:t>
      </w:r>
      <w:r w:rsidRPr="002E6ECA">
        <w:rPr>
          <w:spacing w:val="-6"/>
          <w:sz w:val="28"/>
          <w:szCs w:val="28"/>
          <w:lang w:val="uk-UA"/>
        </w:rPr>
        <w:t>Харченко</w:t>
      </w:r>
      <w:r w:rsidRPr="002E6ECA">
        <w:rPr>
          <w:sz w:val="28"/>
          <w:szCs w:val="28"/>
          <w:lang w:val="uk-UA"/>
        </w:rPr>
        <w:t> </w:t>
      </w:r>
      <w:r w:rsidRPr="002E6ECA">
        <w:rPr>
          <w:spacing w:val="-6"/>
          <w:sz w:val="28"/>
          <w:szCs w:val="28"/>
          <w:lang w:val="uk-UA"/>
        </w:rPr>
        <w:t>Л.</w:t>
      </w:r>
      <w:r w:rsidRPr="002E6ECA">
        <w:rPr>
          <w:sz w:val="28"/>
          <w:szCs w:val="28"/>
          <w:lang w:val="uk-UA"/>
        </w:rPr>
        <w:t> </w:t>
      </w:r>
      <w:r w:rsidRPr="002E6ECA">
        <w:rPr>
          <w:spacing w:val="-6"/>
          <w:sz w:val="28"/>
          <w:szCs w:val="28"/>
          <w:lang w:val="uk-UA"/>
        </w:rPr>
        <w:t xml:space="preserve">В., </w:t>
      </w:r>
      <w:r w:rsidRPr="002E6ECA">
        <w:rPr>
          <w:sz w:val="28"/>
          <w:szCs w:val="28"/>
          <w:lang w:val="uk-UA"/>
        </w:rPr>
        <w:t xml:space="preserve">Калініна Н. В. Сучасні аспекти організації гігієнічного моніторингу атмосферного повітря як фактор забезпечення санітарно-епідемічного благополуччя дитячого населення мегаполісу. </w:t>
      </w:r>
      <w:r w:rsidRPr="002E6ECA">
        <w:rPr>
          <w:i/>
          <w:sz w:val="28"/>
          <w:szCs w:val="28"/>
          <w:lang w:val="uk-UA"/>
        </w:rPr>
        <w:t>Actual problems of modern</w:t>
      </w:r>
      <w:r w:rsidRPr="002E6ECA">
        <w:rPr>
          <w:i/>
          <w:sz w:val="28"/>
          <w:szCs w:val="28"/>
          <w:lang w:val="uk-UA" w:eastAsia="uk-UA"/>
        </w:rPr>
        <w:t xml:space="preserve"> </w:t>
      </w:r>
      <w:r w:rsidRPr="002E6ECA">
        <w:rPr>
          <w:i/>
          <w:sz w:val="28"/>
          <w:szCs w:val="28"/>
          <w:lang w:val="uk-UA"/>
        </w:rPr>
        <w:t>medicine</w:t>
      </w:r>
      <w:r w:rsidRPr="002E6ECA">
        <w:rPr>
          <w:sz w:val="28"/>
          <w:szCs w:val="28"/>
          <w:lang w:val="uk-UA"/>
        </w:rPr>
        <w:t xml:space="preserve">. 2019. № 4. С. 64-72. DOI: 10.26565/2617-409X-2019-4-08. </w:t>
      </w:r>
    </w:p>
    <w:p w:rsidR="0091404F" w:rsidRPr="002E6ECA" w:rsidRDefault="00A110CD" w:rsidP="0091404F">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Лантух І. В. Медико-психологічні аспекти навчання академічно здібних та обдарованих дітей. </w:t>
      </w:r>
      <w:r w:rsidRPr="002E6ECA">
        <w:rPr>
          <w:i/>
          <w:sz w:val="28"/>
          <w:szCs w:val="28"/>
          <w:lang w:val="uk-UA"/>
        </w:rPr>
        <w:t>Психіатрія, неврологія та медична психологія</w:t>
      </w:r>
      <w:r w:rsidRPr="002E6ECA">
        <w:rPr>
          <w:sz w:val="28"/>
          <w:szCs w:val="28"/>
          <w:lang w:val="uk-UA"/>
        </w:rPr>
        <w:t>. 2020. Вип. 15. С. 95-101. DOI: 10.26565/2312-5675-2020-15-11. (</w:t>
      </w:r>
      <w:r w:rsidRPr="002E6ECA">
        <w:rPr>
          <w:bCs/>
          <w:i/>
          <w:iCs/>
          <w:sz w:val="28"/>
          <w:szCs w:val="28"/>
          <w:lang w:val="uk-UA"/>
        </w:rPr>
        <w:t xml:space="preserve">Концепція та дизайн роботи, </w:t>
      </w:r>
      <w:r w:rsidRPr="002E6ECA">
        <w:rPr>
          <w:i/>
          <w:sz w:val="28"/>
          <w:szCs w:val="28"/>
          <w:lang w:val="uk-UA"/>
        </w:rPr>
        <w:t xml:space="preserve">аналіз джерел наукової літератури, </w:t>
      </w:r>
      <w:r w:rsidRPr="002E6ECA">
        <w:rPr>
          <w:bCs/>
          <w:i/>
          <w:iCs/>
          <w:sz w:val="28"/>
          <w:szCs w:val="28"/>
          <w:lang w:val="uk-UA"/>
        </w:rPr>
        <w:t>написання статті).</w:t>
      </w:r>
    </w:p>
    <w:p w:rsidR="0091404F" w:rsidRPr="002E6ECA" w:rsidRDefault="0091404F" w:rsidP="0091404F">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lastRenderedPageBreak/>
        <w:t xml:space="preserve">А.С. 81235 Україна. Спосіб визначення індексу коморбідності навчального процесу / Г.М. Даниленко, Ж.В. Сотнікова-Мелешкіна, В.Г. Нестеренко, М.О. Кіндрук. № 82086; заявл. 18.07.18; зареєстр. 05.09.18, Бюл. № 51. </w:t>
      </w:r>
    </w:p>
    <w:p w:rsidR="0091404F" w:rsidRPr="002E6ECA" w:rsidRDefault="0091404F" w:rsidP="0091404F">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А.С. 99290 Україна. Методика оцінки якості життя, пов'язаної зі здоров'ям у дітей середнього шкільного віку / Г.М. Даниленко, Ж.В. Сотнікова-Мелешкіна, О.О. Щербакова. зареєстр. 31.08.2020, Бюл. № 60. </w:t>
      </w:r>
    </w:p>
    <w:p w:rsidR="0091404F" w:rsidRPr="002E6ECA" w:rsidRDefault="0091404F" w:rsidP="0091404F">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А.С. 101491 Україна. Спосіб автоматизованої оцінки фізичного розвитку дітей (комп’ютерна програма) / Ж.В. Сотнікова-Мелешкіна, А.Г. Платонова, С.В. Острополець. № 103210; заявл. 14.12.20; зареєстр. 28.12.20, Бюл. № 61.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Визначення провідної патології щодо ризику підвищення захворюваності у навчальному колективі: метод. рек. Харків : ДУ ІОЗДП НАМН, 2020. 28 с. </w:t>
      </w:r>
    </w:p>
    <w:p w:rsidR="00A110CD" w:rsidRPr="002E6ECA" w:rsidRDefault="00A110CD" w:rsidP="00A110CD">
      <w:pPr>
        <w:pStyle w:val="a3"/>
        <w:numPr>
          <w:ilvl w:val="0"/>
          <w:numId w:val="4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Міхановська Н. Г., Сотнікова-Мелешкіна Ж. В., Штриголь Д. В., Луценко О. Л., Островська А. Є., Романова Н. Г. Скринінг-оцінка психосоціального функціонування та якості життя, що пов’язана зі здоров’ям у школярів: метод. рек. Харків: ДУ «ІОЗДП НАМН», Харківський національний університет імені В.Н. Каразіна. 2021. 28 с. </w:t>
      </w:r>
    </w:p>
    <w:p w:rsidR="00D30369" w:rsidRPr="002E6ECA" w:rsidRDefault="00D30369" w:rsidP="009A2CF7">
      <w:pPr>
        <w:pStyle w:val="a3"/>
        <w:numPr>
          <w:ilvl w:val="0"/>
          <w:numId w:val="45"/>
        </w:numPr>
        <w:tabs>
          <w:tab w:val="left" w:pos="851"/>
          <w:tab w:val="left" w:pos="993"/>
        </w:tabs>
        <w:spacing w:line="360" w:lineRule="auto"/>
        <w:ind w:left="0" w:firstLine="709"/>
        <w:jc w:val="both"/>
        <w:rPr>
          <w:sz w:val="28"/>
          <w:szCs w:val="28"/>
          <w:lang w:val="uk-UA"/>
        </w:rPr>
      </w:pPr>
      <w:r w:rsidRPr="002E6ECA">
        <w:rPr>
          <w:lang w:val="uk-UA"/>
        </w:rPr>
        <w:br w:type="page"/>
      </w:r>
    </w:p>
    <w:p w:rsidR="006E60D3" w:rsidRPr="002E6ECA" w:rsidRDefault="006E60D3" w:rsidP="006E60D3">
      <w:pPr>
        <w:shd w:val="clear" w:color="auto" w:fill="FFFFFF"/>
        <w:spacing w:line="360" w:lineRule="auto"/>
        <w:ind w:right="1229" w:firstLine="709"/>
        <w:jc w:val="center"/>
        <w:rPr>
          <w:sz w:val="28"/>
          <w:szCs w:val="28"/>
          <w:lang w:val="uk-UA"/>
        </w:rPr>
      </w:pPr>
      <w:r w:rsidRPr="002E6ECA">
        <w:rPr>
          <w:sz w:val="28"/>
          <w:szCs w:val="28"/>
          <w:lang w:val="uk-UA"/>
        </w:rPr>
        <w:lastRenderedPageBreak/>
        <w:t>ЗМІСТ</w:t>
      </w:r>
    </w:p>
    <w:p w:rsidR="00FD79D6" w:rsidRPr="002E6ECA" w:rsidRDefault="00FD79D6" w:rsidP="006E60D3">
      <w:pPr>
        <w:shd w:val="clear" w:color="auto" w:fill="FFFFFF"/>
        <w:spacing w:line="360" w:lineRule="auto"/>
        <w:ind w:right="1229" w:firstLine="709"/>
        <w:jc w:val="center"/>
        <w:rPr>
          <w:sz w:val="28"/>
          <w:szCs w:val="28"/>
          <w:lang w:val="uk-UA"/>
        </w:rPr>
      </w:pPr>
    </w:p>
    <w:tbl>
      <w:tblPr>
        <w:tblW w:w="960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897"/>
        <w:gridCol w:w="708"/>
      </w:tblGrid>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rPr>
              <w:t>ПЕРЕЛІК УМОВНИХ СКОРОЧЕНЬ</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26</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rPr>
              <w:t>ВСТУП</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28</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rPr>
              <w:t xml:space="preserve">РОЗДІЛ 1. </w:t>
            </w:r>
            <w:r w:rsidRPr="002E6ECA">
              <w:rPr>
                <w:spacing w:val="-1"/>
                <w:sz w:val="28"/>
                <w:szCs w:val="28"/>
                <w:lang w:val="uk-UA"/>
              </w:rPr>
              <w:t xml:space="preserve">ГІГІЄНІЧНІ АСПЕКТИ СУЧАСНОЇ ОСВІТИ У БАЗОВІЙ ШКОЛІ </w:t>
            </w:r>
            <w:r w:rsidRPr="002E6ECA">
              <w:rPr>
                <w:sz w:val="28"/>
                <w:szCs w:val="28"/>
                <w:lang w:val="uk-UA"/>
              </w:rPr>
              <w:t>(АНАЛІТИЧНИЙ ОГЛЯД ЛІТЕРАТУРИ)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39</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rPr>
              <w:t>1.1. Стан здоров’я дітей та підлітків шкільного віку та чинники, що його формують</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40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1.2. Вплив сучасних освітніх технологій на стан здоров’я школярів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47</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1.3. Медичні аспекти впровадження інноваційних навчально-педагогічних проєктів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50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1.4. Медико-психологічний супровід навчання академічно здібних та обдарованих дітей</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58</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1.5. Сучасні аспекти гігієнічного моніторингу здоров’я школярів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65</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РОЗДІЛ 2. ПРОГРАМА, МЕТОДИ ТА ДИЗАЙН ДОСЛІДЖЕННЯ</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74</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РОЗДІЛ 3. СТАН ЗДОРОВ’Я ШКОЛЯРІВ СЕРЕДНЬОГО ШКІЛЬНОГО ВІКУ У ДИНАМІЦІ НАВЧАННЯ</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101</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3.1. Показники фізичного розвитку сучасних школярів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101</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3.2. Стан здоров’я учнів базової школи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115</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3.3. Гостра захворюваність дітей середнього шкільного віку</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124</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3.4. Суб’єктивне сприйняття власного здоров’я школярами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129</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EE3F9E" w:rsidP="00FD79D6">
            <w:pPr>
              <w:rPr>
                <w:sz w:val="28"/>
                <w:szCs w:val="28"/>
                <w:lang w:val="uk-UA"/>
              </w:rPr>
            </w:pPr>
            <w:r w:rsidRPr="002E6ECA">
              <w:rPr>
                <w:sz w:val="28"/>
                <w:szCs w:val="28"/>
                <w:lang w:val="uk-UA"/>
              </w:rPr>
              <w:t>РОЗДІЛ</w:t>
            </w:r>
            <w:r w:rsidR="00FD79D6" w:rsidRPr="002E6ECA">
              <w:rPr>
                <w:sz w:val="28"/>
                <w:szCs w:val="28"/>
                <w:lang w:val="uk-UA"/>
              </w:rPr>
              <w:t xml:space="preserve"> 4. САНІТАРНО-ГІГІЄНІЧНІ ТА СОЦІАЛЬНО-ГІГІЄНІЧНІ ОСОБЛИВОСТІ ЖИТТЄДІЯЛЬНОСТІ СУЧАСНИХ ШКОЛЯРІВ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135</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4.1. Санітарно-гігієнічна характеристика умов навчання в закладах загальної середньої освіти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135</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4.2. Характеристика освітнього процесу в основній школі</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141</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4.3. Гігієнічна оцінка режиму дня та здоров’яформуючої поведінки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146</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Р</w:t>
            </w:r>
            <w:r w:rsidR="00EE3F9E" w:rsidRPr="002E6ECA">
              <w:rPr>
                <w:sz w:val="28"/>
                <w:szCs w:val="28"/>
                <w:lang w:val="uk-UA"/>
              </w:rPr>
              <w:t>ОЗДІЛ</w:t>
            </w:r>
            <w:r w:rsidRPr="002E6ECA">
              <w:rPr>
                <w:sz w:val="28"/>
                <w:szCs w:val="28"/>
                <w:lang w:val="uk-UA"/>
              </w:rPr>
              <w:t xml:space="preserve"> 5. ПСИХОФІЗІОЛОГІЧНА ХАРАКТЕРИСТИКА ШКІЛЬНОЇ АДАПТАЦІЇ В УМОВАХ ІНТЕНСИФІКАЦІЇ НАВЧАЛЬНОГО ПРОЦЕСУ</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158</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5.1. Вплив рівня інтенсивності навчального навантаження на рівень розумової працездатності за умов впровадження різних освітніх програм</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158</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 xml:space="preserve">5.2. </w:t>
            </w:r>
            <w:r w:rsidRPr="002E6ECA">
              <w:rPr>
                <w:sz w:val="28"/>
                <w:szCs w:val="28"/>
                <w:lang w:val="uk-UA" w:eastAsia="uk-UA"/>
              </w:rPr>
              <w:t>Донозологічний скринінг напруженості вегетативних регуляторних систем учнів як критерій рівня шкільного стресу</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169</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eastAsia="uk-UA"/>
              </w:rPr>
              <w:t xml:space="preserve">5.3. Вплив меритократичної </w:t>
            </w:r>
            <w:r w:rsidRPr="002E6ECA">
              <w:rPr>
                <w:sz w:val="28"/>
                <w:szCs w:val="28"/>
                <w:lang w:val="uk-UA"/>
              </w:rPr>
              <w:t xml:space="preserve">освіти на нейрокогнітивні процеси учнів базової школи </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190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EE3F9E" w:rsidP="00FD79D6">
            <w:pPr>
              <w:rPr>
                <w:sz w:val="28"/>
                <w:szCs w:val="28"/>
                <w:lang w:val="uk-UA" w:eastAsia="uk-UA"/>
              </w:rPr>
            </w:pPr>
            <w:r w:rsidRPr="002E6ECA">
              <w:rPr>
                <w:sz w:val="28"/>
                <w:szCs w:val="28"/>
                <w:lang w:val="uk-UA"/>
              </w:rPr>
              <w:t xml:space="preserve">РОЗДІЛ 6. </w:t>
            </w:r>
            <w:r w:rsidR="00FD79D6" w:rsidRPr="002E6ECA">
              <w:rPr>
                <w:sz w:val="28"/>
                <w:szCs w:val="28"/>
                <w:lang w:val="uk-UA"/>
              </w:rPr>
              <w:t>АКАДЕМІЧНА УСПІШНІСТЬ ЯК ПРЕДИКТОР СОЦІАЛЬНОЇ АДАПТАЦІЇ ШКОЛЯРІВ ТА ЇЇ ФІЗІОЛОГІЧНА «ЦІНА»</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198</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 xml:space="preserve">6.1. Методологічні підходи до визначення рівня академічної успішності </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198</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6.2. Стан здоров’я учнів середнього шкільного віку із різним рівнем академічної успішності</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204</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lastRenderedPageBreak/>
              <w:t>6.3. Стан вегетативних регуляторних систем учнів з різною академічною успішністю</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209</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 xml:space="preserve">РОЗДІЛ 7. </w:t>
            </w:r>
            <w:r w:rsidRPr="002E6ECA">
              <w:rPr>
                <w:sz w:val="28"/>
                <w:szCs w:val="28"/>
                <w:shd w:val="clear" w:color="auto" w:fill="FFFFFF"/>
              </w:rPr>
              <w:t>О</w:t>
            </w:r>
            <w:r w:rsidRPr="002E6ECA">
              <w:rPr>
                <w:sz w:val="28"/>
                <w:szCs w:val="28"/>
                <w:shd w:val="clear" w:color="auto" w:fill="FFFFFF"/>
                <w:lang w:val="uk-UA"/>
              </w:rPr>
              <w:t>ЦІНКА</w:t>
            </w:r>
            <w:r w:rsidRPr="002E6ECA">
              <w:rPr>
                <w:sz w:val="28"/>
                <w:szCs w:val="28"/>
                <w:shd w:val="clear" w:color="auto" w:fill="FFFFFF"/>
              </w:rPr>
              <w:t xml:space="preserve"> </w:t>
            </w:r>
            <w:r w:rsidRPr="002E6ECA">
              <w:rPr>
                <w:sz w:val="28"/>
                <w:szCs w:val="28"/>
                <w:shd w:val="clear" w:color="auto" w:fill="FFFFFF"/>
                <w:lang w:val="uk-UA"/>
              </w:rPr>
              <w:t>ПСИХОСОЦІАЛЬНОГО</w:t>
            </w:r>
            <w:r w:rsidRPr="002E6ECA">
              <w:rPr>
                <w:sz w:val="28"/>
                <w:szCs w:val="28"/>
                <w:shd w:val="clear" w:color="auto" w:fill="FFFFFF"/>
              </w:rPr>
              <w:t xml:space="preserve"> </w:t>
            </w:r>
            <w:r w:rsidRPr="002E6ECA">
              <w:rPr>
                <w:sz w:val="28"/>
                <w:szCs w:val="28"/>
                <w:shd w:val="clear" w:color="auto" w:fill="FFFFFF"/>
                <w:lang w:val="uk-UA"/>
              </w:rPr>
              <w:t>ФУНКЦІОНУВАННЯ</w:t>
            </w:r>
            <w:r w:rsidRPr="002E6ECA">
              <w:rPr>
                <w:sz w:val="28"/>
                <w:szCs w:val="28"/>
                <w:shd w:val="clear" w:color="auto" w:fill="FFFFFF"/>
              </w:rPr>
              <w:t xml:space="preserve"> </w:t>
            </w:r>
            <w:r w:rsidRPr="002E6ECA">
              <w:rPr>
                <w:sz w:val="28"/>
                <w:szCs w:val="28"/>
                <w:shd w:val="clear" w:color="auto" w:fill="FFFFFF"/>
                <w:lang w:val="uk-UA"/>
              </w:rPr>
              <w:t>ЯК ІНСТРУМЕНТ</w:t>
            </w:r>
            <w:r w:rsidRPr="002E6ECA">
              <w:rPr>
                <w:sz w:val="28"/>
                <w:szCs w:val="28"/>
                <w:shd w:val="clear" w:color="auto" w:fill="FFFFFF"/>
              </w:rPr>
              <w:t xml:space="preserve"> </w:t>
            </w:r>
            <w:r w:rsidRPr="002E6ECA">
              <w:rPr>
                <w:sz w:val="28"/>
                <w:szCs w:val="28"/>
                <w:shd w:val="clear" w:color="auto" w:fill="FFFFFF"/>
                <w:lang w:val="uk-UA"/>
              </w:rPr>
              <w:t>МОНІТОРИНГУ</w:t>
            </w:r>
            <w:r w:rsidRPr="002E6ECA">
              <w:rPr>
                <w:sz w:val="28"/>
                <w:szCs w:val="28"/>
                <w:shd w:val="clear" w:color="auto" w:fill="FFFFFF"/>
              </w:rPr>
              <w:t xml:space="preserve"> </w:t>
            </w:r>
            <w:r w:rsidRPr="002E6ECA">
              <w:rPr>
                <w:sz w:val="28"/>
                <w:szCs w:val="28"/>
                <w:shd w:val="clear" w:color="auto" w:fill="FFFFFF"/>
                <w:lang w:val="uk-UA"/>
              </w:rPr>
              <w:t>ЗДОРОВ</w:t>
            </w:r>
            <w:r w:rsidRPr="002E6ECA">
              <w:rPr>
                <w:sz w:val="28"/>
                <w:szCs w:val="28"/>
                <w:shd w:val="clear" w:color="auto" w:fill="FFFFFF"/>
              </w:rPr>
              <w:t>’</w:t>
            </w:r>
            <w:r w:rsidRPr="002E6ECA">
              <w:rPr>
                <w:sz w:val="28"/>
                <w:szCs w:val="28"/>
                <w:shd w:val="clear" w:color="auto" w:fill="FFFFFF"/>
                <w:lang w:val="uk-UA"/>
              </w:rPr>
              <w:t>Я</w:t>
            </w:r>
            <w:r w:rsidRPr="002E6ECA">
              <w:rPr>
                <w:sz w:val="28"/>
                <w:szCs w:val="28"/>
                <w:shd w:val="clear" w:color="auto" w:fill="FFFFFF"/>
              </w:rPr>
              <w:t xml:space="preserve"> </w:t>
            </w:r>
            <w:r w:rsidRPr="002E6ECA">
              <w:rPr>
                <w:sz w:val="28"/>
                <w:szCs w:val="28"/>
                <w:shd w:val="clear" w:color="auto" w:fill="FFFFFF"/>
                <w:lang w:val="uk-UA"/>
              </w:rPr>
              <w:t>ДІТЕЙ</w:t>
            </w:r>
            <w:r w:rsidRPr="002E6ECA">
              <w:rPr>
                <w:sz w:val="28"/>
                <w:szCs w:val="28"/>
                <w:shd w:val="clear" w:color="auto" w:fill="FFFFFF"/>
              </w:rPr>
              <w:t xml:space="preserve"> </w:t>
            </w:r>
            <w:r w:rsidRPr="002E6ECA">
              <w:rPr>
                <w:sz w:val="28"/>
                <w:szCs w:val="28"/>
                <w:shd w:val="clear" w:color="auto" w:fill="FFFFFF"/>
                <w:lang w:val="uk-UA"/>
              </w:rPr>
              <w:t>ТА</w:t>
            </w:r>
            <w:r w:rsidRPr="002E6ECA">
              <w:rPr>
                <w:sz w:val="28"/>
                <w:szCs w:val="28"/>
                <w:shd w:val="clear" w:color="auto" w:fill="FFFFFF"/>
              </w:rPr>
              <w:t xml:space="preserve"> </w:t>
            </w:r>
            <w:r w:rsidRPr="002E6ECA">
              <w:rPr>
                <w:sz w:val="28"/>
                <w:szCs w:val="28"/>
                <w:shd w:val="clear" w:color="auto" w:fill="FFFFFF"/>
                <w:lang w:val="uk-UA"/>
              </w:rPr>
              <w:t>ПІДЛІТКІВ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220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7.1. Вікові особливості шкільної діяльності при переході з початкової до базової школи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221</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7.2. ЯЖПЗ та PSC учнів середнього шкільного віку</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231</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7.3. Порівняльна характеристика соціального та шкільного функціонування учнів в процесі адаптації до навчання у старшій (профільній) школі</w:t>
            </w:r>
            <w:r w:rsidRPr="002E6ECA">
              <w:rPr>
                <w:b/>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245</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rFonts w:eastAsia="TimesNewRomanPSMT"/>
                <w:sz w:val="28"/>
                <w:szCs w:val="28"/>
                <w:lang w:val="uk-UA" w:eastAsia="uk-UA"/>
              </w:rPr>
              <w:t>РОЗДІЛ 8. МЕТОДОЛОГІЯ МОНІТОРИНГУ ЗДОРОВ’Я ШКОЛЯРІВ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251</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rFonts w:eastAsia="TimesNewRomanPSMT"/>
                <w:sz w:val="28"/>
                <w:szCs w:val="28"/>
                <w:lang w:val="uk-UA" w:eastAsia="uk-UA"/>
              </w:rPr>
            </w:pPr>
            <w:r w:rsidRPr="002E6ECA">
              <w:rPr>
                <w:rFonts w:eastAsia="TimesNewRomanPSMT"/>
                <w:sz w:val="28"/>
                <w:szCs w:val="28"/>
                <w:lang w:val="uk-UA" w:eastAsia="uk-UA"/>
              </w:rPr>
              <w:t>8.1. Базовий скринінг стану здоров’я школярів з метою визначення груп ризику щодо формування неінфекційних захворювань (на прикладі учнів середнього шкільного віку)</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263</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rFonts w:eastAsia="TimesNewRomanPSMT"/>
                <w:sz w:val="28"/>
                <w:szCs w:val="28"/>
                <w:lang w:val="uk-UA" w:eastAsia="uk-UA"/>
              </w:rPr>
            </w:pPr>
            <w:r w:rsidRPr="002E6ECA">
              <w:rPr>
                <w:rFonts w:eastAsia="TimesNewRomanPSMT"/>
                <w:sz w:val="28"/>
                <w:szCs w:val="28"/>
                <w:lang w:val="uk-UA" w:eastAsia="uk-UA"/>
              </w:rPr>
              <w:t>8.2. Поглиблена скринінг-діагностика патологічних станів у учнів в умовах інтенсифікації навчального процесу за умов впровадження комплексу профілактичних заходів (на прикладі навчання за меритократичною системою)</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270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EE3F9E" w:rsidP="00FD79D6">
            <w:pPr>
              <w:jc w:val="both"/>
              <w:rPr>
                <w:sz w:val="28"/>
                <w:szCs w:val="28"/>
                <w:lang w:val="uk-UA"/>
              </w:rPr>
            </w:pPr>
            <w:r w:rsidRPr="002E6ECA">
              <w:rPr>
                <w:sz w:val="28"/>
                <w:szCs w:val="28"/>
                <w:lang w:val="uk-UA"/>
              </w:rPr>
              <w:t xml:space="preserve">РОЗДІЛ 9. </w:t>
            </w:r>
            <w:r w:rsidR="00FD79D6" w:rsidRPr="002E6ECA">
              <w:rPr>
                <w:sz w:val="28"/>
                <w:szCs w:val="28"/>
                <w:lang w:val="uk-UA"/>
              </w:rPr>
              <w:t>СИСТЕМА ГІГІЄНІЧНИХ ЗАХОДІВ З ПРОФІЛАКТИКИ ПОРУШЕНЬ ЗДОРОВ’Я ДІТЕЙ СЕРЕДНЬОГО ШКІЛЬНОГО ВІКУ</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274</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9.1. Алгоритм вибору елементів профілактичної програми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274</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9.2. Оцінка ефективності впровадження профілактичної програми щодо оптимізації режиму дня та способу життя</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284</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rFonts w:eastAsia="TimesNewRomanPSMT"/>
                <w:sz w:val="28"/>
                <w:szCs w:val="28"/>
                <w:lang w:val="uk-UA" w:eastAsia="uk-UA"/>
              </w:rPr>
            </w:pPr>
            <w:r w:rsidRPr="002E6ECA">
              <w:rPr>
                <w:rFonts w:eastAsia="Arial Unicode MS"/>
                <w:sz w:val="28"/>
                <w:szCs w:val="28"/>
                <w:lang w:val="uk-UA"/>
              </w:rPr>
              <w:t>АНАЛІЗ ТА УЗАГАЛЬНЕННЯ РЕЗУЛЬТАТІВ</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290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ВИСНОВКИ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306</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ПРАКТИЧНІ РЕКОМЕНДАЦІЇ</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310</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СПИСОК ВИКОРИСТАНИХ ДЖЕРЕЛ ЛІТЕРАТУРИ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313</w:t>
            </w:r>
          </w:p>
        </w:tc>
      </w:tr>
      <w:tr w:rsidR="00FD79D6" w:rsidRPr="002E6ECA" w:rsidTr="00FD79D6">
        <w:tc>
          <w:tcPr>
            <w:tcW w:w="8897"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rPr>
            </w:pPr>
            <w:r w:rsidRPr="002E6ECA">
              <w:rPr>
                <w:sz w:val="28"/>
                <w:szCs w:val="28"/>
                <w:lang w:val="uk-UA"/>
              </w:rPr>
              <w:t>Додатки</w:t>
            </w:r>
          </w:p>
        </w:tc>
        <w:tc>
          <w:tcPr>
            <w:tcW w:w="708" w:type="dxa"/>
            <w:tcBorders>
              <w:top w:val="single" w:sz="4" w:space="0" w:color="auto"/>
              <w:left w:val="single" w:sz="4" w:space="0" w:color="auto"/>
              <w:bottom w:val="single" w:sz="4" w:space="0" w:color="auto"/>
              <w:right w:val="single" w:sz="4" w:space="0" w:color="auto"/>
            </w:tcBorders>
            <w:vAlign w:val="center"/>
          </w:tcPr>
          <w:p w:rsidR="00FD79D6" w:rsidRPr="002E6ECA" w:rsidRDefault="00FD79D6" w:rsidP="00FD79D6">
            <w:pPr>
              <w:rPr>
                <w:sz w:val="28"/>
                <w:szCs w:val="28"/>
                <w:lang w:val="uk-UA" w:eastAsia="uk-UA"/>
              </w:rPr>
            </w:pPr>
            <w:r w:rsidRPr="002E6ECA">
              <w:rPr>
                <w:sz w:val="28"/>
                <w:szCs w:val="28"/>
                <w:lang w:val="uk-UA" w:eastAsia="uk-UA"/>
              </w:rPr>
              <w:t>375</w:t>
            </w:r>
          </w:p>
        </w:tc>
      </w:tr>
    </w:tbl>
    <w:p w:rsidR="00FD79D6" w:rsidRPr="002E6ECA" w:rsidRDefault="00FD79D6" w:rsidP="00FD79D6"/>
    <w:p w:rsidR="00FD79D6" w:rsidRPr="002E6ECA" w:rsidRDefault="00FD79D6" w:rsidP="00B81AAE">
      <w:pPr>
        <w:spacing w:line="360" w:lineRule="auto"/>
        <w:ind w:firstLine="709"/>
        <w:rPr>
          <w:sz w:val="28"/>
          <w:szCs w:val="28"/>
          <w:lang w:val="uk-UA"/>
        </w:rPr>
      </w:pPr>
    </w:p>
    <w:p w:rsidR="0021169F" w:rsidRPr="002E6ECA" w:rsidRDefault="0021169F" w:rsidP="00B81AAE">
      <w:pPr>
        <w:spacing w:line="360" w:lineRule="auto"/>
        <w:ind w:firstLine="709"/>
        <w:rPr>
          <w:sz w:val="28"/>
          <w:szCs w:val="28"/>
          <w:lang w:val="uk-UA"/>
        </w:rPr>
      </w:pPr>
      <w:r w:rsidRPr="002E6ECA">
        <w:rPr>
          <w:sz w:val="28"/>
          <w:szCs w:val="28"/>
          <w:lang w:val="uk-UA"/>
        </w:rPr>
        <w:br w:type="page"/>
      </w:r>
    </w:p>
    <w:p w:rsidR="00917BD4" w:rsidRPr="002E6ECA" w:rsidRDefault="00917BD4" w:rsidP="00B81AAE">
      <w:pPr>
        <w:spacing w:line="360" w:lineRule="auto"/>
        <w:ind w:firstLine="709"/>
        <w:jc w:val="center"/>
        <w:rPr>
          <w:sz w:val="28"/>
          <w:szCs w:val="28"/>
          <w:lang w:val="uk-UA"/>
        </w:rPr>
      </w:pPr>
      <w:r w:rsidRPr="002E6ECA">
        <w:rPr>
          <w:sz w:val="28"/>
          <w:szCs w:val="28"/>
          <w:lang w:val="uk-UA"/>
        </w:rPr>
        <w:lastRenderedPageBreak/>
        <w:t>ПЕРЕЛІК</w:t>
      </w:r>
      <w:r w:rsidR="00D46B1B" w:rsidRPr="002E6ECA">
        <w:rPr>
          <w:sz w:val="28"/>
          <w:szCs w:val="28"/>
          <w:lang w:val="uk-UA"/>
        </w:rPr>
        <w:t xml:space="preserve"> </w:t>
      </w:r>
      <w:r w:rsidRPr="002E6ECA">
        <w:rPr>
          <w:sz w:val="28"/>
          <w:szCs w:val="28"/>
          <w:lang w:val="uk-UA"/>
        </w:rPr>
        <w:t>УМОВНИХ</w:t>
      </w:r>
      <w:r w:rsidR="00D46B1B" w:rsidRPr="002E6ECA">
        <w:rPr>
          <w:sz w:val="28"/>
          <w:szCs w:val="28"/>
          <w:lang w:val="uk-UA"/>
        </w:rPr>
        <w:t xml:space="preserve"> </w:t>
      </w:r>
      <w:r w:rsidRPr="002E6ECA">
        <w:rPr>
          <w:sz w:val="28"/>
          <w:szCs w:val="28"/>
          <w:lang w:val="uk-UA"/>
        </w:rPr>
        <w:t>СКОРОЧЕНЬ</w:t>
      </w:r>
      <w:r w:rsidR="00D46B1B" w:rsidRPr="002E6ECA">
        <w:rPr>
          <w:sz w:val="28"/>
          <w:szCs w:val="28"/>
          <w:lang w:val="uk-UA"/>
        </w:rPr>
        <w:t xml:space="preserve"> </w:t>
      </w:r>
    </w:p>
    <w:tbl>
      <w:tblPr>
        <w:tblW w:w="9852" w:type="dxa"/>
        <w:tblInd w:w="14" w:type="dxa"/>
        <w:tblLook w:val="01E0" w:firstRow="1" w:lastRow="1" w:firstColumn="1" w:lastColumn="1" w:noHBand="0" w:noVBand="0"/>
      </w:tblPr>
      <w:tblGrid>
        <w:gridCol w:w="1528"/>
        <w:gridCol w:w="356"/>
        <w:gridCol w:w="7968"/>
      </w:tblGrid>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ВБ</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відчуття</w:t>
            </w:r>
            <w:r w:rsidR="00D46B1B" w:rsidRPr="002E6ECA">
              <w:rPr>
                <w:sz w:val="26"/>
                <w:szCs w:val="26"/>
                <w:lang w:val="uk-UA"/>
              </w:rPr>
              <w:t xml:space="preserve"> </w:t>
            </w:r>
            <w:r w:rsidRPr="002E6ECA">
              <w:rPr>
                <w:sz w:val="26"/>
                <w:szCs w:val="26"/>
                <w:lang w:val="uk-UA"/>
              </w:rPr>
              <w:t>болю</w:t>
            </w:r>
          </w:p>
        </w:tc>
      </w:tr>
      <w:tr w:rsidR="00554A77" w:rsidRPr="002E6ECA" w:rsidTr="00B05FBE">
        <w:tc>
          <w:tcPr>
            <w:tcW w:w="1528" w:type="dxa"/>
            <w:tcMar>
              <w:left w:w="85" w:type="dxa"/>
              <w:right w:w="85" w:type="dxa"/>
            </w:tcMar>
          </w:tcPr>
          <w:p w:rsidR="00554A77" w:rsidRPr="002E6ECA" w:rsidRDefault="00554A77" w:rsidP="00B05FBE">
            <w:pPr>
              <w:spacing w:line="312" w:lineRule="auto"/>
              <w:rPr>
                <w:sz w:val="26"/>
                <w:szCs w:val="26"/>
                <w:lang w:val="uk-UA"/>
              </w:rPr>
            </w:pPr>
            <w:r w:rsidRPr="002E6ECA">
              <w:rPr>
                <w:sz w:val="26"/>
                <w:szCs w:val="26"/>
                <w:lang w:val="uk-UA"/>
              </w:rPr>
              <w:t>ВСР</w:t>
            </w:r>
            <w:r w:rsidR="00D46B1B" w:rsidRPr="002E6ECA">
              <w:rPr>
                <w:sz w:val="26"/>
                <w:szCs w:val="26"/>
                <w:lang w:val="uk-UA"/>
              </w:rPr>
              <w:t xml:space="preserve"> </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pacing w:line="312" w:lineRule="auto"/>
              <w:rPr>
                <w:sz w:val="26"/>
                <w:szCs w:val="26"/>
                <w:lang w:val="uk-UA"/>
              </w:rPr>
            </w:pPr>
            <w:r w:rsidRPr="002E6ECA">
              <w:rPr>
                <w:sz w:val="26"/>
                <w:szCs w:val="26"/>
                <w:lang w:val="uk-UA"/>
              </w:rPr>
              <w:t>варіабельність</w:t>
            </w:r>
            <w:r w:rsidR="00D46B1B" w:rsidRPr="002E6ECA">
              <w:rPr>
                <w:sz w:val="26"/>
                <w:szCs w:val="26"/>
                <w:lang w:val="uk-UA"/>
              </w:rPr>
              <w:t xml:space="preserve"> </w:t>
            </w:r>
            <w:r w:rsidRPr="002E6ECA">
              <w:rPr>
                <w:sz w:val="26"/>
                <w:szCs w:val="26"/>
                <w:lang w:val="uk-UA"/>
              </w:rPr>
              <w:t>серцевого</w:t>
            </w:r>
            <w:r w:rsidR="00D46B1B" w:rsidRPr="002E6ECA">
              <w:rPr>
                <w:sz w:val="26"/>
                <w:szCs w:val="26"/>
                <w:lang w:val="uk-UA"/>
              </w:rPr>
              <w:t xml:space="preserve"> </w:t>
            </w:r>
            <w:r w:rsidRPr="002E6ECA">
              <w:rPr>
                <w:sz w:val="26"/>
                <w:szCs w:val="26"/>
                <w:lang w:val="uk-UA"/>
              </w:rPr>
              <w:t>ритму</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ЖЗ</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F877B2" w:rsidP="00B05FBE">
            <w:pPr>
              <w:shd w:val="clear" w:color="auto" w:fill="FFFFFF"/>
              <w:spacing w:line="312" w:lineRule="auto"/>
              <w:rPr>
                <w:sz w:val="26"/>
                <w:szCs w:val="26"/>
                <w:lang w:val="uk-UA"/>
              </w:rPr>
            </w:pPr>
            <w:r w:rsidRPr="002E6ECA">
              <w:rPr>
                <w:sz w:val="26"/>
                <w:szCs w:val="26"/>
                <w:lang w:val="uk-UA"/>
              </w:rPr>
              <w:t>ж</w:t>
            </w:r>
            <w:r w:rsidR="007C1D71" w:rsidRPr="002E6ECA">
              <w:rPr>
                <w:sz w:val="26"/>
                <w:szCs w:val="26"/>
                <w:lang w:val="uk-UA"/>
              </w:rPr>
              <w:t>иттєздатність</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ЗЗ</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F877B2" w:rsidP="00B05FBE">
            <w:pPr>
              <w:shd w:val="clear" w:color="auto" w:fill="FFFFFF"/>
              <w:spacing w:line="312" w:lineRule="auto"/>
              <w:rPr>
                <w:sz w:val="26"/>
                <w:szCs w:val="26"/>
                <w:lang w:val="uk-UA"/>
              </w:rPr>
            </w:pPr>
            <w:r w:rsidRPr="002E6ECA">
              <w:rPr>
                <w:sz w:val="26"/>
                <w:szCs w:val="26"/>
                <w:lang w:val="uk-UA"/>
              </w:rPr>
              <w:t>з</w:t>
            </w:r>
            <w:r w:rsidR="007C1D71" w:rsidRPr="002E6ECA">
              <w:rPr>
                <w:sz w:val="26"/>
                <w:szCs w:val="26"/>
                <w:lang w:val="uk-UA"/>
              </w:rPr>
              <w:t>агальне</w:t>
            </w:r>
            <w:r w:rsidR="00D46B1B" w:rsidRPr="002E6ECA">
              <w:rPr>
                <w:sz w:val="26"/>
                <w:szCs w:val="26"/>
                <w:lang w:val="uk-UA"/>
              </w:rPr>
              <w:t xml:space="preserve"> </w:t>
            </w:r>
            <w:r w:rsidR="007C1D71" w:rsidRPr="002E6ECA">
              <w:rPr>
                <w:sz w:val="26"/>
                <w:szCs w:val="26"/>
                <w:lang w:val="uk-UA"/>
              </w:rPr>
              <w:t>здоров’я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зн.</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знаки</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ЗЗСО</w:t>
            </w:r>
            <w:r w:rsidR="00D46B1B" w:rsidRPr="002E6ECA">
              <w:rPr>
                <w:sz w:val="26"/>
                <w:szCs w:val="26"/>
                <w:lang w:val="uk-UA"/>
              </w:rPr>
              <w:t xml:space="preserve"> </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заклад</w:t>
            </w:r>
            <w:r w:rsidR="00D46B1B" w:rsidRPr="002E6ECA">
              <w:rPr>
                <w:sz w:val="26"/>
                <w:szCs w:val="26"/>
                <w:lang w:val="uk-UA"/>
              </w:rPr>
              <w:t xml:space="preserve"> </w:t>
            </w:r>
            <w:r w:rsidRPr="002E6ECA">
              <w:rPr>
                <w:sz w:val="26"/>
                <w:szCs w:val="26"/>
                <w:lang w:val="uk-UA"/>
              </w:rPr>
              <w:t>загальної</w:t>
            </w:r>
            <w:r w:rsidR="00D46B1B" w:rsidRPr="002E6ECA">
              <w:rPr>
                <w:sz w:val="26"/>
                <w:szCs w:val="26"/>
                <w:lang w:val="uk-UA"/>
              </w:rPr>
              <w:t xml:space="preserve"> </w:t>
            </w:r>
            <w:r w:rsidRPr="002E6ECA">
              <w:rPr>
                <w:sz w:val="26"/>
                <w:szCs w:val="26"/>
                <w:lang w:val="uk-UA"/>
              </w:rPr>
              <w:t>середньої</w:t>
            </w:r>
            <w:r w:rsidR="00D46B1B" w:rsidRPr="002E6ECA">
              <w:rPr>
                <w:sz w:val="26"/>
                <w:szCs w:val="26"/>
                <w:lang w:val="uk-UA"/>
              </w:rPr>
              <w:t xml:space="preserve"> </w:t>
            </w:r>
            <w:r w:rsidRPr="002E6ECA">
              <w:rPr>
                <w:sz w:val="26"/>
                <w:szCs w:val="26"/>
                <w:lang w:val="uk-UA"/>
              </w:rPr>
              <w:t>освіти</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ЗРНЗ</w:t>
            </w:r>
            <w:r w:rsidR="00D46B1B" w:rsidRPr="002E6ECA">
              <w:rPr>
                <w:sz w:val="26"/>
                <w:szCs w:val="26"/>
                <w:lang w:val="uk-UA"/>
              </w:rPr>
              <w:t xml:space="preserve"> </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загальний</w:t>
            </w:r>
            <w:r w:rsidR="00D46B1B" w:rsidRPr="002E6ECA">
              <w:rPr>
                <w:sz w:val="26"/>
                <w:szCs w:val="26"/>
                <w:lang w:val="uk-UA"/>
              </w:rPr>
              <w:t xml:space="preserve"> </w:t>
            </w:r>
            <w:r w:rsidRPr="002E6ECA">
              <w:rPr>
                <w:sz w:val="26"/>
                <w:szCs w:val="26"/>
                <w:lang w:val="uk-UA"/>
              </w:rPr>
              <w:t>рівень</w:t>
            </w:r>
            <w:r w:rsidR="00D46B1B" w:rsidRPr="002E6ECA">
              <w:rPr>
                <w:sz w:val="26"/>
                <w:szCs w:val="26"/>
                <w:lang w:val="uk-UA"/>
              </w:rPr>
              <w:t xml:space="preserve"> </w:t>
            </w:r>
            <w:r w:rsidRPr="002E6ECA">
              <w:rPr>
                <w:sz w:val="26"/>
                <w:szCs w:val="26"/>
                <w:lang w:val="uk-UA"/>
              </w:rPr>
              <w:t>неблагополуччя</w:t>
            </w:r>
            <w:r w:rsidR="00D46B1B" w:rsidRPr="002E6ECA">
              <w:rPr>
                <w:sz w:val="26"/>
                <w:szCs w:val="26"/>
                <w:lang w:val="uk-UA"/>
              </w:rPr>
              <w:t xml:space="preserve"> </w:t>
            </w:r>
            <w:r w:rsidRPr="002E6ECA">
              <w:rPr>
                <w:sz w:val="26"/>
                <w:szCs w:val="26"/>
                <w:lang w:val="uk-UA"/>
              </w:rPr>
              <w:t>здоров'я</w:t>
            </w:r>
          </w:p>
        </w:tc>
      </w:tr>
      <w:tr w:rsidR="00E07216" w:rsidRPr="002E6ECA" w:rsidTr="00B05FBE">
        <w:tc>
          <w:tcPr>
            <w:tcW w:w="1528" w:type="dxa"/>
            <w:tcMar>
              <w:left w:w="85" w:type="dxa"/>
              <w:right w:w="85" w:type="dxa"/>
            </w:tcMar>
          </w:tcPr>
          <w:p w:rsidR="00E07216" w:rsidRPr="002E6ECA" w:rsidRDefault="00E07216" w:rsidP="00B05FBE">
            <w:pPr>
              <w:shd w:val="clear" w:color="auto" w:fill="FFFFFF"/>
              <w:spacing w:line="312" w:lineRule="auto"/>
              <w:rPr>
                <w:sz w:val="26"/>
                <w:szCs w:val="26"/>
                <w:lang w:val="uk-UA"/>
              </w:rPr>
            </w:pPr>
            <w:r w:rsidRPr="002E6ECA">
              <w:rPr>
                <w:sz w:val="26"/>
                <w:szCs w:val="26"/>
                <w:lang w:val="uk-UA"/>
              </w:rPr>
              <w:t>ІМТ</w:t>
            </w:r>
          </w:p>
        </w:tc>
        <w:tc>
          <w:tcPr>
            <w:tcW w:w="356" w:type="dxa"/>
          </w:tcPr>
          <w:p w:rsidR="00E07216" w:rsidRPr="002E6ECA" w:rsidRDefault="00E07216"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E07216" w:rsidRPr="002E6ECA" w:rsidRDefault="00E07216" w:rsidP="00B05FBE">
            <w:pPr>
              <w:shd w:val="clear" w:color="auto" w:fill="FFFFFF"/>
              <w:spacing w:line="312" w:lineRule="auto"/>
              <w:rPr>
                <w:sz w:val="26"/>
                <w:szCs w:val="26"/>
                <w:lang w:val="uk-UA"/>
              </w:rPr>
            </w:pPr>
            <w:r w:rsidRPr="002E6ECA">
              <w:rPr>
                <w:sz w:val="26"/>
                <w:szCs w:val="26"/>
                <w:lang w:val="uk-UA"/>
              </w:rPr>
              <w:t>індекс маси тіла</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ККор</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коефіцієнт</w:t>
            </w:r>
            <w:r w:rsidR="00D46B1B" w:rsidRPr="002E6ECA">
              <w:rPr>
                <w:sz w:val="26"/>
                <w:szCs w:val="26"/>
                <w:lang w:val="uk-UA"/>
              </w:rPr>
              <w:t xml:space="preserve"> </w:t>
            </w:r>
            <w:r w:rsidRPr="002E6ECA">
              <w:rPr>
                <w:sz w:val="26"/>
                <w:szCs w:val="26"/>
                <w:lang w:val="uk-UA"/>
              </w:rPr>
              <w:t>кореляції</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КЛз</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показник</w:t>
            </w:r>
            <w:r w:rsidR="00D46B1B" w:rsidRPr="002E6ECA">
              <w:rPr>
                <w:sz w:val="26"/>
                <w:szCs w:val="26"/>
                <w:lang w:val="uk-UA"/>
              </w:rPr>
              <w:t xml:space="preserve"> </w:t>
            </w:r>
            <w:r w:rsidRPr="002E6ECA">
              <w:rPr>
                <w:sz w:val="26"/>
                <w:szCs w:val="26"/>
                <w:lang w:val="uk-UA"/>
              </w:rPr>
              <w:t>лабілізації</w:t>
            </w:r>
            <w:r w:rsidR="00D46B1B" w:rsidRPr="002E6ECA">
              <w:rPr>
                <w:sz w:val="26"/>
                <w:szCs w:val="26"/>
                <w:lang w:val="uk-UA"/>
              </w:rPr>
              <w:t xml:space="preserve"> </w:t>
            </w:r>
            <w:r w:rsidRPr="002E6ECA">
              <w:rPr>
                <w:sz w:val="26"/>
                <w:szCs w:val="26"/>
                <w:lang w:val="uk-UA"/>
              </w:rPr>
              <w:t>загальноструктурний</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КЛм</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показник</w:t>
            </w:r>
            <w:r w:rsidR="00D46B1B" w:rsidRPr="002E6ECA">
              <w:rPr>
                <w:sz w:val="26"/>
                <w:szCs w:val="26"/>
                <w:lang w:val="uk-UA"/>
              </w:rPr>
              <w:t xml:space="preserve"> </w:t>
            </w:r>
            <w:r w:rsidRPr="002E6ECA">
              <w:rPr>
                <w:sz w:val="26"/>
                <w:szCs w:val="26"/>
                <w:lang w:val="uk-UA"/>
              </w:rPr>
              <w:t>лабілізації</w:t>
            </w:r>
            <w:r w:rsidR="00D46B1B" w:rsidRPr="002E6ECA">
              <w:rPr>
                <w:sz w:val="26"/>
                <w:szCs w:val="26"/>
                <w:lang w:val="uk-UA"/>
              </w:rPr>
              <w:t xml:space="preserve"> </w:t>
            </w:r>
            <w:r w:rsidRPr="002E6ECA">
              <w:rPr>
                <w:sz w:val="26"/>
                <w:szCs w:val="26"/>
                <w:lang w:val="uk-UA"/>
              </w:rPr>
              <w:t>міжсистемний</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КЛпс</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pacing w:line="312" w:lineRule="auto"/>
              <w:rPr>
                <w:spacing w:val="-10"/>
                <w:sz w:val="26"/>
                <w:szCs w:val="26"/>
                <w:lang w:val="uk-UA"/>
              </w:rPr>
            </w:pPr>
            <w:r w:rsidRPr="002E6ECA">
              <w:rPr>
                <w:spacing w:val="-10"/>
                <w:sz w:val="26"/>
                <w:szCs w:val="26"/>
                <w:lang w:val="uk-UA"/>
              </w:rPr>
              <w:t>показник</w:t>
            </w:r>
            <w:r w:rsidR="00D46B1B" w:rsidRPr="002E6ECA">
              <w:rPr>
                <w:spacing w:val="-10"/>
                <w:sz w:val="26"/>
                <w:szCs w:val="26"/>
                <w:lang w:val="uk-UA"/>
              </w:rPr>
              <w:t xml:space="preserve"> </w:t>
            </w:r>
            <w:r w:rsidRPr="002E6ECA">
              <w:rPr>
                <w:spacing w:val="-10"/>
                <w:sz w:val="26"/>
                <w:szCs w:val="26"/>
                <w:lang w:val="uk-UA"/>
              </w:rPr>
              <w:t>лабілізації</w:t>
            </w:r>
            <w:r w:rsidR="00D46B1B" w:rsidRPr="002E6ECA">
              <w:rPr>
                <w:spacing w:val="-10"/>
                <w:sz w:val="26"/>
                <w:szCs w:val="26"/>
                <w:lang w:val="uk-UA"/>
              </w:rPr>
              <w:t xml:space="preserve"> </w:t>
            </w:r>
            <w:r w:rsidRPr="002E6ECA">
              <w:rPr>
                <w:spacing w:val="-10"/>
                <w:sz w:val="26"/>
                <w:szCs w:val="26"/>
                <w:lang w:val="uk-UA"/>
              </w:rPr>
              <w:t>внутрішньосистемний</w:t>
            </w:r>
            <w:r w:rsidR="00D46B1B" w:rsidRPr="002E6ECA">
              <w:rPr>
                <w:spacing w:val="-10"/>
                <w:sz w:val="26"/>
                <w:szCs w:val="26"/>
                <w:lang w:val="uk-UA"/>
              </w:rPr>
              <w:t xml:space="preserve"> </w:t>
            </w:r>
            <w:r w:rsidRPr="002E6ECA">
              <w:rPr>
                <w:spacing w:val="-10"/>
                <w:sz w:val="26"/>
                <w:szCs w:val="26"/>
                <w:lang w:val="uk-UA"/>
              </w:rPr>
              <w:t>за</w:t>
            </w:r>
            <w:r w:rsidR="00D46B1B" w:rsidRPr="002E6ECA">
              <w:rPr>
                <w:spacing w:val="-10"/>
                <w:sz w:val="26"/>
                <w:szCs w:val="26"/>
                <w:lang w:val="uk-UA"/>
              </w:rPr>
              <w:t xml:space="preserve"> </w:t>
            </w:r>
            <w:r w:rsidRPr="002E6ECA">
              <w:rPr>
                <w:spacing w:val="-10"/>
                <w:sz w:val="26"/>
                <w:szCs w:val="26"/>
                <w:lang w:val="uk-UA"/>
              </w:rPr>
              <w:t>психологічною</w:t>
            </w:r>
            <w:r w:rsidR="00D46B1B" w:rsidRPr="002E6ECA">
              <w:rPr>
                <w:spacing w:val="-10"/>
                <w:sz w:val="26"/>
                <w:szCs w:val="26"/>
                <w:lang w:val="uk-UA"/>
              </w:rPr>
              <w:t xml:space="preserve"> </w:t>
            </w:r>
            <w:r w:rsidRPr="002E6ECA">
              <w:rPr>
                <w:spacing w:val="-10"/>
                <w:sz w:val="26"/>
                <w:szCs w:val="26"/>
                <w:lang w:val="uk-UA"/>
              </w:rPr>
              <w:t>компонентою</w:t>
            </w:r>
            <w:r w:rsidR="00D46B1B" w:rsidRPr="002E6ECA">
              <w:rPr>
                <w:spacing w:val="-10"/>
                <w:sz w:val="26"/>
                <w:szCs w:val="26"/>
                <w:lang w:val="uk-UA"/>
              </w:rPr>
              <w:t xml:space="preserve">    </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КЛпс/м</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pacing w:line="312" w:lineRule="auto"/>
              <w:rPr>
                <w:sz w:val="26"/>
                <w:szCs w:val="26"/>
                <w:lang w:val="uk-UA"/>
              </w:rPr>
            </w:pPr>
            <w:r w:rsidRPr="002E6ECA">
              <w:rPr>
                <w:sz w:val="26"/>
                <w:szCs w:val="26"/>
                <w:lang w:val="uk-UA"/>
              </w:rPr>
              <w:t>коефіцієнт</w:t>
            </w:r>
            <w:r w:rsidR="00D46B1B" w:rsidRPr="002E6ECA">
              <w:rPr>
                <w:sz w:val="26"/>
                <w:szCs w:val="26"/>
                <w:lang w:val="uk-UA"/>
              </w:rPr>
              <w:t xml:space="preserve"> </w:t>
            </w:r>
            <w:r w:rsidRPr="002E6ECA">
              <w:rPr>
                <w:sz w:val="26"/>
                <w:szCs w:val="26"/>
                <w:lang w:val="uk-UA"/>
              </w:rPr>
              <w:t>співвідношення</w:t>
            </w:r>
            <w:r w:rsidR="00D46B1B" w:rsidRPr="002E6ECA">
              <w:rPr>
                <w:sz w:val="26"/>
                <w:szCs w:val="26"/>
                <w:lang w:val="uk-UA"/>
              </w:rPr>
              <w:t xml:space="preserve"> </w:t>
            </w:r>
            <w:r w:rsidRPr="002E6ECA">
              <w:rPr>
                <w:sz w:val="26"/>
                <w:szCs w:val="26"/>
                <w:lang w:val="uk-UA"/>
              </w:rPr>
              <w:t>внутрішньосистемних</w:t>
            </w:r>
            <w:r w:rsidR="00D46B1B" w:rsidRPr="002E6ECA">
              <w:rPr>
                <w:sz w:val="26"/>
                <w:szCs w:val="26"/>
                <w:lang w:val="uk-UA"/>
              </w:rPr>
              <w:t xml:space="preserve"> </w:t>
            </w:r>
            <w:r w:rsidRPr="002E6ECA">
              <w:rPr>
                <w:sz w:val="26"/>
                <w:szCs w:val="26"/>
                <w:lang w:val="uk-UA"/>
              </w:rPr>
              <w:t>(за</w:t>
            </w:r>
            <w:r w:rsidR="00D46B1B" w:rsidRPr="002E6ECA">
              <w:rPr>
                <w:sz w:val="26"/>
                <w:szCs w:val="26"/>
                <w:lang w:val="uk-UA"/>
              </w:rPr>
              <w:t xml:space="preserve"> </w:t>
            </w:r>
            <w:r w:rsidRPr="002E6ECA">
              <w:rPr>
                <w:sz w:val="26"/>
                <w:szCs w:val="26"/>
                <w:lang w:val="uk-UA"/>
              </w:rPr>
              <w:t>психологічною</w:t>
            </w:r>
            <w:r w:rsidR="00D46B1B" w:rsidRPr="002E6ECA">
              <w:rPr>
                <w:sz w:val="26"/>
                <w:szCs w:val="26"/>
                <w:lang w:val="uk-UA"/>
              </w:rPr>
              <w:t xml:space="preserve"> </w:t>
            </w:r>
            <w:r w:rsidRPr="002E6ECA">
              <w:rPr>
                <w:sz w:val="26"/>
                <w:szCs w:val="26"/>
                <w:lang w:val="uk-UA"/>
              </w:rPr>
              <w:t>складовою)</w:t>
            </w:r>
            <w:r w:rsidR="00D46B1B" w:rsidRPr="002E6ECA">
              <w:rPr>
                <w:sz w:val="26"/>
                <w:szCs w:val="26"/>
                <w:lang w:val="uk-UA"/>
              </w:rPr>
              <w:t xml:space="preserve"> </w:t>
            </w:r>
            <w:r w:rsidRPr="002E6ECA">
              <w:rPr>
                <w:sz w:val="26"/>
                <w:szCs w:val="26"/>
                <w:lang w:val="uk-UA"/>
              </w:rPr>
              <w:t>та</w:t>
            </w:r>
            <w:r w:rsidR="00D46B1B" w:rsidRPr="002E6ECA">
              <w:rPr>
                <w:sz w:val="26"/>
                <w:szCs w:val="26"/>
                <w:lang w:val="uk-UA"/>
              </w:rPr>
              <w:t xml:space="preserve"> </w:t>
            </w:r>
            <w:r w:rsidRPr="002E6ECA">
              <w:rPr>
                <w:sz w:val="26"/>
                <w:szCs w:val="26"/>
                <w:lang w:val="uk-UA"/>
              </w:rPr>
              <w:t>міжсистемних</w:t>
            </w:r>
            <w:r w:rsidR="00D46B1B" w:rsidRPr="002E6ECA">
              <w:rPr>
                <w:sz w:val="26"/>
                <w:szCs w:val="26"/>
                <w:lang w:val="uk-UA"/>
              </w:rPr>
              <w:t xml:space="preserve"> </w:t>
            </w:r>
            <w:r w:rsidRPr="002E6ECA">
              <w:rPr>
                <w:sz w:val="26"/>
                <w:szCs w:val="26"/>
                <w:lang w:val="uk-UA"/>
              </w:rPr>
              <w:t>зв’язків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КЛфіз</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pacing w:line="312" w:lineRule="auto"/>
              <w:rPr>
                <w:spacing w:val="-14"/>
                <w:sz w:val="26"/>
                <w:szCs w:val="26"/>
                <w:lang w:val="uk-UA"/>
              </w:rPr>
            </w:pPr>
            <w:r w:rsidRPr="002E6ECA">
              <w:rPr>
                <w:spacing w:val="-10"/>
                <w:sz w:val="26"/>
                <w:szCs w:val="26"/>
                <w:lang w:val="uk-UA"/>
              </w:rPr>
              <w:t>показник</w:t>
            </w:r>
            <w:r w:rsidR="00D46B1B" w:rsidRPr="002E6ECA">
              <w:rPr>
                <w:spacing w:val="-10"/>
                <w:sz w:val="26"/>
                <w:szCs w:val="26"/>
                <w:lang w:val="uk-UA"/>
              </w:rPr>
              <w:t xml:space="preserve"> </w:t>
            </w:r>
            <w:r w:rsidRPr="002E6ECA">
              <w:rPr>
                <w:spacing w:val="-10"/>
                <w:sz w:val="26"/>
                <w:szCs w:val="26"/>
                <w:lang w:val="uk-UA"/>
              </w:rPr>
              <w:t>лабілізації</w:t>
            </w:r>
            <w:r w:rsidR="00D46B1B" w:rsidRPr="002E6ECA">
              <w:rPr>
                <w:spacing w:val="-10"/>
                <w:sz w:val="26"/>
                <w:szCs w:val="26"/>
                <w:lang w:val="uk-UA"/>
              </w:rPr>
              <w:t xml:space="preserve"> </w:t>
            </w:r>
            <w:r w:rsidRPr="002E6ECA">
              <w:rPr>
                <w:spacing w:val="-10"/>
                <w:sz w:val="26"/>
                <w:szCs w:val="26"/>
                <w:lang w:val="uk-UA"/>
              </w:rPr>
              <w:t>внутрішньосистемний</w:t>
            </w:r>
            <w:r w:rsidR="00D46B1B" w:rsidRPr="002E6ECA">
              <w:rPr>
                <w:spacing w:val="-10"/>
                <w:sz w:val="26"/>
                <w:szCs w:val="26"/>
                <w:lang w:val="uk-UA"/>
              </w:rPr>
              <w:t xml:space="preserve"> </w:t>
            </w:r>
            <w:r w:rsidRPr="002E6ECA">
              <w:rPr>
                <w:spacing w:val="-10"/>
                <w:sz w:val="26"/>
                <w:szCs w:val="26"/>
                <w:lang w:val="uk-UA"/>
              </w:rPr>
              <w:t>за</w:t>
            </w:r>
            <w:r w:rsidR="00D46B1B" w:rsidRPr="002E6ECA">
              <w:rPr>
                <w:spacing w:val="-10"/>
                <w:sz w:val="26"/>
                <w:szCs w:val="26"/>
                <w:lang w:val="uk-UA"/>
              </w:rPr>
              <w:t xml:space="preserve"> </w:t>
            </w:r>
            <w:r w:rsidRPr="002E6ECA">
              <w:rPr>
                <w:spacing w:val="-10"/>
                <w:sz w:val="26"/>
                <w:szCs w:val="26"/>
                <w:lang w:val="uk-UA"/>
              </w:rPr>
              <w:t>фізичною</w:t>
            </w:r>
            <w:r w:rsidR="00D46B1B" w:rsidRPr="002E6ECA">
              <w:rPr>
                <w:spacing w:val="-10"/>
                <w:sz w:val="26"/>
                <w:szCs w:val="26"/>
                <w:lang w:val="uk-UA"/>
              </w:rPr>
              <w:t xml:space="preserve"> </w:t>
            </w:r>
            <w:r w:rsidRPr="002E6ECA">
              <w:rPr>
                <w:spacing w:val="-10"/>
                <w:sz w:val="26"/>
                <w:szCs w:val="26"/>
                <w:lang w:val="uk-UA"/>
              </w:rPr>
              <w:t>компонентою</w:t>
            </w:r>
            <w:r w:rsidR="00D46B1B" w:rsidRPr="002E6ECA">
              <w:rPr>
                <w:spacing w:val="-14"/>
                <w:sz w:val="26"/>
                <w:szCs w:val="26"/>
                <w:lang w:val="uk-UA"/>
              </w:rPr>
              <w:t xml:space="preserve"> </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КЛфіз/м</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коефіцієнт</w:t>
            </w:r>
            <w:r w:rsidR="00D46B1B" w:rsidRPr="002E6ECA">
              <w:rPr>
                <w:sz w:val="26"/>
                <w:szCs w:val="26"/>
                <w:lang w:val="uk-UA"/>
              </w:rPr>
              <w:t xml:space="preserve"> </w:t>
            </w:r>
            <w:r w:rsidRPr="002E6ECA">
              <w:rPr>
                <w:sz w:val="26"/>
                <w:szCs w:val="26"/>
                <w:lang w:val="uk-UA"/>
              </w:rPr>
              <w:t>співвідношення</w:t>
            </w:r>
            <w:r w:rsidR="00D46B1B" w:rsidRPr="002E6ECA">
              <w:rPr>
                <w:sz w:val="26"/>
                <w:szCs w:val="26"/>
                <w:lang w:val="uk-UA"/>
              </w:rPr>
              <w:t xml:space="preserve"> </w:t>
            </w:r>
            <w:r w:rsidRPr="002E6ECA">
              <w:rPr>
                <w:sz w:val="26"/>
                <w:szCs w:val="26"/>
                <w:lang w:val="uk-UA"/>
              </w:rPr>
              <w:t>внутрішньосистемних</w:t>
            </w:r>
            <w:r w:rsidR="00D46B1B" w:rsidRPr="002E6ECA">
              <w:rPr>
                <w:sz w:val="26"/>
                <w:szCs w:val="26"/>
                <w:lang w:val="uk-UA"/>
              </w:rPr>
              <w:t xml:space="preserve"> </w:t>
            </w:r>
            <w:r w:rsidRPr="002E6ECA">
              <w:rPr>
                <w:sz w:val="26"/>
                <w:szCs w:val="26"/>
                <w:lang w:val="uk-UA"/>
              </w:rPr>
              <w:t>(за</w:t>
            </w:r>
            <w:r w:rsidR="00D46B1B" w:rsidRPr="002E6ECA">
              <w:rPr>
                <w:sz w:val="26"/>
                <w:szCs w:val="26"/>
                <w:lang w:val="uk-UA"/>
              </w:rPr>
              <w:t xml:space="preserve"> </w:t>
            </w:r>
            <w:r w:rsidRPr="002E6ECA">
              <w:rPr>
                <w:sz w:val="26"/>
                <w:szCs w:val="26"/>
                <w:lang w:val="uk-UA"/>
              </w:rPr>
              <w:t>фізичною</w:t>
            </w:r>
            <w:r w:rsidR="00D46B1B" w:rsidRPr="002E6ECA">
              <w:rPr>
                <w:sz w:val="26"/>
                <w:szCs w:val="26"/>
                <w:lang w:val="uk-UA"/>
              </w:rPr>
              <w:t xml:space="preserve"> </w:t>
            </w:r>
            <w:r w:rsidRPr="002E6ECA">
              <w:rPr>
                <w:sz w:val="26"/>
                <w:szCs w:val="26"/>
                <w:lang w:val="uk-UA"/>
              </w:rPr>
              <w:t>складовою)</w:t>
            </w:r>
            <w:r w:rsidR="00D46B1B" w:rsidRPr="002E6ECA">
              <w:rPr>
                <w:sz w:val="26"/>
                <w:szCs w:val="26"/>
                <w:lang w:val="uk-UA"/>
              </w:rPr>
              <w:t xml:space="preserve"> </w:t>
            </w:r>
            <w:r w:rsidRPr="002E6ECA">
              <w:rPr>
                <w:sz w:val="26"/>
                <w:szCs w:val="26"/>
                <w:lang w:val="uk-UA"/>
              </w:rPr>
              <w:t>та</w:t>
            </w:r>
            <w:r w:rsidR="00D46B1B" w:rsidRPr="002E6ECA">
              <w:rPr>
                <w:sz w:val="26"/>
                <w:szCs w:val="26"/>
                <w:lang w:val="uk-UA"/>
              </w:rPr>
              <w:t xml:space="preserve">  </w:t>
            </w:r>
            <w:r w:rsidRPr="002E6ECA">
              <w:rPr>
                <w:sz w:val="26"/>
                <w:szCs w:val="26"/>
                <w:lang w:val="uk-UA"/>
              </w:rPr>
              <w:t>міжсистемних</w:t>
            </w:r>
            <w:r w:rsidR="00D46B1B" w:rsidRPr="002E6ECA">
              <w:rPr>
                <w:sz w:val="26"/>
                <w:szCs w:val="26"/>
                <w:lang w:val="uk-UA"/>
              </w:rPr>
              <w:t xml:space="preserve"> </w:t>
            </w:r>
            <w:r w:rsidRPr="002E6ECA">
              <w:rPr>
                <w:sz w:val="26"/>
                <w:szCs w:val="26"/>
                <w:lang w:val="uk-UA"/>
              </w:rPr>
              <w:t>зв’язків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КПО</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коефіцієнт</w:t>
            </w:r>
            <w:r w:rsidR="00D46B1B" w:rsidRPr="002E6ECA">
              <w:rPr>
                <w:sz w:val="26"/>
                <w:szCs w:val="26"/>
                <w:lang w:val="uk-UA"/>
              </w:rPr>
              <w:t xml:space="preserve"> </w:t>
            </w:r>
            <w:r w:rsidRPr="002E6ECA">
              <w:rPr>
                <w:sz w:val="26"/>
                <w:szCs w:val="26"/>
                <w:lang w:val="uk-UA"/>
              </w:rPr>
              <w:t>природної</w:t>
            </w:r>
            <w:r w:rsidR="00D46B1B" w:rsidRPr="002E6ECA">
              <w:rPr>
                <w:sz w:val="26"/>
                <w:szCs w:val="26"/>
                <w:lang w:val="uk-UA"/>
              </w:rPr>
              <w:t xml:space="preserve"> </w:t>
            </w:r>
            <w:r w:rsidRPr="002E6ECA">
              <w:rPr>
                <w:sz w:val="26"/>
                <w:szCs w:val="26"/>
                <w:lang w:val="uk-UA"/>
              </w:rPr>
              <w:t>освітленості</w:t>
            </w:r>
            <w:r w:rsidR="00D46B1B" w:rsidRPr="002E6ECA">
              <w:rPr>
                <w:sz w:val="26"/>
                <w:szCs w:val="26"/>
                <w:lang w:val="uk-UA"/>
              </w:rPr>
              <w:t xml:space="preserve"> </w:t>
            </w:r>
          </w:p>
        </w:tc>
      </w:tr>
      <w:tr w:rsidR="00F877B2" w:rsidRPr="002E6ECA" w:rsidTr="00B05FBE">
        <w:tc>
          <w:tcPr>
            <w:tcW w:w="152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ПБ</w:t>
            </w:r>
          </w:p>
        </w:tc>
        <w:tc>
          <w:tcPr>
            <w:tcW w:w="356" w:type="dxa"/>
          </w:tcPr>
          <w:p w:rsidR="00F877B2" w:rsidRPr="002E6ECA" w:rsidRDefault="00F877B2"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F877B2" w:rsidRPr="002E6ECA" w:rsidRDefault="00914FF1" w:rsidP="00B05FBE">
            <w:pPr>
              <w:shd w:val="clear" w:color="auto" w:fill="FFFFFF"/>
              <w:spacing w:line="312" w:lineRule="auto"/>
              <w:rPr>
                <w:sz w:val="26"/>
                <w:szCs w:val="26"/>
                <w:lang w:val="uk-UA"/>
              </w:rPr>
            </w:pPr>
            <w:r w:rsidRPr="002E6ECA">
              <w:rPr>
                <w:sz w:val="26"/>
                <w:szCs w:val="26"/>
                <w:lang w:val="uk-UA"/>
              </w:rPr>
              <w:t>п</w:t>
            </w:r>
            <w:r w:rsidR="00F877B2" w:rsidRPr="002E6ECA">
              <w:rPr>
                <w:sz w:val="26"/>
                <w:szCs w:val="26"/>
                <w:lang w:val="uk-UA"/>
              </w:rPr>
              <w:t>сихологічне</w:t>
            </w:r>
            <w:r w:rsidR="00D46B1B" w:rsidRPr="002E6ECA">
              <w:rPr>
                <w:sz w:val="26"/>
                <w:szCs w:val="26"/>
                <w:lang w:val="uk-UA"/>
              </w:rPr>
              <w:t xml:space="preserve"> </w:t>
            </w:r>
            <w:r w:rsidR="00F877B2" w:rsidRPr="002E6ECA">
              <w:rPr>
                <w:sz w:val="26"/>
                <w:szCs w:val="26"/>
                <w:lang w:val="uk-UA"/>
              </w:rPr>
              <w:t>благополуччя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пом.</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помилки</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ПП</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провідна</w:t>
            </w:r>
            <w:r w:rsidR="00D46B1B" w:rsidRPr="002E6ECA">
              <w:rPr>
                <w:sz w:val="26"/>
                <w:szCs w:val="26"/>
                <w:lang w:val="uk-UA"/>
              </w:rPr>
              <w:t xml:space="preserve"> </w:t>
            </w:r>
            <w:r w:rsidRPr="002E6ECA">
              <w:rPr>
                <w:sz w:val="26"/>
                <w:szCs w:val="26"/>
                <w:lang w:val="uk-UA"/>
              </w:rPr>
              <w:t>патологія</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ПС</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показник</w:t>
            </w:r>
            <w:r w:rsidR="00D46B1B" w:rsidRPr="002E6ECA">
              <w:rPr>
                <w:sz w:val="26"/>
                <w:szCs w:val="26"/>
                <w:lang w:val="uk-UA"/>
              </w:rPr>
              <w:t xml:space="preserve"> </w:t>
            </w:r>
            <w:r w:rsidRPr="002E6ECA">
              <w:rPr>
                <w:sz w:val="26"/>
                <w:szCs w:val="26"/>
                <w:lang w:val="uk-UA"/>
              </w:rPr>
              <w:t>системоутворення</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ПУ</w:t>
            </w:r>
          </w:p>
        </w:tc>
        <w:tc>
          <w:tcPr>
            <w:tcW w:w="356" w:type="dxa"/>
          </w:tcPr>
          <w:p w:rsidR="007C1D71" w:rsidRPr="002E6ECA" w:rsidRDefault="007C1D71" w:rsidP="00B05FBE">
            <w:pPr>
              <w:spacing w:line="312" w:lineRule="auto"/>
              <w:rPr>
                <w:sz w:val="26"/>
                <w:szCs w:val="26"/>
                <w:lang w:val="uk-UA"/>
              </w:rPr>
            </w:pPr>
          </w:p>
        </w:tc>
        <w:tc>
          <w:tcPr>
            <w:tcW w:w="796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патологічна</w:t>
            </w:r>
            <w:r w:rsidR="00D46B1B" w:rsidRPr="002E6ECA">
              <w:rPr>
                <w:sz w:val="26"/>
                <w:szCs w:val="26"/>
                <w:lang w:val="uk-UA"/>
              </w:rPr>
              <w:t xml:space="preserve"> </w:t>
            </w:r>
            <w:r w:rsidRPr="002E6ECA">
              <w:rPr>
                <w:sz w:val="26"/>
                <w:szCs w:val="26"/>
                <w:lang w:val="uk-UA"/>
              </w:rPr>
              <w:t>ураженість</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РГБ</w:t>
            </w:r>
            <w:r w:rsidR="00D46B1B" w:rsidRPr="002E6ECA">
              <w:rPr>
                <w:sz w:val="26"/>
                <w:szCs w:val="26"/>
                <w:lang w:val="uk-UA"/>
              </w:rPr>
              <w:t xml:space="preserve"> </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рівень</w:t>
            </w:r>
            <w:r w:rsidR="00D46B1B" w:rsidRPr="002E6ECA">
              <w:rPr>
                <w:sz w:val="26"/>
                <w:szCs w:val="26"/>
                <w:lang w:val="uk-UA"/>
              </w:rPr>
              <w:t xml:space="preserve"> </w:t>
            </w:r>
            <w:r w:rsidRPr="002E6ECA">
              <w:rPr>
                <w:sz w:val="26"/>
                <w:szCs w:val="26"/>
                <w:lang w:val="uk-UA"/>
              </w:rPr>
              <w:t>гігієнічного</w:t>
            </w:r>
            <w:r w:rsidR="00D46B1B" w:rsidRPr="002E6ECA">
              <w:rPr>
                <w:sz w:val="26"/>
                <w:szCs w:val="26"/>
                <w:lang w:val="uk-UA"/>
              </w:rPr>
              <w:t xml:space="preserve"> </w:t>
            </w:r>
            <w:r w:rsidRPr="002E6ECA">
              <w:rPr>
                <w:sz w:val="26"/>
                <w:szCs w:val="26"/>
                <w:lang w:val="uk-UA"/>
              </w:rPr>
              <w:t>благополуччя</w:t>
            </w:r>
          </w:p>
        </w:tc>
      </w:tr>
      <w:tr w:rsidR="00F877B2" w:rsidRPr="002E6ECA" w:rsidTr="00B05FBE">
        <w:tc>
          <w:tcPr>
            <w:tcW w:w="152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РЕФ</w:t>
            </w:r>
          </w:p>
        </w:tc>
        <w:tc>
          <w:tcPr>
            <w:tcW w:w="356" w:type="dxa"/>
          </w:tcPr>
          <w:p w:rsidR="00F877B2" w:rsidRPr="002E6ECA" w:rsidRDefault="00F877B2"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F877B2" w:rsidRPr="002E6ECA" w:rsidRDefault="00914FF1" w:rsidP="00B05FBE">
            <w:pPr>
              <w:shd w:val="clear" w:color="auto" w:fill="FFFFFF"/>
              <w:spacing w:line="312" w:lineRule="auto"/>
              <w:rPr>
                <w:sz w:val="26"/>
                <w:szCs w:val="26"/>
                <w:lang w:val="uk-UA"/>
              </w:rPr>
            </w:pPr>
            <w:r w:rsidRPr="002E6ECA">
              <w:rPr>
                <w:sz w:val="26"/>
                <w:szCs w:val="26"/>
                <w:lang w:val="uk-UA"/>
              </w:rPr>
              <w:t>р</w:t>
            </w:r>
            <w:r w:rsidR="00F877B2" w:rsidRPr="002E6ECA">
              <w:rPr>
                <w:sz w:val="26"/>
                <w:szCs w:val="26"/>
                <w:lang w:val="uk-UA"/>
              </w:rPr>
              <w:t>ольове</w:t>
            </w:r>
            <w:r w:rsidR="00D46B1B" w:rsidRPr="002E6ECA">
              <w:rPr>
                <w:sz w:val="26"/>
                <w:szCs w:val="26"/>
                <w:lang w:val="uk-UA"/>
              </w:rPr>
              <w:t xml:space="preserve"> </w:t>
            </w:r>
            <w:r w:rsidR="00F877B2" w:rsidRPr="002E6ECA">
              <w:rPr>
                <w:sz w:val="26"/>
                <w:szCs w:val="26"/>
                <w:lang w:val="uk-UA"/>
              </w:rPr>
              <w:t>емоційне</w:t>
            </w:r>
            <w:r w:rsidR="00D46B1B" w:rsidRPr="002E6ECA">
              <w:rPr>
                <w:sz w:val="26"/>
                <w:szCs w:val="26"/>
                <w:lang w:val="uk-UA"/>
              </w:rPr>
              <w:t xml:space="preserve"> </w:t>
            </w:r>
            <w:r w:rsidR="00F877B2"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РНЗ</w:t>
            </w:r>
            <w:r w:rsidR="00D46B1B" w:rsidRPr="002E6ECA">
              <w:rPr>
                <w:sz w:val="26"/>
                <w:szCs w:val="26"/>
                <w:lang w:val="uk-UA"/>
              </w:rPr>
              <w:t xml:space="preserve"> </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рівень</w:t>
            </w:r>
            <w:r w:rsidR="00D46B1B" w:rsidRPr="002E6ECA">
              <w:rPr>
                <w:sz w:val="26"/>
                <w:szCs w:val="26"/>
                <w:lang w:val="uk-UA"/>
              </w:rPr>
              <w:t xml:space="preserve"> </w:t>
            </w:r>
            <w:r w:rsidRPr="002E6ECA">
              <w:rPr>
                <w:sz w:val="26"/>
                <w:szCs w:val="26"/>
                <w:lang w:val="uk-UA"/>
              </w:rPr>
              <w:t>неблагополуччя</w:t>
            </w:r>
            <w:r w:rsidR="00D46B1B" w:rsidRPr="002E6ECA">
              <w:rPr>
                <w:sz w:val="26"/>
                <w:szCs w:val="26"/>
                <w:lang w:val="uk-UA"/>
              </w:rPr>
              <w:t xml:space="preserve"> </w:t>
            </w:r>
            <w:r w:rsidRPr="002E6ECA">
              <w:rPr>
                <w:sz w:val="26"/>
                <w:szCs w:val="26"/>
                <w:lang w:val="uk-UA"/>
              </w:rPr>
              <w:t>здоров'я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РП</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розумова</w:t>
            </w:r>
            <w:r w:rsidR="00D46B1B" w:rsidRPr="002E6ECA">
              <w:rPr>
                <w:sz w:val="26"/>
                <w:szCs w:val="26"/>
                <w:lang w:val="uk-UA"/>
              </w:rPr>
              <w:t xml:space="preserve"> </w:t>
            </w:r>
            <w:r w:rsidRPr="002E6ECA">
              <w:rPr>
                <w:sz w:val="26"/>
                <w:szCs w:val="26"/>
                <w:lang w:val="uk-UA"/>
              </w:rPr>
              <w:t>працездатність</w:t>
            </w:r>
          </w:p>
        </w:tc>
      </w:tr>
      <w:tr w:rsidR="00F877B2" w:rsidRPr="002E6ECA" w:rsidTr="00B05FBE">
        <w:tc>
          <w:tcPr>
            <w:tcW w:w="152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РФ</w:t>
            </w:r>
          </w:p>
        </w:tc>
        <w:tc>
          <w:tcPr>
            <w:tcW w:w="356" w:type="dxa"/>
          </w:tcPr>
          <w:p w:rsidR="00F877B2" w:rsidRPr="002E6ECA" w:rsidRDefault="00F877B2"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родинне</w:t>
            </w:r>
            <w:r w:rsidR="00D46B1B" w:rsidRPr="002E6ECA">
              <w:rPr>
                <w:sz w:val="26"/>
                <w:szCs w:val="26"/>
                <w:lang w:val="uk-UA"/>
              </w:rPr>
              <w:t xml:space="preserve"> </w:t>
            </w:r>
            <w:r w:rsidRPr="002E6ECA">
              <w:rPr>
                <w:sz w:val="26"/>
                <w:szCs w:val="26"/>
                <w:lang w:val="uk-UA"/>
              </w:rPr>
              <w:t>функціонування</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РФФ</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F877B2" w:rsidP="00B05FBE">
            <w:pPr>
              <w:shd w:val="clear" w:color="auto" w:fill="FFFFFF"/>
              <w:spacing w:line="312" w:lineRule="auto"/>
              <w:rPr>
                <w:sz w:val="26"/>
                <w:szCs w:val="26"/>
                <w:lang w:val="uk-UA"/>
              </w:rPr>
            </w:pPr>
            <w:r w:rsidRPr="002E6ECA">
              <w:rPr>
                <w:sz w:val="26"/>
                <w:szCs w:val="26"/>
                <w:lang w:val="uk-UA"/>
              </w:rPr>
              <w:t>р</w:t>
            </w:r>
            <w:r w:rsidR="007C1D71" w:rsidRPr="002E6ECA">
              <w:rPr>
                <w:sz w:val="26"/>
                <w:szCs w:val="26"/>
                <w:lang w:val="uk-UA"/>
              </w:rPr>
              <w:t>ольове</w:t>
            </w:r>
            <w:r w:rsidR="00D46B1B" w:rsidRPr="002E6ECA">
              <w:rPr>
                <w:sz w:val="26"/>
                <w:szCs w:val="26"/>
                <w:lang w:val="uk-UA"/>
              </w:rPr>
              <w:t xml:space="preserve"> </w:t>
            </w:r>
            <w:r w:rsidR="007C1D71" w:rsidRPr="002E6ECA">
              <w:rPr>
                <w:sz w:val="26"/>
                <w:szCs w:val="26"/>
                <w:lang w:val="uk-UA"/>
              </w:rPr>
              <w:t>фізичне</w:t>
            </w:r>
            <w:r w:rsidR="00D46B1B" w:rsidRPr="002E6ECA">
              <w:rPr>
                <w:sz w:val="26"/>
                <w:szCs w:val="26"/>
                <w:lang w:val="uk-UA"/>
              </w:rPr>
              <w:t xml:space="preserve"> </w:t>
            </w:r>
            <w:r w:rsidR="007C1D71"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САН</w:t>
            </w:r>
            <w:r w:rsidR="00D46B1B" w:rsidRPr="002E6ECA">
              <w:rPr>
                <w:sz w:val="26"/>
                <w:szCs w:val="26"/>
                <w:lang w:val="uk-UA"/>
              </w:rPr>
              <w:t xml:space="preserve"> </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самопочуття,</w:t>
            </w:r>
            <w:r w:rsidR="00D46B1B" w:rsidRPr="002E6ECA">
              <w:rPr>
                <w:sz w:val="26"/>
                <w:szCs w:val="26"/>
                <w:lang w:val="uk-UA"/>
              </w:rPr>
              <w:t xml:space="preserve"> </w:t>
            </w:r>
            <w:r w:rsidRPr="002E6ECA">
              <w:rPr>
                <w:sz w:val="26"/>
                <w:szCs w:val="26"/>
                <w:lang w:val="uk-UA"/>
              </w:rPr>
              <w:t>активність,</w:t>
            </w:r>
            <w:r w:rsidR="00D46B1B" w:rsidRPr="002E6ECA">
              <w:rPr>
                <w:sz w:val="26"/>
                <w:szCs w:val="26"/>
                <w:lang w:val="uk-UA"/>
              </w:rPr>
              <w:t xml:space="preserve"> </w:t>
            </w:r>
            <w:r w:rsidRPr="002E6ECA">
              <w:rPr>
                <w:sz w:val="26"/>
                <w:szCs w:val="26"/>
                <w:lang w:val="uk-UA"/>
              </w:rPr>
              <w:t>настрій</w:t>
            </w:r>
          </w:p>
        </w:tc>
      </w:tr>
      <w:tr w:rsidR="004B0475" w:rsidRPr="002E6ECA" w:rsidTr="00B05FBE">
        <w:tc>
          <w:tcPr>
            <w:tcW w:w="1528" w:type="dxa"/>
            <w:tcMar>
              <w:left w:w="85" w:type="dxa"/>
              <w:right w:w="85" w:type="dxa"/>
            </w:tcMar>
          </w:tcPr>
          <w:p w:rsidR="004B0475" w:rsidRPr="002E6ECA" w:rsidRDefault="004B0475" w:rsidP="00B05FBE">
            <w:pPr>
              <w:shd w:val="clear" w:color="auto" w:fill="FFFFFF"/>
              <w:spacing w:line="312" w:lineRule="auto"/>
              <w:rPr>
                <w:sz w:val="26"/>
                <w:szCs w:val="26"/>
                <w:lang w:val="uk-UA"/>
              </w:rPr>
            </w:pPr>
            <w:r w:rsidRPr="002E6ECA">
              <w:rPr>
                <w:sz w:val="26"/>
                <w:szCs w:val="26"/>
                <w:lang w:val="uk-UA"/>
              </w:rPr>
              <w:t>СГМ</w:t>
            </w:r>
          </w:p>
        </w:tc>
        <w:tc>
          <w:tcPr>
            <w:tcW w:w="356" w:type="dxa"/>
          </w:tcPr>
          <w:p w:rsidR="004B0475" w:rsidRPr="002E6ECA" w:rsidRDefault="004B0475" w:rsidP="00B05FBE">
            <w:pPr>
              <w:spacing w:line="312" w:lineRule="auto"/>
              <w:rPr>
                <w:sz w:val="26"/>
                <w:szCs w:val="26"/>
                <w:lang w:val="uk-UA"/>
              </w:rPr>
            </w:pPr>
            <w:r w:rsidRPr="002E6ECA">
              <w:rPr>
                <w:b/>
                <w:sz w:val="26"/>
                <w:szCs w:val="26"/>
                <w:lang w:val="uk-UA"/>
              </w:rPr>
              <w:t>–</w:t>
            </w:r>
          </w:p>
        </w:tc>
        <w:tc>
          <w:tcPr>
            <w:tcW w:w="7968" w:type="dxa"/>
            <w:tcMar>
              <w:left w:w="85" w:type="dxa"/>
              <w:right w:w="85" w:type="dxa"/>
            </w:tcMar>
          </w:tcPr>
          <w:p w:rsidR="004B0475" w:rsidRPr="002E6ECA" w:rsidRDefault="004B0475" w:rsidP="00B05FBE">
            <w:pPr>
              <w:shd w:val="clear" w:color="auto" w:fill="FFFFFF"/>
              <w:spacing w:line="312" w:lineRule="auto"/>
              <w:rPr>
                <w:sz w:val="26"/>
                <w:szCs w:val="26"/>
                <w:lang w:val="uk-UA"/>
              </w:rPr>
            </w:pPr>
            <w:r w:rsidRPr="002E6ECA">
              <w:rPr>
                <w:sz w:val="26"/>
                <w:szCs w:val="26"/>
                <w:lang w:val="uk-UA"/>
              </w:rPr>
              <w:t>соціально-гігієнічний</w:t>
            </w:r>
            <w:r w:rsidR="00D46B1B" w:rsidRPr="002E6ECA">
              <w:rPr>
                <w:sz w:val="26"/>
                <w:szCs w:val="26"/>
                <w:lang w:val="uk-UA"/>
              </w:rPr>
              <w:t xml:space="preserve"> </w:t>
            </w:r>
            <w:r w:rsidRPr="002E6ECA">
              <w:rPr>
                <w:sz w:val="26"/>
                <w:szCs w:val="26"/>
                <w:lang w:val="uk-UA"/>
              </w:rPr>
              <w:t>моніторинг</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СКК</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середній</w:t>
            </w:r>
            <w:r w:rsidR="00D46B1B" w:rsidRPr="002E6ECA">
              <w:rPr>
                <w:sz w:val="26"/>
                <w:szCs w:val="26"/>
                <w:lang w:val="uk-UA"/>
              </w:rPr>
              <w:t xml:space="preserve"> </w:t>
            </w:r>
            <w:r w:rsidRPr="002E6ECA">
              <w:rPr>
                <w:sz w:val="26"/>
                <w:szCs w:val="26"/>
                <w:lang w:val="uk-UA"/>
              </w:rPr>
              <w:t>кореляційний</w:t>
            </w:r>
            <w:r w:rsidR="00D46B1B" w:rsidRPr="002E6ECA">
              <w:rPr>
                <w:sz w:val="26"/>
                <w:szCs w:val="26"/>
                <w:lang w:val="uk-UA"/>
              </w:rPr>
              <w:t xml:space="preserve"> </w:t>
            </w:r>
            <w:r w:rsidRPr="002E6ECA">
              <w:rPr>
                <w:sz w:val="26"/>
                <w:szCs w:val="26"/>
                <w:lang w:val="uk-UA"/>
              </w:rPr>
              <w:t>коефіцієнт</w:t>
            </w:r>
          </w:p>
        </w:tc>
      </w:tr>
      <w:tr w:rsidR="00F877B2" w:rsidRPr="002E6ECA" w:rsidTr="00B05FBE">
        <w:tc>
          <w:tcPr>
            <w:tcW w:w="152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СФ</w:t>
            </w:r>
          </w:p>
        </w:tc>
        <w:tc>
          <w:tcPr>
            <w:tcW w:w="356" w:type="dxa"/>
          </w:tcPr>
          <w:p w:rsidR="00F877B2" w:rsidRPr="002E6ECA" w:rsidRDefault="00F877B2"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соціальне</w:t>
            </w:r>
            <w:r w:rsidR="00D46B1B" w:rsidRPr="002E6ECA">
              <w:rPr>
                <w:sz w:val="26"/>
                <w:szCs w:val="26"/>
                <w:lang w:val="uk-UA"/>
              </w:rPr>
              <w:t xml:space="preserve"> </w:t>
            </w:r>
            <w:r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ФФ</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F877B2" w:rsidP="00B05FBE">
            <w:pPr>
              <w:shd w:val="clear" w:color="auto" w:fill="FFFFFF"/>
              <w:spacing w:line="312" w:lineRule="auto"/>
              <w:rPr>
                <w:sz w:val="26"/>
                <w:szCs w:val="26"/>
                <w:lang w:val="uk-UA"/>
              </w:rPr>
            </w:pPr>
            <w:r w:rsidRPr="002E6ECA">
              <w:rPr>
                <w:sz w:val="26"/>
                <w:szCs w:val="26"/>
                <w:lang w:val="uk-UA"/>
              </w:rPr>
              <w:t>ф</w:t>
            </w:r>
            <w:r w:rsidR="00554A77" w:rsidRPr="002E6ECA">
              <w:rPr>
                <w:sz w:val="26"/>
                <w:szCs w:val="26"/>
                <w:lang w:val="uk-UA"/>
              </w:rPr>
              <w:t>ізичне</w:t>
            </w:r>
            <w:r w:rsidR="00D46B1B" w:rsidRPr="002E6ECA">
              <w:rPr>
                <w:sz w:val="26"/>
                <w:szCs w:val="26"/>
                <w:lang w:val="uk-UA"/>
              </w:rPr>
              <w:t xml:space="preserve"> </w:t>
            </w:r>
            <w:r w:rsidR="00554A77" w:rsidRPr="002E6ECA">
              <w:rPr>
                <w:sz w:val="26"/>
                <w:szCs w:val="26"/>
                <w:lang w:val="uk-UA"/>
              </w:rPr>
              <w:t>функціонування</w:t>
            </w:r>
          </w:p>
        </w:tc>
      </w:tr>
      <w:tr w:rsidR="00F877B2" w:rsidRPr="002E6ECA" w:rsidTr="00B05FBE">
        <w:tc>
          <w:tcPr>
            <w:tcW w:w="152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ЧСС</w:t>
            </w:r>
            <w:r w:rsidR="00D46B1B" w:rsidRPr="002E6ECA">
              <w:rPr>
                <w:sz w:val="26"/>
                <w:szCs w:val="26"/>
                <w:lang w:val="uk-UA"/>
              </w:rPr>
              <w:t xml:space="preserve"> </w:t>
            </w:r>
          </w:p>
        </w:tc>
        <w:tc>
          <w:tcPr>
            <w:tcW w:w="356" w:type="dxa"/>
          </w:tcPr>
          <w:p w:rsidR="00F877B2" w:rsidRPr="002E6ECA" w:rsidRDefault="00F877B2"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F877B2" w:rsidRPr="002E6ECA" w:rsidRDefault="00F877B2" w:rsidP="00B05FBE">
            <w:pPr>
              <w:shd w:val="clear" w:color="auto" w:fill="FFFFFF"/>
              <w:spacing w:line="312" w:lineRule="auto"/>
              <w:rPr>
                <w:sz w:val="26"/>
                <w:szCs w:val="26"/>
                <w:lang w:val="uk-UA"/>
              </w:rPr>
            </w:pPr>
            <w:r w:rsidRPr="002E6ECA">
              <w:rPr>
                <w:sz w:val="26"/>
                <w:szCs w:val="26"/>
                <w:lang w:val="uk-UA"/>
              </w:rPr>
              <w:t>частота</w:t>
            </w:r>
            <w:r w:rsidR="00D46B1B" w:rsidRPr="002E6ECA">
              <w:rPr>
                <w:sz w:val="26"/>
                <w:szCs w:val="26"/>
                <w:lang w:val="uk-UA"/>
              </w:rPr>
              <w:t xml:space="preserve"> </w:t>
            </w:r>
            <w:r w:rsidRPr="002E6ECA">
              <w:rPr>
                <w:sz w:val="26"/>
                <w:szCs w:val="26"/>
                <w:lang w:val="uk-UA"/>
              </w:rPr>
              <w:t>серцевих</w:t>
            </w:r>
            <w:r w:rsidR="00D46B1B" w:rsidRPr="002E6ECA">
              <w:rPr>
                <w:sz w:val="26"/>
                <w:szCs w:val="26"/>
                <w:lang w:val="uk-UA"/>
              </w:rPr>
              <w:t xml:space="preserve"> </w:t>
            </w:r>
            <w:r w:rsidRPr="002E6ECA">
              <w:rPr>
                <w:sz w:val="26"/>
                <w:szCs w:val="26"/>
                <w:lang w:val="uk-UA"/>
              </w:rPr>
              <w:t>скорочень</w:t>
            </w:r>
          </w:p>
        </w:tc>
      </w:tr>
      <w:tr w:rsidR="00C34BE7" w:rsidRPr="002E6ECA" w:rsidTr="00B05FBE">
        <w:tc>
          <w:tcPr>
            <w:tcW w:w="1528" w:type="dxa"/>
            <w:tcMar>
              <w:left w:w="85" w:type="dxa"/>
              <w:right w:w="85" w:type="dxa"/>
            </w:tcMar>
          </w:tcPr>
          <w:p w:rsidR="00C34BE7" w:rsidRPr="002E6ECA" w:rsidRDefault="00C34BE7" w:rsidP="00B05FBE">
            <w:pPr>
              <w:shd w:val="clear" w:color="auto" w:fill="FFFFFF"/>
              <w:spacing w:line="312" w:lineRule="auto"/>
              <w:rPr>
                <w:sz w:val="26"/>
                <w:szCs w:val="26"/>
                <w:lang w:val="uk-UA"/>
              </w:rPr>
            </w:pPr>
            <w:r w:rsidRPr="002E6ECA">
              <w:rPr>
                <w:sz w:val="26"/>
                <w:szCs w:val="26"/>
                <w:lang w:val="uk-UA"/>
              </w:rPr>
              <w:t>ШЖС</w:t>
            </w:r>
          </w:p>
        </w:tc>
        <w:tc>
          <w:tcPr>
            <w:tcW w:w="356" w:type="dxa"/>
          </w:tcPr>
          <w:p w:rsidR="00C34BE7" w:rsidRPr="002E6ECA" w:rsidRDefault="00C34BE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C34BE7" w:rsidRPr="002E6ECA" w:rsidRDefault="00C34BE7" w:rsidP="00B05FBE">
            <w:pPr>
              <w:shd w:val="clear" w:color="auto" w:fill="FFFFFF"/>
              <w:spacing w:line="312" w:lineRule="auto"/>
              <w:rPr>
                <w:sz w:val="26"/>
                <w:szCs w:val="26"/>
                <w:lang w:val="uk-UA"/>
              </w:rPr>
            </w:pPr>
            <w:r w:rsidRPr="002E6ECA">
              <w:rPr>
                <w:sz w:val="26"/>
                <w:szCs w:val="26"/>
                <w:lang w:val="uk-UA"/>
              </w:rPr>
              <w:t>шкірно-жирова</w:t>
            </w:r>
            <w:r w:rsidR="00D46B1B" w:rsidRPr="002E6ECA">
              <w:rPr>
                <w:sz w:val="26"/>
                <w:szCs w:val="26"/>
                <w:lang w:val="uk-UA"/>
              </w:rPr>
              <w:t xml:space="preserve"> </w:t>
            </w:r>
            <w:r w:rsidRPr="002E6ECA">
              <w:rPr>
                <w:sz w:val="26"/>
                <w:szCs w:val="26"/>
                <w:lang w:val="uk-UA"/>
              </w:rPr>
              <w:t>складка</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lastRenderedPageBreak/>
              <w:t>ШФ</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F877B2" w:rsidP="00B05FBE">
            <w:pPr>
              <w:shd w:val="clear" w:color="auto" w:fill="FFFFFF"/>
              <w:spacing w:line="312" w:lineRule="auto"/>
              <w:rPr>
                <w:sz w:val="26"/>
                <w:szCs w:val="26"/>
                <w:lang w:val="uk-UA"/>
              </w:rPr>
            </w:pPr>
            <w:r w:rsidRPr="002E6ECA">
              <w:rPr>
                <w:sz w:val="26"/>
                <w:szCs w:val="26"/>
                <w:lang w:val="uk-UA"/>
              </w:rPr>
              <w:t>ш</w:t>
            </w:r>
            <w:r w:rsidR="00554A77" w:rsidRPr="002E6ECA">
              <w:rPr>
                <w:sz w:val="26"/>
                <w:szCs w:val="26"/>
                <w:lang w:val="uk-UA"/>
              </w:rPr>
              <w:t>кільне</w:t>
            </w:r>
            <w:r w:rsidR="00D46B1B" w:rsidRPr="002E6ECA">
              <w:rPr>
                <w:sz w:val="26"/>
                <w:szCs w:val="26"/>
                <w:lang w:val="uk-UA"/>
              </w:rPr>
              <w:t xml:space="preserve"> </w:t>
            </w:r>
            <w:r w:rsidR="00554A77"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ЯЖПЗ</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якість</w:t>
            </w:r>
            <w:r w:rsidR="00D46B1B" w:rsidRPr="002E6ECA">
              <w:rPr>
                <w:sz w:val="26"/>
                <w:szCs w:val="26"/>
                <w:lang w:val="uk-UA"/>
              </w:rPr>
              <w:t xml:space="preserve"> </w:t>
            </w:r>
            <w:r w:rsidRPr="002E6ECA">
              <w:rPr>
                <w:sz w:val="26"/>
                <w:szCs w:val="26"/>
                <w:lang w:val="uk-UA"/>
              </w:rPr>
              <w:t>життя,</w:t>
            </w:r>
            <w:r w:rsidR="00D46B1B" w:rsidRPr="002E6ECA">
              <w:rPr>
                <w:sz w:val="26"/>
                <w:szCs w:val="26"/>
                <w:lang w:val="uk-UA"/>
              </w:rPr>
              <w:t xml:space="preserve"> </w:t>
            </w:r>
            <w:r w:rsidRPr="002E6ECA">
              <w:rPr>
                <w:sz w:val="26"/>
                <w:szCs w:val="26"/>
                <w:lang w:val="uk-UA"/>
              </w:rPr>
              <w:t>що</w:t>
            </w:r>
            <w:r w:rsidR="00D46B1B" w:rsidRPr="002E6ECA">
              <w:rPr>
                <w:sz w:val="26"/>
                <w:szCs w:val="26"/>
                <w:lang w:val="uk-UA"/>
              </w:rPr>
              <w:t xml:space="preserve"> </w:t>
            </w:r>
            <w:r w:rsidRPr="002E6ECA">
              <w:rPr>
                <w:sz w:val="26"/>
                <w:szCs w:val="26"/>
                <w:lang w:val="uk-UA"/>
              </w:rPr>
              <w:t>пов’язана</w:t>
            </w:r>
            <w:r w:rsidR="00D46B1B" w:rsidRPr="002E6ECA">
              <w:rPr>
                <w:sz w:val="26"/>
                <w:szCs w:val="26"/>
                <w:lang w:val="uk-UA"/>
              </w:rPr>
              <w:t xml:space="preserve"> </w:t>
            </w:r>
            <w:r w:rsidRPr="002E6ECA">
              <w:rPr>
                <w:sz w:val="26"/>
                <w:szCs w:val="26"/>
                <w:lang w:val="uk-UA"/>
              </w:rPr>
              <w:t>зі</w:t>
            </w:r>
            <w:r w:rsidR="00D46B1B" w:rsidRPr="002E6ECA">
              <w:rPr>
                <w:sz w:val="26"/>
                <w:szCs w:val="26"/>
                <w:lang w:val="uk-UA"/>
              </w:rPr>
              <w:t xml:space="preserve"> </w:t>
            </w:r>
            <w:r w:rsidRPr="002E6ECA">
              <w:rPr>
                <w:sz w:val="26"/>
                <w:szCs w:val="26"/>
                <w:lang w:val="uk-UA"/>
              </w:rPr>
              <w:t>здоров’ям</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АМо</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амплітуда</w:t>
            </w:r>
            <w:r w:rsidR="00D46B1B" w:rsidRPr="002E6ECA">
              <w:rPr>
                <w:sz w:val="26"/>
                <w:szCs w:val="26"/>
                <w:lang w:val="uk-UA"/>
              </w:rPr>
              <w:t xml:space="preserve"> </w:t>
            </w:r>
            <w:r w:rsidRPr="002E6ECA">
              <w:rPr>
                <w:sz w:val="26"/>
                <w:szCs w:val="26"/>
                <w:lang w:val="uk-UA"/>
              </w:rPr>
              <w:t>моди</w:t>
            </w:r>
            <w:r w:rsidR="00D46B1B" w:rsidRPr="002E6ECA">
              <w:rPr>
                <w:sz w:val="26"/>
                <w:szCs w:val="26"/>
                <w:lang w:val="uk-UA"/>
              </w:rPr>
              <w:t xml:space="preserve"> </w:t>
            </w:r>
            <w:r w:rsidRPr="002E6ECA">
              <w:rPr>
                <w:sz w:val="26"/>
                <w:szCs w:val="26"/>
                <w:lang w:val="uk-UA"/>
              </w:rPr>
              <w:t>кардіоінтервалів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BP</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відчуття</w:t>
            </w:r>
            <w:r w:rsidR="00D46B1B" w:rsidRPr="002E6ECA">
              <w:rPr>
                <w:sz w:val="26"/>
                <w:szCs w:val="26"/>
                <w:lang w:val="uk-UA"/>
              </w:rPr>
              <w:t xml:space="preserve"> </w:t>
            </w:r>
            <w:r w:rsidRPr="002E6ECA">
              <w:rPr>
                <w:sz w:val="26"/>
                <w:szCs w:val="26"/>
                <w:lang w:val="uk-UA"/>
              </w:rPr>
              <w:t>болю</w:t>
            </w:r>
          </w:p>
        </w:tc>
      </w:tr>
      <w:tr w:rsidR="007C1D71" w:rsidRPr="002E6ECA" w:rsidTr="00B05FBE">
        <w:tc>
          <w:tcPr>
            <w:tcW w:w="152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CD</w:t>
            </w:r>
            <w:r w:rsidR="00D46B1B" w:rsidRPr="002E6ECA">
              <w:rPr>
                <w:sz w:val="26"/>
                <w:szCs w:val="26"/>
                <w:lang w:val="uk-UA"/>
              </w:rPr>
              <w:t xml:space="preserve"> </w:t>
            </w:r>
            <w:r w:rsidRPr="002E6ECA">
              <w:rPr>
                <w:sz w:val="26"/>
                <w:szCs w:val="26"/>
                <w:lang w:val="uk-UA"/>
              </w:rPr>
              <w:t>(КД)</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7C1D71" w:rsidP="00B05FBE">
            <w:pPr>
              <w:spacing w:line="312" w:lineRule="auto"/>
              <w:jc w:val="both"/>
              <w:rPr>
                <w:sz w:val="26"/>
                <w:szCs w:val="26"/>
                <w:lang w:val="uk-UA"/>
              </w:rPr>
            </w:pPr>
            <w:r w:rsidRPr="002E6ECA">
              <w:rPr>
                <w:sz w:val="26"/>
                <w:szCs w:val="26"/>
                <w:lang w:val="uk-UA"/>
              </w:rPr>
              <w:t>коефіцієнт</w:t>
            </w:r>
            <w:r w:rsidR="00D46B1B" w:rsidRPr="002E6ECA">
              <w:rPr>
                <w:sz w:val="26"/>
                <w:szCs w:val="26"/>
                <w:lang w:val="uk-UA"/>
              </w:rPr>
              <w:t xml:space="preserve"> </w:t>
            </w:r>
            <w:r w:rsidRPr="002E6ECA">
              <w:rPr>
                <w:sz w:val="26"/>
                <w:szCs w:val="26"/>
                <w:lang w:val="uk-UA"/>
              </w:rPr>
              <w:t>детермінації</w:t>
            </w:r>
          </w:p>
        </w:tc>
      </w:tr>
      <w:tr w:rsidR="007C1D71" w:rsidRPr="002E6ECA" w:rsidTr="00B05FBE">
        <w:tc>
          <w:tcPr>
            <w:tcW w:w="1528" w:type="dxa"/>
            <w:tcMar>
              <w:left w:w="85" w:type="dxa"/>
              <w:right w:w="85" w:type="dxa"/>
            </w:tcMar>
          </w:tcPr>
          <w:p w:rsidR="007C1D71" w:rsidRPr="002E6ECA" w:rsidRDefault="00F877B2" w:rsidP="00B05FBE">
            <w:pPr>
              <w:shd w:val="clear" w:color="auto" w:fill="FFFFFF"/>
              <w:spacing w:line="312" w:lineRule="auto"/>
              <w:rPr>
                <w:sz w:val="26"/>
                <w:szCs w:val="26"/>
                <w:lang w:val="uk-UA"/>
              </w:rPr>
            </w:pPr>
            <w:r w:rsidRPr="002E6ECA">
              <w:rPr>
                <w:sz w:val="26"/>
                <w:szCs w:val="26"/>
                <w:lang w:val="uk-UA"/>
              </w:rPr>
              <w:t>CDN</w:t>
            </w:r>
            <w:r w:rsidR="007C1D71" w:rsidRPr="002E6ECA">
              <w:rPr>
                <w:sz w:val="26"/>
                <w:szCs w:val="26"/>
                <w:lang w:val="uk-UA"/>
              </w:rPr>
              <w:t>(КДН)</w:t>
            </w:r>
          </w:p>
        </w:tc>
        <w:tc>
          <w:tcPr>
            <w:tcW w:w="356" w:type="dxa"/>
          </w:tcPr>
          <w:p w:rsidR="007C1D71" w:rsidRPr="002E6ECA" w:rsidRDefault="007C1D71"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7C1D71" w:rsidRPr="002E6ECA" w:rsidRDefault="007C1D71" w:rsidP="00B05FBE">
            <w:pPr>
              <w:shd w:val="clear" w:color="auto" w:fill="FFFFFF"/>
              <w:spacing w:line="312" w:lineRule="auto"/>
              <w:rPr>
                <w:sz w:val="26"/>
                <w:szCs w:val="26"/>
                <w:lang w:val="uk-UA"/>
              </w:rPr>
            </w:pPr>
            <w:r w:rsidRPr="002E6ECA">
              <w:rPr>
                <w:sz w:val="26"/>
                <w:szCs w:val="26"/>
                <w:lang w:val="uk-UA"/>
              </w:rPr>
              <w:t>коефіцієнт</w:t>
            </w:r>
            <w:r w:rsidR="00D46B1B" w:rsidRPr="002E6ECA">
              <w:rPr>
                <w:sz w:val="26"/>
                <w:szCs w:val="26"/>
                <w:lang w:val="uk-UA"/>
              </w:rPr>
              <w:t xml:space="preserve"> </w:t>
            </w:r>
            <w:r w:rsidRPr="002E6ECA">
              <w:rPr>
                <w:sz w:val="26"/>
                <w:szCs w:val="26"/>
                <w:lang w:val="uk-UA"/>
              </w:rPr>
              <w:t>детермінації</w:t>
            </w:r>
            <w:r w:rsidR="00D46B1B" w:rsidRPr="002E6ECA">
              <w:rPr>
                <w:sz w:val="26"/>
                <w:szCs w:val="26"/>
                <w:lang w:val="uk-UA"/>
              </w:rPr>
              <w:t xml:space="preserve"> </w:t>
            </w:r>
            <w:r w:rsidRPr="002E6ECA">
              <w:rPr>
                <w:sz w:val="26"/>
                <w:szCs w:val="26"/>
                <w:lang w:val="uk-UA"/>
              </w:rPr>
              <w:t>нормалізований</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GH</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загальне</w:t>
            </w:r>
            <w:r w:rsidR="00D46B1B" w:rsidRPr="002E6ECA">
              <w:rPr>
                <w:sz w:val="26"/>
                <w:szCs w:val="26"/>
                <w:lang w:val="uk-UA"/>
              </w:rPr>
              <w:t xml:space="preserve"> </w:t>
            </w:r>
            <w:r w:rsidRPr="002E6ECA">
              <w:rPr>
                <w:sz w:val="26"/>
                <w:szCs w:val="26"/>
                <w:lang w:val="uk-UA"/>
              </w:rPr>
              <w:t>здоров'я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HF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потужність</w:t>
            </w:r>
            <w:r w:rsidR="00D46B1B" w:rsidRPr="002E6ECA">
              <w:rPr>
                <w:sz w:val="26"/>
                <w:szCs w:val="26"/>
                <w:lang w:val="uk-UA"/>
              </w:rPr>
              <w:t xml:space="preserve"> </w:t>
            </w:r>
            <w:r w:rsidRPr="002E6ECA">
              <w:rPr>
                <w:sz w:val="26"/>
                <w:szCs w:val="26"/>
                <w:lang w:val="uk-UA"/>
              </w:rPr>
              <w:t>високочастотної</w:t>
            </w:r>
            <w:r w:rsidR="00D46B1B" w:rsidRPr="002E6ECA">
              <w:rPr>
                <w:sz w:val="26"/>
                <w:szCs w:val="26"/>
                <w:lang w:val="uk-UA"/>
              </w:rPr>
              <w:t xml:space="preserve"> </w:t>
            </w:r>
            <w:r w:rsidRPr="002E6ECA">
              <w:rPr>
                <w:sz w:val="26"/>
                <w:szCs w:val="26"/>
                <w:lang w:val="uk-UA"/>
              </w:rPr>
              <w:t>складової</w:t>
            </w:r>
            <w:r w:rsidR="00D46B1B" w:rsidRPr="002E6ECA">
              <w:rPr>
                <w:sz w:val="26"/>
                <w:szCs w:val="26"/>
                <w:lang w:val="uk-UA"/>
              </w:rPr>
              <w:t xml:space="preserve"> </w:t>
            </w:r>
            <w:r w:rsidRPr="002E6ECA">
              <w:rPr>
                <w:sz w:val="26"/>
                <w:szCs w:val="26"/>
                <w:lang w:val="uk-UA"/>
              </w:rPr>
              <w:t>спектру</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IVR</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індекс</w:t>
            </w:r>
            <w:r w:rsidR="00D46B1B" w:rsidRPr="002E6ECA">
              <w:rPr>
                <w:sz w:val="26"/>
                <w:szCs w:val="26"/>
                <w:lang w:val="uk-UA"/>
              </w:rPr>
              <w:t xml:space="preserve"> </w:t>
            </w:r>
            <w:r w:rsidRPr="002E6ECA">
              <w:rPr>
                <w:sz w:val="26"/>
                <w:szCs w:val="26"/>
                <w:lang w:val="uk-UA"/>
              </w:rPr>
              <w:t>вегетативної</w:t>
            </w:r>
            <w:r w:rsidR="00D46B1B" w:rsidRPr="002E6ECA">
              <w:rPr>
                <w:sz w:val="26"/>
                <w:szCs w:val="26"/>
                <w:lang w:val="uk-UA"/>
              </w:rPr>
              <w:t xml:space="preserve"> </w:t>
            </w:r>
            <w:r w:rsidRPr="002E6ECA">
              <w:rPr>
                <w:sz w:val="26"/>
                <w:szCs w:val="26"/>
                <w:lang w:val="uk-UA"/>
              </w:rPr>
              <w:t>рівноваги</w:t>
            </w:r>
            <w:r w:rsidR="00D46B1B" w:rsidRPr="002E6ECA">
              <w:rPr>
                <w:sz w:val="26"/>
                <w:szCs w:val="26"/>
                <w:lang w:val="uk-UA"/>
              </w:rPr>
              <w:t xml:space="preserve"> </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LF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потужність</w:t>
            </w:r>
            <w:r w:rsidR="00D46B1B" w:rsidRPr="002E6ECA">
              <w:rPr>
                <w:sz w:val="26"/>
                <w:szCs w:val="26"/>
                <w:lang w:val="uk-UA"/>
              </w:rPr>
              <w:t xml:space="preserve"> </w:t>
            </w:r>
            <w:r w:rsidRPr="002E6ECA">
              <w:rPr>
                <w:sz w:val="26"/>
                <w:szCs w:val="26"/>
                <w:lang w:val="uk-UA"/>
              </w:rPr>
              <w:t>низькочастотної</w:t>
            </w:r>
            <w:r w:rsidR="00D46B1B" w:rsidRPr="002E6ECA">
              <w:rPr>
                <w:sz w:val="26"/>
                <w:szCs w:val="26"/>
                <w:lang w:val="uk-UA"/>
              </w:rPr>
              <w:t xml:space="preserve"> </w:t>
            </w:r>
            <w:r w:rsidRPr="002E6ECA">
              <w:rPr>
                <w:sz w:val="26"/>
                <w:szCs w:val="26"/>
                <w:lang w:val="uk-UA"/>
              </w:rPr>
              <w:t>складової</w:t>
            </w:r>
            <w:r w:rsidR="00D46B1B" w:rsidRPr="002E6ECA">
              <w:rPr>
                <w:sz w:val="26"/>
                <w:szCs w:val="26"/>
                <w:lang w:val="uk-UA"/>
              </w:rPr>
              <w:t xml:space="preserve"> </w:t>
            </w:r>
            <w:r w:rsidRPr="002E6ECA">
              <w:rPr>
                <w:sz w:val="26"/>
                <w:szCs w:val="26"/>
                <w:lang w:val="uk-UA"/>
              </w:rPr>
              <w:t>спектру</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LF/HF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симпатовагальний</w:t>
            </w:r>
            <w:r w:rsidR="00D46B1B" w:rsidRPr="002E6ECA">
              <w:rPr>
                <w:sz w:val="26"/>
                <w:szCs w:val="26"/>
                <w:lang w:val="uk-UA"/>
              </w:rPr>
              <w:t xml:space="preserve"> </w:t>
            </w:r>
            <w:r w:rsidRPr="002E6ECA">
              <w:rPr>
                <w:sz w:val="26"/>
                <w:szCs w:val="26"/>
                <w:lang w:val="uk-UA"/>
              </w:rPr>
              <w:t>індекс</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MH</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психологічне</w:t>
            </w:r>
            <w:r w:rsidR="00D46B1B" w:rsidRPr="002E6ECA">
              <w:rPr>
                <w:sz w:val="26"/>
                <w:szCs w:val="26"/>
                <w:lang w:val="uk-UA"/>
              </w:rPr>
              <w:t xml:space="preserve"> </w:t>
            </w:r>
            <w:r w:rsidRPr="002E6ECA">
              <w:rPr>
                <w:sz w:val="26"/>
                <w:szCs w:val="26"/>
                <w:lang w:val="uk-UA"/>
              </w:rPr>
              <w:t>здоров'я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bCs/>
                <w:sz w:val="26"/>
                <w:szCs w:val="26"/>
                <w:lang w:val="uk-UA"/>
              </w:rPr>
              <w:t>Мо</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мода</w:t>
            </w:r>
            <w:r w:rsidR="00D46B1B" w:rsidRPr="002E6ECA">
              <w:rPr>
                <w:sz w:val="26"/>
                <w:szCs w:val="26"/>
                <w:lang w:val="uk-UA"/>
              </w:rPr>
              <w:t xml:space="preserve"> </w:t>
            </w:r>
            <w:r w:rsidRPr="002E6ECA">
              <w:rPr>
                <w:sz w:val="26"/>
                <w:szCs w:val="26"/>
                <w:lang w:val="uk-UA"/>
              </w:rPr>
              <w:t>кардіоінтервалів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mRR</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середня</w:t>
            </w:r>
            <w:r w:rsidR="00D46B1B" w:rsidRPr="002E6ECA">
              <w:rPr>
                <w:sz w:val="26"/>
                <w:szCs w:val="26"/>
                <w:lang w:val="uk-UA"/>
              </w:rPr>
              <w:t xml:space="preserve"> </w:t>
            </w:r>
            <w:r w:rsidRPr="002E6ECA">
              <w:rPr>
                <w:sz w:val="26"/>
                <w:szCs w:val="26"/>
                <w:lang w:val="uk-UA"/>
              </w:rPr>
              <w:t>тривалість</w:t>
            </w:r>
            <w:r w:rsidR="00D46B1B" w:rsidRPr="002E6ECA">
              <w:rPr>
                <w:sz w:val="26"/>
                <w:szCs w:val="26"/>
                <w:lang w:val="uk-UA"/>
              </w:rPr>
              <w:t xml:space="preserve"> </w:t>
            </w:r>
            <w:r w:rsidRPr="002E6ECA">
              <w:rPr>
                <w:sz w:val="26"/>
                <w:szCs w:val="26"/>
                <w:lang w:val="uk-UA"/>
              </w:rPr>
              <w:t>кардіоінтервалів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MxDMn</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варіаційний</w:t>
            </w:r>
            <w:r w:rsidR="00D46B1B" w:rsidRPr="002E6ECA">
              <w:rPr>
                <w:sz w:val="26"/>
                <w:szCs w:val="26"/>
                <w:lang w:val="uk-UA"/>
              </w:rPr>
              <w:t xml:space="preserve"> </w:t>
            </w:r>
            <w:r w:rsidRPr="002E6ECA">
              <w:rPr>
                <w:sz w:val="26"/>
                <w:szCs w:val="26"/>
                <w:lang w:val="uk-UA"/>
              </w:rPr>
              <w:t>розмах</w:t>
            </w:r>
            <w:r w:rsidR="00D46B1B" w:rsidRPr="002E6ECA">
              <w:rPr>
                <w:sz w:val="26"/>
                <w:szCs w:val="26"/>
                <w:lang w:val="uk-UA"/>
              </w:rPr>
              <w:t xml:space="preserve"> </w:t>
            </w:r>
            <w:r w:rsidRPr="002E6ECA">
              <w:rPr>
                <w:sz w:val="26"/>
                <w:szCs w:val="26"/>
                <w:lang w:val="uk-UA"/>
              </w:rPr>
              <w:t>кардіоінтервалів</w:t>
            </w:r>
            <w:r w:rsidR="00D46B1B" w:rsidRPr="002E6ECA">
              <w:rPr>
                <w:sz w:val="26"/>
                <w:szCs w:val="26"/>
                <w:lang w:val="uk-UA"/>
              </w:rPr>
              <w:t xml:space="preserve"> </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PAPR</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показник</w:t>
            </w:r>
            <w:r w:rsidR="00D46B1B" w:rsidRPr="002E6ECA">
              <w:rPr>
                <w:sz w:val="26"/>
                <w:szCs w:val="26"/>
                <w:lang w:val="uk-UA"/>
              </w:rPr>
              <w:t xml:space="preserve"> </w:t>
            </w:r>
            <w:r w:rsidRPr="002E6ECA">
              <w:rPr>
                <w:sz w:val="26"/>
                <w:szCs w:val="26"/>
                <w:lang w:val="uk-UA"/>
              </w:rPr>
              <w:t>адекватності</w:t>
            </w:r>
            <w:r w:rsidR="00D46B1B" w:rsidRPr="002E6ECA">
              <w:rPr>
                <w:sz w:val="26"/>
                <w:szCs w:val="26"/>
                <w:lang w:val="uk-UA"/>
              </w:rPr>
              <w:t xml:space="preserve"> </w:t>
            </w:r>
            <w:r w:rsidRPr="002E6ECA">
              <w:rPr>
                <w:sz w:val="26"/>
                <w:szCs w:val="26"/>
                <w:lang w:val="uk-UA"/>
              </w:rPr>
              <w:t>процесів</w:t>
            </w:r>
            <w:r w:rsidR="00D46B1B" w:rsidRPr="002E6ECA">
              <w:rPr>
                <w:sz w:val="26"/>
                <w:szCs w:val="26"/>
                <w:lang w:val="uk-UA"/>
              </w:rPr>
              <w:t xml:space="preserve"> </w:t>
            </w:r>
            <w:r w:rsidRPr="002E6ECA">
              <w:rPr>
                <w:sz w:val="26"/>
                <w:szCs w:val="26"/>
                <w:lang w:val="uk-UA"/>
              </w:rPr>
              <w:t>регуляції</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PF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фізичне</w:t>
            </w:r>
            <w:r w:rsidR="00D46B1B" w:rsidRPr="002E6ECA">
              <w:rPr>
                <w:sz w:val="26"/>
                <w:szCs w:val="26"/>
                <w:lang w:val="uk-UA"/>
              </w:rPr>
              <w:t xml:space="preserve"> </w:t>
            </w:r>
            <w:r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pNN50%</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відсоток</w:t>
            </w:r>
            <w:r w:rsidR="00D46B1B" w:rsidRPr="002E6ECA">
              <w:rPr>
                <w:sz w:val="26"/>
                <w:szCs w:val="26"/>
                <w:lang w:val="uk-UA"/>
              </w:rPr>
              <w:t xml:space="preserve"> </w:t>
            </w:r>
            <w:r w:rsidRPr="002E6ECA">
              <w:rPr>
                <w:sz w:val="26"/>
                <w:szCs w:val="26"/>
                <w:lang w:val="uk-UA"/>
              </w:rPr>
              <w:t>послідовних</w:t>
            </w:r>
            <w:r w:rsidR="00D46B1B" w:rsidRPr="002E6ECA">
              <w:rPr>
                <w:sz w:val="26"/>
                <w:szCs w:val="26"/>
                <w:lang w:val="uk-UA"/>
              </w:rPr>
              <w:t xml:space="preserve"> </w:t>
            </w:r>
            <w:r w:rsidRPr="002E6ECA">
              <w:rPr>
                <w:sz w:val="26"/>
                <w:szCs w:val="26"/>
                <w:lang w:val="uk-UA"/>
              </w:rPr>
              <w:t>інтервалів</w:t>
            </w:r>
            <w:r w:rsidR="00D46B1B" w:rsidRPr="002E6ECA">
              <w:rPr>
                <w:sz w:val="26"/>
                <w:szCs w:val="26"/>
                <w:lang w:val="uk-UA"/>
              </w:rPr>
              <w:t xml:space="preserve"> </w:t>
            </w:r>
            <w:r w:rsidRPr="002E6ECA">
              <w:rPr>
                <w:sz w:val="26"/>
                <w:szCs w:val="26"/>
                <w:lang w:val="uk-UA"/>
              </w:rPr>
              <w:t>із</w:t>
            </w:r>
            <w:r w:rsidR="00D46B1B" w:rsidRPr="002E6ECA">
              <w:rPr>
                <w:sz w:val="26"/>
                <w:szCs w:val="26"/>
                <w:lang w:val="uk-UA"/>
              </w:rPr>
              <w:t xml:space="preserve"> </w:t>
            </w:r>
            <w:r w:rsidRPr="002E6ECA">
              <w:rPr>
                <w:sz w:val="26"/>
                <w:szCs w:val="26"/>
                <w:lang w:val="uk-UA"/>
              </w:rPr>
              <w:t>різницею</w:t>
            </w:r>
            <w:r w:rsidR="00D46B1B" w:rsidRPr="002E6ECA">
              <w:rPr>
                <w:sz w:val="26"/>
                <w:szCs w:val="26"/>
                <w:lang w:val="uk-UA"/>
              </w:rPr>
              <w:t xml:space="preserve"> </w:t>
            </w:r>
            <w:r w:rsidRPr="002E6ECA">
              <w:rPr>
                <w:sz w:val="26"/>
                <w:szCs w:val="26"/>
                <w:lang w:val="uk-UA"/>
              </w:rPr>
              <w:t>понад</w:t>
            </w:r>
            <w:r w:rsidR="00D46B1B" w:rsidRPr="002E6ECA">
              <w:rPr>
                <w:sz w:val="26"/>
                <w:szCs w:val="26"/>
                <w:lang w:val="uk-UA"/>
              </w:rPr>
              <w:t xml:space="preserve"> </w:t>
            </w:r>
            <w:r w:rsidRPr="002E6ECA">
              <w:rPr>
                <w:sz w:val="26"/>
                <w:szCs w:val="26"/>
                <w:lang w:val="uk-UA"/>
              </w:rPr>
              <w:t>50</w:t>
            </w:r>
            <w:r w:rsidR="00D46B1B" w:rsidRPr="002E6ECA">
              <w:rPr>
                <w:sz w:val="26"/>
                <w:szCs w:val="26"/>
                <w:lang w:val="uk-UA"/>
              </w:rPr>
              <w:t xml:space="preserve"> </w:t>
            </w:r>
            <w:r w:rsidRPr="002E6ECA">
              <w:rPr>
                <w:sz w:val="26"/>
                <w:szCs w:val="26"/>
                <w:lang w:val="uk-UA"/>
              </w:rPr>
              <w:t>мс</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RE</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рольове</w:t>
            </w:r>
            <w:r w:rsidR="00D46B1B" w:rsidRPr="002E6ECA">
              <w:rPr>
                <w:sz w:val="26"/>
                <w:szCs w:val="26"/>
                <w:lang w:val="uk-UA"/>
              </w:rPr>
              <w:t xml:space="preserve"> </w:t>
            </w:r>
            <w:r w:rsidRPr="002E6ECA">
              <w:rPr>
                <w:sz w:val="26"/>
                <w:szCs w:val="26"/>
                <w:lang w:val="uk-UA"/>
              </w:rPr>
              <w:t>емоційне</w:t>
            </w:r>
            <w:r w:rsidR="00D46B1B" w:rsidRPr="002E6ECA">
              <w:rPr>
                <w:sz w:val="26"/>
                <w:szCs w:val="26"/>
                <w:lang w:val="uk-UA"/>
              </w:rPr>
              <w:t xml:space="preserve"> </w:t>
            </w:r>
            <w:r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bCs/>
                <w:sz w:val="26"/>
                <w:szCs w:val="26"/>
                <w:lang w:val="uk-UA"/>
              </w:rPr>
              <w:t>RMSSD</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квадратний</w:t>
            </w:r>
            <w:r w:rsidR="00D46B1B" w:rsidRPr="002E6ECA">
              <w:rPr>
                <w:sz w:val="26"/>
                <w:szCs w:val="26"/>
                <w:lang w:val="uk-UA"/>
              </w:rPr>
              <w:t xml:space="preserve"> </w:t>
            </w:r>
            <w:r w:rsidRPr="002E6ECA">
              <w:rPr>
                <w:sz w:val="26"/>
                <w:szCs w:val="26"/>
                <w:lang w:val="uk-UA"/>
              </w:rPr>
              <w:t>корінь</w:t>
            </w:r>
            <w:r w:rsidR="00D46B1B" w:rsidRPr="002E6ECA">
              <w:rPr>
                <w:sz w:val="26"/>
                <w:szCs w:val="26"/>
                <w:lang w:val="uk-UA"/>
              </w:rPr>
              <w:t xml:space="preserve"> </w:t>
            </w:r>
            <w:r w:rsidRPr="002E6ECA">
              <w:rPr>
                <w:sz w:val="26"/>
                <w:szCs w:val="26"/>
                <w:lang w:val="uk-UA"/>
              </w:rPr>
              <w:t>з</w:t>
            </w:r>
            <w:r w:rsidR="00D46B1B" w:rsidRPr="002E6ECA">
              <w:rPr>
                <w:sz w:val="26"/>
                <w:szCs w:val="26"/>
                <w:lang w:val="uk-UA"/>
              </w:rPr>
              <w:t xml:space="preserve"> </w:t>
            </w:r>
            <w:r w:rsidRPr="002E6ECA">
              <w:rPr>
                <w:sz w:val="26"/>
                <w:szCs w:val="26"/>
                <w:lang w:val="uk-UA"/>
              </w:rPr>
              <w:t>суми</w:t>
            </w:r>
            <w:r w:rsidR="00D46B1B" w:rsidRPr="002E6ECA">
              <w:rPr>
                <w:sz w:val="26"/>
                <w:szCs w:val="26"/>
                <w:lang w:val="uk-UA"/>
              </w:rPr>
              <w:t xml:space="preserve"> </w:t>
            </w:r>
            <w:r w:rsidRPr="002E6ECA">
              <w:rPr>
                <w:sz w:val="26"/>
                <w:szCs w:val="26"/>
                <w:lang w:val="uk-UA"/>
              </w:rPr>
              <w:t>квадратів</w:t>
            </w:r>
            <w:r w:rsidR="00D46B1B" w:rsidRPr="002E6ECA">
              <w:rPr>
                <w:sz w:val="26"/>
                <w:szCs w:val="26"/>
                <w:lang w:val="uk-UA"/>
              </w:rPr>
              <w:t xml:space="preserve"> </w:t>
            </w:r>
            <w:r w:rsidRPr="002E6ECA">
              <w:rPr>
                <w:sz w:val="26"/>
                <w:szCs w:val="26"/>
                <w:lang w:val="uk-UA"/>
              </w:rPr>
              <w:t>різниці</w:t>
            </w:r>
            <w:r w:rsidR="00D46B1B" w:rsidRPr="002E6ECA">
              <w:rPr>
                <w:sz w:val="26"/>
                <w:szCs w:val="26"/>
                <w:lang w:val="uk-UA"/>
              </w:rPr>
              <w:t xml:space="preserve"> </w:t>
            </w:r>
            <w:r w:rsidRPr="002E6ECA">
              <w:rPr>
                <w:sz w:val="26"/>
                <w:szCs w:val="26"/>
                <w:lang w:val="uk-UA"/>
              </w:rPr>
              <w:t>величин</w:t>
            </w:r>
            <w:r w:rsidR="00D46B1B" w:rsidRPr="002E6ECA">
              <w:rPr>
                <w:sz w:val="26"/>
                <w:szCs w:val="26"/>
                <w:lang w:val="uk-UA"/>
              </w:rPr>
              <w:t xml:space="preserve"> </w:t>
            </w:r>
            <w:r w:rsidRPr="002E6ECA">
              <w:rPr>
                <w:sz w:val="26"/>
                <w:szCs w:val="26"/>
                <w:lang w:val="uk-UA"/>
              </w:rPr>
              <w:t>послідовних</w:t>
            </w:r>
            <w:r w:rsidR="00D46B1B" w:rsidRPr="002E6ECA">
              <w:rPr>
                <w:sz w:val="26"/>
                <w:szCs w:val="26"/>
                <w:lang w:val="uk-UA"/>
              </w:rPr>
              <w:t xml:space="preserve"> </w:t>
            </w:r>
            <w:r w:rsidRPr="002E6ECA">
              <w:rPr>
                <w:sz w:val="26"/>
                <w:szCs w:val="26"/>
                <w:lang w:val="uk-UA"/>
              </w:rPr>
              <w:t>пар</w:t>
            </w:r>
            <w:r w:rsidR="00D46B1B" w:rsidRPr="002E6ECA">
              <w:rPr>
                <w:sz w:val="26"/>
                <w:szCs w:val="26"/>
                <w:lang w:val="uk-UA"/>
              </w:rPr>
              <w:t xml:space="preserve"> </w:t>
            </w:r>
            <w:r w:rsidRPr="002E6ECA">
              <w:rPr>
                <w:sz w:val="26"/>
                <w:szCs w:val="26"/>
                <w:lang w:val="uk-UA"/>
              </w:rPr>
              <w:t>кардіоінтервалів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RP</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рольове</w:t>
            </w:r>
            <w:r w:rsidR="00D46B1B" w:rsidRPr="002E6ECA">
              <w:rPr>
                <w:sz w:val="26"/>
                <w:szCs w:val="26"/>
                <w:lang w:val="uk-UA"/>
              </w:rPr>
              <w:t xml:space="preserve"> </w:t>
            </w:r>
            <w:r w:rsidRPr="002E6ECA">
              <w:rPr>
                <w:sz w:val="26"/>
                <w:szCs w:val="26"/>
                <w:lang w:val="uk-UA"/>
              </w:rPr>
              <w:t>фізичне</w:t>
            </w:r>
            <w:r w:rsidR="00D46B1B" w:rsidRPr="002E6ECA">
              <w:rPr>
                <w:sz w:val="26"/>
                <w:szCs w:val="26"/>
                <w:lang w:val="uk-UA"/>
              </w:rPr>
              <w:t xml:space="preserve"> </w:t>
            </w:r>
            <w:r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SDNN</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середньоквадратичне</w:t>
            </w:r>
            <w:r w:rsidR="00D46B1B" w:rsidRPr="002E6ECA">
              <w:rPr>
                <w:sz w:val="26"/>
                <w:szCs w:val="26"/>
                <w:lang w:val="uk-UA"/>
              </w:rPr>
              <w:t xml:space="preserve"> </w:t>
            </w:r>
            <w:r w:rsidRPr="002E6ECA">
              <w:rPr>
                <w:sz w:val="26"/>
                <w:szCs w:val="26"/>
                <w:lang w:val="uk-UA"/>
              </w:rPr>
              <w:t>відхилення</w:t>
            </w:r>
            <w:r w:rsidR="00D46B1B" w:rsidRPr="002E6ECA">
              <w:rPr>
                <w:sz w:val="26"/>
                <w:szCs w:val="26"/>
                <w:lang w:val="uk-UA"/>
              </w:rPr>
              <w:t xml:space="preserve"> </w:t>
            </w:r>
            <w:r w:rsidRPr="002E6ECA">
              <w:rPr>
                <w:sz w:val="26"/>
                <w:szCs w:val="26"/>
                <w:lang w:val="uk-UA"/>
              </w:rPr>
              <w:t>нормальних</w:t>
            </w:r>
            <w:r w:rsidR="00D46B1B" w:rsidRPr="002E6ECA">
              <w:rPr>
                <w:sz w:val="26"/>
                <w:szCs w:val="26"/>
                <w:lang w:val="uk-UA"/>
              </w:rPr>
              <w:t xml:space="preserve"> </w:t>
            </w:r>
            <w:r w:rsidRPr="002E6ECA">
              <w:rPr>
                <w:sz w:val="26"/>
                <w:szCs w:val="26"/>
                <w:lang w:val="uk-UA"/>
              </w:rPr>
              <w:t>кардіоінтервалів</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SF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соціальне</w:t>
            </w:r>
            <w:r w:rsidR="00D46B1B" w:rsidRPr="002E6ECA">
              <w:rPr>
                <w:sz w:val="26"/>
                <w:szCs w:val="26"/>
                <w:lang w:val="uk-UA"/>
              </w:rPr>
              <w:t xml:space="preserve"> </w:t>
            </w:r>
            <w:r w:rsidRPr="002E6ECA">
              <w:rPr>
                <w:sz w:val="26"/>
                <w:szCs w:val="26"/>
                <w:lang w:val="uk-UA"/>
              </w:rPr>
              <w:t>функціонування</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SI</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стрес-індекс</w:t>
            </w:r>
            <w:r w:rsidR="00D46B1B" w:rsidRPr="002E6ECA">
              <w:rPr>
                <w:sz w:val="26"/>
                <w:szCs w:val="26"/>
                <w:lang w:val="uk-UA"/>
              </w:rPr>
              <w:t xml:space="preserve"> </w:t>
            </w:r>
            <w:r w:rsidRPr="002E6ECA">
              <w:rPr>
                <w:sz w:val="26"/>
                <w:szCs w:val="26"/>
                <w:lang w:val="uk-UA"/>
              </w:rPr>
              <w:t>(індекс</w:t>
            </w:r>
            <w:r w:rsidR="00D46B1B" w:rsidRPr="002E6ECA">
              <w:rPr>
                <w:sz w:val="26"/>
                <w:szCs w:val="26"/>
                <w:lang w:val="uk-UA"/>
              </w:rPr>
              <w:t xml:space="preserve"> </w:t>
            </w:r>
            <w:r w:rsidRPr="002E6ECA">
              <w:rPr>
                <w:sz w:val="26"/>
                <w:szCs w:val="26"/>
                <w:lang w:val="uk-UA"/>
              </w:rPr>
              <w:t>напруження</w:t>
            </w:r>
            <w:r w:rsidR="00D46B1B" w:rsidRPr="002E6ECA">
              <w:rPr>
                <w:sz w:val="26"/>
                <w:szCs w:val="26"/>
                <w:lang w:val="uk-UA"/>
              </w:rPr>
              <w:t xml:space="preserve"> </w:t>
            </w:r>
            <w:r w:rsidRPr="002E6ECA">
              <w:rPr>
                <w:sz w:val="26"/>
                <w:szCs w:val="26"/>
                <w:lang w:val="uk-UA"/>
              </w:rPr>
              <w:t>Баєвського)</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TP</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показник</w:t>
            </w:r>
            <w:r w:rsidR="00D46B1B" w:rsidRPr="002E6ECA">
              <w:rPr>
                <w:sz w:val="26"/>
                <w:szCs w:val="26"/>
                <w:lang w:val="uk-UA"/>
              </w:rPr>
              <w:t xml:space="preserve"> </w:t>
            </w:r>
            <w:r w:rsidRPr="002E6ECA">
              <w:rPr>
                <w:sz w:val="26"/>
                <w:szCs w:val="26"/>
                <w:lang w:val="uk-UA"/>
              </w:rPr>
              <w:t>сумарної</w:t>
            </w:r>
            <w:r w:rsidR="00D46B1B" w:rsidRPr="002E6ECA">
              <w:rPr>
                <w:sz w:val="26"/>
                <w:szCs w:val="26"/>
                <w:lang w:val="uk-UA"/>
              </w:rPr>
              <w:t xml:space="preserve"> </w:t>
            </w:r>
            <w:r w:rsidRPr="002E6ECA">
              <w:rPr>
                <w:sz w:val="26"/>
                <w:szCs w:val="26"/>
                <w:lang w:val="uk-UA"/>
              </w:rPr>
              <w:t>потужності</w:t>
            </w:r>
            <w:r w:rsidR="00D46B1B" w:rsidRPr="002E6ECA">
              <w:rPr>
                <w:sz w:val="26"/>
                <w:szCs w:val="26"/>
                <w:lang w:val="uk-UA"/>
              </w:rPr>
              <w:t xml:space="preserve"> </w:t>
            </w:r>
            <w:r w:rsidRPr="002E6ECA">
              <w:rPr>
                <w:sz w:val="26"/>
                <w:szCs w:val="26"/>
                <w:lang w:val="uk-UA"/>
              </w:rPr>
              <w:t>спектру</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bCs/>
                <w:sz w:val="26"/>
                <w:szCs w:val="26"/>
                <w:lang w:val="uk-UA"/>
              </w:rPr>
            </w:pPr>
            <w:r w:rsidRPr="002E6ECA">
              <w:rPr>
                <w:sz w:val="26"/>
                <w:szCs w:val="26"/>
                <w:lang w:val="uk-UA"/>
              </w:rPr>
              <w:t>VLF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потужність</w:t>
            </w:r>
            <w:r w:rsidR="00D46B1B" w:rsidRPr="002E6ECA">
              <w:rPr>
                <w:sz w:val="26"/>
                <w:szCs w:val="26"/>
                <w:lang w:val="uk-UA"/>
              </w:rPr>
              <w:t xml:space="preserve"> </w:t>
            </w:r>
            <w:r w:rsidRPr="002E6ECA">
              <w:rPr>
                <w:sz w:val="26"/>
                <w:szCs w:val="26"/>
                <w:lang w:val="uk-UA"/>
              </w:rPr>
              <w:t>дуже</w:t>
            </w:r>
            <w:r w:rsidR="00D46B1B" w:rsidRPr="002E6ECA">
              <w:rPr>
                <w:sz w:val="26"/>
                <w:szCs w:val="26"/>
                <w:lang w:val="uk-UA"/>
              </w:rPr>
              <w:t xml:space="preserve"> </w:t>
            </w:r>
            <w:r w:rsidRPr="002E6ECA">
              <w:rPr>
                <w:sz w:val="26"/>
                <w:szCs w:val="26"/>
                <w:lang w:val="uk-UA"/>
              </w:rPr>
              <w:t>низькочастотної</w:t>
            </w:r>
            <w:r w:rsidR="00D46B1B" w:rsidRPr="002E6ECA">
              <w:rPr>
                <w:sz w:val="26"/>
                <w:szCs w:val="26"/>
                <w:lang w:val="uk-UA"/>
              </w:rPr>
              <w:t xml:space="preserve"> </w:t>
            </w:r>
            <w:r w:rsidRPr="002E6ECA">
              <w:rPr>
                <w:sz w:val="26"/>
                <w:szCs w:val="26"/>
                <w:lang w:val="uk-UA"/>
              </w:rPr>
              <w:t>складової</w:t>
            </w:r>
            <w:r w:rsidR="00D46B1B" w:rsidRPr="002E6ECA">
              <w:rPr>
                <w:sz w:val="26"/>
                <w:szCs w:val="26"/>
                <w:lang w:val="uk-UA"/>
              </w:rPr>
              <w:t xml:space="preserve"> </w:t>
            </w:r>
            <w:r w:rsidRPr="002E6ECA">
              <w:rPr>
                <w:sz w:val="26"/>
                <w:szCs w:val="26"/>
                <w:lang w:val="uk-UA"/>
              </w:rPr>
              <w:t>спектру</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bCs/>
                <w:sz w:val="26"/>
                <w:szCs w:val="26"/>
                <w:lang w:val="uk-UA"/>
              </w:rPr>
              <w:t>VPR</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вегетативний</w:t>
            </w:r>
            <w:r w:rsidR="00D46B1B" w:rsidRPr="002E6ECA">
              <w:rPr>
                <w:sz w:val="26"/>
                <w:szCs w:val="26"/>
                <w:lang w:val="uk-UA"/>
              </w:rPr>
              <w:t xml:space="preserve"> </w:t>
            </w:r>
            <w:r w:rsidRPr="002E6ECA">
              <w:rPr>
                <w:sz w:val="26"/>
                <w:szCs w:val="26"/>
                <w:lang w:val="uk-UA"/>
              </w:rPr>
              <w:t>показник</w:t>
            </w:r>
            <w:r w:rsidR="00D46B1B" w:rsidRPr="002E6ECA">
              <w:rPr>
                <w:sz w:val="26"/>
                <w:szCs w:val="26"/>
                <w:lang w:val="uk-UA"/>
              </w:rPr>
              <w:t xml:space="preserve"> </w:t>
            </w:r>
            <w:r w:rsidRPr="002E6ECA">
              <w:rPr>
                <w:sz w:val="26"/>
                <w:szCs w:val="26"/>
                <w:lang w:val="uk-UA"/>
              </w:rPr>
              <w:t>ритму</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VT</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життєздатність</w:t>
            </w:r>
          </w:p>
        </w:tc>
      </w:tr>
      <w:tr w:rsidR="00554A77" w:rsidRPr="002E6ECA" w:rsidTr="00B05FBE">
        <w:tc>
          <w:tcPr>
            <w:tcW w:w="1528" w:type="dxa"/>
            <w:tcMar>
              <w:left w:w="85" w:type="dxa"/>
              <w:right w:w="85" w:type="dxa"/>
            </w:tcMar>
          </w:tcPr>
          <w:p w:rsidR="00554A77" w:rsidRPr="002E6ECA" w:rsidRDefault="00554A77" w:rsidP="00B05FBE">
            <w:pPr>
              <w:shd w:val="clear" w:color="auto" w:fill="FFFFFF"/>
              <w:spacing w:line="312" w:lineRule="auto"/>
              <w:rPr>
                <w:bCs/>
                <w:sz w:val="26"/>
                <w:szCs w:val="26"/>
                <w:lang w:val="uk-UA"/>
              </w:rPr>
            </w:pPr>
            <w:r w:rsidRPr="002E6ECA">
              <w:rPr>
                <w:sz w:val="26"/>
                <w:szCs w:val="26"/>
                <w:lang w:val="uk-UA"/>
              </w:rPr>
              <w:t>ULF</w:t>
            </w:r>
          </w:p>
        </w:tc>
        <w:tc>
          <w:tcPr>
            <w:tcW w:w="356" w:type="dxa"/>
          </w:tcPr>
          <w:p w:rsidR="00554A77" w:rsidRPr="002E6ECA" w:rsidRDefault="00554A77" w:rsidP="00B05FBE">
            <w:pPr>
              <w:spacing w:line="312" w:lineRule="auto"/>
              <w:rPr>
                <w:sz w:val="26"/>
                <w:szCs w:val="26"/>
                <w:lang w:val="uk-UA"/>
              </w:rPr>
            </w:pPr>
            <w:r w:rsidRPr="002E6ECA">
              <w:rPr>
                <w:sz w:val="26"/>
                <w:szCs w:val="26"/>
                <w:lang w:val="uk-UA"/>
              </w:rPr>
              <w:t>–</w:t>
            </w:r>
          </w:p>
        </w:tc>
        <w:tc>
          <w:tcPr>
            <w:tcW w:w="7968" w:type="dxa"/>
            <w:tcMar>
              <w:left w:w="85" w:type="dxa"/>
              <w:right w:w="85" w:type="dxa"/>
            </w:tcMar>
          </w:tcPr>
          <w:p w:rsidR="00554A77" w:rsidRPr="002E6ECA" w:rsidRDefault="00554A77" w:rsidP="00B05FBE">
            <w:pPr>
              <w:shd w:val="clear" w:color="auto" w:fill="FFFFFF"/>
              <w:spacing w:line="312" w:lineRule="auto"/>
              <w:rPr>
                <w:sz w:val="26"/>
                <w:szCs w:val="26"/>
                <w:lang w:val="uk-UA"/>
              </w:rPr>
            </w:pPr>
            <w:r w:rsidRPr="002E6ECA">
              <w:rPr>
                <w:sz w:val="26"/>
                <w:szCs w:val="26"/>
                <w:lang w:val="uk-UA"/>
              </w:rPr>
              <w:t>потужність</w:t>
            </w:r>
            <w:r w:rsidR="00D46B1B" w:rsidRPr="002E6ECA">
              <w:rPr>
                <w:sz w:val="26"/>
                <w:szCs w:val="26"/>
                <w:lang w:val="uk-UA"/>
              </w:rPr>
              <w:t xml:space="preserve"> </w:t>
            </w:r>
            <w:r w:rsidRPr="002E6ECA">
              <w:rPr>
                <w:sz w:val="26"/>
                <w:szCs w:val="26"/>
                <w:lang w:val="uk-UA"/>
              </w:rPr>
              <w:t>ультранизькочастотної</w:t>
            </w:r>
            <w:r w:rsidR="00D46B1B" w:rsidRPr="002E6ECA">
              <w:rPr>
                <w:sz w:val="26"/>
                <w:szCs w:val="26"/>
                <w:lang w:val="uk-UA"/>
              </w:rPr>
              <w:t xml:space="preserve"> </w:t>
            </w:r>
            <w:r w:rsidRPr="002E6ECA">
              <w:rPr>
                <w:sz w:val="26"/>
                <w:szCs w:val="26"/>
                <w:lang w:val="uk-UA"/>
              </w:rPr>
              <w:t>складової</w:t>
            </w:r>
            <w:r w:rsidR="00D46B1B" w:rsidRPr="002E6ECA">
              <w:rPr>
                <w:sz w:val="26"/>
                <w:szCs w:val="26"/>
                <w:lang w:val="uk-UA"/>
              </w:rPr>
              <w:t xml:space="preserve"> </w:t>
            </w:r>
            <w:r w:rsidRPr="002E6ECA">
              <w:rPr>
                <w:sz w:val="26"/>
                <w:szCs w:val="26"/>
                <w:lang w:val="uk-UA"/>
              </w:rPr>
              <w:t>спектру</w:t>
            </w:r>
          </w:p>
        </w:tc>
      </w:tr>
    </w:tbl>
    <w:p w:rsidR="008662DB" w:rsidRPr="002E6ECA" w:rsidRDefault="00917BD4" w:rsidP="00D24E56">
      <w:pPr>
        <w:spacing w:line="360" w:lineRule="auto"/>
        <w:jc w:val="center"/>
        <w:rPr>
          <w:sz w:val="28"/>
          <w:szCs w:val="28"/>
          <w:lang w:val="uk-UA"/>
        </w:rPr>
      </w:pPr>
      <w:r w:rsidRPr="002E6ECA">
        <w:rPr>
          <w:sz w:val="28"/>
          <w:szCs w:val="28"/>
          <w:lang w:val="uk-UA"/>
        </w:rPr>
        <w:br w:type="page"/>
      </w:r>
      <w:r w:rsidR="00FB13C4" w:rsidRPr="002E6ECA">
        <w:rPr>
          <w:sz w:val="28"/>
          <w:szCs w:val="28"/>
          <w:lang w:val="uk-UA"/>
        </w:rPr>
        <w:lastRenderedPageBreak/>
        <w:t>ВСТУП</w:t>
      </w:r>
    </w:p>
    <w:p w:rsidR="008662DB" w:rsidRPr="002E6ECA" w:rsidRDefault="008662DB" w:rsidP="008662DB">
      <w:pPr>
        <w:shd w:val="clear" w:color="auto" w:fill="FFFFFF"/>
        <w:spacing w:line="360" w:lineRule="auto"/>
        <w:ind w:firstLine="709"/>
        <w:jc w:val="center"/>
        <w:rPr>
          <w:sz w:val="28"/>
          <w:szCs w:val="28"/>
          <w:lang w:val="uk-UA"/>
        </w:rPr>
      </w:pPr>
    </w:p>
    <w:p w:rsidR="00E07216" w:rsidRPr="002E6ECA" w:rsidRDefault="00FB13C4" w:rsidP="00E07216">
      <w:pPr>
        <w:pStyle w:val="a3"/>
        <w:spacing w:line="360" w:lineRule="auto"/>
        <w:ind w:left="0" w:firstLine="720"/>
        <w:jc w:val="both"/>
        <w:rPr>
          <w:sz w:val="28"/>
          <w:szCs w:val="28"/>
          <w:lang w:val="uk-UA"/>
        </w:rPr>
      </w:pPr>
      <w:r w:rsidRPr="002E6ECA">
        <w:rPr>
          <w:rStyle w:val="fontstyle01"/>
          <w:rFonts w:ascii="Times New Roman" w:hAnsi="Times New Roman"/>
          <w:color w:val="auto"/>
          <w:sz w:val="28"/>
          <w:szCs w:val="28"/>
          <w:lang w:val="uk-UA"/>
        </w:rPr>
        <w:t>Обґрунтування</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вибору</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теми</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дослідження.</w:t>
      </w:r>
      <w:r w:rsidR="00D46B1B" w:rsidRPr="002E6ECA">
        <w:rPr>
          <w:rStyle w:val="fontstyle01"/>
          <w:rFonts w:ascii="Times New Roman" w:hAnsi="Times New Roman"/>
          <w:color w:val="auto"/>
          <w:sz w:val="28"/>
          <w:szCs w:val="28"/>
          <w:lang w:val="uk-UA"/>
        </w:rPr>
        <w:t xml:space="preserve"> </w:t>
      </w:r>
      <w:r w:rsidR="00E07216" w:rsidRPr="002E6ECA">
        <w:rPr>
          <w:sz w:val="28"/>
          <w:szCs w:val="28"/>
          <w:lang w:val="uk-UA"/>
        </w:rPr>
        <w:t>Реформування системи шкільної освіти у ХХІ ст. пов’язане з впровадженням нових форм навчання та глобальною інформатизацією, що супроводжується інтенсифікацією навчального процесу. Зазначене знаходить відображення у формуванні шкільного стресу і як наслідок вже протягом 20 років зберігається тенденція до подальшого зростання поширеності морфофункціональних відхилень, розладів психіки та поведінки, збільшення частки учнів з низьким рівнем адаптаційно-резервних можливостей на 25% порівняно з дітьми дошкільного та молодшого шкільного віку, зростанням гострої та хронічної соматичної захворюваності, у т.ч. у вигляді поєднаної патології, що ускладнює діагностику, лікування і тим більше профілактику патологічних станів і потребує особливого підходу при формуванні заходів щодо первинної  профілактики на індивідуальному та груповому рівнях [</w:t>
      </w:r>
      <w:r w:rsidR="00E07216" w:rsidRPr="002E6ECA">
        <w:rPr>
          <w:bCs/>
          <w:spacing w:val="-4"/>
          <w:sz w:val="28"/>
          <w:szCs w:val="28"/>
          <w:lang w:val="uk-UA"/>
        </w:rPr>
        <w:t xml:space="preserve">4, 5, 13, 14, 42, 47, </w:t>
      </w:r>
      <w:r w:rsidR="00E07216" w:rsidRPr="002E6ECA">
        <w:rPr>
          <w:bCs/>
          <w:spacing w:val="-2"/>
          <w:sz w:val="28"/>
          <w:szCs w:val="28"/>
          <w:lang w:val="uk-UA"/>
        </w:rPr>
        <w:t xml:space="preserve">57, </w:t>
      </w:r>
      <w:r w:rsidR="00E07216" w:rsidRPr="002E6ECA">
        <w:rPr>
          <w:spacing w:val="-4"/>
          <w:sz w:val="28"/>
          <w:szCs w:val="28"/>
          <w:lang w:val="uk-UA"/>
        </w:rPr>
        <w:t xml:space="preserve">70, 72, 79, 84, 87, 97, </w:t>
      </w:r>
      <w:r w:rsidR="00E07216" w:rsidRPr="002E6ECA">
        <w:rPr>
          <w:bCs/>
          <w:spacing w:val="-4"/>
          <w:sz w:val="28"/>
          <w:szCs w:val="28"/>
          <w:lang w:val="uk-UA"/>
        </w:rPr>
        <w:t>130</w:t>
      </w:r>
      <w:r w:rsidR="00E07216" w:rsidRPr="002E6ECA">
        <w:rPr>
          <w:bCs/>
          <w:spacing w:val="-2"/>
          <w:sz w:val="28"/>
          <w:szCs w:val="28"/>
          <w:lang w:val="uk-UA"/>
        </w:rPr>
        <w:t xml:space="preserve">, </w:t>
      </w:r>
      <w:r w:rsidR="00E07216" w:rsidRPr="002E6ECA">
        <w:rPr>
          <w:spacing w:val="-2"/>
          <w:sz w:val="28"/>
          <w:szCs w:val="28"/>
          <w:lang w:val="uk-UA"/>
        </w:rPr>
        <w:t>151, 152, 168, 188, 196, 220].</w:t>
      </w:r>
    </w:p>
    <w:p w:rsidR="00E07216" w:rsidRPr="002E6ECA" w:rsidRDefault="00E07216" w:rsidP="00E07216">
      <w:pPr>
        <w:spacing w:line="360" w:lineRule="auto"/>
        <w:ind w:firstLine="709"/>
        <w:jc w:val="both"/>
        <w:rPr>
          <w:sz w:val="28"/>
          <w:szCs w:val="28"/>
          <w:lang w:val="uk-UA"/>
        </w:rPr>
      </w:pPr>
      <w:r w:rsidRPr="002E6ECA">
        <w:rPr>
          <w:sz w:val="28"/>
          <w:szCs w:val="28"/>
          <w:lang w:val="uk-UA"/>
        </w:rPr>
        <w:t xml:space="preserve">На тлі підвищення поширеності патологічної ураженості зазнає значних негативних змін і спосіб життя дітей шкільного віку, що визначається значним дисбалансом видів організації </w:t>
      </w:r>
      <w:r w:rsidRPr="002E6ECA">
        <w:rPr>
          <w:bCs/>
          <w:sz w:val="28"/>
          <w:szCs w:val="28"/>
          <w:lang w:val="uk-UA"/>
        </w:rPr>
        <w:t>дозвілля у бік таких пасивних занять як надмірне захоплення комп'ютерною ігровою</w:t>
      </w:r>
      <w:r w:rsidRPr="002E6ECA">
        <w:rPr>
          <w:sz w:val="28"/>
          <w:szCs w:val="28"/>
          <w:lang w:val="uk-UA"/>
        </w:rPr>
        <w:t xml:space="preserve"> </w:t>
      </w:r>
      <w:r w:rsidRPr="002E6ECA">
        <w:rPr>
          <w:bCs/>
          <w:sz w:val="28"/>
          <w:szCs w:val="28"/>
          <w:lang w:val="uk-UA"/>
        </w:rPr>
        <w:t xml:space="preserve">діяльністю, </w:t>
      </w:r>
      <w:r w:rsidRPr="002E6ECA">
        <w:rPr>
          <w:sz w:val="28"/>
          <w:szCs w:val="28"/>
          <w:lang w:val="uk-UA"/>
        </w:rPr>
        <w:t>інтерактивні розваги</w:t>
      </w:r>
      <w:r w:rsidRPr="002E6ECA">
        <w:rPr>
          <w:bCs/>
          <w:sz w:val="28"/>
          <w:szCs w:val="28"/>
          <w:lang w:val="uk-UA"/>
        </w:rPr>
        <w:t xml:space="preserve">, перегляд телепередач, що у поєднанні з підвищенням розумового навантаження, надтривалого виконання домашніх завдань, недостатньої тривалості нічного сну і перебування на свіжому повітрі у купі з обмеженням загальної рухової активності сприяє поширенню патологічних </w:t>
      </w:r>
      <w:r w:rsidRPr="002E6ECA">
        <w:rPr>
          <w:spacing w:val="-6"/>
          <w:sz w:val="28"/>
          <w:szCs w:val="28"/>
          <w:lang w:val="uk-UA"/>
        </w:rPr>
        <w:t>станів у дитячій популяції</w:t>
      </w:r>
      <w:r w:rsidRPr="002E6ECA">
        <w:rPr>
          <w:bCs/>
          <w:sz w:val="28"/>
          <w:szCs w:val="28"/>
          <w:lang w:val="uk-UA"/>
        </w:rPr>
        <w:t xml:space="preserve"> [</w:t>
      </w:r>
      <w:r w:rsidRPr="002E6ECA">
        <w:rPr>
          <w:spacing w:val="-6"/>
          <w:sz w:val="28"/>
          <w:szCs w:val="28"/>
          <w:lang w:val="uk-UA"/>
        </w:rPr>
        <w:t>17,</w:t>
      </w:r>
      <w:r w:rsidRPr="002E6ECA">
        <w:rPr>
          <w:sz w:val="28"/>
          <w:szCs w:val="28"/>
          <w:lang w:val="uk-UA"/>
        </w:rPr>
        <w:t xml:space="preserve"> 44, 47, 52, 108, 159, 279</w:t>
      </w:r>
      <w:r w:rsidRPr="002E6ECA">
        <w:rPr>
          <w:bCs/>
          <w:sz w:val="28"/>
          <w:szCs w:val="28"/>
          <w:lang w:val="uk-UA"/>
        </w:rPr>
        <w:t xml:space="preserve">, </w:t>
      </w:r>
      <w:r w:rsidRPr="002E6ECA">
        <w:rPr>
          <w:sz w:val="28"/>
          <w:szCs w:val="28"/>
          <w:lang w:val="uk-UA"/>
        </w:rPr>
        <w:t>308, 311, 375</w:t>
      </w:r>
      <w:r w:rsidRPr="002E6ECA">
        <w:rPr>
          <w:bCs/>
          <w:sz w:val="28"/>
          <w:szCs w:val="28"/>
          <w:lang w:val="uk-UA"/>
        </w:rPr>
        <w:t xml:space="preserve">, </w:t>
      </w:r>
      <w:r w:rsidRPr="002E6ECA">
        <w:rPr>
          <w:sz w:val="28"/>
          <w:szCs w:val="28"/>
          <w:lang w:val="uk-UA"/>
        </w:rPr>
        <w:t xml:space="preserve">394, </w:t>
      </w:r>
      <w:hyperlink r:id="rId12" w:tooltip="Найти еще записи для этого автора" w:history="1">
        <w:r w:rsidRPr="002E6ECA">
          <w:rPr>
            <w:sz w:val="28"/>
            <w:szCs w:val="28"/>
            <w:lang w:val="uk-UA"/>
          </w:rPr>
          <w:t>397</w:t>
        </w:r>
      </w:hyperlink>
      <w:r w:rsidRPr="002E6ECA">
        <w:rPr>
          <w:bCs/>
          <w:sz w:val="28"/>
          <w:szCs w:val="28"/>
          <w:lang w:val="uk-UA"/>
        </w:rPr>
        <w:t xml:space="preserve">, </w:t>
      </w:r>
      <w:r w:rsidRPr="002E6ECA">
        <w:rPr>
          <w:sz w:val="28"/>
          <w:szCs w:val="28"/>
          <w:lang w:val="uk-UA"/>
        </w:rPr>
        <w:t>403</w:t>
      </w:r>
      <w:r w:rsidRPr="002E6ECA">
        <w:rPr>
          <w:bCs/>
          <w:sz w:val="28"/>
          <w:szCs w:val="28"/>
          <w:lang w:val="uk-UA"/>
        </w:rPr>
        <w:t xml:space="preserve">, </w:t>
      </w:r>
      <w:r w:rsidRPr="002E6ECA">
        <w:rPr>
          <w:sz w:val="28"/>
          <w:szCs w:val="28"/>
          <w:lang w:val="uk-UA"/>
        </w:rPr>
        <w:t xml:space="preserve">412, </w:t>
      </w:r>
      <w:hyperlink r:id="rId13" w:tooltip="Найти еще записи для этого автора" w:history="1">
        <w:r w:rsidRPr="002E6ECA">
          <w:rPr>
            <w:sz w:val="28"/>
            <w:szCs w:val="28"/>
            <w:lang w:val="uk-UA"/>
          </w:rPr>
          <w:t>456</w:t>
        </w:r>
      </w:hyperlink>
      <w:r w:rsidRPr="002E6ECA">
        <w:rPr>
          <w:bCs/>
          <w:sz w:val="28"/>
          <w:szCs w:val="28"/>
          <w:lang w:val="uk-UA"/>
        </w:rPr>
        <w:t xml:space="preserve">, </w:t>
      </w:r>
      <w:r w:rsidRPr="002E6ECA">
        <w:rPr>
          <w:sz w:val="28"/>
          <w:szCs w:val="28"/>
          <w:lang w:val="uk-UA"/>
        </w:rPr>
        <w:t>463</w:t>
      </w:r>
      <w:r w:rsidRPr="002E6ECA">
        <w:rPr>
          <w:bCs/>
          <w:sz w:val="28"/>
          <w:szCs w:val="28"/>
          <w:lang w:val="uk-UA"/>
        </w:rPr>
        <w:t>].</w:t>
      </w:r>
    </w:p>
    <w:p w:rsidR="00E07216" w:rsidRPr="002E6ECA" w:rsidRDefault="00E07216" w:rsidP="00E07216">
      <w:pPr>
        <w:spacing w:line="360" w:lineRule="auto"/>
        <w:ind w:firstLine="709"/>
        <w:jc w:val="both"/>
        <w:rPr>
          <w:sz w:val="28"/>
          <w:szCs w:val="28"/>
        </w:rPr>
      </w:pPr>
      <w:r w:rsidRPr="002E6ECA">
        <w:rPr>
          <w:spacing w:val="-2"/>
          <w:sz w:val="28"/>
          <w:szCs w:val="28"/>
        </w:rPr>
        <w:t xml:space="preserve">Ставлення до власного здоров’я, формування навичок раціонального харчування та режиму дня, відмова від шкідливих звичок постають значущими </w:t>
      </w:r>
      <w:r w:rsidRPr="002E6ECA">
        <w:rPr>
          <w:spacing w:val="-4"/>
          <w:sz w:val="28"/>
          <w:szCs w:val="28"/>
        </w:rPr>
        <w:t xml:space="preserve">важелями впливу на стан здоров’я підростаючого покоління. Головним осередком такого впливу постають освітні заклади, які з одного боку є одним із соціальних детермінантів здоров'я, а з іншого дієвою платформою для впровадження </w:t>
      </w:r>
      <w:r w:rsidRPr="002E6ECA">
        <w:rPr>
          <w:spacing w:val="-4"/>
          <w:sz w:val="28"/>
          <w:szCs w:val="28"/>
        </w:rPr>
        <w:lastRenderedPageBreak/>
        <w:t>профілактичних заходів</w:t>
      </w:r>
      <w:r w:rsidRPr="002E6ECA">
        <w:rPr>
          <w:spacing w:val="-2"/>
          <w:sz w:val="28"/>
          <w:szCs w:val="28"/>
        </w:rPr>
        <w:t xml:space="preserve"> [22, 47, </w:t>
      </w:r>
      <w:r w:rsidRPr="002E6ECA">
        <w:rPr>
          <w:rFonts w:eastAsia="Calibri"/>
          <w:spacing w:val="-2"/>
          <w:sz w:val="28"/>
          <w:szCs w:val="28"/>
        </w:rPr>
        <w:t>48</w:t>
      </w:r>
      <w:r w:rsidRPr="002E6ECA">
        <w:rPr>
          <w:spacing w:val="-2"/>
          <w:sz w:val="28"/>
          <w:szCs w:val="28"/>
        </w:rPr>
        <w:t>, 57, 62, 84</w:t>
      </w:r>
      <w:r w:rsidRPr="002E6ECA">
        <w:rPr>
          <w:bCs/>
          <w:iCs/>
          <w:spacing w:val="-2"/>
          <w:sz w:val="28"/>
          <w:szCs w:val="28"/>
        </w:rPr>
        <w:t xml:space="preserve">, </w:t>
      </w:r>
      <w:r w:rsidRPr="002E6ECA">
        <w:rPr>
          <w:spacing w:val="-2"/>
          <w:sz w:val="28"/>
          <w:szCs w:val="28"/>
        </w:rPr>
        <w:t xml:space="preserve">159, 210, </w:t>
      </w:r>
      <w:r w:rsidRPr="002E6ECA">
        <w:rPr>
          <w:spacing w:val="-2"/>
          <w:sz w:val="28"/>
          <w:szCs w:val="28"/>
          <w:lang w:val="uk-UA"/>
        </w:rPr>
        <w:t>248</w:t>
      </w:r>
      <w:r w:rsidRPr="002E6ECA">
        <w:rPr>
          <w:spacing w:val="-2"/>
          <w:sz w:val="28"/>
          <w:szCs w:val="28"/>
        </w:rPr>
        <w:t>, 276, 281</w:t>
      </w:r>
      <w:r w:rsidRPr="002E6ECA">
        <w:rPr>
          <w:spacing w:val="-2"/>
          <w:sz w:val="28"/>
          <w:szCs w:val="28"/>
          <w:shd w:val="clear" w:color="auto" w:fill="FFFFFF"/>
        </w:rPr>
        <w:t xml:space="preserve">, </w:t>
      </w:r>
      <w:r w:rsidRPr="002E6ECA">
        <w:rPr>
          <w:spacing w:val="-2"/>
          <w:sz w:val="28"/>
          <w:szCs w:val="28"/>
        </w:rPr>
        <w:t>333</w:t>
      </w:r>
      <w:r w:rsidRPr="002E6ECA">
        <w:rPr>
          <w:spacing w:val="-2"/>
          <w:sz w:val="28"/>
          <w:szCs w:val="28"/>
          <w:shd w:val="clear" w:color="auto" w:fill="FFFFFF"/>
        </w:rPr>
        <w:t xml:space="preserve">, 358, </w:t>
      </w:r>
      <w:r w:rsidRPr="002E6ECA">
        <w:rPr>
          <w:spacing w:val="-2"/>
          <w:sz w:val="28"/>
          <w:szCs w:val="28"/>
        </w:rPr>
        <w:t>429</w:t>
      </w:r>
      <w:r w:rsidRPr="002E6ECA">
        <w:rPr>
          <w:spacing w:val="-2"/>
          <w:sz w:val="28"/>
          <w:szCs w:val="28"/>
          <w:shd w:val="clear" w:color="auto" w:fill="FFFFFF"/>
        </w:rPr>
        <w:t>, 445, 457, 458].</w:t>
      </w:r>
      <w:r w:rsidRPr="002E6ECA">
        <w:rPr>
          <w:spacing w:val="-2"/>
          <w:sz w:val="28"/>
          <w:szCs w:val="28"/>
        </w:rPr>
        <w:t xml:space="preserve"> </w:t>
      </w:r>
    </w:p>
    <w:p w:rsidR="00E07216" w:rsidRPr="002E6ECA" w:rsidRDefault="00E07216" w:rsidP="00E07216">
      <w:pPr>
        <w:tabs>
          <w:tab w:val="left" w:pos="708"/>
        </w:tabs>
        <w:spacing w:line="360" w:lineRule="auto"/>
        <w:ind w:firstLine="851"/>
        <w:jc w:val="both"/>
        <w:rPr>
          <w:sz w:val="28"/>
          <w:szCs w:val="28"/>
        </w:rPr>
      </w:pPr>
      <w:r w:rsidRPr="002E6ECA">
        <w:rPr>
          <w:sz w:val="28"/>
          <w:szCs w:val="28"/>
        </w:rPr>
        <w:t>На період навчання в основній школі припадають процеси самоідентифікації особистості на фоні взаємопов’язаних, але гетерохронних змін у біологічному, когнітивному, емоційному та соціальному функціонуванні організму. Саме тому підлітковий вік розглядається як період підвищеної схильності до стресу, що формується в умовах щоденного впливу чинників освітнього середовища, з яких найбільш агресивними постають: великий обсяг навчального матеріалу, методика викладання, щільний графік навчання, недосконала система оцінювання з частим контролем знань, конкурентне освітнє середовище, особисті переживання, пов’язані з навчанням, міжособистісні відносини з вчителями та однокласниками, групові соціальні фактори [</w:t>
      </w:r>
      <w:r w:rsidRPr="002E6ECA">
        <w:rPr>
          <w:rStyle w:val="element-citation"/>
          <w:sz w:val="28"/>
          <w:szCs w:val="28"/>
        </w:rPr>
        <w:t xml:space="preserve">314, 322, 332, 344, 353, 372, 426, 430, </w:t>
      </w:r>
      <w:r w:rsidRPr="002E6ECA">
        <w:rPr>
          <w:spacing w:val="-8"/>
          <w:sz w:val="28"/>
          <w:szCs w:val="28"/>
          <w:shd w:val="clear" w:color="auto" w:fill="FFFFFF"/>
        </w:rPr>
        <w:t>441</w:t>
      </w:r>
      <w:r w:rsidRPr="002E6ECA">
        <w:rPr>
          <w:sz w:val="28"/>
          <w:szCs w:val="28"/>
          <w:shd w:val="clear" w:color="auto" w:fill="FFFFFF"/>
        </w:rPr>
        <w:t xml:space="preserve">, 447]. </w:t>
      </w:r>
      <w:r w:rsidRPr="002E6ECA">
        <w:rPr>
          <w:sz w:val="28"/>
          <w:szCs w:val="28"/>
        </w:rPr>
        <w:t>Зазначені дані є досить вагомим підґрунтям для проведення моніторингу рівня шкільного стресу і, відповідно, гострої та хронічної захворюваності та проявів шкільної дезадаптації серед учнівської молоді.</w:t>
      </w:r>
    </w:p>
    <w:p w:rsidR="00E07216" w:rsidRPr="002E6ECA" w:rsidRDefault="00E07216" w:rsidP="00E07216">
      <w:pPr>
        <w:spacing w:line="360" w:lineRule="auto"/>
        <w:ind w:firstLine="709"/>
        <w:jc w:val="both"/>
        <w:rPr>
          <w:sz w:val="28"/>
          <w:szCs w:val="28"/>
        </w:rPr>
      </w:pPr>
      <w:r w:rsidRPr="002E6ECA">
        <w:rPr>
          <w:sz w:val="28"/>
          <w:szCs w:val="28"/>
        </w:rPr>
        <w:t xml:space="preserve">Проте реформування системи медичного обслуговування школярів як структурного компоненту соціально-гігієнічного моніторингу та реорганізація Державної санітарно-епідеміологічної служби як ключової ланки у його реалізації призвели до </w:t>
      </w:r>
      <w:r w:rsidRPr="002E6ECA">
        <w:rPr>
          <w:spacing w:val="-2"/>
          <w:sz w:val="28"/>
          <w:szCs w:val="28"/>
        </w:rPr>
        <w:t>обмеження виконання головного принципу – забезпечення санітарного та епідемічного благополуччя дитячого населення під час здобування загальної середньої освіти у частині контролю стану здоров’я школярів, встановлення причинно-наслідкових зв’язків з чинниками внутрішньошкільного та навколишнього середовища, розробки та впровадженні цільових профілактичних заходів щодо попередження шкільної дезадаптації, гострих та хронічних захворювань. У цій площині постає актуальним завдання щодо удосконалення затвердженої існуючої, але не реалізованої в повному обсязі системи соціально-гігієнічного моніторингу у відповідності до сучасних можливостей системи охорони здоров’я.</w:t>
      </w:r>
    </w:p>
    <w:p w:rsidR="009711AA" w:rsidRPr="002E6ECA" w:rsidRDefault="00FB13C4" w:rsidP="001A0E08">
      <w:pPr>
        <w:spacing w:line="360" w:lineRule="auto"/>
        <w:ind w:firstLine="709"/>
        <w:jc w:val="both"/>
        <w:rPr>
          <w:sz w:val="28"/>
          <w:szCs w:val="28"/>
          <w:lang w:val="uk-UA"/>
        </w:rPr>
      </w:pPr>
      <w:r w:rsidRPr="002E6ECA">
        <w:rPr>
          <w:rStyle w:val="fontstyle01"/>
          <w:rFonts w:ascii="Times New Roman" w:hAnsi="Times New Roman"/>
          <w:color w:val="auto"/>
          <w:sz w:val="28"/>
          <w:szCs w:val="28"/>
          <w:lang w:val="uk-UA"/>
        </w:rPr>
        <w:lastRenderedPageBreak/>
        <w:t>Зв’язок</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роботи</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з</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науковими</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програми,</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планами,</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темами,</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грантами.</w:t>
      </w:r>
      <w:r w:rsidR="00D46B1B" w:rsidRPr="002E6ECA">
        <w:rPr>
          <w:rStyle w:val="fontstyle01"/>
          <w:rFonts w:ascii="Times New Roman" w:hAnsi="Times New Roman"/>
          <w:color w:val="auto"/>
          <w:sz w:val="28"/>
          <w:szCs w:val="28"/>
          <w:lang w:val="uk-UA"/>
        </w:rPr>
        <w:t xml:space="preserve"> </w:t>
      </w:r>
      <w:r w:rsidR="00F62F71" w:rsidRPr="002E6ECA">
        <w:rPr>
          <w:sz w:val="28"/>
          <w:szCs w:val="28"/>
          <w:lang w:val="uk-UA"/>
        </w:rPr>
        <w:t>Дисертаційну роботу виконано відповідно до плану НДР ДУ «Інститут охорони здоров’я дітей та підлітків НАМН України»: «Визначити медико-соціальні умови позитивного впливу родини на збереження і зміцнення здоров’я дітей шкільного віку» (№ держреєстрації: 0117</w:t>
      </w:r>
      <w:r w:rsidR="00F62F71" w:rsidRPr="002E6ECA">
        <w:rPr>
          <w:sz w:val="28"/>
          <w:szCs w:val="28"/>
        </w:rPr>
        <w:t>U</w:t>
      </w:r>
      <w:r w:rsidR="00F62F71" w:rsidRPr="002E6ECA">
        <w:rPr>
          <w:sz w:val="28"/>
          <w:szCs w:val="28"/>
          <w:lang w:val="uk-UA"/>
        </w:rPr>
        <w:t>003011, термін виконання: 2017-2018</w:t>
      </w:r>
      <w:r w:rsidR="00E07216" w:rsidRPr="002E6ECA">
        <w:rPr>
          <w:sz w:val="28"/>
          <w:szCs w:val="28"/>
          <w:lang w:val="uk-UA"/>
        </w:rPr>
        <w:t> </w:t>
      </w:r>
      <w:r w:rsidR="00F62F71" w:rsidRPr="002E6ECA">
        <w:rPr>
          <w:sz w:val="28"/>
          <w:szCs w:val="28"/>
          <w:lang w:val="uk-UA"/>
        </w:rPr>
        <w:t>рр.); «Визначити особливості перебігу пубертату у підлітків в умовах сучасного соціуму» (№ держреєстрації: 0119</w:t>
      </w:r>
      <w:r w:rsidR="00F62F71" w:rsidRPr="002E6ECA">
        <w:rPr>
          <w:sz w:val="28"/>
          <w:szCs w:val="28"/>
        </w:rPr>
        <w:t>U</w:t>
      </w:r>
      <w:r w:rsidR="00F62F71" w:rsidRPr="002E6ECA">
        <w:rPr>
          <w:sz w:val="28"/>
          <w:szCs w:val="28"/>
          <w:lang w:val="uk-UA"/>
        </w:rPr>
        <w:t xml:space="preserve">100058, термін виконання: 2019-2020 рр.); «Удосконалити систему </w:t>
      </w:r>
      <w:r w:rsidR="00F62F71" w:rsidRPr="002E6ECA">
        <w:rPr>
          <w:spacing w:val="-4"/>
          <w:sz w:val="28"/>
          <w:szCs w:val="28"/>
          <w:lang w:val="uk-UA"/>
        </w:rPr>
        <w:t>медичного супроводу хлопців із затримкою статевого розвитку з урахуванням ступеню гіпоандрогенії та коморбідних захворювань»</w:t>
      </w:r>
      <w:r w:rsidR="00F62F71" w:rsidRPr="002E6ECA">
        <w:rPr>
          <w:sz w:val="28"/>
          <w:szCs w:val="28"/>
          <w:lang w:val="uk-UA"/>
        </w:rPr>
        <w:t xml:space="preserve"> </w:t>
      </w:r>
      <w:r w:rsidR="00F62F71" w:rsidRPr="002E6ECA">
        <w:rPr>
          <w:spacing w:val="-2"/>
          <w:sz w:val="28"/>
          <w:szCs w:val="28"/>
          <w:lang w:val="uk-UA"/>
        </w:rPr>
        <w:t>(№</w:t>
      </w:r>
      <w:r w:rsidR="00E07216" w:rsidRPr="002E6ECA">
        <w:rPr>
          <w:sz w:val="28"/>
          <w:szCs w:val="28"/>
          <w:lang w:val="uk-UA"/>
        </w:rPr>
        <w:t> </w:t>
      </w:r>
      <w:r w:rsidR="00F62F71" w:rsidRPr="002E6ECA">
        <w:rPr>
          <w:spacing w:val="-2"/>
          <w:sz w:val="28"/>
          <w:szCs w:val="28"/>
          <w:lang w:val="uk-UA"/>
        </w:rPr>
        <w:t>держреєстрації: 0119</w:t>
      </w:r>
      <w:r w:rsidR="00F62F71" w:rsidRPr="002E6ECA">
        <w:rPr>
          <w:spacing w:val="-2"/>
          <w:sz w:val="28"/>
          <w:szCs w:val="28"/>
        </w:rPr>
        <w:t>U</w:t>
      </w:r>
      <w:r w:rsidR="00F62F71" w:rsidRPr="002E6ECA">
        <w:rPr>
          <w:spacing w:val="-2"/>
          <w:sz w:val="28"/>
          <w:szCs w:val="28"/>
          <w:lang w:val="uk-UA"/>
        </w:rPr>
        <w:t>103778, термін виконання: 2020-2021</w:t>
      </w:r>
      <w:r w:rsidR="00E07216" w:rsidRPr="002E6ECA">
        <w:rPr>
          <w:sz w:val="28"/>
          <w:szCs w:val="28"/>
          <w:lang w:val="uk-UA"/>
        </w:rPr>
        <w:t> </w:t>
      </w:r>
      <w:r w:rsidR="00F62F71" w:rsidRPr="002E6ECA">
        <w:rPr>
          <w:spacing w:val="-2"/>
          <w:sz w:val="28"/>
          <w:szCs w:val="28"/>
          <w:lang w:val="uk-UA"/>
        </w:rPr>
        <w:t>рр.), де дисертант був виконавцем окремих фрагментів роботи</w:t>
      </w:r>
      <w:r w:rsidR="00F62F71" w:rsidRPr="002E6ECA">
        <w:rPr>
          <w:spacing w:val="-4"/>
          <w:sz w:val="28"/>
          <w:szCs w:val="28"/>
          <w:lang w:val="uk-UA"/>
        </w:rPr>
        <w:t>, а також у Харківському національному університеті імені В.Н. Каразіна: «Гігієнічне обґрунтування оптимальних моделей стратегій адаптації до навчальної діяльності ліворуких учнів початкової школи» (№ держреєстрації: 0119</w:t>
      </w:r>
      <w:r w:rsidR="00F62F71" w:rsidRPr="002E6ECA">
        <w:rPr>
          <w:spacing w:val="-4"/>
          <w:sz w:val="28"/>
          <w:szCs w:val="28"/>
        </w:rPr>
        <w:t>U</w:t>
      </w:r>
      <w:r w:rsidR="00F62F71" w:rsidRPr="002E6ECA">
        <w:rPr>
          <w:spacing w:val="-4"/>
          <w:sz w:val="28"/>
          <w:szCs w:val="28"/>
          <w:lang w:val="uk-UA"/>
        </w:rPr>
        <w:t>100678, термін виконання: 2019-2021 рр.),</w:t>
      </w:r>
      <w:r w:rsidR="00F62F71" w:rsidRPr="002E6ECA">
        <w:rPr>
          <w:sz w:val="28"/>
          <w:szCs w:val="28"/>
          <w:lang w:val="uk-UA"/>
        </w:rPr>
        <w:t xml:space="preserve"> де дисертант був виконавцем роботи; «Визначення особливостей соматотипу дітей шкільного віку в умовах крупного індустріального міста» (№</w:t>
      </w:r>
      <w:r w:rsidR="00E07216" w:rsidRPr="002E6ECA">
        <w:rPr>
          <w:sz w:val="28"/>
          <w:szCs w:val="28"/>
          <w:lang w:val="uk-UA"/>
        </w:rPr>
        <w:t> </w:t>
      </w:r>
      <w:r w:rsidR="00F62F71" w:rsidRPr="002E6ECA">
        <w:rPr>
          <w:sz w:val="28"/>
          <w:szCs w:val="28"/>
          <w:lang w:val="uk-UA"/>
        </w:rPr>
        <w:t>держреєстрації: 0120</w:t>
      </w:r>
      <w:r w:rsidR="00F62F71" w:rsidRPr="002E6ECA">
        <w:rPr>
          <w:sz w:val="28"/>
          <w:szCs w:val="28"/>
        </w:rPr>
        <w:t>U</w:t>
      </w:r>
      <w:r w:rsidR="00F62F71" w:rsidRPr="002E6ECA">
        <w:rPr>
          <w:sz w:val="28"/>
          <w:szCs w:val="28"/>
          <w:lang w:val="uk-UA"/>
        </w:rPr>
        <w:t>102732, термін виконання: 2020-2023 рр.), де дисертант був керівником роботи.</w:t>
      </w:r>
    </w:p>
    <w:p w:rsidR="009711AA" w:rsidRPr="002E6ECA" w:rsidRDefault="009711AA" w:rsidP="001A0E08">
      <w:pPr>
        <w:spacing w:line="360" w:lineRule="auto"/>
        <w:ind w:firstLine="851"/>
        <w:jc w:val="both"/>
        <w:rPr>
          <w:sz w:val="28"/>
          <w:szCs w:val="28"/>
          <w:lang w:val="uk-UA"/>
        </w:rPr>
      </w:pPr>
      <w:r w:rsidRPr="002E6ECA">
        <w:rPr>
          <w:b/>
          <w:sz w:val="28"/>
          <w:szCs w:val="28"/>
          <w:lang w:val="uk-UA"/>
        </w:rPr>
        <w:t>Мета дослідження –</w:t>
      </w:r>
      <w:r w:rsidRPr="002E6ECA">
        <w:rPr>
          <w:sz w:val="28"/>
          <w:szCs w:val="28"/>
          <w:lang w:val="uk-UA"/>
        </w:rPr>
        <w:t xml:space="preserve"> розроб</w:t>
      </w:r>
      <w:r w:rsidR="00F62F71" w:rsidRPr="002E6ECA">
        <w:rPr>
          <w:sz w:val="28"/>
          <w:szCs w:val="28"/>
          <w:lang w:val="uk-UA"/>
        </w:rPr>
        <w:t>лення</w:t>
      </w:r>
      <w:r w:rsidRPr="002E6ECA">
        <w:rPr>
          <w:sz w:val="28"/>
          <w:szCs w:val="28"/>
          <w:lang w:val="uk-UA"/>
        </w:rPr>
        <w:t xml:space="preserve"> комплексної програми гігієнічного моніторингу групового здоров’я школярів щодо профілактики неінфекційних захворювань та шкільної дезадаптації учнів середнього шкільного віку в умовах інтенсифікації навчального процесу.</w:t>
      </w:r>
    </w:p>
    <w:p w:rsidR="009711AA" w:rsidRPr="002E6ECA" w:rsidRDefault="009711AA" w:rsidP="001A0E08">
      <w:pPr>
        <w:spacing w:line="360" w:lineRule="auto"/>
        <w:ind w:firstLine="851"/>
        <w:jc w:val="both"/>
        <w:rPr>
          <w:sz w:val="28"/>
          <w:szCs w:val="28"/>
        </w:rPr>
      </w:pPr>
      <w:r w:rsidRPr="002E6ECA">
        <w:rPr>
          <w:sz w:val="28"/>
          <w:szCs w:val="28"/>
        </w:rPr>
        <w:t xml:space="preserve">В ході дослідження вирішувались наступні </w:t>
      </w:r>
      <w:r w:rsidRPr="002E6ECA">
        <w:rPr>
          <w:i/>
          <w:sz w:val="28"/>
          <w:szCs w:val="28"/>
        </w:rPr>
        <w:t>завдання</w:t>
      </w:r>
      <w:r w:rsidRPr="002E6ECA">
        <w:rPr>
          <w:sz w:val="28"/>
          <w:szCs w:val="28"/>
        </w:rPr>
        <w:t>:</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Визначити статево-вікові та медико-соціальні особливості стану здоров’я учнів із різним рівнем академічної успішності у закладах загальної середньої освіти</w:t>
      </w:r>
      <w:r w:rsidR="00F93909" w:rsidRPr="002E6ECA">
        <w:rPr>
          <w:sz w:val="28"/>
          <w:szCs w:val="28"/>
          <w:lang w:val="uk-UA"/>
        </w:rPr>
        <w:t>.</w:t>
      </w:r>
      <w:r w:rsidRPr="002E6ECA">
        <w:rPr>
          <w:sz w:val="28"/>
          <w:szCs w:val="28"/>
          <w:lang w:val="uk-UA"/>
        </w:rPr>
        <w:t xml:space="preserve"> </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Оцінити особливості організації навчальної діяльності учнів базової школи як підґрунтя моніторингу їх здоров’я.</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Визначити чинники ризику формування порушень здоров’я школярів в умовах інтенсифікації навчального процесу.</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lastRenderedPageBreak/>
        <w:t>Дати психофізіологічну характеристику шкільної адаптації учнів на різних етапах освітнього процесу у закладах загальної середньої освіти.</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Визначити особливості якості життя учнів середнього шкільного віку в динаміці навчання</w:t>
      </w:r>
      <w:r w:rsidR="00F93909" w:rsidRPr="002E6ECA">
        <w:rPr>
          <w:sz w:val="28"/>
          <w:szCs w:val="28"/>
          <w:lang w:val="uk-UA"/>
        </w:rPr>
        <w:t>.</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Визначити психогігієнічні чинники розумової працездатності дітей середнього шкільного віку в умовах інтенсифікації навчального процесу.</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Розробити модель моніторингу здоров’я школярів в умовах інтенсифікації освітнього процесу та оцінити її властивості з позицій теорії керування.</w:t>
      </w:r>
    </w:p>
    <w:p w:rsidR="00F62F71" w:rsidRPr="002E6ECA" w:rsidRDefault="00F62F71" w:rsidP="00F62F71">
      <w:pPr>
        <w:pStyle w:val="a3"/>
        <w:numPr>
          <w:ilvl w:val="0"/>
          <w:numId w:val="25"/>
        </w:numPr>
        <w:tabs>
          <w:tab w:val="left" w:pos="1276"/>
        </w:tabs>
        <w:spacing w:line="360" w:lineRule="auto"/>
        <w:ind w:left="0" w:firstLine="851"/>
        <w:jc w:val="both"/>
        <w:rPr>
          <w:sz w:val="28"/>
          <w:szCs w:val="28"/>
          <w:lang w:val="uk-UA"/>
        </w:rPr>
      </w:pPr>
      <w:r w:rsidRPr="002E6ECA">
        <w:rPr>
          <w:sz w:val="28"/>
          <w:szCs w:val="28"/>
          <w:lang w:val="uk-UA"/>
        </w:rPr>
        <w:t>Обґрунтувати і розробити систему гігієнічних заходів з профілактики порушень здоров’я учнів базової школи, оцінити її ефективність та створити прогноз академічної успішності як предиктора соціальної адаптації.</w:t>
      </w:r>
    </w:p>
    <w:p w:rsidR="009711AA" w:rsidRPr="002E6ECA" w:rsidRDefault="009711AA" w:rsidP="001A0E08">
      <w:pPr>
        <w:spacing w:line="360" w:lineRule="auto"/>
        <w:ind w:firstLine="851"/>
        <w:jc w:val="both"/>
        <w:rPr>
          <w:rFonts w:eastAsia="Calibri"/>
          <w:sz w:val="28"/>
          <w:szCs w:val="28"/>
          <w:lang w:val="uk-UA"/>
        </w:rPr>
      </w:pPr>
      <w:r w:rsidRPr="002E6ECA">
        <w:rPr>
          <w:b/>
          <w:sz w:val="28"/>
          <w:szCs w:val="28"/>
          <w:lang w:val="uk-UA"/>
        </w:rPr>
        <w:t xml:space="preserve">Об’єкт дослідження: </w:t>
      </w:r>
      <w:r w:rsidR="00F62F71" w:rsidRPr="002E6ECA">
        <w:rPr>
          <w:rFonts w:eastAsia="Calibri"/>
          <w:sz w:val="28"/>
          <w:szCs w:val="28"/>
          <w:lang w:val="uk-UA"/>
        </w:rPr>
        <w:t>вплив освітніх програм та рівня академічної успішності на здоров’я учнів базової школи, розвиток шкільної дезадаптації, динаміка якості життя, що пов’язана зі здоров’ям.</w:t>
      </w:r>
    </w:p>
    <w:p w:rsidR="009711AA" w:rsidRPr="002E6ECA" w:rsidRDefault="009711AA" w:rsidP="001A0E08">
      <w:pPr>
        <w:spacing w:line="360" w:lineRule="auto"/>
        <w:ind w:firstLine="851"/>
        <w:jc w:val="both"/>
        <w:rPr>
          <w:rFonts w:eastAsia="Calibri"/>
          <w:sz w:val="28"/>
          <w:szCs w:val="28"/>
          <w:lang w:val="uk-UA"/>
        </w:rPr>
      </w:pPr>
      <w:r w:rsidRPr="002E6ECA">
        <w:rPr>
          <w:b/>
          <w:sz w:val="28"/>
          <w:szCs w:val="28"/>
          <w:lang w:val="uk-UA"/>
        </w:rPr>
        <w:t>Предмет дослідження:</w:t>
      </w:r>
      <w:r w:rsidRPr="002E6ECA">
        <w:rPr>
          <w:b/>
          <w:i/>
          <w:iCs/>
          <w:kern w:val="24"/>
          <w:sz w:val="28"/>
          <w:szCs w:val="28"/>
          <w:lang w:val="uk-UA"/>
        </w:rPr>
        <w:t xml:space="preserve"> </w:t>
      </w:r>
      <w:r w:rsidR="00F62F71" w:rsidRPr="002E6ECA">
        <w:rPr>
          <w:rFonts w:eastAsia="Calibri"/>
          <w:sz w:val="28"/>
          <w:szCs w:val="28"/>
          <w:lang w:val="uk-UA"/>
        </w:rPr>
        <w:t>особливості навчального процесу в умовах впровадження освітніх програм, показники здоров’я та адаптаційні резерви учнів середнього шкільного віку, розумова працездатність, рівень психосоціального функціонування школярів.</w:t>
      </w:r>
    </w:p>
    <w:p w:rsidR="009711AA" w:rsidRPr="002E6ECA" w:rsidRDefault="009711AA" w:rsidP="001A0E08">
      <w:pPr>
        <w:spacing w:line="360" w:lineRule="auto"/>
        <w:ind w:firstLine="851"/>
        <w:jc w:val="both"/>
        <w:rPr>
          <w:sz w:val="28"/>
          <w:szCs w:val="28"/>
          <w:lang w:val="uk-UA"/>
        </w:rPr>
      </w:pPr>
      <w:r w:rsidRPr="002E6ECA">
        <w:rPr>
          <w:b/>
          <w:sz w:val="28"/>
          <w:szCs w:val="28"/>
          <w:lang w:val="uk-UA"/>
        </w:rPr>
        <w:t xml:space="preserve">База наукового дослідження: </w:t>
      </w:r>
      <w:r w:rsidR="00F62F71" w:rsidRPr="002E6ECA">
        <w:rPr>
          <w:sz w:val="28"/>
          <w:szCs w:val="28"/>
          <w:lang w:val="uk-UA"/>
        </w:rPr>
        <w:t>47 закладів загальної середньої освіти, що розташовані в обласних центрах, містах районного значення, селищах та селах Дніпровської, Донецької, Київської, Львівської, Рівненської, Харківської області, міст Вінниця, Тернопіль, Кривий Ріг, Чернівці.</w:t>
      </w:r>
    </w:p>
    <w:p w:rsidR="00FB13C4" w:rsidRPr="002E6ECA" w:rsidRDefault="00FB13C4" w:rsidP="00F93909">
      <w:pPr>
        <w:spacing w:line="360" w:lineRule="auto"/>
        <w:ind w:firstLine="708"/>
        <w:jc w:val="both"/>
        <w:rPr>
          <w:b/>
          <w:bCs/>
          <w:sz w:val="28"/>
          <w:szCs w:val="28"/>
          <w:lang w:val="uk-UA"/>
        </w:rPr>
      </w:pPr>
      <w:r w:rsidRPr="002E6ECA">
        <w:rPr>
          <w:b/>
          <w:bCs/>
          <w:sz w:val="28"/>
          <w:szCs w:val="28"/>
          <w:lang w:val="uk-UA"/>
        </w:rPr>
        <w:t>Методи</w:t>
      </w:r>
      <w:r w:rsidR="00D46B1B" w:rsidRPr="002E6ECA">
        <w:rPr>
          <w:b/>
          <w:bCs/>
          <w:sz w:val="28"/>
          <w:szCs w:val="28"/>
          <w:lang w:val="uk-UA"/>
        </w:rPr>
        <w:t xml:space="preserve"> </w:t>
      </w:r>
      <w:r w:rsidRPr="002E6ECA">
        <w:rPr>
          <w:b/>
          <w:bCs/>
          <w:sz w:val="28"/>
          <w:szCs w:val="28"/>
          <w:lang w:val="uk-UA"/>
        </w:rPr>
        <w:t>дослідження:</w:t>
      </w:r>
      <w:r w:rsidR="00D46B1B" w:rsidRPr="002E6ECA">
        <w:rPr>
          <w:b/>
          <w:bCs/>
          <w:sz w:val="28"/>
          <w:szCs w:val="28"/>
          <w:lang w:val="uk-UA"/>
        </w:rPr>
        <w:t xml:space="preserve"> </w:t>
      </w:r>
    </w:p>
    <w:p w:rsidR="00FB13C4" w:rsidRPr="002E6ECA" w:rsidRDefault="00FB13C4" w:rsidP="001A0E08">
      <w:pPr>
        <w:pStyle w:val="a3"/>
        <w:numPr>
          <w:ilvl w:val="0"/>
          <w:numId w:val="26"/>
        </w:numPr>
        <w:spacing w:line="360" w:lineRule="auto"/>
        <w:jc w:val="both"/>
        <w:rPr>
          <w:sz w:val="28"/>
          <w:szCs w:val="28"/>
          <w:lang w:val="uk-UA"/>
        </w:rPr>
      </w:pPr>
      <w:r w:rsidRPr="002E6ECA">
        <w:rPr>
          <w:i/>
          <w:iCs/>
          <w:sz w:val="28"/>
          <w:szCs w:val="28"/>
          <w:lang w:val="uk-UA"/>
        </w:rPr>
        <w:t>гігієнічні</w:t>
      </w:r>
      <w:r w:rsidR="00D46B1B" w:rsidRPr="002E6ECA">
        <w:rPr>
          <w:i/>
          <w:iCs/>
          <w:sz w:val="28"/>
          <w:szCs w:val="28"/>
          <w:lang w:val="uk-UA"/>
        </w:rPr>
        <w:t xml:space="preserve"> </w:t>
      </w:r>
      <w:r w:rsidRPr="002E6ECA">
        <w:rPr>
          <w:i/>
          <w:iCs/>
          <w:sz w:val="28"/>
          <w:szCs w:val="28"/>
          <w:lang w:val="uk-UA"/>
        </w:rPr>
        <w:t>методи</w:t>
      </w:r>
      <w:r w:rsidR="00D46B1B" w:rsidRPr="002E6ECA">
        <w:rPr>
          <w:i/>
          <w:iCs/>
          <w:sz w:val="28"/>
          <w:szCs w:val="28"/>
          <w:lang w:val="uk-UA"/>
        </w:rPr>
        <w:t xml:space="preserve"> </w:t>
      </w:r>
      <w:r w:rsidRPr="002E6ECA">
        <w:rPr>
          <w:sz w:val="28"/>
          <w:szCs w:val="28"/>
          <w:lang w:val="uk-UA"/>
        </w:rPr>
        <w:t>–</w:t>
      </w:r>
      <w:r w:rsidR="00D46B1B" w:rsidRPr="002E6ECA">
        <w:rPr>
          <w:sz w:val="28"/>
          <w:szCs w:val="28"/>
          <w:lang w:val="uk-UA"/>
        </w:rPr>
        <w:t xml:space="preserve"> </w:t>
      </w:r>
      <w:r w:rsidRPr="002E6ECA">
        <w:rPr>
          <w:sz w:val="28"/>
          <w:szCs w:val="28"/>
          <w:lang w:val="uk-UA"/>
        </w:rPr>
        <w:t>санітарно-гігієнічна</w:t>
      </w:r>
      <w:r w:rsidR="00D46B1B" w:rsidRPr="002E6ECA">
        <w:rPr>
          <w:sz w:val="28"/>
          <w:szCs w:val="28"/>
          <w:lang w:val="uk-UA"/>
        </w:rPr>
        <w:t xml:space="preserve"> </w:t>
      </w:r>
      <w:r w:rsidRPr="002E6ECA">
        <w:rPr>
          <w:sz w:val="28"/>
          <w:szCs w:val="28"/>
          <w:lang w:val="uk-UA"/>
        </w:rPr>
        <w:t>оцінка</w:t>
      </w:r>
      <w:r w:rsidR="00D46B1B" w:rsidRPr="002E6ECA">
        <w:rPr>
          <w:sz w:val="28"/>
          <w:szCs w:val="28"/>
          <w:lang w:val="uk-UA"/>
        </w:rPr>
        <w:t xml:space="preserve"> </w:t>
      </w:r>
      <w:r w:rsidRPr="002E6ECA">
        <w:rPr>
          <w:sz w:val="28"/>
          <w:szCs w:val="28"/>
          <w:lang w:val="uk-UA"/>
        </w:rPr>
        <w:t>умов</w:t>
      </w:r>
      <w:r w:rsidR="00D46B1B" w:rsidRPr="002E6ECA">
        <w:rPr>
          <w:sz w:val="28"/>
          <w:szCs w:val="28"/>
          <w:lang w:val="uk-UA"/>
        </w:rPr>
        <w:t xml:space="preserve"> </w:t>
      </w:r>
      <w:r w:rsidRPr="002E6ECA">
        <w:rPr>
          <w:sz w:val="28"/>
          <w:szCs w:val="28"/>
          <w:lang w:val="uk-UA"/>
        </w:rPr>
        <w:t>навчання,</w:t>
      </w:r>
      <w:r w:rsidR="00D46B1B" w:rsidRPr="002E6ECA">
        <w:rPr>
          <w:sz w:val="28"/>
          <w:szCs w:val="28"/>
          <w:lang w:val="uk-UA"/>
        </w:rPr>
        <w:t xml:space="preserve"> </w:t>
      </w:r>
      <w:r w:rsidRPr="002E6ECA">
        <w:rPr>
          <w:sz w:val="28"/>
          <w:szCs w:val="28"/>
          <w:lang w:val="uk-UA"/>
        </w:rPr>
        <w:t>позашкільної</w:t>
      </w:r>
      <w:r w:rsidR="00D46B1B" w:rsidRPr="002E6ECA">
        <w:rPr>
          <w:sz w:val="28"/>
          <w:szCs w:val="28"/>
          <w:lang w:val="uk-UA"/>
        </w:rPr>
        <w:t xml:space="preserve"> </w:t>
      </w:r>
      <w:r w:rsidRPr="002E6ECA">
        <w:rPr>
          <w:sz w:val="28"/>
          <w:szCs w:val="28"/>
          <w:lang w:val="uk-UA"/>
        </w:rPr>
        <w:t>діяльності</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способу</w:t>
      </w:r>
      <w:r w:rsidR="00D46B1B" w:rsidRPr="002E6ECA">
        <w:rPr>
          <w:sz w:val="28"/>
          <w:szCs w:val="28"/>
          <w:lang w:val="uk-UA"/>
        </w:rPr>
        <w:t xml:space="preserve"> </w:t>
      </w:r>
      <w:r w:rsidRPr="002E6ECA">
        <w:rPr>
          <w:sz w:val="28"/>
          <w:szCs w:val="28"/>
          <w:lang w:val="uk-UA"/>
        </w:rPr>
        <w:t>життя</w:t>
      </w:r>
      <w:r w:rsidR="00D46B1B" w:rsidRPr="002E6ECA">
        <w:rPr>
          <w:sz w:val="28"/>
          <w:szCs w:val="28"/>
          <w:lang w:val="uk-UA"/>
        </w:rPr>
        <w:t xml:space="preserve"> </w:t>
      </w:r>
      <w:r w:rsidRPr="002E6ECA">
        <w:rPr>
          <w:sz w:val="28"/>
          <w:szCs w:val="28"/>
          <w:lang w:val="uk-UA"/>
        </w:rPr>
        <w:t>учнів;</w:t>
      </w:r>
      <w:r w:rsidR="00D46B1B" w:rsidRPr="002E6ECA">
        <w:rPr>
          <w:sz w:val="28"/>
          <w:szCs w:val="28"/>
          <w:lang w:val="uk-UA"/>
        </w:rPr>
        <w:t xml:space="preserve"> </w:t>
      </w:r>
    </w:p>
    <w:p w:rsidR="00FB13C4" w:rsidRPr="002E6ECA" w:rsidRDefault="00FB13C4" w:rsidP="001A0E08">
      <w:pPr>
        <w:pStyle w:val="a3"/>
        <w:numPr>
          <w:ilvl w:val="0"/>
          <w:numId w:val="26"/>
        </w:numPr>
        <w:spacing w:line="360" w:lineRule="auto"/>
        <w:jc w:val="both"/>
        <w:rPr>
          <w:sz w:val="28"/>
          <w:szCs w:val="28"/>
          <w:lang w:val="uk-UA"/>
        </w:rPr>
      </w:pPr>
      <w:r w:rsidRPr="002E6ECA">
        <w:rPr>
          <w:i/>
          <w:iCs/>
          <w:sz w:val="28"/>
          <w:szCs w:val="28"/>
          <w:lang w:val="uk-UA"/>
        </w:rPr>
        <w:t>медико-соціологічні</w:t>
      </w:r>
      <w:r w:rsidR="00D46B1B" w:rsidRPr="002E6ECA">
        <w:rPr>
          <w:i/>
          <w:iCs/>
          <w:sz w:val="28"/>
          <w:szCs w:val="28"/>
          <w:lang w:val="uk-UA"/>
        </w:rPr>
        <w:t xml:space="preserve"> </w:t>
      </w:r>
      <w:r w:rsidRPr="002E6ECA">
        <w:rPr>
          <w:i/>
          <w:iCs/>
          <w:sz w:val="28"/>
          <w:szCs w:val="28"/>
          <w:lang w:val="uk-UA"/>
        </w:rPr>
        <w:t>методи</w:t>
      </w:r>
      <w:r w:rsidR="00D46B1B" w:rsidRPr="002E6ECA">
        <w:rPr>
          <w:i/>
          <w:iCs/>
          <w:sz w:val="28"/>
          <w:szCs w:val="28"/>
          <w:lang w:val="uk-UA"/>
        </w:rPr>
        <w:t xml:space="preserve"> </w:t>
      </w:r>
      <w:r w:rsidRPr="002E6ECA">
        <w:rPr>
          <w:sz w:val="28"/>
          <w:szCs w:val="28"/>
          <w:lang w:val="uk-UA"/>
        </w:rPr>
        <w:t>–</w:t>
      </w:r>
      <w:r w:rsidR="00D46B1B" w:rsidRPr="002E6ECA">
        <w:rPr>
          <w:sz w:val="28"/>
          <w:szCs w:val="28"/>
          <w:lang w:val="uk-UA"/>
        </w:rPr>
        <w:t xml:space="preserve"> </w:t>
      </w:r>
      <w:r w:rsidRPr="002E6ECA">
        <w:rPr>
          <w:sz w:val="28"/>
          <w:szCs w:val="28"/>
          <w:lang w:val="uk-UA"/>
        </w:rPr>
        <w:t>анкети</w:t>
      </w:r>
      <w:r w:rsidR="00D46B1B" w:rsidRPr="002E6ECA">
        <w:rPr>
          <w:sz w:val="28"/>
          <w:szCs w:val="28"/>
          <w:lang w:val="uk-UA"/>
        </w:rPr>
        <w:t xml:space="preserve"> </w:t>
      </w:r>
      <w:r w:rsidRPr="002E6ECA">
        <w:rPr>
          <w:sz w:val="28"/>
          <w:szCs w:val="28"/>
          <w:lang w:val="uk-UA"/>
        </w:rPr>
        <w:t>для</w:t>
      </w:r>
      <w:r w:rsidR="00D46B1B" w:rsidRPr="002E6ECA">
        <w:rPr>
          <w:sz w:val="28"/>
          <w:szCs w:val="28"/>
          <w:lang w:val="uk-UA"/>
        </w:rPr>
        <w:t xml:space="preserve"> </w:t>
      </w:r>
      <w:r w:rsidRPr="002E6ECA">
        <w:rPr>
          <w:sz w:val="28"/>
          <w:szCs w:val="28"/>
          <w:lang w:val="uk-UA"/>
        </w:rPr>
        <w:t>визначення</w:t>
      </w:r>
      <w:r w:rsidR="00D46B1B" w:rsidRPr="002E6ECA">
        <w:rPr>
          <w:sz w:val="28"/>
          <w:szCs w:val="28"/>
          <w:lang w:val="uk-UA"/>
        </w:rPr>
        <w:t xml:space="preserve"> </w:t>
      </w:r>
      <w:r w:rsidRPr="002E6ECA">
        <w:rPr>
          <w:sz w:val="28"/>
          <w:szCs w:val="28"/>
          <w:lang w:val="uk-UA"/>
        </w:rPr>
        <w:t>якості</w:t>
      </w:r>
      <w:r w:rsidR="00D46B1B" w:rsidRPr="002E6ECA">
        <w:rPr>
          <w:sz w:val="28"/>
          <w:szCs w:val="28"/>
          <w:lang w:val="uk-UA"/>
        </w:rPr>
        <w:t xml:space="preserve"> </w:t>
      </w:r>
      <w:r w:rsidRPr="002E6ECA">
        <w:rPr>
          <w:sz w:val="28"/>
          <w:szCs w:val="28"/>
          <w:lang w:val="uk-UA"/>
        </w:rPr>
        <w:t>життя,</w:t>
      </w:r>
      <w:r w:rsidR="00D46B1B" w:rsidRPr="002E6ECA">
        <w:rPr>
          <w:sz w:val="28"/>
          <w:szCs w:val="28"/>
          <w:lang w:val="uk-UA"/>
        </w:rPr>
        <w:t xml:space="preserve"> </w:t>
      </w:r>
      <w:r w:rsidRPr="002E6ECA">
        <w:rPr>
          <w:sz w:val="28"/>
          <w:szCs w:val="28"/>
          <w:lang w:val="uk-UA"/>
        </w:rPr>
        <w:t>поширеності</w:t>
      </w:r>
      <w:r w:rsidR="00D46B1B" w:rsidRPr="002E6ECA">
        <w:rPr>
          <w:sz w:val="28"/>
          <w:szCs w:val="28"/>
          <w:lang w:val="uk-UA"/>
        </w:rPr>
        <w:t xml:space="preserve"> </w:t>
      </w:r>
      <w:r w:rsidRPr="002E6ECA">
        <w:rPr>
          <w:sz w:val="28"/>
          <w:szCs w:val="28"/>
          <w:lang w:val="uk-UA"/>
        </w:rPr>
        <w:t>шкідливих</w:t>
      </w:r>
      <w:r w:rsidR="00D46B1B" w:rsidRPr="002E6ECA">
        <w:rPr>
          <w:sz w:val="28"/>
          <w:szCs w:val="28"/>
          <w:lang w:val="uk-UA"/>
        </w:rPr>
        <w:t xml:space="preserve"> </w:t>
      </w:r>
      <w:r w:rsidRPr="002E6ECA">
        <w:rPr>
          <w:sz w:val="28"/>
          <w:szCs w:val="28"/>
          <w:lang w:val="uk-UA"/>
        </w:rPr>
        <w:t>звичок</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медико-соціальної</w:t>
      </w:r>
      <w:r w:rsidR="00D46B1B" w:rsidRPr="002E6ECA">
        <w:rPr>
          <w:sz w:val="28"/>
          <w:szCs w:val="28"/>
          <w:lang w:val="uk-UA"/>
        </w:rPr>
        <w:t xml:space="preserve"> </w:t>
      </w:r>
      <w:r w:rsidRPr="002E6ECA">
        <w:rPr>
          <w:sz w:val="28"/>
          <w:szCs w:val="28"/>
          <w:lang w:val="uk-UA"/>
        </w:rPr>
        <w:t>характеристика</w:t>
      </w:r>
      <w:r w:rsidR="00D46B1B" w:rsidRPr="002E6ECA">
        <w:rPr>
          <w:sz w:val="28"/>
          <w:szCs w:val="28"/>
          <w:lang w:val="uk-UA"/>
        </w:rPr>
        <w:t xml:space="preserve"> </w:t>
      </w:r>
      <w:r w:rsidRPr="002E6ECA">
        <w:rPr>
          <w:sz w:val="28"/>
          <w:szCs w:val="28"/>
          <w:lang w:val="uk-UA"/>
        </w:rPr>
        <w:t>життєдіяльності</w:t>
      </w:r>
      <w:r w:rsidR="00D46B1B" w:rsidRPr="002E6ECA">
        <w:rPr>
          <w:sz w:val="28"/>
          <w:szCs w:val="28"/>
          <w:lang w:val="uk-UA"/>
        </w:rPr>
        <w:t xml:space="preserve"> </w:t>
      </w:r>
      <w:r w:rsidRPr="002E6ECA">
        <w:rPr>
          <w:sz w:val="28"/>
          <w:szCs w:val="28"/>
          <w:lang w:val="uk-UA"/>
        </w:rPr>
        <w:t>школярів;</w:t>
      </w:r>
      <w:r w:rsidR="00D46B1B" w:rsidRPr="002E6ECA">
        <w:rPr>
          <w:sz w:val="28"/>
          <w:szCs w:val="28"/>
          <w:lang w:val="uk-UA"/>
        </w:rPr>
        <w:t xml:space="preserve"> </w:t>
      </w:r>
    </w:p>
    <w:p w:rsidR="00FB13C4" w:rsidRPr="002E6ECA" w:rsidRDefault="00FB13C4" w:rsidP="001A0E08">
      <w:pPr>
        <w:pStyle w:val="a3"/>
        <w:numPr>
          <w:ilvl w:val="0"/>
          <w:numId w:val="26"/>
        </w:numPr>
        <w:spacing w:line="360" w:lineRule="auto"/>
        <w:jc w:val="both"/>
        <w:rPr>
          <w:sz w:val="28"/>
          <w:szCs w:val="28"/>
          <w:lang w:val="uk-UA"/>
        </w:rPr>
      </w:pPr>
      <w:r w:rsidRPr="002E6ECA">
        <w:rPr>
          <w:i/>
          <w:iCs/>
          <w:sz w:val="28"/>
          <w:szCs w:val="28"/>
          <w:lang w:val="uk-UA"/>
        </w:rPr>
        <w:lastRenderedPageBreak/>
        <w:t>психофізіологічні</w:t>
      </w:r>
      <w:r w:rsidR="00D46B1B" w:rsidRPr="002E6ECA">
        <w:rPr>
          <w:i/>
          <w:iCs/>
          <w:sz w:val="28"/>
          <w:szCs w:val="28"/>
          <w:lang w:val="uk-UA"/>
        </w:rPr>
        <w:t xml:space="preserve"> </w:t>
      </w:r>
      <w:r w:rsidRPr="002E6ECA">
        <w:rPr>
          <w:i/>
          <w:iCs/>
          <w:sz w:val="28"/>
          <w:szCs w:val="28"/>
          <w:lang w:val="uk-UA"/>
        </w:rPr>
        <w:t>методи</w:t>
      </w:r>
      <w:r w:rsidR="00D46B1B" w:rsidRPr="002E6ECA">
        <w:rPr>
          <w:i/>
          <w:iCs/>
          <w:sz w:val="28"/>
          <w:szCs w:val="28"/>
          <w:lang w:val="uk-UA"/>
        </w:rPr>
        <w:t xml:space="preserve"> </w:t>
      </w:r>
      <w:r w:rsidRPr="002E6ECA">
        <w:rPr>
          <w:i/>
          <w:iCs/>
          <w:sz w:val="28"/>
          <w:szCs w:val="28"/>
          <w:lang w:val="uk-UA"/>
        </w:rPr>
        <w:t>–</w:t>
      </w:r>
      <w:r w:rsidR="00D46B1B" w:rsidRPr="002E6ECA">
        <w:rPr>
          <w:i/>
          <w:iCs/>
          <w:sz w:val="28"/>
          <w:szCs w:val="28"/>
          <w:lang w:val="uk-UA"/>
        </w:rPr>
        <w:t xml:space="preserve"> </w:t>
      </w:r>
      <w:r w:rsidRPr="002E6ECA">
        <w:rPr>
          <w:iCs/>
          <w:sz w:val="28"/>
          <w:szCs w:val="28"/>
          <w:lang w:val="uk-UA"/>
        </w:rPr>
        <w:t>оцінка</w:t>
      </w:r>
      <w:r w:rsidR="00D46B1B" w:rsidRPr="002E6ECA">
        <w:rPr>
          <w:iCs/>
          <w:sz w:val="28"/>
          <w:szCs w:val="28"/>
          <w:lang w:val="uk-UA"/>
        </w:rPr>
        <w:t xml:space="preserve"> </w:t>
      </w:r>
      <w:r w:rsidRPr="002E6ECA">
        <w:rPr>
          <w:iCs/>
          <w:sz w:val="28"/>
          <w:szCs w:val="28"/>
          <w:lang w:val="uk-UA"/>
        </w:rPr>
        <w:t>забезпечення</w:t>
      </w:r>
      <w:r w:rsidR="00D46B1B" w:rsidRPr="002E6ECA">
        <w:rPr>
          <w:iCs/>
          <w:sz w:val="28"/>
          <w:szCs w:val="28"/>
          <w:lang w:val="uk-UA"/>
        </w:rPr>
        <w:t xml:space="preserve"> </w:t>
      </w:r>
      <w:r w:rsidRPr="002E6ECA">
        <w:rPr>
          <w:iCs/>
          <w:sz w:val="28"/>
          <w:szCs w:val="28"/>
          <w:lang w:val="uk-UA"/>
        </w:rPr>
        <w:t>навчальної</w:t>
      </w:r>
      <w:r w:rsidR="00D46B1B" w:rsidRPr="002E6ECA">
        <w:rPr>
          <w:iCs/>
          <w:sz w:val="28"/>
          <w:szCs w:val="28"/>
          <w:lang w:val="uk-UA"/>
        </w:rPr>
        <w:t xml:space="preserve"> </w:t>
      </w:r>
      <w:r w:rsidRPr="002E6ECA">
        <w:rPr>
          <w:iCs/>
          <w:sz w:val="28"/>
          <w:szCs w:val="28"/>
          <w:lang w:val="uk-UA"/>
        </w:rPr>
        <w:t>діяльності,</w:t>
      </w:r>
      <w:r w:rsidR="00D46B1B" w:rsidRPr="002E6ECA">
        <w:rPr>
          <w:iCs/>
          <w:sz w:val="28"/>
          <w:szCs w:val="28"/>
          <w:lang w:val="uk-UA"/>
        </w:rPr>
        <w:t xml:space="preserve"> </w:t>
      </w:r>
      <w:r w:rsidRPr="002E6ECA">
        <w:rPr>
          <w:iCs/>
          <w:sz w:val="28"/>
          <w:szCs w:val="28"/>
          <w:lang w:val="uk-UA"/>
        </w:rPr>
        <w:t>розумової</w:t>
      </w:r>
      <w:r w:rsidR="00D46B1B" w:rsidRPr="002E6ECA">
        <w:rPr>
          <w:iCs/>
          <w:sz w:val="28"/>
          <w:szCs w:val="28"/>
          <w:lang w:val="uk-UA"/>
        </w:rPr>
        <w:t xml:space="preserve"> </w:t>
      </w:r>
      <w:r w:rsidRPr="002E6ECA">
        <w:rPr>
          <w:iCs/>
          <w:sz w:val="28"/>
          <w:szCs w:val="28"/>
          <w:lang w:val="uk-UA"/>
        </w:rPr>
        <w:t>працездатності,</w:t>
      </w:r>
      <w:r w:rsidR="00D46B1B" w:rsidRPr="002E6ECA">
        <w:rPr>
          <w:iCs/>
          <w:sz w:val="28"/>
          <w:szCs w:val="28"/>
          <w:lang w:val="uk-UA"/>
        </w:rPr>
        <w:t xml:space="preserve"> </w:t>
      </w:r>
      <w:r w:rsidRPr="002E6ECA">
        <w:rPr>
          <w:iCs/>
          <w:sz w:val="28"/>
          <w:szCs w:val="28"/>
          <w:lang w:val="uk-UA"/>
        </w:rPr>
        <w:t>функціональних</w:t>
      </w:r>
      <w:r w:rsidR="00D46B1B" w:rsidRPr="002E6ECA">
        <w:rPr>
          <w:iCs/>
          <w:sz w:val="28"/>
          <w:szCs w:val="28"/>
          <w:lang w:val="uk-UA"/>
        </w:rPr>
        <w:t xml:space="preserve"> </w:t>
      </w:r>
      <w:r w:rsidRPr="002E6ECA">
        <w:rPr>
          <w:iCs/>
          <w:sz w:val="28"/>
          <w:szCs w:val="28"/>
          <w:lang w:val="uk-UA"/>
        </w:rPr>
        <w:t>резервів</w:t>
      </w:r>
      <w:r w:rsidR="00D46B1B" w:rsidRPr="002E6ECA">
        <w:rPr>
          <w:iCs/>
          <w:sz w:val="28"/>
          <w:szCs w:val="28"/>
          <w:lang w:val="uk-UA"/>
        </w:rPr>
        <w:t xml:space="preserve"> </w:t>
      </w:r>
      <w:r w:rsidRPr="002E6ECA">
        <w:rPr>
          <w:iCs/>
          <w:sz w:val="28"/>
          <w:szCs w:val="28"/>
          <w:lang w:val="uk-UA"/>
        </w:rPr>
        <w:t>дитячого</w:t>
      </w:r>
      <w:r w:rsidR="00D46B1B" w:rsidRPr="002E6ECA">
        <w:rPr>
          <w:iCs/>
          <w:sz w:val="28"/>
          <w:szCs w:val="28"/>
          <w:lang w:val="uk-UA"/>
        </w:rPr>
        <w:t xml:space="preserve"> </w:t>
      </w:r>
      <w:r w:rsidRPr="002E6ECA">
        <w:rPr>
          <w:iCs/>
          <w:sz w:val="28"/>
          <w:szCs w:val="28"/>
          <w:lang w:val="uk-UA"/>
        </w:rPr>
        <w:t>організму</w:t>
      </w:r>
      <w:r w:rsidRPr="002E6ECA">
        <w:rPr>
          <w:sz w:val="28"/>
          <w:szCs w:val="28"/>
          <w:lang w:val="uk-UA"/>
        </w:rPr>
        <w:t>;</w:t>
      </w:r>
      <w:r w:rsidR="00D46B1B" w:rsidRPr="002E6ECA">
        <w:rPr>
          <w:sz w:val="28"/>
          <w:szCs w:val="28"/>
          <w:lang w:val="uk-UA"/>
        </w:rPr>
        <w:t xml:space="preserve"> </w:t>
      </w:r>
    </w:p>
    <w:p w:rsidR="00FB13C4" w:rsidRPr="002E6ECA" w:rsidRDefault="00FB13C4" w:rsidP="001A0E08">
      <w:pPr>
        <w:pStyle w:val="a3"/>
        <w:numPr>
          <w:ilvl w:val="0"/>
          <w:numId w:val="26"/>
        </w:numPr>
        <w:spacing w:line="360" w:lineRule="auto"/>
        <w:jc w:val="both"/>
        <w:rPr>
          <w:sz w:val="28"/>
          <w:szCs w:val="28"/>
          <w:lang w:val="uk-UA"/>
        </w:rPr>
      </w:pPr>
      <w:r w:rsidRPr="002E6ECA">
        <w:rPr>
          <w:i/>
          <w:iCs/>
          <w:sz w:val="28"/>
          <w:szCs w:val="28"/>
          <w:lang w:val="uk-UA"/>
        </w:rPr>
        <w:t>психолого-педагогічні</w:t>
      </w:r>
      <w:r w:rsidR="00D46B1B" w:rsidRPr="002E6ECA">
        <w:rPr>
          <w:i/>
          <w:iCs/>
          <w:sz w:val="28"/>
          <w:szCs w:val="28"/>
          <w:lang w:val="uk-UA"/>
        </w:rPr>
        <w:t xml:space="preserve"> </w:t>
      </w:r>
      <w:r w:rsidRPr="002E6ECA">
        <w:rPr>
          <w:i/>
          <w:iCs/>
          <w:sz w:val="28"/>
          <w:szCs w:val="28"/>
          <w:lang w:val="uk-UA"/>
        </w:rPr>
        <w:t>методи</w:t>
      </w:r>
      <w:r w:rsidR="00D46B1B" w:rsidRPr="002E6ECA">
        <w:rPr>
          <w:i/>
          <w:iCs/>
          <w:sz w:val="28"/>
          <w:szCs w:val="28"/>
          <w:lang w:val="uk-UA"/>
        </w:rPr>
        <w:t xml:space="preserve"> </w:t>
      </w:r>
      <w:r w:rsidRPr="002E6ECA">
        <w:rPr>
          <w:sz w:val="28"/>
          <w:szCs w:val="28"/>
          <w:lang w:val="uk-UA"/>
        </w:rPr>
        <w:t>–</w:t>
      </w:r>
      <w:r w:rsidRPr="002E6ECA">
        <w:rPr>
          <w:iCs/>
          <w:sz w:val="28"/>
          <w:szCs w:val="28"/>
          <w:lang w:val="uk-UA"/>
        </w:rPr>
        <w:t>рівень</w:t>
      </w:r>
      <w:r w:rsidR="00D46B1B" w:rsidRPr="002E6ECA">
        <w:rPr>
          <w:iCs/>
          <w:sz w:val="28"/>
          <w:szCs w:val="28"/>
          <w:lang w:val="uk-UA"/>
        </w:rPr>
        <w:t xml:space="preserve"> </w:t>
      </w:r>
      <w:r w:rsidRPr="002E6ECA">
        <w:rPr>
          <w:iCs/>
          <w:sz w:val="28"/>
          <w:szCs w:val="28"/>
          <w:lang w:val="uk-UA"/>
        </w:rPr>
        <w:t>академічної</w:t>
      </w:r>
      <w:r w:rsidR="00D46B1B" w:rsidRPr="002E6ECA">
        <w:rPr>
          <w:iCs/>
          <w:sz w:val="28"/>
          <w:szCs w:val="28"/>
          <w:lang w:val="uk-UA"/>
        </w:rPr>
        <w:t xml:space="preserve"> </w:t>
      </w:r>
      <w:r w:rsidRPr="002E6ECA">
        <w:rPr>
          <w:iCs/>
          <w:sz w:val="28"/>
          <w:szCs w:val="28"/>
          <w:lang w:val="uk-UA"/>
        </w:rPr>
        <w:t>успішності</w:t>
      </w:r>
      <w:r w:rsidR="00D46B1B" w:rsidRPr="002E6ECA">
        <w:rPr>
          <w:iCs/>
          <w:sz w:val="28"/>
          <w:szCs w:val="28"/>
          <w:lang w:val="uk-UA"/>
        </w:rPr>
        <w:t xml:space="preserve"> </w:t>
      </w:r>
      <w:r w:rsidRPr="002E6ECA">
        <w:rPr>
          <w:iCs/>
          <w:sz w:val="28"/>
          <w:szCs w:val="28"/>
          <w:lang w:val="uk-UA"/>
        </w:rPr>
        <w:t>дітей</w:t>
      </w:r>
      <w:r w:rsidR="00D46B1B" w:rsidRPr="002E6ECA">
        <w:rPr>
          <w:iCs/>
          <w:sz w:val="28"/>
          <w:szCs w:val="28"/>
          <w:lang w:val="uk-UA"/>
        </w:rPr>
        <w:t xml:space="preserve"> </w:t>
      </w:r>
      <w:r w:rsidRPr="002E6ECA">
        <w:rPr>
          <w:iCs/>
          <w:sz w:val="28"/>
          <w:szCs w:val="28"/>
          <w:lang w:val="uk-UA"/>
        </w:rPr>
        <w:t>за</w:t>
      </w:r>
      <w:r w:rsidR="00D46B1B" w:rsidRPr="002E6ECA">
        <w:rPr>
          <w:iCs/>
          <w:sz w:val="28"/>
          <w:szCs w:val="28"/>
          <w:lang w:val="uk-UA"/>
        </w:rPr>
        <w:t xml:space="preserve"> </w:t>
      </w:r>
      <w:r w:rsidRPr="002E6ECA">
        <w:rPr>
          <w:iCs/>
          <w:sz w:val="28"/>
          <w:szCs w:val="28"/>
          <w:lang w:val="uk-UA"/>
        </w:rPr>
        <w:t>дисциплінами</w:t>
      </w:r>
      <w:r w:rsidR="00D46B1B" w:rsidRPr="002E6ECA">
        <w:rPr>
          <w:iCs/>
          <w:sz w:val="28"/>
          <w:szCs w:val="28"/>
          <w:lang w:val="uk-UA"/>
        </w:rPr>
        <w:t xml:space="preserve"> </w:t>
      </w:r>
      <w:r w:rsidRPr="002E6ECA">
        <w:rPr>
          <w:iCs/>
          <w:sz w:val="28"/>
          <w:szCs w:val="28"/>
          <w:lang w:val="uk-UA"/>
        </w:rPr>
        <w:t>згідно</w:t>
      </w:r>
      <w:r w:rsidR="00D46B1B" w:rsidRPr="002E6ECA">
        <w:rPr>
          <w:iCs/>
          <w:sz w:val="28"/>
          <w:szCs w:val="28"/>
          <w:lang w:val="uk-UA"/>
        </w:rPr>
        <w:t xml:space="preserve"> </w:t>
      </w:r>
      <w:r w:rsidRPr="002E6ECA">
        <w:rPr>
          <w:iCs/>
          <w:sz w:val="28"/>
          <w:szCs w:val="28"/>
          <w:lang w:val="uk-UA"/>
        </w:rPr>
        <w:t>з</w:t>
      </w:r>
      <w:r w:rsidR="00D46B1B" w:rsidRPr="002E6ECA">
        <w:rPr>
          <w:iCs/>
          <w:sz w:val="28"/>
          <w:szCs w:val="28"/>
          <w:lang w:val="uk-UA"/>
        </w:rPr>
        <w:t xml:space="preserve"> </w:t>
      </w:r>
      <w:r w:rsidRPr="002E6ECA">
        <w:rPr>
          <w:iCs/>
          <w:sz w:val="28"/>
          <w:szCs w:val="28"/>
          <w:lang w:val="uk-UA"/>
        </w:rPr>
        <w:t>навчально-педагогічними</w:t>
      </w:r>
      <w:r w:rsidR="00D46B1B" w:rsidRPr="002E6ECA">
        <w:rPr>
          <w:iCs/>
          <w:sz w:val="28"/>
          <w:szCs w:val="28"/>
          <w:lang w:val="uk-UA"/>
        </w:rPr>
        <w:t xml:space="preserve"> </w:t>
      </w:r>
      <w:r w:rsidRPr="002E6ECA">
        <w:rPr>
          <w:iCs/>
          <w:sz w:val="28"/>
          <w:szCs w:val="28"/>
          <w:lang w:val="uk-UA"/>
        </w:rPr>
        <w:t>проєктами,</w:t>
      </w:r>
      <w:r w:rsidR="00D46B1B" w:rsidRPr="002E6ECA">
        <w:rPr>
          <w:iCs/>
          <w:sz w:val="28"/>
          <w:szCs w:val="28"/>
          <w:lang w:val="uk-UA"/>
        </w:rPr>
        <w:t xml:space="preserve"> </w:t>
      </w:r>
      <w:r w:rsidRPr="002E6ECA">
        <w:rPr>
          <w:iCs/>
          <w:sz w:val="28"/>
          <w:szCs w:val="28"/>
          <w:lang w:val="uk-UA"/>
        </w:rPr>
        <w:t>що</w:t>
      </w:r>
      <w:r w:rsidR="00D46B1B" w:rsidRPr="002E6ECA">
        <w:rPr>
          <w:iCs/>
          <w:sz w:val="28"/>
          <w:szCs w:val="28"/>
          <w:lang w:val="uk-UA"/>
        </w:rPr>
        <w:t xml:space="preserve"> </w:t>
      </w:r>
      <w:r w:rsidRPr="002E6ECA">
        <w:rPr>
          <w:iCs/>
          <w:sz w:val="28"/>
          <w:szCs w:val="28"/>
          <w:lang w:val="uk-UA"/>
        </w:rPr>
        <w:t>впроваджуються</w:t>
      </w:r>
      <w:r w:rsidRPr="002E6ECA">
        <w:rPr>
          <w:sz w:val="28"/>
          <w:szCs w:val="28"/>
          <w:lang w:val="uk-UA"/>
        </w:rPr>
        <w:t>;</w:t>
      </w:r>
      <w:r w:rsidR="00D46B1B" w:rsidRPr="002E6ECA">
        <w:rPr>
          <w:sz w:val="28"/>
          <w:szCs w:val="28"/>
          <w:lang w:val="uk-UA"/>
        </w:rPr>
        <w:t xml:space="preserve"> </w:t>
      </w:r>
    </w:p>
    <w:p w:rsidR="00FB13C4" w:rsidRPr="002E6ECA" w:rsidRDefault="00FB13C4" w:rsidP="001A0E08">
      <w:pPr>
        <w:pStyle w:val="a3"/>
        <w:numPr>
          <w:ilvl w:val="0"/>
          <w:numId w:val="26"/>
        </w:numPr>
        <w:spacing w:line="360" w:lineRule="auto"/>
        <w:jc w:val="both"/>
        <w:rPr>
          <w:iCs/>
          <w:sz w:val="28"/>
          <w:szCs w:val="28"/>
          <w:lang w:val="uk-UA"/>
        </w:rPr>
      </w:pPr>
      <w:r w:rsidRPr="002E6ECA">
        <w:rPr>
          <w:i/>
          <w:iCs/>
          <w:sz w:val="28"/>
          <w:szCs w:val="28"/>
          <w:lang w:val="uk-UA"/>
        </w:rPr>
        <w:t>епідеміологічні</w:t>
      </w:r>
      <w:r w:rsidR="00D46B1B" w:rsidRPr="002E6ECA">
        <w:rPr>
          <w:i/>
          <w:iCs/>
          <w:sz w:val="28"/>
          <w:szCs w:val="28"/>
          <w:lang w:val="uk-UA"/>
        </w:rPr>
        <w:t xml:space="preserve"> </w:t>
      </w:r>
      <w:r w:rsidRPr="002E6ECA">
        <w:rPr>
          <w:i/>
          <w:iCs/>
          <w:sz w:val="28"/>
          <w:szCs w:val="28"/>
          <w:lang w:val="uk-UA"/>
        </w:rPr>
        <w:t>методи</w:t>
      </w:r>
      <w:r w:rsidR="00D46B1B" w:rsidRPr="002E6ECA">
        <w:rPr>
          <w:i/>
          <w:iCs/>
          <w:sz w:val="28"/>
          <w:szCs w:val="28"/>
          <w:lang w:val="uk-UA"/>
        </w:rPr>
        <w:t xml:space="preserve"> </w:t>
      </w:r>
      <w:r w:rsidRPr="002E6ECA">
        <w:rPr>
          <w:sz w:val="28"/>
          <w:szCs w:val="28"/>
          <w:lang w:val="uk-UA"/>
        </w:rPr>
        <w:t>–</w:t>
      </w:r>
      <w:r w:rsidR="00D46B1B" w:rsidRPr="002E6ECA">
        <w:rPr>
          <w:sz w:val="28"/>
          <w:szCs w:val="28"/>
          <w:lang w:val="uk-UA"/>
        </w:rPr>
        <w:t xml:space="preserve"> </w:t>
      </w:r>
      <w:r w:rsidRPr="002E6ECA">
        <w:rPr>
          <w:iCs/>
          <w:sz w:val="28"/>
          <w:szCs w:val="28"/>
          <w:lang w:val="uk-UA"/>
        </w:rPr>
        <w:t>оцінка</w:t>
      </w:r>
      <w:r w:rsidR="00D46B1B" w:rsidRPr="002E6ECA">
        <w:rPr>
          <w:iCs/>
          <w:sz w:val="28"/>
          <w:szCs w:val="28"/>
          <w:lang w:val="uk-UA"/>
        </w:rPr>
        <w:t xml:space="preserve"> </w:t>
      </w:r>
      <w:r w:rsidRPr="002E6ECA">
        <w:rPr>
          <w:iCs/>
          <w:sz w:val="28"/>
          <w:szCs w:val="28"/>
          <w:lang w:val="uk-UA"/>
        </w:rPr>
        <w:t>стану</w:t>
      </w:r>
      <w:r w:rsidR="00D46B1B" w:rsidRPr="002E6ECA">
        <w:rPr>
          <w:iCs/>
          <w:sz w:val="28"/>
          <w:szCs w:val="28"/>
          <w:lang w:val="uk-UA"/>
        </w:rPr>
        <w:t xml:space="preserve"> </w:t>
      </w:r>
      <w:r w:rsidRPr="002E6ECA">
        <w:rPr>
          <w:iCs/>
          <w:sz w:val="28"/>
          <w:szCs w:val="28"/>
          <w:lang w:val="uk-UA"/>
        </w:rPr>
        <w:t>здоров’я</w:t>
      </w:r>
      <w:r w:rsidR="00D46B1B" w:rsidRPr="002E6ECA">
        <w:rPr>
          <w:iCs/>
          <w:sz w:val="28"/>
          <w:szCs w:val="28"/>
          <w:lang w:val="uk-UA"/>
        </w:rPr>
        <w:t xml:space="preserve"> </w:t>
      </w:r>
      <w:r w:rsidRPr="002E6ECA">
        <w:rPr>
          <w:iCs/>
          <w:sz w:val="28"/>
          <w:szCs w:val="28"/>
          <w:lang w:val="uk-UA"/>
        </w:rPr>
        <w:t>учнів</w:t>
      </w:r>
      <w:r w:rsidR="00D46B1B" w:rsidRPr="002E6ECA">
        <w:rPr>
          <w:iCs/>
          <w:sz w:val="28"/>
          <w:szCs w:val="28"/>
          <w:lang w:val="uk-UA"/>
        </w:rPr>
        <w:t xml:space="preserve"> </w:t>
      </w:r>
      <w:r w:rsidRPr="002E6ECA">
        <w:rPr>
          <w:iCs/>
          <w:sz w:val="28"/>
          <w:szCs w:val="28"/>
          <w:lang w:val="uk-UA"/>
        </w:rPr>
        <w:t>середнього</w:t>
      </w:r>
      <w:r w:rsidR="00D46B1B" w:rsidRPr="002E6ECA">
        <w:rPr>
          <w:iCs/>
          <w:sz w:val="28"/>
          <w:szCs w:val="28"/>
          <w:lang w:val="uk-UA"/>
        </w:rPr>
        <w:t xml:space="preserve"> </w:t>
      </w:r>
      <w:r w:rsidRPr="002E6ECA">
        <w:rPr>
          <w:iCs/>
          <w:sz w:val="28"/>
          <w:szCs w:val="28"/>
          <w:lang w:val="uk-UA"/>
        </w:rPr>
        <w:t>шкільного</w:t>
      </w:r>
      <w:r w:rsidR="00D46B1B" w:rsidRPr="002E6ECA">
        <w:rPr>
          <w:iCs/>
          <w:sz w:val="28"/>
          <w:szCs w:val="28"/>
          <w:lang w:val="uk-UA"/>
        </w:rPr>
        <w:t xml:space="preserve"> </w:t>
      </w:r>
      <w:r w:rsidRPr="002E6ECA">
        <w:rPr>
          <w:iCs/>
          <w:sz w:val="28"/>
          <w:szCs w:val="28"/>
          <w:lang w:val="uk-UA"/>
        </w:rPr>
        <w:t>віку</w:t>
      </w:r>
      <w:r w:rsidR="00D46B1B" w:rsidRPr="002E6ECA">
        <w:rPr>
          <w:iCs/>
          <w:sz w:val="28"/>
          <w:szCs w:val="28"/>
          <w:lang w:val="uk-UA"/>
        </w:rPr>
        <w:t xml:space="preserve"> </w:t>
      </w:r>
      <w:r w:rsidRPr="002E6ECA">
        <w:rPr>
          <w:iCs/>
          <w:sz w:val="28"/>
          <w:szCs w:val="28"/>
          <w:lang w:val="uk-UA"/>
        </w:rPr>
        <w:t>за</w:t>
      </w:r>
      <w:r w:rsidR="00D46B1B" w:rsidRPr="002E6ECA">
        <w:rPr>
          <w:iCs/>
          <w:sz w:val="28"/>
          <w:szCs w:val="28"/>
          <w:lang w:val="uk-UA"/>
        </w:rPr>
        <w:t xml:space="preserve"> </w:t>
      </w:r>
      <w:r w:rsidRPr="002E6ECA">
        <w:rPr>
          <w:iCs/>
          <w:sz w:val="28"/>
          <w:szCs w:val="28"/>
          <w:lang w:val="uk-UA"/>
        </w:rPr>
        <w:t>показниками</w:t>
      </w:r>
      <w:r w:rsidR="00D46B1B" w:rsidRPr="002E6ECA">
        <w:rPr>
          <w:iCs/>
          <w:sz w:val="28"/>
          <w:szCs w:val="28"/>
          <w:lang w:val="uk-UA"/>
        </w:rPr>
        <w:t xml:space="preserve"> </w:t>
      </w:r>
      <w:r w:rsidRPr="002E6ECA">
        <w:rPr>
          <w:iCs/>
          <w:sz w:val="28"/>
          <w:szCs w:val="28"/>
          <w:lang w:val="uk-UA"/>
        </w:rPr>
        <w:t>патологічної</w:t>
      </w:r>
      <w:r w:rsidR="00D46B1B" w:rsidRPr="002E6ECA">
        <w:rPr>
          <w:iCs/>
          <w:sz w:val="28"/>
          <w:szCs w:val="28"/>
          <w:lang w:val="uk-UA"/>
        </w:rPr>
        <w:t xml:space="preserve"> </w:t>
      </w:r>
      <w:r w:rsidRPr="002E6ECA">
        <w:rPr>
          <w:iCs/>
          <w:sz w:val="28"/>
          <w:szCs w:val="28"/>
          <w:lang w:val="uk-UA"/>
        </w:rPr>
        <w:t>ураженості</w:t>
      </w:r>
      <w:r w:rsidR="00D46B1B" w:rsidRPr="002E6ECA">
        <w:rPr>
          <w:iCs/>
          <w:sz w:val="28"/>
          <w:szCs w:val="28"/>
          <w:lang w:val="uk-UA"/>
        </w:rPr>
        <w:t xml:space="preserve"> </w:t>
      </w:r>
      <w:r w:rsidRPr="002E6ECA">
        <w:rPr>
          <w:iCs/>
          <w:sz w:val="28"/>
          <w:szCs w:val="28"/>
          <w:lang w:val="uk-UA"/>
        </w:rPr>
        <w:t>та</w:t>
      </w:r>
      <w:r w:rsidR="00D46B1B" w:rsidRPr="002E6ECA">
        <w:rPr>
          <w:iCs/>
          <w:sz w:val="28"/>
          <w:szCs w:val="28"/>
          <w:lang w:val="uk-UA"/>
        </w:rPr>
        <w:t xml:space="preserve"> </w:t>
      </w:r>
      <w:r w:rsidRPr="002E6ECA">
        <w:rPr>
          <w:iCs/>
          <w:sz w:val="28"/>
          <w:szCs w:val="28"/>
          <w:lang w:val="uk-UA"/>
        </w:rPr>
        <w:t>гострої</w:t>
      </w:r>
      <w:r w:rsidR="00D46B1B" w:rsidRPr="002E6ECA">
        <w:rPr>
          <w:iCs/>
          <w:sz w:val="28"/>
          <w:szCs w:val="28"/>
          <w:lang w:val="uk-UA"/>
        </w:rPr>
        <w:t xml:space="preserve"> </w:t>
      </w:r>
      <w:r w:rsidRPr="002E6ECA">
        <w:rPr>
          <w:iCs/>
          <w:sz w:val="28"/>
          <w:szCs w:val="28"/>
          <w:lang w:val="uk-UA"/>
        </w:rPr>
        <w:t>захворюваності;</w:t>
      </w:r>
      <w:r w:rsidR="00D46B1B" w:rsidRPr="002E6ECA">
        <w:rPr>
          <w:iCs/>
          <w:sz w:val="28"/>
          <w:szCs w:val="28"/>
          <w:lang w:val="uk-UA"/>
        </w:rPr>
        <w:t xml:space="preserve"> </w:t>
      </w:r>
    </w:p>
    <w:p w:rsidR="00FB13C4" w:rsidRPr="002E6ECA" w:rsidRDefault="00FB13C4" w:rsidP="001A0E08">
      <w:pPr>
        <w:pStyle w:val="a3"/>
        <w:numPr>
          <w:ilvl w:val="0"/>
          <w:numId w:val="26"/>
        </w:numPr>
        <w:spacing w:line="360" w:lineRule="auto"/>
        <w:jc w:val="both"/>
        <w:rPr>
          <w:sz w:val="28"/>
          <w:szCs w:val="28"/>
          <w:lang w:val="uk-UA"/>
        </w:rPr>
      </w:pPr>
      <w:r w:rsidRPr="002E6ECA">
        <w:rPr>
          <w:i/>
          <w:iCs/>
          <w:sz w:val="28"/>
          <w:szCs w:val="28"/>
          <w:lang w:val="uk-UA"/>
        </w:rPr>
        <w:t>методи</w:t>
      </w:r>
      <w:r w:rsidR="00D46B1B" w:rsidRPr="002E6ECA">
        <w:rPr>
          <w:i/>
          <w:iCs/>
          <w:sz w:val="28"/>
          <w:szCs w:val="28"/>
          <w:lang w:val="uk-UA"/>
        </w:rPr>
        <w:t xml:space="preserve"> </w:t>
      </w:r>
      <w:r w:rsidRPr="002E6ECA">
        <w:rPr>
          <w:i/>
          <w:iCs/>
          <w:sz w:val="28"/>
          <w:szCs w:val="28"/>
          <w:lang w:val="uk-UA"/>
        </w:rPr>
        <w:t>статистичного</w:t>
      </w:r>
      <w:r w:rsidR="00D46B1B" w:rsidRPr="002E6ECA">
        <w:rPr>
          <w:i/>
          <w:iCs/>
          <w:sz w:val="28"/>
          <w:szCs w:val="28"/>
          <w:lang w:val="uk-UA"/>
        </w:rPr>
        <w:t xml:space="preserve"> </w:t>
      </w:r>
      <w:r w:rsidRPr="002E6ECA">
        <w:rPr>
          <w:i/>
          <w:iCs/>
          <w:sz w:val="28"/>
          <w:szCs w:val="28"/>
          <w:lang w:val="uk-UA"/>
        </w:rPr>
        <w:t>аналізу</w:t>
      </w:r>
      <w:r w:rsidR="00D46B1B" w:rsidRPr="002E6ECA">
        <w:rPr>
          <w:i/>
          <w:iCs/>
          <w:sz w:val="28"/>
          <w:szCs w:val="28"/>
          <w:lang w:val="uk-UA"/>
        </w:rPr>
        <w:t xml:space="preserve"> </w:t>
      </w:r>
      <w:r w:rsidRPr="002E6ECA">
        <w:rPr>
          <w:sz w:val="28"/>
          <w:szCs w:val="28"/>
          <w:lang w:val="uk-UA"/>
        </w:rPr>
        <w:t>–</w:t>
      </w:r>
      <w:r w:rsidR="00D46B1B" w:rsidRPr="002E6ECA">
        <w:rPr>
          <w:sz w:val="28"/>
          <w:szCs w:val="28"/>
          <w:lang w:val="uk-UA"/>
        </w:rPr>
        <w:t xml:space="preserve"> </w:t>
      </w:r>
      <w:r w:rsidRPr="002E6ECA">
        <w:rPr>
          <w:sz w:val="28"/>
          <w:szCs w:val="28"/>
          <w:lang w:val="uk-UA"/>
        </w:rPr>
        <w:t>статистична</w:t>
      </w:r>
      <w:r w:rsidR="00D46B1B" w:rsidRPr="002E6ECA">
        <w:rPr>
          <w:sz w:val="28"/>
          <w:szCs w:val="28"/>
          <w:lang w:val="uk-UA"/>
        </w:rPr>
        <w:t xml:space="preserve"> </w:t>
      </w:r>
      <w:r w:rsidRPr="002E6ECA">
        <w:rPr>
          <w:sz w:val="28"/>
          <w:szCs w:val="28"/>
          <w:lang w:val="uk-UA"/>
        </w:rPr>
        <w:t>обробки</w:t>
      </w:r>
      <w:r w:rsidR="00D46B1B" w:rsidRPr="002E6ECA">
        <w:rPr>
          <w:sz w:val="28"/>
          <w:szCs w:val="28"/>
          <w:lang w:val="uk-UA"/>
        </w:rPr>
        <w:t xml:space="preserve"> </w:t>
      </w:r>
      <w:r w:rsidRPr="002E6ECA">
        <w:rPr>
          <w:sz w:val="28"/>
          <w:szCs w:val="28"/>
          <w:lang w:val="uk-UA"/>
        </w:rPr>
        <w:t>отриманих</w:t>
      </w:r>
      <w:r w:rsidR="00D46B1B" w:rsidRPr="002E6ECA">
        <w:rPr>
          <w:sz w:val="28"/>
          <w:szCs w:val="28"/>
          <w:lang w:val="uk-UA"/>
        </w:rPr>
        <w:t xml:space="preserve"> </w:t>
      </w:r>
      <w:r w:rsidRPr="002E6ECA">
        <w:rPr>
          <w:sz w:val="28"/>
          <w:szCs w:val="28"/>
          <w:lang w:val="uk-UA"/>
        </w:rPr>
        <w:t>результатів,</w:t>
      </w:r>
      <w:r w:rsidR="00D46B1B" w:rsidRPr="002E6ECA">
        <w:rPr>
          <w:sz w:val="28"/>
          <w:szCs w:val="28"/>
          <w:lang w:val="uk-UA"/>
        </w:rPr>
        <w:t xml:space="preserve"> </w:t>
      </w:r>
      <w:r w:rsidRPr="002E6ECA">
        <w:rPr>
          <w:sz w:val="28"/>
          <w:szCs w:val="28"/>
          <w:lang w:val="uk-UA"/>
        </w:rPr>
        <w:t>обґрунтування</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оцінка</w:t>
      </w:r>
      <w:r w:rsidR="00D46B1B" w:rsidRPr="002E6ECA">
        <w:rPr>
          <w:sz w:val="28"/>
          <w:szCs w:val="28"/>
          <w:lang w:val="uk-UA"/>
        </w:rPr>
        <w:t xml:space="preserve"> </w:t>
      </w:r>
      <w:r w:rsidRPr="002E6ECA">
        <w:rPr>
          <w:sz w:val="28"/>
          <w:szCs w:val="28"/>
          <w:lang w:val="uk-UA"/>
        </w:rPr>
        <w:t>ефективності</w:t>
      </w:r>
      <w:r w:rsidR="00D46B1B" w:rsidRPr="002E6ECA">
        <w:rPr>
          <w:sz w:val="28"/>
          <w:szCs w:val="28"/>
          <w:lang w:val="uk-UA"/>
        </w:rPr>
        <w:t xml:space="preserve"> </w:t>
      </w:r>
      <w:r w:rsidRPr="002E6ECA">
        <w:rPr>
          <w:sz w:val="28"/>
          <w:szCs w:val="28"/>
          <w:lang w:val="uk-UA"/>
        </w:rPr>
        <w:t>профілактичної</w:t>
      </w:r>
      <w:r w:rsidR="00D46B1B" w:rsidRPr="002E6ECA">
        <w:rPr>
          <w:sz w:val="28"/>
          <w:szCs w:val="28"/>
          <w:lang w:val="uk-UA"/>
        </w:rPr>
        <w:t xml:space="preserve"> </w:t>
      </w:r>
      <w:r w:rsidRPr="002E6ECA">
        <w:rPr>
          <w:sz w:val="28"/>
          <w:szCs w:val="28"/>
          <w:lang w:val="uk-UA"/>
        </w:rPr>
        <w:t>програми,</w:t>
      </w:r>
      <w:r w:rsidR="00D46B1B" w:rsidRPr="002E6ECA">
        <w:rPr>
          <w:sz w:val="28"/>
          <w:szCs w:val="28"/>
          <w:lang w:val="uk-UA"/>
        </w:rPr>
        <w:t xml:space="preserve"> </w:t>
      </w:r>
      <w:r w:rsidRPr="002E6ECA">
        <w:rPr>
          <w:sz w:val="28"/>
          <w:szCs w:val="28"/>
          <w:lang w:val="uk-UA"/>
        </w:rPr>
        <w:t>прогнозування</w:t>
      </w:r>
      <w:r w:rsidR="00D46B1B" w:rsidRPr="002E6ECA">
        <w:rPr>
          <w:sz w:val="28"/>
          <w:szCs w:val="28"/>
          <w:lang w:val="uk-UA"/>
        </w:rPr>
        <w:t xml:space="preserve"> </w:t>
      </w:r>
      <w:r w:rsidRPr="002E6ECA">
        <w:rPr>
          <w:sz w:val="28"/>
          <w:szCs w:val="28"/>
          <w:lang w:val="uk-UA"/>
        </w:rPr>
        <w:t>академічної</w:t>
      </w:r>
      <w:r w:rsidR="00D46B1B" w:rsidRPr="002E6ECA">
        <w:rPr>
          <w:sz w:val="28"/>
          <w:szCs w:val="28"/>
          <w:lang w:val="uk-UA"/>
        </w:rPr>
        <w:t xml:space="preserve"> </w:t>
      </w:r>
      <w:r w:rsidRPr="002E6ECA">
        <w:rPr>
          <w:sz w:val="28"/>
          <w:szCs w:val="28"/>
          <w:lang w:val="uk-UA"/>
        </w:rPr>
        <w:t>успішності</w:t>
      </w:r>
      <w:r w:rsidR="00D46B1B" w:rsidRPr="002E6ECA">
        <w:rPr>
          <w:sz w:val="28"/>
          <w:szCs w:val="28"/>
          <w:lang w:val="uk-UA"/>
        </w:rPr>
        <w:t xml:space="preserve"> </w:t>
      </w:r>
      <w:r w:rsidRPr="002E6ECA">
        <w:rPr>
          <w:sz w:val="28"/>
          <w:szCs w:val="28"/>
          <w:lang w:val="uk-UA"/>
        </w:rPr>
        <w:t>у</w:t>
      </w:r>
      <w:r w:rsidR="00D46B1B" w:rsidRPr="002E6ECA">
        <w:rPr>
          <w:sz w:val="28"/>
          <w:szCs w:val="28"/>
          <w:lang w:val="uk-UA"/>
        </w:rPr>
        <w:t xml:space="preserve"> </w:t>
      </w:r>
      <w:r w:rsidRPr="002E6ECA">
        <w:rPr>
          <w:sz w:val="28"/>
          <w:szCs w:val="28"/>
          <w:lang w:val="uk-UA"/>
        </w:rPr>
        <w:t>залежності</w:t>
      </w:r>
      <w:r w:rsidR="00D46B1B" w:rsidRPr="002E6ECA">
        <w:rPr>
          <w:sz w:val="28"/>
          <w:szCs w:val="28"/>
          <w:lang w:val="uk-UA"/>
        </w:rPr>
        <w:t xml:space="preserve"> </w:t>
      </w:r>
      <w:r w:rsidRPr="002E6ECA">
        <w:rPr>
          <w:sz w:val="28"/>
          <w:szCs w:val="28"/>
          <w:lang w:val="uk-UA"/>
        </w:rPr>
        <w:t>від</w:t>
      </w:r>
      <w:r w:rsidR="00D46B1B" w:rsidRPr="002E6ECA">
        <w:rPr>
          <w:sz w:val="28"/>
          <w:szCs w:val="28"/>
          <w:lang w:val="uk-UA"/>
        </w:rPr>
        <w:t xml:space="preserve"> </w:t>
      </w:r>
      <w:r w:rsidRPr="002E6ECA">
        <w:rPr>
          <w:sz w:val="28"/>
          <w:szCs w:val="28"/>
          <w:lang w:val="uk-UA"/>
        </w:rPr>
        <w:t>порушень</w:t>
      </w:r>
      <w:r w:rsidR="00D46B1B" w:rsidRPr="002E6ECA">
        <w:rPr>
          <w:sz w:val="28"/>
          <w:szCs w:val="28"/>
          <w:lang w:val="uk-UA"/>
        </w:rPr>
        <w:t xml:space="preserve"> </w:t>
      </w:r>
      <w:r w:rsidRPr="002E6ECA">
        <w:rPr>
          <w:sz w:val="28"/>
          <w:szCs w:val="28"/>
          <w:lang w:val="uk-UA"/>
        </w:rPr>
        <w:t>у</w:t>
      </w:r>
      <w:r w:rsidR="00D46B1B" w:rsidRPr="002E6ECA">
        <w:rPr>
          <w:sz w:val="28"/>
          <w:szCs w:val="28"/>
          <w:lang w:val="uk-UA"/>
        </w:rPr>
        <w:t xml:space="preserve"> </w:t>
      </w:r>
      <w:r w:rsidRPr="002E6ECA">
        <w:rPr>
          <w:sz w:val="28"/>
          <w:szCs w:val="28"/>
          <w:lang w:val="uk-UA"/>
        </w:rPr>
        <w:t>стані</w:t>
      </w:r>
      <w:r w:rsidR="00D46B1B" w:rsidRPr="002E6ECA">
        <w:rPr>
          <w:sz w:val="28"/>
          <w:szCs w:val="28"/>
          <w:lang w:val="uk-UA"/>
        </w:rPr>
        <w:t xml:space="preserve"> </w:t>
      </w:r>
      <w:r w:rsidRPr="002E6ECA">
        <w:rPr>
          <w:sz w:val="28"/>
          <w:szCs w:val="28"/>
          <w:lang w:val="uk-UA"/>
        </w:rPr>
        <w:t>здоров’я.</w:t>
      </w:r>
    </w:p>
    <w:p w:rsidR="00B03BC4" w:rsidRPr="002E6ECA" w:rsidRDefault="00B03BC4" w:rsidP="001A0E08">
      <w:pPr>
        <w:spacing w:line="360" w:lineRule="auto"/>
        <w:ind w:firstLine="851"/>
        <w:jc w:val="both"/>
        <w:rPr>
          <w:sz w:val="28"/>
          <w:szCs w:val="28"/>
        </w:rPr>
      </w:pPr>
      <w:r w:rsidRPr="002E6ECA">
        <w:rPr>
          <w:b/>
          <w:sz w:val="28"/>
          <w:szCs w:val="28"/>
        </w:rPr>
        <w:t>Наукова новизна</w:t>
      </w:r>
      <w:r w:rsidRPr="002E6ECA">
        <w:rPr>
          <w:sz w:val="28"/>
          <w:szCs w:val="28"/>
        </w:rPr>
        <w:t xml:space="preserve"> </w:t>
      </w:r>
      <w:r w:rsidRPr="002E6ECA">
        <w:rPr>
          <w:b/>
          <w:sz w:val="28"/>
          <w:szCs w:val="28"/>
        </w:rPr>
        <w:t>отриманих результатів</w:t>
      </w:r>
      <w:r w:rsidRPr="002E6ECA">
        <w:rPr>
          <w:sz w:val="28"/>
          <w:szCs w:val="28"/>
        </w:rPr>
        <w:t xml:space="preserve"> полягає в тому, що вперше в Україні:</w:t>
      </w:r>
    </w:p>
    <w:p w:rsidR="00F62F71" w:rsidRPr="002E6ECA" w:rsidRDefault="00F62F71" w:rsidP="009A2CF7">
      <w:pPr>
        <w:numPr>
          <w:ilvl w:val="0"/>
          <w:numId w:val="49"/>
        </w:numPr>
        <w:tabs>
          <w:tab w:val="clear" w:pos="1140"/>
          <w:tab w:val="left" w:pos="1276"/>
        </w:tabs>
        <w:spacing w:line="360" w:lineRule="auto"/>
        <w:ind w:left="0" w:firstLine="851"/>
        <w:jc w:val="both"/>
        <w:rPr>
          <w:sz w:val="28"/>
          <w:szCs w:val="28"/>
        </w:rPr>
      </w:pPr>
      <w:r w:rsidRPr="002E6ECA">
        <w:rPr>
          <w:sz w:val="28"/>
          <w:szCs w:val="28"/>
        </w:rPr>
        <w:t>обґрунтовано модель гігієнічного моніторингу групового здоров’я дітей шкільного віку, що базується на двоетапному скринінгу суб’єктивних та об’єктивних показників здоров’я. Оцінено відповідність розробленої моделі основним положенням та принципам теорії керування та доведено її ефективність;</w:t>
      </w:r>
    </w:p>
    <w:p w:rsidR="00F62F71" w:rsidRPr="002E6ECA" w:rsidRDefault="00F62F71" w:rsidP="009A2CF7">
      <w:pPr>
        <w:numPr>
          <w:ilvl w:val="0"/>
          <w:numId w:val="46"/>
        </w:numPr>
        <w:tabs>
          <w:tab w:val="left" w:pos="1276"/>
        </w:tabs>
        <w:spacing w:line="360" w:lineRule="auto"/>
        <w:ind w:left="0" w:firstLine="851"/>
        <w:jc w:val="both"/>
        <w:rPr>
          <w:sz w:val="28"/>
          <w:szCs w:val="28"/>
        </w:rPr>
      </w:pPr>
      <w:r w:rsidRPr="002E6ECA">
        <w:rPr>
          <w:sz w:val="28"/>
          <w:szCs w:val="28"/>
        </w:rPr>
        <w:t>розроблено методику визначення провідної патології у навчальному колективі як показника групового здоров’я на підставі масового скринінгу у ЗЗСО;</w:t>
      </w:r>
    </w:p>
    <w:p w:rsidR="00F62F71" w:rsidRPr="002E6ECA" w:rsidRDefault="00F62F71" w:rsidP="009A2CF7">
      <w:pPr>
        <w:numPr>
          <w:ilvl w:val="0"/>
          <w:numId w:val="46"/>
        </w:numPr>
        <w:tabs>
          <w:tab w:val="left" w:pos="1276"/>
        </w:tabs>
        <w:spacing w:line="360" w:lineRule="auto"/>
        <w:ind w:left="0" w:firstLine="851"/>
        <w:jc w:val="both"/>
        <w:rPr>
          <w:sz w:val="28"/>
          <w:szCs w:val="28"/>
        </w:rPr>
      </w:pPr>
      <w:r w:rsidRPr="002E6ECA">
        <w:rPr>
          <w:sz w:val="28"/>
          <w:szCs w:val="28"/>
        </w:rPr>
        <w:t>запропоновано цільову профілактичну програму з оптимізації способу життя у залежності від провідної патології як відображення підсумкового етапу моніторингу здоров’я;</w:t>
      </w:r>
    </w:p>
    <w:p w:rsidR="00F62F71" w:rsidRPr="002E6ECA" w:rsidRDefault="00F62F71" w:rsidP="009A2CF7">
      <w:pPr>
        <w:numPr>
          <w:ilvl w:val="0"/>
          <w:numId w:val="46"/>
        </w:numPr>
        <w:tabs>
          <w:tab w:val="left" w:pos="1134"/>
          <w:tab w:val="left" w:pos="1276"/>
        </w:tabs>
        <w:spacing w:line="360" w:lineRule="auto"/>
        <w:ind w:left="0" w:firstLine="851"/>
        <w:jc w:val="both"/>
        <w:rPr>
          <w:sz w:val="28"/>
          <w:szCs w:val="28"/>
        </w:rPr>
      </w:pPr>
      <w:r w:rsidRPr="002E6ECA">
        <w:rPr>
          <w:sz w:val="28"/>
          <w:szCs w:val="28"/>
        </w:rPr>
        <w:t>з позицій донозологічної діагностики розроблено алгоритм скринінг-діагностики для школярів групи ризику, що включає методики для визначення ступеню регуляції та функціональних резервів. Даний алгоритм є інструментом визначення шкільної дезадаптації як форми навчальної донозології;</w:t>
      </w:r>
    </w:p>
    <w:p w:rsidR="00F62F71" w:rsidRPr="002E6ECA" w:rsidRDefault="00F62F71" w:rsidP="009A2CF7">
      <w:pPr>
        <w:numPr>
          <w:ilvl w:val="0"/>
          <w:numId w:val="46"/>
        </w:numPr>
        <w:tabs>
          <w:tab w:val="left" w:pos="1134"/>
        </w:tabs>
        <w:spacing w:line="360" w:lineRule="auto"/>
        <w:ind w:left="0" w:firstLine="851"/>
        <w:jc w:val="both"/>
        <w:rPr>
          <w:sz w:val="28"/>
          <w:szCs w:val="28"/>
        </w:rPr>
      </w:pPr>
      <w:r w:rsidRPr="002E6ECA">
        <w:rPr>
          <w:sz w:val="28"/>
          <w:szCs w:val="28"/>
        </w:rPr>
        <w:lastRenderedPageBreak/>
        <w:t>обґрунтовано та розроблено спосіб визначення компонентів соматотипу на підставі стандартних антропометричних та фізіометричних показників;</w:t>
      </w:r>
    </w:p>
    <w:p w:rsidR="00F62F71" w:rsidRPr="002E6ECA" w:rsidRDefault="00F62F71" w:rsidP="009A2CF7">
      <w:pPr>
        <w:numPr>
          <w:ilvl w:val="0"/>
          <w:numId w:val="46"/>
        </w:numPr>
        <w:tabs>
          <w:tab w:val="left" w:pos="1134"/>
        </w:tabs>
        <w:spacing w:line="360" w:lineRule="auto"/>
        <w:ind w:left="0" w:firstLine="851"/>
        <w:jc w:val="both"/>
        <w:rPr>
          <w:sz w:val="28"/>
          <w:szCs w:val="28"/>
        </w:rPr>
      </w:pPr>
      <w:r w:rsidRPr="002E6ECA">
        <w:rPr>
          <w:sz w:val="28"/>
          <w:szCs w:val="28"/>
        </w:rPr>
        <w:t>створено та запроваджено систему сполученого використання методик оцінки якості життя, що пов’язана зі здоров’ям, та психосоціального функціонування, що дозволяє визначати механізми формування психологічної та соціальної дезадаптації учнів;</w:t>
      </w:r>
    </w:p>
    <w:p w:rsidR="00F62F71" w:rsidRPr="002E6ECA" w:rsidRDefault="00F62F71" w:rsidP="009A2CF7">
      <w:pPr>
        <w:numPr>
          <w:ilvl w:val="0"/>
          <w:numId w:val="46"/>
        </w:numPr>
        <w:tabs>
          <w:tab w:val="left" w:pos="1134"/>
        </w:tabs>
        <w:spacing w:line="360" w:lineRule="auto"/>
        <w:ind w:left="0" w:firstLine="851"/>
        <w:jc w:val="both"/>
        <w:rPr>
          <w:sz w:val="28"/>
          <w:szCs w:val="28"/>
        </w:rPr>
      </w:pPr>
      <w:r w:rsidRPr="002E6ECA">
        <w:rPr>
          <w:sz w:val="28"/>
          <w:szCs w:val="28"/>
        </w:rPr>
        <w:t>доповнено та розширено наявні наукові положення щодо закономірностей формування здоров'я та розумової працездатності, статево-вікових особливостей шкільної адаптації та якості життя, що пов’язана зі здоров’ям, учнів середнього шкільного віку за різних соціально-гігієнічних умов навчального середовища та різного рівня академічної успішності;</w:t>
      </w:r>
    </w:p>
    <w:p w:rsidR="00F62F71" w:rsidRPr="002E6ECA" w:rsidRDefault="00F62F71" w:rsidP="009A2CF7">
      <w:pPr>
        <w:numPr>
          <w:ilvl w:val="0"/>
          <w:numId w:val="46"/>
        </w:numPr>
        <w:tabs>
          <w:tab w:val="left" w:pos="1134"/>
        </w:tabs>
        <w:spacing w:line="360" w:lineRule="auto"/>
        <w:ind w:left="0" w:firstLine="851"/>
        <w:jc w:val="both"/>
        <w:rPr>
          <w:sz w:val="28"/>
          <w:szCs w:val="28"/>
        </w:rPr>
      </w:pPr>
      <w:r w:rsidRPr="002E6ECA">
        <w:rPr>
          <w:sz w:val="28"/>
          <w:szCs w:val="28"/>
        </w:rPr>
        <w:t xml:space="preserve">розширено та систематизовано відомості щодо оцінки фізичного розвитку дітей шкільного віку згідно з національним стандартом, запропоновано та апробовано алгоритм його визначення у залежності від ланки медичного обслуговування (від експрес-оцінки фізичного розвитку та харчового статусу за створеними агрегованими таблицями </w:t>
      </w:r>
      <w:r w:rsidR="00E07216" w:rsidRPr="002E6ECA">
        <w:rPr>
          <w:sz w:val="28"/>
          <w:szCs w:val="28"/>
          <w:lang w:val="uk-UA"/>
        </w:rPr>
        <w:t>індексу маси тіла</w:t>
      </w:r>
      <w:r w:rsidR="00023668" w:rsidRPr="002E6ECA">
        <w:rPr>
          <w:sz w:val="28"/>
          <w:szCs w:val="28"/>
          <w:lang w:val="uk-UA"/>
        </w:rPr>
        <w:t xml:space="preserve"> (</w:t>
      </w:r>
      <w:r w:rsidR="00023668" w:rsidRPr="002E6ECA">
        <w:rPr>
          <w:sz w:val="28"/>
          <w:szCs w:val="28"/>
        </w:rPr>
        <w:t>ІМТ</w:t>
      </w:r>
      <w:r w:rsidR="00E07216" w:rsidRPr="002E6ECA">
        <w:rPr>
          <w:sz w:val="28"/>
          <w:szCs w:val="28"/>
          <w:lang w:val="uk-UA"/>
        </w:rPr>
        <w:t>)</w:t>
      </w:r>
      <w:r w:rsidRPr="002E6ECA">
        <w:rPr>
          <w:sz w:val="28"/>
          <w:szCs w:val="28"/>
        </w:rPr>
        <w:t xml:space="preserve"> до оцінки гармонійності фізичного розвитку, зросту та маси тіла відповідно до критеріїв оцінки фізичного розвитку);</w:t>
      </w:r>
    </w:p>
    <w:p w:rsidR="00F62F71" w:rsidRPr="002E6ECA" w:rsidRDefault="00F62F71" w:rsidP="009A2CF7">
      <w:pPr>
        <w:numPr>
          <w:ilvl w:val="0"/>
          <w:numId w:val="46"/>
        </w:numPr>
        <w:tabs>
          <w:tab w:val="left" w:pos="1134"/>
        </w:tabs>
        <w:spacing w:line="360" w:lineRule="auto"/>
        <w:ind w:left="0" w:firstLine="851"/>
        <w:jc w:val="both"/>
        <w:rPr>
          <w:sz w:val="28"/>
          <w:szCs w:val="28"/>
          <w:lang w:val="uk-UA"/>
        </w:rPr>
      </w:pPr>
      <w:r w:rsidRPr="002E6ECA">
        <w:rPr>
          <w:sz w:val="28"/>
          <w:szCs w:val="28"/>
          <w:lang w:val="uk-UA"/>
        </w:rPr>
        <w:t>підтверджено дані щодо дослідження розумової працездатності за характером її змін як критерію рівня втоми, динамічної реакції серцево-судинної системи та самопочуття учнів у циклі вивчення окремих навчальних предметів.</w:t>
      </w:r>
    </w:p>
    <w:p w:rsidR="00B03BC4" w:rsidRPr="002E6ECA" w:rsidRDefault="00B03BC4" w:rsidP="001A0E08">
      <w:pPr>
        <w:spacing w:line="360" w:lineRule="auto"/>
        <w:ind w:firstLine="709"/>
        <w:jc w:val="both"/>
        <w:rPr>
          <w:sz w:val="28"/>
          <w:szCs w:val="28"/>
        </w:rPr>
      </w:pPr>
      <w:r w:rsidRPr="002E6ECA">
        <w:rPr>
          <w:b/>
          <w:sz w:val="28"/>
          <w:szCs w:val="28"/>
          <w:lang w:val="uk-UA"/>
        </w:rPr>
        <w:t>Теоретичне значення</w:t>
      </w:r>
      <w:r w:rsidRPr="002E6ECA">
        <w:rPr>
          <w:sz w:val="28"/>
          <w:szCs w:val="28"/>
          <w:lang w:val="uk-UA"/>
        </w:rPr>
        <w:t xml:space="preserve"> </w:t>
      </w:r>
      <w:r w:rsidR="00F62F71" w:rsidRPr="002E6ECA">
        <w:rPr>
          <w:sz w:val="28"/>
          <w:szCs w:val="28"/>
          <w:lang w:val="uk-UA"/>
        </w:rPr>
        <w:t xml:space="preserve">полягає в удосконаленні моніторингу здоров’я школярів в умовах інтенсифікації навчального процесу відповідно до існуючих проблем щодо медичного забезпечення учнівської молоді. Розширено наявні відомості щодо використання донозологічної діагностики для прогнозу шкільної дезадаптації, оптимізації виявлення чинників ризику здоров’я школярів в умовах </w:t>
      </w:r>
      <w:r w:rsidR="00F62F71" w:rsidRPr="002E6ECA">
        <w:rPr>
          <w:spacing w:val="-2"/>
          <w:sz w:val="28"/>
          <w:szCs w:val="28"/>
          <w:lang w:val="uk-UA"/>
        </w:rPr>
        <w:t xml:space="preserve">інтенсифікації освітнього процесу. </w:t>
      </w:r>
      <w:r w:rsidR="00F62F71" w:rsidRPr="002E6ECA">
        <w:rPr>
          <w:spacing w:val="-2"/>
          <w:sz w:val="28"/>
          <w:szCs w:val="28"/>
        </w:rPr>
        <w:t>Доведено можливість використання особливостей гострої захворюваності та патологічної</w:t>
      </w:r>
      <w:r w:rsidR="00F62F71" w:rsidRPr="002E6ECA">
        <w:rPr>
          <w:sz w:val="28"/>
          <w:szCs w:val="28"/>
        </w:rPr>
        <w:t xml:space="preserve"> враженості </w:t>
      </w:r>
      <w:r w:rsidR="00F62F71" w:rsidRPr="002E6ECA">
        <w:rPr>
          <w:sz w:val="28"/>
          <w:szCs w:val="28"/>
        </w:rPr>
        <w:lastRenderedPageBreak/>
        <w:t>школярів як індикатору стану адаптаційних можливостей. Обґрунтовано використання аналізу харчової поведінки школярів як критерію донозологічної діагностики. Здійснено комплексний аналіз шкільної дезадаптації як донозологічного стану, запропоновано критерії її прогнозу та обґрунтовано профілактичні заходи. Доведено можливість використання академічної успішності у якості предиктору соціальної адаптації школярів.</w:t>
      </w:r>
    </w:p>
    <w:p w:rsidR="00B03BC4" w:rsidRPr="002E6ECA" w:rsidRDefault="00B03BC4" w:rsidP="001A0E08">
      <w:pPr>
        <w:spacing w:line="360" w:lineRule="auto"/>
        <w:ind w:firstLine="709"/>
        <w:jc w:val="both"/>
        <w:rPr>
          <w:sz w:val="28"/>
          <w:szCs w:val="28"/>
        </w:rPr>
      </w:pPr>
      <w:r w:rsidRPr="002E6ECA">
        <w:rPr>
          <w:b/>
          <w:sz w:val="28"/>
          <w:szCs w:val="28"/>
        </w:rPr>
        <w:t>Практичне значення</w:t>
      </w:r>
      <w:r w:rsidRPr="002E6ECA">
        <w:rPr>
          <w:sz w:val="28"/>
          <w:szCs w:val="28"/>
        </w:rPr>
        <w:t xml:space="preserve"> </w:t>
      </w:r>
      <w:r w:rsidR="00F62F71" w:rsidRPr="002E6ECA">
        <w:rPr>
          <w:spacing w:val="-2"/>
          <w:sz w:val="28"/>
          <w:szCs w:val="28"/>
        </w:rPr>
        <w:t>отриманих результатів полягає в тому, що впровадження гігієнічного моніторингу групового здоров’я школярів щодо виявлення закономірностей формування донозологічних станів дозволить виокремлювати групи ризику дітей та прогнозувати рівень порушення стану здоров’я дітей та підлітків. Розроблена методика визначення провідної патології щодо ризику підвищення захворюваності у навчальному колективі є інструментом аналізу та прогнозування здоров’я школярів на індивідуальному та груповому рівнях. Розроблено та впроваджено в роботу закладів загальної середньої освіти комплекс первинних профілактичних заходів, що стосується елементів режиму дня, які постають чинниками ризику розвитку неінфекційних захворювань у учнів середнього шкільного віку. Розроблено та в</w:t>
      </w:r>
      <w:r w:rsidR="00F62F71" w:rsidRPr="002E6ECA">
        <w:rPr>
          <w:bCs/>
          <w:spacing w:val="-2"/>
          <w:sz w:val="28"/>
          <w:szCs w:val="28"/>
        </w:rPr>
        <w:t xml:space="preserve">проваджено методику сполученого використання </w:t>
      </w:r>
      <w:r w:rsidR="00F62F71" w:rsidRPr="002E6ECA">
        <w:rPr>
          <w:spacing w:val="-2"/>
          <w:sz w:val="28"/>
          <w:szCs w:val="28"/>
        </w:rPr>
        <w:t xml:space="preserve">опитувальника з </w:t>
      </w:r>
      <w:r w:rsidR="00E07216" w:rsidRPr="002E6ECA">
        <w:rPr>
          <w:sz w:val="28"/>
          <w:szCs w:val="28"/>
          <w:lang w:val="uk-UA"/>
        </w:rPr>
        <w:t>якості життя, що пов’язана зі здоро’ям</w:t>
      </w:r>
      <w:r w:rsidR="00023668" w:rsidRPr="002E6ECA">
        <w:rPr>
          <w:sz w:val="28"/>
          <w:szCs w:val="28"/>
          <w:lang w:val="uk-UA"/>
        </w:rPr>
        <w:t xml:space="preserve"> (</w:t>
      </w:r>
      <w:r w:rsidR="00023668" w:rsidRPr="002E6ECA">
        <w:rPr>
          <w:spacing w:val="-2"/>
          <w:sz w:val="28"/>
          <w:szCs w:val="28"/>
        </w:rPr>
        <w:t>ЯЖПЗ</w:t>
      </w:r>
      <w:r w:rsidR="00E07216" w:rsidRPr="002E6ECA">
        <w:rPr>
          <w:sz w:val="28"/>
          <w:szCs w:val="28"/>
          <w:lang w:val="uk-UA"/>
        </w:rPr>
        <w:t xml:space="preserve">) </w:t>
      </w:r>
      <w:r w:rsidR="00F62F71" w:rsidRPr="002E6ECA">
        <w:rPr>
          <w:spacing w:val="-2"/>
          <w:sz w:val="28"/>
          <w:szCs w:val="28"/>
        </w:rPr>
        <w:t xml:space="preserve">та анкети «Перелік дитячих симптомів» </w:t>
      </w:r>
      <w:r w:rsidR="00CC0BAA" w:rsidRPr="002E6ECA">
        <w:rPr>
          <w:spacing w:val="-2"/>
          <w:sz w:val="28"/>
          <w:szCs w:val="28"/>
          <w:lang w:val="uk-UA"/>
        </w:rPr>
        <w:t>(</w:t>
      </w:r>
      <w:r w:rsidR="00F62F71" w:rsidRPr="002E6ECA">
        <w:rPr>
          <w:spacing w:val="-2"/>
          <w:sz w:val="28"/>
          <w:szCs w:val="28"/>
        </w:rPr>
        <w:t>PSC-Ukr</w:t>
      </w:r>
      <w:r w:rsidR="00CC0BAA" w:rsidRPr="002E6ECA">
        <w:rPr>
          <w:spacing w:val="-2"/>
          <w:sz w:val="28"/>
          <w:szCs w:val="28"/>
          <w:lang w:val="uk-UA"/>
        </w:rPr>
        <w:t>)</w:t>
      </w:r>
      <w:r w:rsidR="00F62F71" w:rsidRPr="002E6ECA">
        <w:rPr>
          <w:sz w:val="28"/>
          <w:szCs w:val="28"/>
        </w:rPr>
        <w:t xml:space="preserve">, що є ефективним та взаємодоповнюючим дослідженням дітей шкільного віку з метою з’ясування механізмів формування інтегрованої системи оцінювання психологічного здоров’я та напрямків (екстерналізованих або інтерналізованих) порушень психосоціального функціонування. Розроблено та запропоновано для впровадження в роботу медичного персоналу навчальних, лікувально-профілактичних закладів, фахівців з гігієни дітей і підлітків автоматизовану експрес-оцінку фізичного розвитку дітей та підлітків на виконання нормативно-правового акту – Наказу МОЗ України «Про затвердження Критеріїв оцінки фізичного розвитку дітей шкільного віку» для спрощення комплексної оцінки стану здоров’я за соматометричними </w:t>
      </w:r>
      <w:r w:rsidR="00F62F71" w:rsidRPr="002E6ECA">
        <w:rPr>
          <w:sz w:val="28"/>
          <w:szCs w:val="28"/>
        </w:rPr>
        <w:lastRenderedPageBreak/>
        <w:t xml:space="preserve">показниками з метою своєчасного встановлення відхилень у процесах росту та розвитку. </w:t>
      </w:r>
    </w:p>
    <w:p w:rsidR="00B03BC4" w:rsidRPr="002E6ECA" w:rsidRDefault="00F62F71" w:rsidP="001A0E08">
      <w:pPr>
        <w:spacing w:line="360" w:lineRule="auto"/>
        <w:ind w:firstLine="709"/>
        <w:jc w:val="both"/>
        <w:rPr>
          <w:sz w:val="28"/>
          <w:szCs w:val="28"/>
        </w:rPr>
      </w:pPr>
      <w:r w:rsidRPr="002E6ECA">
        <w:rPr>
          <w:sz w:val="28"/>
          <w:szCs w:val="28"/>
        </w:rPr>
        <w:t>На підставі проведеного дослідження розроблено комплексну медико-профілактичну програму щодо попередження несприятливого впливу шкільного середовища на здоров'я  учнів упродовж навчання у базовій школі, що сприятиме збереженню здоров’я учнів на тлі агресивного впливу підвищеного навчального навантаження, яку впроваджено у навчальних колективах експериментального ЗЗСО.</w:t>
      </w:r>
    </w:p>
    <w:p w:rsidR="00B03BC4" w:rsidRPr="002E6ECA" w:rsidRDefault="00B03BC4" w:rsidP="001A0E08">
      <w:pPr>
        <w:spacing w:line="360" w:lineRule="auto"/>
        <w:ind w:firstLine="851"/>
        <w:jc w:val="both"/>
        <w:rPr>
          <w:sz w:val="28"/>
          <w:szCs w:val="28"/>
        </w:rPr>
      </w:pPr>
      <w:r w:rsidRPr="002E6ECA">
        <w:rPr>
          <w:b/>
          <w:i/>
          <w:sz w:val="28"/>
          <w:szCs w:val="28"/>
        </w:rPr>
        <w:t>Впровадження результатів</w:t>
      </w:r>
      <w:r w:rsidRPr="002E6ECA">
        <w:rPr>
          <w:sz w:val="28"/>
          <w:szCs w:val="28"/>
        </w:rPr>
        <w:t xml:space="preserve"> дисертаційного дослідження проводилося:</w:t>
      </w:r>
    </w:p>
    <w:p w:rsidR="00F62F71" w:rsidRPr="002E6ECA" w:rsidRDefault="00F62F71" w:rsidP="009A2CF7">
      <w:pPr>
        <w:numPr>
          <w:ilvl w:val="0"/>
          <w:numId w:val="48"/>
        </w:numPr>
        <w:tabs>
          <w:tab w:val="left" w:pos="1276"/>
        </w:tabs>
        <w:spacing w:line="360" w:lineRule="auto"/>
        <w:ind w:left="0" w:firstLine="851"/>
        <w:jc w:val="both"/>
        <w:rPr>
          <w:sz w:val="28"/>
          <w:szCs w:val="28"/>
        </w:rPr>
      </w:pPr>
      <w:r w:rsidRPr="002E6ECA">
        <w:rPr>
          <w:sz w:val="28"/>
          <w:szCs w:val="28"/>
        </w:rPr>
        <w:t xml:space="preserve">у навчальний процес кафедр медичних закладів вищої та післядипломної освіти: педіатрії (акт від 05.01.2021 р.) та педіатрії № 2  Харківського національного університету імені В.Н. Каразіна (акт від 05.01.2021 р.); громадського здоров’я та управління охороною здоров’я (акт від 14.12.2020 р.), гігієни та екології №1 (акт від 05.01.2021 р.) і № 2 (акт </w:t>
      </w:r>
      <w:r w:rsidR="007F5BF6" w:rsidRPr="002E6ECA">
        <w:rPr>
          <w:sz w:val="28"/>
          <w:szCs w:val="28"/>
          <w:lang w:val="uk-UA"/>
        </w:rPr>
        <w:t xml:space="preserve">від </w:t>
      </w:r>
      <w:r w:rsidRPr="002E6ECA">
        <w:rPr>
          <w:sz w:val="28"/>
          <w:szCs w:val="28"/>
        </w:rPr>
        <w:t>20.01.2021</w:t>
      </w:r>
      <w:r w:rsidR="007F5BF6" w:rsidRPr="002E6ECA">
        <w:rPr>
          <w:sz w:val="28"/>
          <w:szCs w:val="28"/>
          <w:lang w:val="uk-UA"/>
        </w:rPr>
        <w:t> </w:t>
      </w:r>
      <w:r w:rsidRPr="002E6ECA">
        <w:rPr>
          <w:sz w:val="28"/>
          <w:szCs w:val="28"/>
        </w:rPr>
        <w:t>р.) Харківського національного медичного університету; гігієни, епідеміології та професійних хвороб Харківської медичної академії післядипломної освіти (акт від 15.12.2020 р.); гігієни, екології та охорони праці в галузі Української медичної стоматологічної академії (акт від 05.01.2021 р.); кафедри громадського здоров’я та управління охороною здоров’я Тернопільського національного медичного університету імені І.Я.</w:t>
      </w:r>
      <w:r w:rsidR="007F5BF6" w:rsidRPr="002E6ECA">
        <w:rPr>
          <w:sz w:val="28"/>
          <w:szCs w:val="28"/>
          <w:lang w:val="uk-UA"/>
        </w:rPr>
        <w:t> </w:t>
      </w:r>
      <w:r w:rsidRPr="002E6ECA">
        <w:rPr>
          <w:sz w:val="28"/>
          <w:szCs w:val="28"/>
        </w:rPr>
        <w:t>Горбачевського (акт від 29.12.2020 р.); кафедри загальної гігієни та екології Вінницького медичного університету ім. М.І.Пирогова (акт від 22.12.2020 р.);</w:t>
      </w:r>
    </w:p>
    <w:p w:rsidR="00F62F71" w:rsidRPr="002E6ECA" w:rsidRDefault="00F62F71" w:rsidP="009A2CF7">
      <w:pPr>
        <w:numPr>
          <w:ilvl w:val="0"/>
          <w:numId w:val="48"/>
        </w:numPr>
        <w:tabs>
          <w:tab w:val="left" w:pos="1276"/>
        </w:tabs>
        <w:spacing w:line="360" w:lineRule="auto"/>
        <w:ind w:left="0" w:firstLine="851"/>
        <w:jc w:val="both"/>
        <w:rPr>
          <w:sz w:val="28"/>
          <w:szCs w:val="28"/>
        </w:rPr>
      </w:pPr>
      <w:r w:rsidRPr="002E6ECA">
        <w:rPr>
          <w:sz w:val="28"/>
          <w:szCs w:val="28"/>
        </w:rPr>
        <w:t>у навчальний процес кафедр закладів вищої освіти у інших галузях: кафедри медичних дисциплін та охорони здоров’я Харківської державної академії фізичної культури (акт від 30.08.2020 р.); громадського здоров’я та медико-біологічних основ фізичної культури Сумського державного педагогічного університету імені А. С. Макаренка (акт від 29.12.2020 р.); соціальної і гуманітарної політики ХарРІ НАДУ при Президентові України (акт  від 18.01.</w:t>
      </w:r>
      <w:r w:rsidR="007F5BF6" w:rsidRPr="002E6ECA">
        <w:rPr>
          <w:sz w:val="28"/>
          <w:szCs w:val="28"/>
          <w:lang w:val="uk-UA"/>
        </w:rPr>
        <w:t>20</w:t>
      </w:r>
      <w:r w:rsidRPr="002E6ECA">
        <w:rPr>
          <w:sz w:val="28"/>
          <w:szCs w:val="28"/>
        </w:rPr>
        <w:t>21 р.);</w:t>
      </w:r>
    </w:p>
    <w:p w:rsidR="00F62F71" w:rsidRPr="002E6ECA" w:rsidRDefault="00F62F71" w:rsidP="009A2CF7">
      <w:pPr>
        <w:numPr>
          <w:ilvl w:val="0"/>
          <w:numId w:val="48"/>
        </w:numPr>
        <w:tabs>
          <w:tab w:val="left" w:pos="1276"/>
        </w:tabs>
        <w:spacing w:line="360" w:lineRule="auto"/>
        <w:ind w:left="0" w:firstLine="851"/>
        <w:jc w:val="both"/>
        <w:rPr>
          <w:sz w:val="28"/>
          <w:szCs w:val="28"/>
        </w:rPr>
      </w:pPr>
      <w:r w:rsidRPr="002E6ECA">
        <w:rPr>
          <w:sz w:val="28"/>
          <w:szCs w:val="28"/>
        </w:rPr>
        <w:lastRenderedPageBreak/>
        <w:t xml:space="preserve">на базі експериментального ЗЗСО (розроблена профілактична програма щодо попередження підвищення неінфекційної захворюваності у різних навчальних колективах) – акт від 11.03.2020 р.; </w:t>
      </w:r>
    </w:p>
    <w:p w:rsidR="00B03BC4" w:rsidRPr="002E6ECA" w:rsidRDefault="00F62F71" w:rsidP="009A2CF7">
      <w:pPr>
        <w:numPr>
          <w:ilvl w:val="0"/>
          <w:numId w:val="48"/>
        </w:numPr>
        <w:tabs>
          <w:tab w:val="left" w:pos="1276"/>
        </w:tabs>
        <w:spacing w:line="360" w:lineRule="auto"/>
        <w:ind w:left="0" w:firstLine="851"/>
        <w:jc w:val="both"/>
        <w:rPr>
          <w:sz w:val="28"/>
          <w:szCs w:val="28"/>
        </w:rPr>
      </w:pPr>
      <w:r w:rsidRPr="002E6ECA">
        <w:rPr>
          <w:spacing w:val="-4"/>
          <w:sz w:val="28"/>
          <w:szCs w:val="28"/>
        </w:rPr>
        <w:t>у практичну роботу дитячих лікувально-профілактичних закладах м.</w:t>
      </w:r>
      <w:r w:rsidR="007F5BF6" w:rsidRPr="002E6ECA">
        <w:rPr>
          <w:sz w:val="28"/>
          <w:szCs w:val="28"/>
          <w:lang w:val="uk-UA"/>
        </w:rPr>
        <w:t> </w:t>
      </w:r>
      <w:r w:rsidRPr="002E6ECA">
        <w:rPr>
          <w:spacing w:val="-4"/>
          <w:sz w:val="28"/>
          <w:szCs w:val="28"/>
        </w:rPr>
        <w:t>Харків (акти від 04.12.2020р., 03.02.2021р.); КП «Санепідсервіс» (акт від 29.12.2020р.).</w:t>
      </w:r>
    </w:p>
    <w:p w:rsidR="00B03BC4" w:rsidRPr="002E6ECA" w:rsidRDefault="00B03BC4" w:rsidP="001A0E08">
      <w:pPr>
        <w:spacing w:line="360" w:lineRule="auto"/>
        <w:ind w:firstLine="851"/>
        <w:jc w:val="both"/>
        <w:rPr>
          <w:sz w:val="28"/>
          <w:szCs w:val="28"/>
        </w:rPr>
      </w:pPr>
      <w:r w:rsidRPr="002E6ECA">
        <w:rPr>
          <w:b/>
          <w:sz w:val="28"/>
          <w:szCs w:val="28"/>
        </w:rPr>
        <w:t>Особистий внесок автора.</w:t>
      </w:r>
      <w:r w:rsidRPr="002E6ECA">
        <w:rPr>
          <w:sz w:val="28"/>
          <w:szCs w:val="28"/>
        </w:rPr>
        <w:t xml:space="preserve"> </w:t>
      </w:r>
      <w:r w:rsidR="00F62F71" w:rsidRPr="002E6ECA">
        <w:rPr>
          <w:sz w:val="28"/>
          <w:szCs w:val="28"/>
        </w:rPr>
        <w:t xml:space="preserve">Дисертантом визначено тему, мету та завдання дослідження. Проведено </w:t>
      </w:r>
      <w:r w:rsidR="00F62F71" w:rsidRPr="002E6ECA">
        <w:rPr>
          <w:bCs/>
          <w:sz w:val="28"/>
          <w:szCs w:val="28"/>
        </w:rPr>
        <w:t xml:space="preserve">поглиблений аналіз літературних джерел </w:t>
      </w:r>
      <w:r w:rsidR="00F62F71" w:rsidRPr="002E6ECA">
        <w:rPr>
          <w:sz w:val="28"/>
          <w:szCs w:val="28"/>
        </w:rPr>
        <w:t xml:space="preserve">за тематикою дисертаційної роботи, </w:t>
      </w:r>
      <w:r w:rsidR="00F62F71" w:rsidRPr="002E6ECA">
        <w:rPr>
          <w:bCs/>
          <w:sz w:val="28"/>
          <w:szCs w:val="28"/>
        </w:rPr>
        <w:t>розроблено дизайн дослідження та обґрунтовано доцільність використання обраних методик санітарно-гігієнічних, медико-соціальних, епідеміологічних, психофізіологічних досліджень та статистичної обробки отриманих даних</w:t>
      </w:r>
      <w:r w:rsidR="00F62F71" w:rsidRPr="002E6ECA">
        <w:rPr>
          <w:sz w:val="28"/>
          <w:szCs w:val="28"/>
        </w:rPr>
        <w:t xml:space="preserve">. Розроблено </w:t>
      </w:r>
      <w:r w:rsidR="00F62F71" w:rsidRPr="002E6ECA">
        <w:rPr>
          <w:bCs/>
          <w:sz w:val="28"/>
          <w:szCs w:val="28"/>
        </w:rPr>
        <w:t>та обґрунтовано концептуальну модель  гігієнічного моніторингу групового здоров’я школярів в умовах інтенсифікації навчального процесу</w:t>
      </w:r>
      <w:r w:rsidR="00F62F71" w:rsidRPr="002E6ECA">
        <w:rPr>
          <w:sz w:val="28"/>
          <w:szCs w:val="28"/>
        </w:rPr>
        <w:t>. На підставі проведеного дослідження було розроблено комплексну медико-профілактичну програму щодо попередження несприятливого впливу шкільного середовища на здоров'я  учнів упродовж навчання у базовій школі, що сприятиме збереженню здоров’я школярів на тлі агресивного впливу підвищеного навчального навантаження. Для математичної обробки  отриманих результатів було використано сучасні статистичні методи аналізу за допомогою ліцензованого пакету SPSS Statistics v. 22 (ліц. FacultyPackL/N:  L-GLBC-99H6WQ).</w:t>
      </w:r>
    </w:p>
    <w:p w:rsidR="00F62F71" w:rsidRPr="002E6ECA" w:rsidRDefault="00B03BC4" w:rsidP="00F62F71">
      <w:pPr>
        <w:spacing w:line="360" w:lineRule="auto"/>
        <w:ind w:firstLine="851"/>
        <w:jc w:val="both"/>
        <w:rPr>
          <w:sz w:val="28"/>
          <w:szCs w:val="28"/>
        </w:rPr>
      </w:pPr>
      <w:r w:rsidRPr="002E6ECA">
        <w:rPr>
          <w:b/>
          <w:sz w:val="28"/>
          <w:szCs w:val="28"/>
        </w:rPr>
        <w:t>Апробація результатів дослідження.</w:t>
      </w:r>
      <w:r w:rsidRPr="002E6ECA">
        <w:rPr>
          <w:sz w:val="28"/>
          <w:szCs w:val="28"/>
        </w:rPr>
        <w:t xml:space="preserve"> </w:t>
      </w:r>
      <w:r w:rsidR="00F62F71" w:rsidRPr="002E6ECA">
        <w:rPr>
          <w:sz w:val="28"/>
          <w:szCs w:val="28"/>
        </w:rPr>
        <w:t>Основні положення дисертації доповідались та обговорювались на:</w:t>
      </w:r>
    </w:p>
    <w:p w:rsidR="00F62F71" w:rsidRPr="002E6ECA" w:rsidRDefault="00F62F71" w:rsidP="009A2CF7">
      <w:pPr>
        <w:pStyle w:val="a3"/>
        <w:numPr>
          <w:ilvl w:val="0"/>
          <w:numId w:val="47"/>
        </w:numPr>
        <w:spacing w:line="360" w:lineRule="auto"/>
        <w:ind w:left="0" w:firstLine="851"/>
        <w:jc w:val="both"/>
        <w:rPr>
          <w:sz w:val="28"/>
          <w:szCs w:val="28"/>
          <w:lang w:val="uk-UA"/>
        </w:rPr>
      </w:pPr>
      <w:r w:rsidRPr="002E6ECA">
        <w:rPr>
          <w:i/>
          <w:sz w:val="28"/>
          <w:szCs w:val="28"/>
          <w:lang w:val="uk-UA"/>
        </w:rPr>
        <w:t>міжнародних конференціях:</w:t>
      </w:r>
      <w:r w:rsidRPr="002E6ECA">
        <w:rPr>
          <w:sz w:val="28"/>
          <w:szCs w:val="28"/>
          <w:lang w:val="uk-UA"/>
        </w:rPr>
        <w:t xml:space="preserve"> Міжнародний Public Health Forum (Вроцлав, 22-23.11.2018 р., 28-29.11.2019 р.); Міжнародна науково-практична конференція «Проблеми техногенно-екологічної безпеки: освіта, наука, практика» (Харків, 21-22.11.2019 р.); International Distance Conference Public Health in Ukraine «Public Health in Ukraine: Modern Challenges and Prospects of Development» (Sumy, 23-24.04.2020 р.); Second International Ukrainian-German Symposium «Public Health in the Social and Educational Space – Challenges of the </w:t>
      </w:r>
      <w:r w:rsidRPr="002E6ECA">
        <w:rPr>
          <w:sz w:val="28"/>
          <w:szCs w:val="28"/>
          <w:lang w:val="uk-UA"/>
        </w:rPr>
        <w:lastRenderedPageBreak/>
        <w:t>Reform and Development Prospects» (</w:t>
      </w:r>
      <w:r w:rsidRPr="002E6ECA">
        <w:rPr>
          <w:bCs/>
          <w:sz w:val="28"/>
          <w:szCs w:val="28"/>
          <w:lang w:val="uk-UA"/>
        </w:rPr>
        <w:t xml:space="preserve">Ternopil, 22-24.09.2020 р.); </w:t>
      </w:r>
      <w:r w:rsidRPr="002E6ECA">
        <w:rPr>
          <w:sz w:val="28"/>
          <w:szCs w:val="28"/>
          <w:lang w:val="uk-UA"/>
        </w:rPr>
        <w:t xml:space="preserve">науково-практична конференція з міжнародною участю «Актуальні питання фізіології, патології та організації медичного забезпечення дітей шкільного віку та підлітків. Проблемні питання коморбідних станів у дітей та підлітків» (Харків, 16-17.11.2017 р.); науково-практична конференція з міжнародною участю «Актуальні питання фізіології, патології та організації медичного забезпечення дітей шкільного віку та підлітків. Прогнозування формування хронічної соматичної та психічної патології» (Харків, 14-15.11.2019 р.); науково-практична конференція з міжнародною участю «Актуальні питання фізіології, патології та організації медичного забезпечення дітей шкільного віку та підлітків» (Харків, 15-16.11.2018 р., 17-18.12.2020 р.); науково-практична конференція з міжнародною участю «Дні нутриціології та дієтології у Львові» (Львів, 11-12.09.2020 р.); </w:t>
      </w:r>
    </w:p>
    <w:p w:rsidR="00B03BC4" w:rsidRPr="002E6ECA" w:rsidRDefault="00F62F71" w:rsidP="009A2CF7">
      <w:pPr>
        <w:pStyle w:val="a3"/>
        <w:numPr>
          <w:ilvl w:val="0"/>
          <w:numId w:val="47"/>
        </w:numPr>
        <w:spacing w:line="360" w:lineRule="auto"/>
        <w:ind w:left="0" w:firstLine="851"/>
        <w:jc w:val="both"/>
        <w:rPr>
          <w:sz w:val="28"/>
          <w:szCs w:val="28"/>
          <w:lang w:val="uk-UA"/>
        </w:rPr>
      </w:pPr>
      <w:r w:rsidRPr="002E6ECA">
        <w:rPr>
          <w:i/>
          <w:sz w:val="28"/>
          <w:szCs w:val="28"/>
          <w:lang w:val="uk-UA"/>
        </w:rPr>
        <w:t>національних з’їздах та конференціях</w:t>
      </w:r>
      <w:r w:rsidRPr="002E6ECA">
        <w:rPr>
          <w:sz w:val="28"/>
          <w:szCs w:val="28"/>
          <w:lang w:val="uk-UA"/>
        </w:rPr>
        <w:t>: ІІІ Конгрес Соціологічної Асоціації України «Нові нерівності – нові конфлікти: шляхи подолання» (Харків, 12-13 жовтня 2017 р.); науково-практична конференція з міжнародною участю «Медицина граничних станів: теорія та практика донозологічної діагностики, лікування та профілактика професійних захворювань» (Харків, 25-26.09.2018 р.), науково-практична конференція «Здоров’ясприйятливе освітнє середовище сучасного закладу освіти: виклики, пошуки, тенденції» (Харків, 23-24.05.2019 р.); Медико-правовий форум «Конституційні засади медичної реформи в Україні» (Харків, 6.12.2019 р.); X Всеукраїнська науково-практична конференція з міжнародною участю «Освіта і здоров’я» (Суми, 7-8.04.2020 р.); Звітна науко-практична конференція Інституту проблем виховання НАПН України «Сучасний виховний процес: сутність та інноваційний потенціал» (Київ, 22.04.2020 р.); «Фізичні фактори довкілля і їх вплив на формування здоров’я населення України» (шістнадцяті Марзєєвські читання; Київ, 12-13.11.2020).</w:t>
      </w:r>
    </w:p>
    <w:p w:rsidR="00B03BC4" w:rsidRPr="002E6ECA" w:rsidRDefault="00B03BC4" w:rsidP="001A0E08">
      <w:pPr>
        <w:pStyle w:val="21"/>
        <w:spacing w:after="0" w:line="360" w:lineRule="auto"/>
        <w:ind w:firstLine="567"/>
        <w:jc w:val="both"/>
        <w:rPr>
          <w:sz w:val="28"/>
          <w:szCs w:val="28"/>
          <w:lang w:val="uk-UA"/>
        </w:rPr>
      </w:pPr>
      <w:r w:rsidRPr="002E6ECA">
        <w:rPr>
          <w:b/>
          <w:sz w:val="28"/>
          <w:szCs w:val="28"/>
          <w:lang w:val="uk-UA"/>
        </w:rPr>
        <w:t>Публікації.</w:t>
      </w:r>
      <w:r w:rsidRPr="002E6ECA">
        <w:rPr>
          <w:sz w:val="28"/>
          <w:szCs w:val="28"/>
          <w:lang w:val="uk-UA"/>
        </w:rPr>
        <w:t xml:space="preserve"> </w:t>
      </w:r>
      <w:r w:rsidR="00F62F71" w:rsidRPr="002E6ECA">
        <w:rPr>
          <w:sz w:val="28"/>
          <w:szCs w:val="28"/>
          <w:lang w:val="uk-UA"/>
        </w:rPr>
        <w:t>За результатами дисертації опубліковано 4</w:t>
      </w:r>
      <w:r w:rsidR="00627639" w:rsidRPr="002E6ECA">
        <w:rPr>
          <w:sz w:val="28"/>
          <w:szCs w:val="28"/>
          <w:lang w:val="uk-UA"/>
        </w:rPr>
        <w:t>4</w:t>
      </w:r>
      <w:r w:rsidR="00F62F71" w:rsidRPr="002E6ECA">
        <w:rPr>
          <w:sz w:val="28"/>
          <w:szCs w:val="28"/>
          <w:lang w:val="uk-UA"/>
        </w:rPr>
        <w:t xml:space="preserve"> науков</w:t>
      </w:r>
      <w:r w:rsidR="00627639" w:rsidRPr="002E6ECA">
        <w:rPr>
          <w:sz w:val="28"/>
          <w:szCs w:val="28"/>
          <w:lang w:val="uk-UA"/>
        </w:rPr>
        <w:t>і</w:t>
      </w:r>
      <w:r w:rsidR="00F62F71" w:rsidRPr="002E6ECA">
        <w:rPr>
          <w:sz w:val="28"/>
          <w:szCs w:val="28"/>
          <w:lang w:val="uk-UA"/>
        </w:rPr>
        <w:t xml:space="preserve"> прац</w:t>
      </w:r>
      <w:r w:rsidR="00627639" w:rsidRPr="002E6ECA">
        <w:rPr>
          <w:sz w:val="28"/>
          <w:szCs w:val="28"/>
          <w:lang w:val="uk-UA"/>
        </w:rPr>
        <w:t>і</w:t>
      </w:r>
      <w:r w:rsidR="00F62F71" w:rsidRPr="002E6ECA">
        <w:rPr>
          <w:sz w:val="28"/>
          <w:szCs w:val="28"/>
          <w:lang w:val="uk-UA"/>
        </w:rPr>
        <w:t>: 2</w:t>
      </w:r>
      <w:r w:rsidR="00627639" w:rsidRPr="002E6ECA">
        <w:rPr>
          <w:sz w:val="28"/>
          <w:szCs w:val="28"/>
          <w:lang w:val="uk-UA"/>
        </w:rPr>
        <w:t>1</w:t>
      </w:r>
      <w:r w:rsidR="00F62F71" w:rsidRPr="002E6ECA">
        <w:rPr>
          <w:sz w:val="28"/>
          <w:szCs w:val="28"/>
          <w:lang w:val="uk-UA"/>
        </w:rPr>
        <w:t xml:space="preserve"> з яких відображають основні наукові результати (1</w:t>
      </w:r>
      <w:r w:rsidR="00627639" w:rsidRPr="002E6ECA">
        <w:rPr>
          <w:sz w:val="28"/>
          <w:szCs w:val="28"/>
          <w:lang w:val="uk-UA"/>
        </w:rPr>
        <w:t>6</w:t>
      </w:r>
      <w:r w:rsidR="00F62F71" w:rsidRPr="002E6ECA">
        <w:rPr>
          <w:sz w:val="28"/>
          <w:szCs w:val="28"/>
          <w:lang w:val="uk-UA"/>
        </w:rPr>
        <w:t xml:space="preserve"> статей </w:t>
      </w:r>
      <w:r w:rsidR="00627639" w:rsidRPr="002E6ECA">
        <w:rPr>
          <w:sz w:val="28"/>
          <w:szCs w:val="28"/>
          <w:lang w:val="uk-UA"/>
        </w:rPr>
        <w:t xml:space="preserve">(4 – одноосібні) </w:t>
      </w:r>
      <w:r w:rsidR="00F62F71" w:rsidRPr="002E6ECA">
        <w:rPr>
          <w:sz w:val="28"/>
          <w:szCs w:val="28"/>
          <w:lang w:val="uk-UA"/>
        </w:rPr>
        <w:lastRenderedPageBreak/>
        <w:t xml:space="preserve">опубліковані у наукових фахових виданнях, затверджених МОН України, 4 у журналах, що індексуються у міжнародних наукометричних базах </w:t>
      </w:r>
      <w:r w:rsidR="00F62F71" w:rsidRPr="002E6ECA">
        <w:rPr>
          <w:sz w:val="28"/>
          <w:szCs w:val="28"/>
        </w:rPr>
        <w:t>Scopus</w:t>
      </w:r>
      <w:r w:rsidR="00F62F71" w:rsidRPr="002E6ECA">
        <w:rPr>
          <w:sz w:val="28"/>
          <w:szCs w:val="28"/>
          <w:lang w:val="uk-UA"/>
        </w:rPr>
        <w:t xml:space="preserve"> та </w:t>
      </w:r>
      <w:r w:rsidR="00F62F71" w:rsidRPr="002E6ECA">
        <w:rPr>
          <w:sz w:val="28"/>
          <w:szCs w:val="28"/>
        </w:rPr>
        <w:t>Web</w:t>
      </w:r>
      <w:r w:rsidR="00F62F71" w:rsidRPr="002E6ECA">
        <w:rPr>
          <w:sz w:val="28"/>
          <w:szCs w:val="28"/>
          <w:lang w:val="uk-UA"/>
        </w:rPr>
        <w:t xml:space="preserve"> </w:t>
      </w:r>
      <w:r w:rsidR="00F62F71" w:rsidRPr="002E6ECA">
        <w:rPr>
          <w:sz w:val="28"/>
          <w:szCs w:val="28"/>
        </w:rPr>
        <w:t>of</w:t>
      </w:r>
      <w:r w:rsidR="00F62F71" w:rsidRPr="002E6ECA">
        <w:rPr>
          <w:sz w:val="28"/>
          <w:szCs w:val="28"/>
          <w:lang w:val="uk-UA"/>
        </w:rPr>
        <w:t xml:space="preserve"> </w:t>
      </w:r>
      <w:r w:rsidR="00F62F71" w:rsidRPr="002E6ECA">
        <w:rPr>
          <w:sz w:val="28"/>
          <w:szCs w:val="28"/>
        </w:rPr>
        <w:t>Science</w:t>
      </w:r>
      <w:r w:rsidR="00F62F71" w:rsidRPr="002E6ECA">
        <w:rPr>
          <w:sz w:val="28"/>
          <w:szCs w:val="28"/>
          <w:lang w:val="uk-UA"/>
        </w:rPr>
        <w:t xml:space="preserve"> </w:t>
      </w:r>
      <w:r w:rsidR="00F62F71" w:rsidRPr="002E6ECA">
        <w:rPr>
          <w:rFonts w:eastAsia="TimesNewRomanPSMT"/>
          <w:sz w:val="28"/>
          <w:szCs w:val="28"/>
        </w:rPr>
        <w:t>Core</w:t>
      </w:r>
      <w:r w:rsidR="00F62F71" w:rsidRPr="002E6ECA">
        <w:rPr>
          <w:rFonts w:eastAsia="TimesNewRomanPSMT"/>
          <w:sz w:val="28"/>
          <w:szCs w:val="28"/>
          <w:lang w:val="uk-UA"/>
        </w:rPr>
        <w:t xml:space="preserve"> </w:t>
      </w:r>
      <w:r w:rsidR="00F62F71" w:rsidRPr="002E6ECA">
        <w:rPr>
          <w:rFonts w:eastAsia="TimesNewRomanPSMT"/>
          <w:sz w:val="28"/>
          <w:szCs w:val="28"/>
        </w:rPr>
        <w:t>Collection</w:t>
      </w:r>
      <w:r w:rsidR="00F62F71" w:rsidRPr="002E6ECA">
        <w:rPr>
          <w:sz w:val="28"/>
          <w:szCs w:val="28"/>
          <w:lang w:val="uk-UA"/>
        </w:rPr>
        <w:t xml:space="preserve">, </w:t>
      </w:r>
      <w:r w:rsidR="00627639" w:rsidRPr="002E6ECA">
        <w:rPr>
          <w:sz w:val="28"/>
          <w:szCs w:val="28"/>
          <w:lang w:val="uk-UA"/>
        </w:rPr>
        <w:t>1 – у закордонному виданні</w:t>
      </w:r>
      <w:r w:rsidR="00023668" w:rsidRPr="002E6ECA">
        <w:rPr>
          <w:sz w:val="28"/>
          <w:szCs w:val="28"/>
          <w:lang w:val="uk-UA"/>
        </w:rPr>
        <w:t>,</w:t>
      </w:r>
      <w:r w:rsidR="003531E6" w:rsidRPr="002E6ECA">
        <w:rPr>
          <w:sz w:val="28"/>
          <w:szCs w:val="28"/>
          <w:lang w:val="uk-UA"/>
        </w:rPr>
        <w:t xml:space="preserve"> </w:t>
      </w:r>
      <w:r w:rsidR="00F62F71" w:rsidRPr="002E6ECA">
        <w:rPr>
          <w:sz w:val="28"/>
          <w:szCs w:val="28"/>
          <w:lang w:val="uk-UA"/>
        </w:rPr>
        <w:t>14 публікацій апробаційного характеру</w:t>
      </w:r>
      <w:r w:rsidR="00023668" w:rsidRPr="002E6ECA">
        <w:rPr>
          <w:sz w:val="28"/>
          <w:szCs w:val="28"/>
          <w:lang w:val="uk-UA"/>
        </w:rPr>
        <w:t>,</w:t>
      </w:r>
      <w:r w:rsidR="00F62F71" w:rsidRPr="002E6ECA">
        <w:rPr>
          <w:sz w:val="28"/>
          <w:szCs w:val="28"/>
          <w:lang w:val="uk-UA"/>
        </w:rPr>
        <w:t xml:space="preserve"> </w:t>
      </w:r>
      <w:r w:rsidR="009F5124" w:rsidRPr="002E6ECA">
        <w:rPr>
          <w:sz w:val="28"/>
          <w:szCs w:val="28"/>
          <w:lang w:val="uk-UA"/>
        </w:rPr>
        <w:t>9</w:t>
      </w:r>
      <w:r w:rsidR="00F62F71" w:rsidRPr="002E6ECA">
        <w:rPr>
          <w:sz w:val="28"/>
          <w:szCs w:val="28"/>
          <w:lang w:val="uk-UA"/>
        </w:rPr>
        <w:t xml:space="preserve"> публікацій додатково представляють наукові результати дослідження, з них </w:t>
      </w:r>
      <w:r w:rsidR="009F5124" w:rsidRPr="002E6ECA">
        <w:rPr>
          <w:sz w:val="28"/>
          <w:szCs w:val="28"/>
          <w:lang w:val="uk-UA"/>
        </w:rPr>
        <w:t>4</w:t>
      </w:r>
      <w:r w:rsidR="00F62F71" w:rsidRPr="002E6ECA">
        <w:rPr>
          <w:sz w:val="28"/>
          <w:szCs w:val="28"/>
          <w:lang w:val="uk-UA"/>
        </w:rPr>
        <w:t xml:space="preserve"> стат</w:t>
      </w:r>
      <w:r w:rsidR="009F5124" w:rsidRPr="002E6ECA">
        <w:rPr>
          <w:sz w:val="28"/>
          <w:szCs w:val="28"/>
          <w:lang w:val="uk-UA"/>
        </w:rPr>
        <w:t>ті</w:t>
      </w:r>
      <w:r w:rsidR="00F62F71" w:rsidRPr="002E6ECA">
        <w:rPr>
          <w:sz w:val="28"/>
          <w:szCs w:val="28"/>
          <w:lang w:val="uk-UA"/>
        </w:rPr>
        <w:t>, 3 свідоцтва про реєстрацію авторського права на твір, 2 методичні рекомендації.</w:t>
      </w:r>
    </w:p>
    <w:p w:rsidR="00FB13C4" w:rsidRPr="002E6ECA" w:rsidRDefault="00FB13C4" w:rsidP="001A0E08">
      <w:pPr>
        <w:pStyle w:val="21"/>
        <w:spacing w:after="0" w:line="360" w:lineRule="auto"/>
        <w:ind w:firstLine="567"/>
        <w:jc w:val="both"/>
        <w:rPr>
          <w:sz w:val="28"/>
          <w:szCs w:val="28"/>
        </w:rPr>
      </w:pPr>
      <w:r w:rsidRPr="002E6ECA">
        <w:rPr>
          <w:rStyle w:val="fontstyle01"/>
          <w:rFonts w:ascii="Times New Roman" w:hAnsi="Times New Roman"/>
          <w:color w:val="auto"/>
          <w:sz w:val="28"/>
          <w:szCs w:val="28"/>
          <w:lang w:val="uk-UA"/>
        </w:rPr>
        <w:t>Структура</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та</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обсяг</w:t>
      </w:r>
      <w:r w:rsidR="00D46B1B" w:rsidRPr="002E6ECA">
        <w:rPr>
          <w:rStyle w:val="fontstyle01"/>
          <w:rFonts w:ascii="Times New Roman" w:hAnsi="Times New Roman"/>
          <w:color w:val="auto"/>
          <w:sz w:val="28"/>
          <w:szCs w:val="28"/>
          <w:lang w:val="uk-UA"/>
        </w:rPr>
        <w:t xml:space="preserve"> </w:t>
      </w:r>
      <w:r w:rsidRPr="002E6ECA">
        <w:rPr>
          <w:rStyle w:val="fontstyle01"/>
          <w:rFonts w:ascii="Times New Roman" w:hAnsi="Times New Roman"/>
          <w:color w:val="auto"/>
          <w:sz w:val="28"/>
          <w:szCs w:val="28"/>
          <w:lang w:val="uk-UA"/>
        </w:rPr>
        <w:t>дисертації</w:t>
      </w:r>
      <w:r w:rsidR="00B03BC4" w:rsidRPr="002E6ECA">
        <w:rPr>
          <w:rStyle w:val="fontstyle01"/>
          <w:rFonts w:ascii="Times New Roman" w:hAnsi="Times New Roman"/>
          <w:color w:val="auto"/>
          <w:sz w:val="28"/>
          <w:szCs w:val="28"/>
          <w:lang w:val="uk-UA"/>
        </w:rPr>
        <w:t xml:space="preserve">. </w:t>
      </w:r>
      <w:r w:rsidR="007F5BF6" w:rsidRPr="002E6ECA">
        <w:rPr>
          <w:sz w:val="28"/>
          <w:szCs w:val="28"/>
        </w:rPr>
        <w:t xml:space="preserve">Дисертацію викладено </w:t>
      </w:r>
      <w:r w:rsidR="007F5BF6" w:rsidRPr="002E6ECA">
        <w:rPr>
          <w:sz w:val="28"/>
          <w:szCs w:val="28"/>
          <w:lang w:val="uk-UA"/>
        </w:rPr>
        <w:t>на 4</w:t>
      </w:r>
      <w:r w:rsidR="00FE4BF6" w:rsidRPr="002E6ECA">
        <w:rPr>
          <w:sz w:val="28"/>
          <w:szCs w:val="28"/>
          <w:lang w:val="uk-UA"/>
        </w:rPr>
        <w:t>11</w:t>
      </w:r>
      <w:r w:rsidR="007F5BF6" w:rsidRPr="002E6ECA">
        <w:rPr>
          <w:sz w:val="28"/>
          <w:szCs w:val="28"/>
          <w:lang w:val="uk-UA"/>
        </w:rPr>
        <w:t xml:space="preserve"> сторінках друкованого тексту з них 2</w:t>
      </w:r>
      <w:r w:rsidR="00FE4BF6" w:rsidRPr="002E6ECA">
        <w:rPr>
          <w:sz w:val="28"/>
          <w:szCs w:val="28"/>
          <w:lang w:val="uk-UA"/>
        </w:rPr>
        <w:t>8</w:t>
      </w:r>
      <w:r w:rsidR="008A7114" w:rsidRPr="002E6ECA">
        <w:rPr>
          <w:sz w:val="28"/>
          <w:szCs w:val="28"/>
          <w:lang w:val="uk-UA"/>
        </w:rPr>
        <w:t>3</w:t>
      </w:r>
      <w:r w:rsidR="007F5BF6" w:rsidRPr="002E6ECA">
        <w:rPr>
          <w:sz w:val="28"/>
          <w:szCs w:val="28"/>
          <w:lang w:val="uk-UA"/>
        </w:rPr>
        <w:t xml:space="preserve"> сторін</w:t>
      </w:r>
      <w:r w:rsidR="00FE4BF6" w:rsidRPr="002E6ECA">
        <w:rPr>
          <w:sz w:val="28"/>
          <w:szCs w:val="28"/>
          <w:lang w:val="uk-UA"/>
        </w:rPr>
        <w:t>ки</w:t>
      </w:r>
      <w:r w:rsidR="007F5BF6" w:rsidRPr="002E6ECA">
        <w:rPr>
          <w:sz w:val="28"/>
          <w:szCs w:val="28"/>
          <w:lang w:val="uk-UA"/>
        </w:rPr>
        <w:t xml:space="preserve"> основного тексту. Робота складається </w:t>
      </w:r>
      <w:r w:rsidR="00FE4BF6" w:rsidRPr="002E6ECA">
        <w:rPr>
          <w:sz w:val="28"/>
          <w:szCs w:val="28"/>
          <w:lang w:val="uk-UA"/>
        </w:rPr>
        <w:t>з</w:t>
      </w:r>
      <w:r w:rsidR="007F5BF6" w:rsidRPr="002E6ECA">
        <w:rPr>
          <w:sz w:val="28"/>
          <w:szCs w:val="28"/>
          <w:lang w:val="uk-UA"/>
        </w:rPr>
        <w:t xml:space="preserve"> вступу, аналітичного огляду наукової літератури, програми дослідження</w:t>
      </w:r>
      <w:r w:rsidR="007F5BF6" w:rsidRPr="002E6ECA">
        <w:rPr>
          <w:sz w:val="28"/>
          <w:szCs w:val="28"/>
        </w:rPr>
        <w:t>, 7 розділів власних досліджень, висновків, ілюстрована 5</w:t>
      </w:r>
      <w:r w:rsidR="00FE4BF6" w:rsidRPr="002E6ECA">
        <w:rPr>
          <w:sz w:val="28"/>
          <w:szCs w:val="28"/>
          <w:lang w:val="uk-UA"/>
        </w:rPr>
        <w:t>3</w:t>
      </w:r>
      <w:r w:rsidR="007F5BF6" w:rsidRPr="002E6ECA">
        <w:rPr>
          <w:sz w:val="28"/>
          <w:szCs w:val="28"/>
        </w:rPr>
        <w:t xml:space="preserve"> таблицями, 5</w:t>
      </w:r>
      <w:r w:rsidR="00FE4BF6" w:rsidRPr="002E6ECA">
        <w:rPr>
          <w:sz w:val="28"/>
          <w:szCs w:val="28"/>
          <w:lang w:val="uk-UA"/>
        </w:rPr>
        <w:t>0</w:t>
      </w:r>
      <w:r w:rsidR="007F5BF6" w:rsidRPr="002E6ECA">
        <w:rPr>
          <w:sz w:val="28"/>
          <w:szCs w:val="28"/>
        </w:rPr>
        <w:t xml:space="preserve"> рисунк</w:t>
      </w:r>
      <w:r w:rsidR="00FE4BF6" w:rsidRPr="002E6ECA">
        <w:rPr>
          <w:sz w:val="28"/>
          <w:szCs w:val="28"/>
          <w:lang w:val="uk-UA"/>
        </w:rPr>
        <w:t>а</w:t>
      </w:r>
      <w:r w:rsidR="007F5BF6" w:rsidRPr="002E6ECA">
        <w:rPr>
          <w:sz w:val="28"/>
          <w:szCs w:val="28"/>
        </w:rPr>
        <w:t>м</w:t>
      </w:r>
      <w:r w:rsidR="00FE4BF6" w:rsidRPr="002E6ECA">
        <w:rPr>
          <w:sz w:val="28"/>
          <w:szCs w:val="28"/>
          <w:lang w:val="uk-UA"/>
        </w:rPr>
        <w:t>и</w:t>
      </w:r>
      <w:r w:rsidR="007F5BF6" w:rsidRPr="002E6ECA">
        <w:rPr>
          <w:sz w:val="28"/>
          <w:szCs w:val="28"/>
        </w:rPr>
        <w:t xml:space="preserve">. Список використаної літератури містить </w:t>
      </w:r>
      <w:r w:rsidR="00FE4BF6" w:rsidRPr="002E6ECA">
        <w:rPr>
          <w:sz w:val="28"/>
          <w:szCs w:val="28"/>
          <w:lang w:val="uk-UA"/>
        </w:rPr>
        <w:t>514</w:t>
      </w:r>
      <w:r w:rsidR="007F5BF6" w:rsidRPr="002E6ECA">
        <w:rPr>
          <w:sz w:val="28"/>
          <w:szCs w:val="28"/>
        </w:rPr>
        <w:t xml:space="preserve"> наукових джерел, у тому числі 2</w:t>
      </w:r>
      <w:r w:rsidR="00FE4BF6" w:rsidRPr="002E6ECA">
        <w:rPr>
          <w:sz w:val="28"/>
          <w:szCs w:val="28"/>
          <w:lang w:val="uk-UA"/>
        </w:rPr>
        <w:t>75</w:t>
      </w:r>
      <w:r w:rsidR="007F5BF6" w:rsidRPr="002E6ECA">
        <w:rPr>
          <w:sz w:val="28"/>
          <w:szCs w:val="28"/>
        </w:rPr>
        <w:t xml:space="preserve"> кирилицею, 2</w:t>
      </w:r>
      <w:r w:rsidR="00FE4BF6" w:rsidRPr="002E6ECA">
        <w:rPr>
          <w:sz w:val="28"/>
          <w:szCs w:val="28"/>
          <w:lang w:val="uk-UA"/>
        </w:rPr>
        <w:t>39</w:t>
      </w:r>
      <w:r w:rsidR="007F5BF6" w:rsidRPr="002E6ECA">
        <w:rPr>
          <w:sz w:val="28"/>
          <w:szCs w:val="28"/>
        </w:rPr>
        <w:t xml:space="preserve"> латиною.</w:t>
      </w:r>
    </w:p>
    <w:p w:rsidR="00917BD4" w:rsidRPr="002E6ECA" w:rsidRDefault="00917BD4" w:rsidP="00FB13C4">
      <w:pPr>
        <w:spacing w:after="200" w:line="276" w:lineRule="auto"/>
        <w:rPr>
          <w:sz w:val="28"/>
          <w:szCs w:val="28"/>
          <w:lang w:val="uk-UA"/>
        </w:rPr>
      </w:pPr>
      <w:r w:rsidRPr="002E6ECA">
        <w:rPr>
          <w:sz w:val="28"/>
          <w:szCs w:val="28"/>
          <w:lang w:val="uk-UA"/>
        </w:rPr>
        <w:br w:type="page"/>
      </w:r>
    </w:p>
    <w:p w:rsidR="00E33723" w:rsidRPr="002E6ECA" w:rsidRDefault="00E33723" w:rsidP="00E33723">
      <w:pPr>
        <w:shd w:val="clear" w:color="auto" w:fill="FFFFFF"/>
        <w:spacing w:line="360" w:lineRule="auto"/>
        <w:ind w:firstLine="709"/>
        <w:jc w:val="center"/>
        <w:rPr>
          <w:sz w:val="28"/>
          <w:szCs w:val="28"/>
          <w:lang w:val="uk-UA"/>
        </w:rPr>
      </w:pPr>
      <w:r w:rsidRPr="002E6ECA">
        <w:rPr>
          <w:sz w:val="28"/>
          <w:szCs w:val="28"/>
          <w:lang w:val="uk-UA"/>
        </w:rPr>
        <w:lastRenderedPageBreak/>
        <w:t xml:space="preserve">РОЗДІЛ 1 </w:t>
      </w:r>
    </w:p>
    <w:p w:rsidR="00E33723" w:rsidRPr="002E6ECA" w:rsidRDefault="00E33723" w:rsidP="00E33723">
      <w:pPr>
        <w:shd w:val="clear" w:color="auto" w:fill="FFFFFF"/>
        <w:spacing w:line="360" w:lineRule="auto"/>
        <w:ind w:firstLine="709"/>
        <w:jc w:val="center"/>
        <w:rPr>
          <w:sz w:val="28"/>
          <w:szCs w:val="28"/>
          <w:lang w:val="uk-UA"/>
        </w:rPr>
      </w:pPr>
      <w:r w:rsidRPr="002E6ECA">
        <w:rPr>
          <w:spacing w:val="-1"/>
          <w:sz w:val="28"/>
          <w:szCs w:val="28"/>
          <w:lang w:val="uk-UA"/>
        </w:rPr>
        <w:t xml:space="preserve">ГІГІЄНІЧНІ АСПЕКТИ СУЧАСНОЇ ОСВІТИ У БАЗОВІЙ ШКОЛІ </w:t>
      </w:r>
      <w:r w:rsidRPr="002E6ECA">
        <w:rPr>
          <w:sz w:val="28"/>
          <w:szCs w:val="28"/>
          <w:lang w:val="uk-UA"/>
        </w:rPr>
        <w:t>(АНАЛІТИЧНИЙ ОГЛЯД ЛІТЕРАТУРИ)</w:t>
      </w:r>
    </w:p>
    <w:p w:rsidR="00E33723" w:rsidRPr="002E6ECA" w:rsidRDefault="00E33723" w:rsidP="00E33723">
      <w:pPr>
        <w:shd w:val="clear" w:color="auto" w:fill="FFFFFF"/>
        <w:spacing w:line="360" w:lineRule="auto"/>
        <w:ind w:firstLine="709"/>
        <w:jc w:val="center"/>
        <w:rPr>
          <w:sz w:val="28"/>
          <w:szCs w:val="28"/>
          <w:lang w:val="uk-UA"/>
        </w:rPr>
      </w:pPr>
    </w:p>
    <w:p w:rsidR="00E33723" w:rsidRPr="002E6ECA" w:rsidRDefault="00E33723" w:rsidP="00E33723">
      <w:pPr>
        <w:spacing w:line="360" w:lineRule="auto"/>
        <w:ind w:firstLine="709"/>
        <w:jc w:val="both"/>
        <w:rPr>
          <w:sz w:val="28"/>
          <w:szCs w:val="28"/>
          <w:lang w:val="uk-UA"/>
        </w:rPr>
      </w:pPr>
      <w:r w:rsidRPr="002E6ECA">
        <w:rPr>
          <w:sz w:val="28"/>
          <w:szCs w:val="28"/>
          <w:lang w:val="uk-UA"/>
        </w:rPr>
        <w:t>На період навчання в основній школі  припадають процеси самоідентифікації особистості на фоні взаємопов’язаних, але гетерохронних змін у біологічному, когнітивному, емоційному та соціальному функціонуванні організму [</w:t>
      </w:r>
      <w:r w:rsidR="00E33DAC" w:rsidRPr="002E6ECA">
        <w:rPr>
          <w:sz w:val="28"/>
          <w:szCs w:val="28"/>
          <w:lang w:val="uk-UA"/>
        </w:rPr>
        <w:t>375</w:t>
      </w:r>
      <w:r w:rsidRPr="002E6ECA">
        <w:rPr>
          <w:sz w:val="28"/>
          <w:szCs w:val="28"/>
          <w:lang w:val="uk-UA"/>
        </w:rPr>
        <w:t>]. Саме тому підлітковий вік розглядається як період підвищеної схильності до стресу [</w:t>
      </w:r>
      <w:r w:rsidR="00E33DAC" w:rsidRPr="002E6ECA">
        <w:rPr>
          <w:sz w:val="28"/>
          <w:szCs w:val="28"/>
          <w:lang w:val="uk-UA"/>
        </w:rPr>
        <w:t xml:space="preserve">369, </w:t>
      </w:r>
      <w:r w:rsidR="00E33DAC" w:rsidRPr="002E6ECA">
        <w:rPr>
          <w:sz w:val="28"/>
          <w:szCs w:val="28"/>
        </w:rPr>
        <w:t>476</w:t>
      </w:r>
      <w:r w:rsidRPr="002E6ECA">
        <w:rPr>
          <w:sz w:val="28"/>
          <w:szCs w:val="28"/>
          <w:lang w:val="uk-UA"/>
        </w:rPr>
        <w:t>]. Джерелами стресу у підлітковому віці можуть бути різні фактори, у тому числі й освітнє середовище [</w:t>
      </w:r>
      <w:r w:rsidR="00E33DAC" w:rsidRPr="002E6ECA">
        <w:rPr>
          <w:sz w:val="28"/>
          <w:szCs w:val="28"/>
        </w:rPr>
        <w:t>359,</w:t>
      </w:r>
      <w:r w:rsidR="00E33DAC" w:rsidRPr="002E6ECA">
        <w:rPr>
          <w:sz w:val="28"/>
          <w:szCs w:val="28"/>
          <w:shd w:val="clear" w:color="auto" w:fill="FFFFFF"/>
          <w:lang w:val="uk-UA"/>
        </w:rPr>
        <w:t xml:space="preserve"> </w:t>
      </w:r>
      <w:r w:rsidR="00E33DAC" w:rsidRPr="002E6ECA">
        <w:rPr>
          <w:sz w:val="28"/>
          <w:szCs w:val="28"/>
          <w:shd w:val="clear" w:color="auto" w:fill="FFFFFF"/>
        </w:rPr>
        <w:t>369,</w:t>
      </w:r>
      <w:r w:rsidR="00E33DAC" w:rsidRPr="002E6ECA">
        <w:rPr>
          <w:sz w:val="28"/>
          <w:szCs w:val="28"/>
          <w:shd w:val="clear" w:color="auto" w:fill="FFFFFF"/>
          <w:lang w:val="uk-UA"/>
        </w:rPr>
        <w:t xml:space="preserve"> </w:t>
      </w:r>
      <w:r w:rsidR="00E33DAC" w:rsidRPr="002E6ECA">
        <w:rPr>
          <w:sz w:val="28"/>
          <w:szCs w:val="28"/>
        </w:rPr>
        <w:t>375,</w:t>
      </w:r>
      <w:r w:rsidR="00E33DAC" w:rsidRPr="002E6ECA">
        <w:rPr>
          <w:sz w:val="28"/>
          <w:szCs w:val="28"/>
          <w:shd w:val="clear" w:color="auto" w:fill="FFFFFF"/>
          <w:lang w:val="uk-UA"/>
        </w:rPr>
        <w:t xml:space="preserve"> </w:t>
      </w:r>
      <w:r w:rsidR="00E33DAC" w:rsidRPr="002E6ECA">
        <w:rPr>
          <w:sz w:val="28"/>
          <w:szCs w:val="28"/>
        </w:rPr>
        <w:t>390</w:t>
      </w:r>
      <w:r w:rsidRPr="002E6ECA">
        <w:rPr>
          <w:sz w:val="28"/>
          <w:szCs w:val="28"/>
          <w:lang w:val="uk-UA"/>
        </w:rPr>
        <w:t>]. Стресові ситуації є поширеними в освітньому середовищі та щоденно впливають на учнів [</w:t>
      </w:r>
      <w:r w:rsidR="00E33DAC" w:rsidRPr="002E6ECA">
        <w:rPr>
          <w:rStyle w:val="authors"/>
          <w:sz w:val="28"/>
          <w:szCs w:val="28"/>
          <w:shd w:val="clear" w:color="auto" w:fill="FFFFFF"/>
        </w:rPr>
        <w:t xml:space="preserve">410, </w:t>
      </w:r>
      <w:r w:rsidR="00E33DAC" w:rsidRPr="002E6ECA">
        <w:rPr>
          <w:sz w:val="28"/>
          <w:szCs w:val="28"/>
        </w:rPr>
        <w:t>472</w:t>
      </w:r>
      <w:r w:rsidRPr="002E6ECA">
        <w:rPr>
          <w:sz w:val="28"/>
          <w:szCs w:val="28"/>
          <w:lang w:val="uk-UA"/>
        </w:rPr>
        <w:t>]. Зокрема, у дослідженні S. Sripongwiwata et al. (2018) визначено наступні фактори шкільного стресу: зміст навчального матеріалу, методика навчання і викладання, особисті переживання пов’язанні з навчанням, міжособистісні відносини з вчителями та однокласниками, групові соціальні фактори. Провідними факторами шкільного стресу є зміст освіти та організація навчального процесу, а саме:  великий обсяг навчального матеріалу; складний для розуміння зміст освіти; занадто щільний графік навчання; недостатність часу для повторення та закріплення навчального матеріалу; занадто частий контроль знань; підсумкове оцінювання; несправедлива система оцінювання; конкурентне освітнє середовище [</w:t>
      </w:r>
      <w:r w:rsidR="00E33DAC" w:rsidRPr="002E6ECA">
        <w:rPr>
          <w:sz w:val="28"/>
          <w:szCs w:val="28"/>
        </w:rPr>
        <w:t>472</w:t>
      </w:r>
      <w:r w:rsidRPr="002E6ECA">
        <w:rPr>
          <w:sz w:val="28"/>
          <w:szCs w:val="28"/>
          <w:lang w:val="uk-UA"/>
        </w:rPr>
        <w:t>]. У міру переходу учнів на вищі рівні в системі освіти, вони стикаються з більш високими академічними вимогами та очікуваннями. Необхідність відповідати цим очікуванням та академічним вимогам також може бути джерелом стресу в підлітковому віці. Так, показано, що серед 11-річних учнів рівень шкільного стресу був стабільним, тоді як шкільний стрес збільшувався у 13- і 15-річних учнів [</w:t>
      </w:r>
      <w:r w:rsidR="00E33DAC" w:rsidRPr="002E6ECA">
        <w:rPr>
          <w:sz w:val="28"/>
          <w:szCs w:val="28"/>
        </w:rPr>
        <w:t>390</w:t>
      </w:r>
      <w:r w:rsidRPr="002E6ECA">
        <w:rPr>
          <w:sz w:val="28"/>
          <w:szCs w:val="28"/>
          <w:lang w:val="uk-UA"/>
        </w:rPr>
        <w:t>]. Згідно досліджень [</w:t>
      </w:r>
      <w:r w:rsidR="00E33DAC" w:rsidRPr="002E6ECA">
        <w:rPr>
          <w:sz w:val="28"/>
          <w:szCs w:val="28"/>
          <w:shd w:val="clear" w:color="auto" w:fill="FCFCFC"/>
          <w:lang w:val="uk-UA"/>
        </w:rPr>
        <w:t>381</w:t>
      </w:r>
      <w:r w:rsidRPr="002E6ECA">
        <w:rPr>
          <w:sz w:val="28"/>
          <w:szCs w:val="28"/>
          <w:lang w:val="uk-UA"/>
        </w:rPr>
        <w:t>] найвища психофізіологічна «вартість» інтенсивної інтелектуальної діяльності притаманна учням на початку навчання в школі та в період статевого дозрівання.</w:t>
      </w:r>
    </w:p>
    <w:p w:rsidR="00E33723" w:rsidRPr="002E6ECA" w:rsidRDefault="00E33723" w:rsidP="00E33723">
      <w:pPr>
        <w:spacing w:line="360" w:lineRule="auto"/>
        <w:ind w:firstLine="709"/>
        <w:jc w:val="both"/>
        <w:rPr>
          <w:sz w:val="28"/>
          <w:szCs w:val="28"/>
          <w:lang w:val="uk-UA"/>
        </w:rPr>
      </w:pPr>
      <w:r w:rsidRPr="002E6ECA">
        <w:rPr>
          <w:sz w:val="28"/>
          <w:szCs w:val="28"/>
          <w:lang w:val="uk-UA"/>
        </w:rPr>
        <w:lastRenderedPageBreak/>
        <w:t>Попередніми дослідженнями показано, що шкільний стрес може перешкоджати академічній успішності учнів [</w:t>
      </w:r>
      <w:r w:rsidR="00E33DAC" w:rsidRPr="002E6ECA">
        <w:rPr>
          <w:sz w:val="28"/>
          <w:szCs w:val="28"/>
          <w:shd w:val="clear" w:color="auto" w:fill="FAFAFA"/>
        </w:rPr>
        <w:t>371</w:t>
      </w:r>
      <w:r w:rsidRPr="002E6ECA">
        <w:rPr>
          <w:sz w:val="28"/>
          <w:szCs w:val="28"/>
          <w:lang w:val="uk-UA"/>
        </w:rPr>
        <w:t>], імовірно, внаслідок негативного впливу на процеси пам’яті [</w:t>
      </w:r>
      <w:r w:rsidR="00E33DAC" w:rsidRPr="002E6ECA">
        <w:rPr>
          <w:sz w:val="28"/>
          <w:szCs w:val="28"/>
          <w:shd w:val="clear" w:color="auto" w:fill="FFFFFF"/>
        </w:rPr>
        <w:t>460,</w:t>
      </w:r>
      <w:r w:rsidR="00E33DAC" w:rsidRPr="002E6ECA">
        <w:rPr>
          <w:sz w:val="28"/>
          <w:szCs w:val="28"/>
          <w:shd w:val="clear" w:color="auto" w:fill="FAFAFA"/>
          <w:lang w:val="uk-UA"/>
        </w:rPr>
        <w:t xml:space="preserve"> </w:t>
      </w:r>
      <w:r w:rsidR="00E33DAC" w:rsidRPr="002E6ECA">
        <w:rPr>
          <w:sz w:val="28"/>
          <w:szCs w:val="28"/>
          <w:shd w:val="clear" w:color="auto" w:fill="FFFFFF"/>
        </w:rPr>
        <w:t>487</w:t>
      </w:r>
      <w:r w:rsidRPr="002E6ECA">
        <w:rPr>
          <w:sz w:val="28"/>
          <w:szCs w:val="28"/>
          <w:lang w:val="uk-UA"/>
        </w:rPr>
        <w:t xml:space="preserve">]. </w:t>
      </w:r>
      <w:r w:rsidRPr="002E6ECA">
        <w:rPr>
          <w:sz w:val="28"/>
          <w:szCs w:val="28"/>
          <w:shd w:val="clear" w:color="auto" w:fill="FFFFFF"/>
          <w:lang w:val="uk-UA"/>
        </w:rPr>
        <w:t>Крім того, стрес може перешкоджати інтеграції нової інформації в існуючу структуру знань, що може ускладнювати глибоке мультидисциплінарне розуміння навчального матеріалу. Крім того, стрес, змінюючи баланс між системами пам'яті, може перешкоджати  творчому вирішенню  складних та/або нових проблем, що, в свою чергу, може призвести до недооцінки здібностей учнів та заниження їх  самооцінки [</w:t>
      </w:r>
      <w:r w:rsidR="00E33DAC" w:rsidRPr="002E6ECA">
        <w:rPr>
          <w:sz w:val="28"/>
          <w:szCs w:val="28"/>
          <w:shd w:val="clear" w:color="auto" w:fill="FFFFFF"/>
        </w:rPr>
        <w:t>493</w:t>
      </w:r>
      <w:r w:rsidRPr="002E6ECA">
        <w:rPr>
          <w:sz w:val="28"/>
          <w:szCs w:val="28"/>
          <w:shd w:val="clear" w:color="auto" w:fill="FFFFFF"/>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Дослідження шкільного стресу в більш ніж у 18 країнах в регіонах Північної Америки, Великобританії, Східної Європи, Скандинавських країнах і Німеччині виявило тенденцію до помітного зростання шкільного стресу в підлітковому віці в період з 1994 р. по 2010 р. [</w:t>
      </w:r>
      <w:r w:rsidR="00E33DAC" w:rsidRPr="002E6ECA">
        <w:rPr>
          <w:sz w:val="28"/>
          <w:szCs w:val="28"/>
          <w:lang w:val="uk-UA"/>
        </w:rPr>
        <w:t>377</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Зазначені дані є досить вагомим підґрунтям для проведення моніторингу рівня шкільного стресу серед учнівської молоді України, оскільки наразі наша система освіти  зазнає суттєвого реформування і заклади освіти набувають значної автономності у визначенні змісту освіти та вибору форм організації навчального процесу. Зокрема, у 2008 р. стартував всеукраїнський педагогічний проєкт «Інтелект України» на засадах меритократичної освіти з використанням освітніх моделей прискорення, поглиблення, збагачення та проблематизації [</w:t>
      </w:r>
      <w:r w:rsidR="00E33DAC" w:rsidRPr="002E6ECA">
        <w:rPr>
          <w:sz w:val="28"/>
          <w:szCs w:val="28"/>
          <w:shd w:val="clear" w:color="auto" w:fill="FFFFFF"/>
          <w:lang w:val="uk-UA"/>
        </w:rPr>
        <w:t>36</w:t>
      </w:r>
      <w:r w:rsidRPr="002E6ECA">
        <w:rPr>
          <w:sz w:val="28"/>
          <w:szCs w:val="28"/>
          <w:lang w:val="uk-UA"/>
        </w:rPr>
        <w:t xml:space="preserve">]. Як бачимо, методологічна основа проєкту передбачає інтенсифікацію навчального процесу, що є провідним фактором шкільного стресу. </w:t>
      </w:r>
    </w:p>
    <w:p w:rsidR="00E33723" w:rsidRPr="002E6ECA" w:rsidRDefault="00E33723" w:rsidP="00E33723">
      <w:pPr>
        <w:shd w:val="clear" w:color="auto" w:fill="FFFFFF"/>
        <w:spacing w:line="360" w:lineRule="auto"/>
        <w:rPr>
          <w:sz w:val="28"/>
          <w:szCs w:val="28"/>
          <w:lang w:val="uk-UA"/>
        </w:rPr>
      </w:pPr>
    </w:p>
    <w:p w:rsidR="00E33723" w:rsidRPr="002E6ECA" w:rsidRDefault="00E33723" w:rsidP="00E33723">
      <w:pPr>
        <w:pStyle w:val="a3"/>
        <w:numPr>
          <w:ilvl w:val="1"/>
          <w:numId w:val="1"/>
        </w:numPr>
        <w:spacing w:line="360" w:lineRule="auto"/>
        <w:ind w:left="0" w:firstLine="709"/>
        <w:jc w:val="both"/>
        <w:rPr>
          <w:b/>
          <w:sz w:val="28"/>
          <w:szCs w:val="28"/>
          <w:lang w:val="uk-UA"/>
        </w:rPr>
      </w:pPr>
      <w:r w:rsidRPr="002E6ECA">
        <w:rPr>
          <w:b/>
          <w:sz w:val="28"/>
          <w:szCs w:val="28"/>
          <w:lang w:val="uk-UA"/>
        </w:rPr>
        <w:t>Стан здоров’я дітей та підлітків шкільного віку та чинники, що його формують</w:t>
      </w:r>
    </w:p>
    <w:p w:rsidR="00E33723" w:rsidRPr="002E6ECA" w:rsidRDefault="00E33723" w:rsidP="00E33723">
      <w:pPr>
        <w:spacing w:line="360" w:lineRule="auto"/>
        <w:ind w:firstLine="709"/>
        <w:jc w:val="both"/>
        <w:rPr>
          <w:spacing w:val="2"/>
          <w:sz w:val="28"/>
          <w:szCs w:val="28"/>
          <w:lang w:val="en-US"/>
        </w:rPr>
      </w:pPr>
      <w:r w:rsidRPr="002E6ECA">
        <w:rPr>
          <w:spacing w:val="2"/>
          <w:sz w:val="28"/>
          <w:szCs w:val="28"/>
          <w:lang w:val="uk-UA"/>
        </w:rPr>
        <w:t xml:space="preserve">Сучасне життя характеризується зростанням чисельності та впливовості чинників ризику щодо формування патологічних станів у дитячій популяції. І, як наслідок вже протягом 20 років зберігається тенденція до подальшого зростання гострої та хронічної соматичної захворюваності, синдрому дезадаптації, морфофункціональних відхилень, розладів психіки та поведінки. Особливе занепокоєння викликає стан здоров’я школярів, серед яких </w:t>
      </w:r>
      <w:r w:rsidRPr="002E6ECA">
        <w:rPr>
          <w:spacing w:val="2"/>
          <w:sz w:val="28"/>
          <w:szCs w:val="28"/>
          <w:lang w:val="uk-UA"/>
        </w:rPr>
        <w:lastRenderedPageBreak/>
        <w:t>реєструється прогресивне зростання психічних розладів та захворювань нервової, травної та сечостатевої систем більше, ніж у 2-3 рази, офтальмологічної та ендокринної патології (відповідно у 4,1 та 7 разів) порівняно з дітьми дошкільного віку [</w:t>
      </w:r>
      <w:r w:rsidR="00E33DAC" w:rsidRPr="002E6ECA">
        <w:rPr>
          <w:bCs/>
          <w:spacing w:val="2"/>
          <w:sz w:val="28"/>
          <w:szCs w:val="28"/>
          <w:lang w:val="uk-UA"/>
        </w:rPr>
        <w:t xml:space="preserve">6, 7, 34, </w:t>
      </w:r>
      <w:r w:rsidR="00E33DAC" w:rsidRPr="002E6ECA">
        <w:rPr>
          <w:spacing w:val="2"/>
          <w:sz w:val="28"/>
          <w:szCs w:val="28"/>
          <w:lang w:val="uk-UA"/>
        </w:rPr>
        <w:t xml:space="preserve">47, 82, 86, 99, 102, </w:t>
      </w:r>
      <w:r w:rsidR="00E33DAC" w:rsidRPr="002E6ECA">
        <w:rPr>
          <w:bCs/>
          <w:spacing w:val="2"/>
          <w:sz w:val="28"/>
          <w:szCs w:val="28"/>
          <w:lang w:val="uk-UA"/>
        </w:rPr>
        <w:t>14</w:t>
      </w:r>
      <w:r w:rsidR="00E33DAC" w:rsidRPr="002E6ECA">
        <w:rPr>
          <w:bCs/>
          <w:spacing w:val="2"/>
          <w:sz w:val="28"/>
          <w:szCs w:val="28"/>
          <w:lang w:val="en-US"/>
        </w:rPr>
        <w:t>8</w:t>
      </w:r>
      <w:r w:rsidR="00E33DAC" w:rsidRPr="002E6ECA">
        <w:rPr>
          <w:bCs/>
          <w:spacing w:val="2"/>
          <w:sz w:val="28"/>
          <w:szCs w:val="28"/>
          <w:lang w:val="uk-UA"/>
        </w:rPr>
        <w:t>, 183, 206</w:t>
      </w:r>
      <w:r w:rsidRPr="002E6ECA">
        <w:rPr>
          <w:spacing w:val="2"/>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Визначення характеристики стану здоров’я потребує враховувати, що в теперішній час все частіше хронічні захворювання зустрічаються у вигляді поєднаної патології, що ускладнює діагностику, лікування і тим більше профілактику патологічних станів і потребує особливого підходу при формуванні не тільки лікувальної програми, а й заходів щодо первинної  профілактики на індивідуальному та груповому рівнях. </w:t>
      </w:r>
    </w:p>
    <w:p w:rsidR="00E33DAC" w:rsidRPr="002E6ECA" w:rsidRDefault="00E33723" w:rsidP="00E33723">
      <w:pPr>
        <w:spacing w:line="360" w:lineRule="auto"/>
        <w:ind w:firstLine="709"/>
        <w:jc w:val="both"/>
        <w:rPr>
          <w:bCs/>
          <w:spacing w:val="2"/>
          <w:sz w:val="28"/>
          <w:szCs w:val="28"/>
          <w:lang w:val="uk-UA"/>
        </w:rPr>
      </w:pPr>
      <w:r w:rsidRPr="002E6ECA">
        <w:rPr>
          <w:spacing w:val="2"/>
          <w:sz w:val="28"/>
          <w:szCs w:val="28"/>
          <w:lang w:val="uk-UA"/>
        </w:rPr>
        <w:t xml:space="preserve">На тлі </w:t>
      </w:r>
      <w:r w:rsidRPr="002E6ECA">
        <w:rPr>
          <w:spacing w:val="4"/>
          <w:sz w:val="28"/>
          <w:szCs w:val="28"/>
          <w:lang w:val="uk-UA"/>
        </w:rPr>
        <w:t xml:space="preserve">підвищення поширеності патологічної ураженості зазнає значних негативних змін і спосіб життя дітей шкільного віку, що визначається значним дисбалансом видів організації </w:t>
      </w:r>
      <w:r w:rsidRPr="002E6ECA">
        <w:rPr>
          <w:bCs/>
          <w:spacing w:val="4"/>
          <w:sz w:val="28"/>
          <w:szCs w:val="28"/>
          <w:lang w:val="uk-UA"/>
        </w:rPr>
        <w:t>дозвілля у бік пасивних занять. І це, в першу чергу, перегляд телепередач, надмірне захоплення комп'ютерною ігровою</w:t>
      </w:r>
      <w:r w:rsidRPr="002E6ECA">
        <w:rPr>
          <w:spacing w:val="4"/>
          <w:sz w:val="28"/>
          <w:szCs w:val="28"/>
          <w:lang w:val="uk-UA"/>
        </w:rPr>
        <w:t xml:space="preserve"> </w:t>
      </w:r>
      <w:r w:rsidRPr="002E6ECA">
        <w:rPr>
          <w:bCs/>
          <w:spacing w:val="4"/>
          <w:sz w:val="28"/>
          <w:szCs w:val="28"/>
          <w:lang w:val="uk-UA"/>
        </w:rPr>
        <w:t xml:space="preserve">діяльністю, </w:t>
      </w:r>
      <w:r w:rsidRPr="002E6ECA">
        <w:rPr>
          <w:spacing w:val="4"/>
          <w:sz w:val="28"/>
          <w:szCs w:val="28"/>
          <w:lang w:val="uk-UA"/>
        </w:rPr>
        <w:t>інтерактивні розваги</w:t>
      </w:r>
      <w:r w:rsidRPr="002E6ECA">
        <w:rPr>
          <w:bCs/>
          <w:spacing w:val="4"/>
          <w:sz w:val="28"/>
          <w:szCs w:val="28"/>
          <w:lang w:val="uk-UA"/>
        </w:rPr>
        <w:t>, що на тлі підвищення розумового навантаження, надтривалого виконання домашніх завдань, недостатньої тривалості нічного сну і перебування на свіжому повітрі у купі з обмеженням загальної рухової активності сприяє поширенню патологічних станів</w:t>
      </w:r>
      <w:r w:rsidRPr="002E6ECA">
        <w:rPr>
          <w:bCs/>
          <w:spacing w:val="2"/>
          <w:sz w:val="28"/>
          <w:szCs w:val="28"/>
          <w:lang w:val="uk-UA"/>
        </w:rPr>
        <w:t xml:space="preserve"> у дитячій популяції [</w:t>
      </w:r>
      <w:r w:rsidR="00E33DAC" w:rsidRPr="002E6ECA">
        <w:rPr>
          <w:bCs/>
          <w:spacing w:val="2"/>
          <w:sz w:val="28"/>
          <w:szCs w:val="28"/>
          <w:lang w:val="uk-UA"/>
        </w:rPr>
        <w:t>19, 50, 54, 124, 176, 212, 314, 348, 413, 433, 436, 444, 455, 502, 509</w:t>
      </w:r>
      <w:r w:rsidRPr="002E6ECA">
        <w:rPr>
          <w:bCs/>
          <w:spacing w:val="2"/>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Ставлення до власного здоров’я, формування навичок раціонального харчування та режиму дня, відмова від шкідливих звичок постають значущими важелями впливу на стан здоров’я підростаючого покоління [</w:t>
      </w:r>
      <w:r w:rsidR="00E33DAC" w:rsidRPr="002E6ECA">
        <w:rPr>
          <w:bCs/>
          <w:kern w:val="36"/>
          <w:sz w:val="28"/>
          <w:szCs w:val="28"/>
          <w:lang w:val="uk-UA" w:eastAsia="en-US"/>
        </w:rPr>
        <w:t xml:space="preserve">15, 24, 59, 99, </w:t>
      </w:r>
      <w:r w:rsidR="00E33DAC" w:rsidRPr="002E6ECA">
        <w:rPr>
          <w:sz w:val="28"/>
          <w:szCs w:val="28"/>
        </w:rPr>
        <w:t>146, 245, 283, 316, 370, 395, 491</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У сучасній медицині суб’єктивна оцінка здоров'я стала ключовою організаційною структурою для визначення численних вимірів функціонування фізичного, психічного та соціального здоров'я населення. Самооцінка як інтегральний показник об'єктивних фактів і суб'єктивних аргументів не тільки </w:t>
      </w:r>
      <w:r w:rsidRPr="002E6ECA">
        <w:rPr>
          <w:sz w:val="28"/>
          <w:szCs w:val="28"/>
          <w:lang w:val="uk-UA"/>
        </w:rPr>
        <w:lastRenderedPageBreak/>
        <w:t>містить в собі оцінку наявності або відсутності симптомів захворювання, а й надає характеристику психологічного благополуччя [</w:t>
      </w:r>
      <w:r w:rsidR="00C07182" w:rsidRPr="002E6ECA">
        <w:rPr>
          <w:sz w:val="28"/>
          <w:szCs w:val="28"/>
          <w:lang w:val="uk-UA"/>
        </w:rPr>
        <w:t xml:space="preserve">40, </w:t>
      </w:r>
      <w:r w:rsidR="00E33DAC" w:rsidRPr="002E6ECA">
        <w:rPr>
          <w:sz w:val="28"/>
          <w:szCs w:val="28"/>
          <w:lang w:val="uk-UA"/>
        </w:rPr>
        <w:t xml:space="preserve">155, 364, 456, </w:t>
      </w:r>
      <w:r w:rsidR="00E33DAC" w:rsidRPr="002E6ECA">
        <w:rPr>
          <w:lang w:val="uk-UA"/>
        </w:rPr>
        <w:t xml:space="preserve">474, </w:t>
      </w:r>
      <w:r w:rsidR="00E33DAC" w:rsidRPr="002E6ECA">
        <w:rPr>
          <w:sz w:val="28"/>
          <w:szCs w:val="28"/>
          <w:lang w:val="uk-UA"/>
        </w:rPr>
        <w:t>492</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Визначення чинників ризику з боку нераціонального формування режиму дня або окремих його елементів та їх значимість з одного боку, для формування патологічних станів, а з іншого – його нормалізація може розглядатися як дієвий компонент комплексу профілактичних заходів. А проєктування цих заходів на певний колектив, що відрізняється не тільки умовами навчання або регіоном проживання, а й іншими особливостями і, відповідно певним рівнем захворюваності, постає одним з дієвих способів профілактики.</w:t>
      </w:r>
    </w:p>
    <w:p w:rsidR="00E33723" w:rsidRPr="002E6ECA" w:rsidRDefault="00E33723" w:rsidP="00E33723">
      <w:pPr>
        <w:spacing w:line="360" w:lineRule="auto"/>
        <w:ind w:firstLine="709"/>
        <w:jc w:val="both"/>
        <w:rPr>
          <w:sz w:val="28"/>
          <w:szCs w:val="28"/>
          <w:lang w:val="uk-UA"/>
        </w:rPr>
      </w:pPr>
      <w:r w:rsidRPr="002E6ECA">
        <w:rPr>
          <w:sz w:val="28"/>
          <w:szCs w:val="28"/>
          <w:lang w:val="uk-UA"/>
        </w:rPr>
        <w:t>Збереження і зміцнення здоров'я дітей та підлітків – одне з найважливіших завдань у галузі громадського здоров’я будь-якої країни. Погане харчування, низька фізична активність, сидяча поведінка та куріння – це фактори ризику хронічних захворювань, які модифікуються і часто розвиваються на початку життя у підлітковому віці [</w:t>
      </w:r>
      <w:r w:rsidR="00E33DAC" w:rsidRPr="002E6ECA">
        <w:rPr>
          <w:sz w:val="28"/>
          <w:szCs w:val="28"/>
          <w:lang w:val="uk-UA"/>
        </w:rPr>
        <w:t>402</w:t>
      </w:r>
      <w:r w:rsidRPr="002E6ECA">
        <w:rPr>
          <w:sz w:val="28"/>
          <w:szCs w:val="28"/>
          <w:lang w:val="uk-UA"/>
        </w:rPr>
        <w:t xml:space="preserve">]. </w:t>
      </w:r>
      <w:r w:rsidRPr="002E6ECA">
        <w:rPr>
          <w:sz w:val="28"/>
          <w:szCs w:val="28"/>
          <w:lang w:val="uk-UA" w:eastAsia="uk-UA"/>
        </w:rPr>
        <w:t xml:space="preserve">Висока поширеність дитячого ожиріння постає серйозною медико-соціальною проблемою, оскільки надлишкове відкладення жиру пов’язано не тільки з соматичною та ендокринною патологією, а й зі зниженням когнітивних здібностей, шкільної успішності та професійних досягнень у майбутньому </w:t>
      </w:r>
      <w:r w:rsidRPr="002E6ECA">
        <w:rPr>
          <w:sz w:val="28"/>
          <w:szCs w:val="28"/>
          <w:lang w:val="uk-UA"/>
        </w:rPr>
        <w:t>[</w:t>
      </w:r>
      <w:r w:rsidR="00E33DAC" w:rsidRPr="002E6ECA">
        <w:rPr>
          <w:sz w:val="28"/>
          <w:szCs w:val="28"/>
          <w:lang w:val="uk-UA"/>
        </w:rPr>
        <w:t>301, 397</w:t>
      </w:r>
      <w:r w:rsidRPr="002E6ECA">
        <w:rPr>
          <w:sz w:val="28"/>
          <w:szCs w:val="28"/>
          <w:lang w:val="uk-UA"/>
        </w:rPr>
        <w:t xml:space="preserve">]. </w:t>
      </w:r>
      <w:r w:rsidRPr="002E6ECA">
        <w:rPr>
          <w:sz w:val="28"/>
          <w:szCs w:val="28"/>
          <w:lang w:val="uk-UA" w:eastAsia="uk-UA"/>
        </w:rPr>
        <w:t>Знижена фізична активність підлітків не тільки сприймається як погана фізична форма, а й пов’язана зі значними соматичними та психологічними проблемами у підлітків [</w:t>
      </w:r>
      <w:r w:rsidR="00E33DAC" w:rsidRPr="002E6ECA">
        <w:rPr>
          <w:sz w:val="28"/>
          <w:szCs w:val="28"/>
        </w:rPr>
        <w:t>291</w:t>
      </w:r>
      <w:r w:rsidRPr="002E6ECA">
        <w:rPr>
          <w:sz w:val="28"/>
          <w:szCs w:val="28"/>
          <w:lang w:val="uk-UA" w:eastAsia="uk-UA"/>
        </w:rPr>
        <w:t xml:space="preserve">]. Навпроти, багатокомпонентні </w:t>
      </w:r>
      <w:r w:rsidRPr="002E6ECA">
        <w:rPr>
          <w:sz w:val="28"/>
          <w:szCs w:val="28"/>
          <w:lang w:val="uk-UA"/>
        </w:rPr>
        <w:t>втручання щодо здорового харчування та фізичної активності сприяють покращенню пам’яті, когнітивних процесів</w:t>
      </w:r>
      <w:r w:rsidRPr="002E6ECA">
        <w:rPr>
          <w:sz w:val="28"/>
          <w:szCs w:val="28"/>
          <w:lang w:val="uk-UA" w:eastAsia="uk-UA"/>
        </w:rPr>
        <w:t xml:space="preserve"> та загальної академічної успішності [</w:t>
      </w:r>
      <w:r w:rsidR="004502D6" w:rsidRPr="002E6ECA">
        <w:rPr>
          <w:sz w:val="28"/>
          <w:szCs w:val="28"/>
          <w:lang w:val="uk-UA" w:eastAsia="uk-UA"/>
        </w:rPr>
        <w:t xml:space="preserve">330, </w:t>
      </w:r>
      <w:r w:rsidR="00FE4BC5" w:rsidRPr="002E6ECA">
        <w:rPr>
          <w:sz w:val="28"/>
          <w:szCs w:val="28"/>
          <w:lang w:val="uk-UA"/>
        </w:rPr>
        <w:t>397</w:t>
      </w:r>
      <w:r w:rsidRPr="002E6ECA">
        <w:rPr>
          <w:sz w:val="28"/>
          <w:szCs w:val="28"/>
          <w:lang w:val="uk-UA" w:eastAsia="uk-UA"/>
        </w:rPr>
        <w:t>].</w:t>
      </w:r>
      <w:r w:rsidRPr="002E6ECA">
        <w:rPr>
          <w:sz w:val="28"/>
          <w:szCs w:val="28"/>
          <w:lang w:val="uk-UA"/>
        </w:rPr>
        <w:t xml:space="preserve"> В умовах індустріально розвинутого суспільства підвищення фізичної активності додає понад 600 доларів, додаткова щоденна порція овочів і фруктів – 115, а відмова від паління – 563 долари економії на тиждень, які необхідні для підтримання певного рівня задоволеності життям </w:t>
      </w:r>
      <w:r w:rsidRPr="002E6ECA">
        <w:rPr>
          <w:sz w:val="28"/>
          <w:szCs w:val="28"/>
          <w:lang w:val="uk-UA" w:eastAsia="uk-UA"/>
        </w:rPr>
        <w:t>[</w:t>
      </w:r>
      <w:r w:rsidR="00FE4BC5" w:rsidRPr="002E6ECA">
        <w:rPr>
          <w:sz w:val="28"/>
          <w:szCs w:val="28"/>
          <w:lang w:val="uk-UA"/>
        </w:rPr>
        <w:t>465</w:t>
      </w:r>
      <w:r w:rsidRPr="002E6ECA">
        <w:rPr>
          <w:sz w:val="28"/>
          <w:szCs w:val="28"/>
          <w:lang w:val="uk-UA" w:eastAsia="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Розширення знань про характер харчування дітей різного віку дозволяє покращити харчові звички та спосіб життя, вплинути на поширеність </w:t>
      </w:r>
      <w:r w:rsidRPr="002E6ECA">
        <w:rPr>
          <w:sz w:val="28"/>
          <w:szCs w:val="28"/>
          <w:lang w:val="uk-UA"/>
        </w:rPr>
        <w:lastRenderedPageBreak/>
        <w:t>неінфекційних захворювань, що пов’язані з ожирінням, не тільки у підлітковому, а й більш зрілому віці [</w:t>
      </w:r>
      <w:r w:rsidR="00FE4BC5" w:rsidRPr="002E6ECA">
        <w:rPr>
          <w:sz w:val="28"/>
          <w:szCs w:val="28"/>
          <w:lang w:val="uk-UA"/>
        </w:rPr>
        <w:t>301, 352</w:t>
      </w:r>
      <w:r w:rsidRPr="002E6ECA">
        <w:rPr>
          <w:sz w:val="28"/>
          <w:szCs w:val="28"/>
          <w:lang w:val="uk-UA"/>
        </w:rPr>
        <w:t>].</w:t>
      </w:r>
    </w:p>
    <w:p w:rsidR="00E33723" w:rsidRPr="002E6ECA" w:rsidRDefault="00E33723" w:rsidP="00E33723">
      <w:pPr>
        <w:spacing w:line="360" w:lineRule="auto"/>
        <w:ind w:firstLine="709"/>
        <w:jc w:val="both"/>
        <w:rPr>
          <w:rStyle w:val="a8"/>
          <w:color w:val="auto"/>
          <w:sz w:val="28"/>
          <w:szCs w:val="28"/>
          <w:lang w:val="uk-UA"/>
        </w:rPr>
      </w:pPr>
      <w:r w:rsidRPr="002E6ECA">
        <w:rPr>
          <w:sz w:val="28"/>
          <w:szCs w:val="28"/>
          <w:lang w:val="uk-UA"/>
        </w:rPr>
        <w:t>Ставлення до власного здоров’я, формування навичок раціонального харчування та режиму дня, відмова від шкідливих звичок постають значущими важелями впливу на стан здоров’я підростаючого покоління. Навички здорового способу життя формуються у соціальному середовищі, де розвивається дитина. Одним з осередків такого впливу постають освітні заклади, які з одного боку постають одним із соціальних детермінантів здоров'я, а з іншого – як дієва платформа для профілактичних заходів [</w:t>
      </w:r>
      <w:r w:rsidR="00FE4BC5" w:rsidRPr="002E6ECA">
        <w:rPr>
          <w:sz w:val="28"/>
          <w:szCs w:val="28"/>
        </w:rPr>
        <w:t>311</w:t>
      </w:r>
      <w:r w:rsidR="00FE4BC5" w:rsidRPr="002E6ECA">
        <w:rPr>
          <w:rFonts w:eastAsia="Calibri"/>
          <w:sz w:val="28"/>
          <w:szCs w:val="28"/>
          <w:lang w:val="uk-UA" w:eastAsia="en-US"/>
        </w:rPr>
        <w:t xml:space="preserve">, 475, </w:t>
      </w:r>
      <w:r w:rsidR="00FE4BC5" w:rsidRPr="002E6ECA">
        <w:rPr>
          <w:sz w:val="28"/>
          <w:szCs w:val="28"/>
        </w:rPr>
        <w:t>503</w:t>
      </w:r>
      <w:r w:rsidRPr="002E6ECA">
        <w:rPr>
          <w:sz w:val="28"/>
          <w:szCs w:val="28"/>
          <w:lang w:val="uk-UA"/>
        </w:rPr>
        <w:t>].</w:t>
      </w:r>
    </w:p>
    <w:p w:rsidR="00E33723" w:rsidRPr="002E6ECA" w:rsidRDefault="00E33723" w:rsidP="00E33723">
      <w:pPr>
        <w:spacing w:line="360" w:lineRule="auto"/>
        <w:ind w:firstLine="709"/>
        <w:jc w:val="both"/>
        <w:rPr>
          <w:sz w:val="28"/>
          <w:szCs w:val="28"/>
          <w:lang w:val="uk-UA" w:eastAsia="uk-UA"/>
        </w:rPr>
      </w:pPr>
      <w:r w:rsidRPr="002E6ECA">
        <w:rPr>
          <w:sz w:val="28"/>
          <w:szCs w:val="28"/>
          <w:lang w:val="uk-UA"/>
        </w:rPr>
        <w:t>Вдосконалене розуміння того, як нездорова поведінка виникає та набуває сталості у дитинстві, може сприяти розробці більш ефективних підходів до профілактики неінфекційних захворювань, що сприятиме покращенню освітнього процесу та його результативності [</w:t>
      </w:r>
      <w:r w:rsidR="00FE4BC5" w:rsidRPr="002E6ECA">
        <w:rPr>
          <w:sz w:val="28"/>
          <w:szCs w:val="28"/>
          <w:lang w:val="uk-UA"/>
        </w:rPr>
        <w:t xml:space="preserve">15, 397, </w:t>
      </w:r>
      <w:hyperlink r:id="rId14" w:history="1">
        <w:r w:rsidR="00FE4BC5" w:rsidRPr="002E6ECA">
          <w:rPr>
            <w:sz w:val="28"/>
            <w:szCs w:val="28"/>
            <w:lang w:val="uk-UA"/>
          </w:rPr>
          <w:t>402</w:t>
        </w:r>
      </w:hyperlink>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Забезпечення у молоді спрямованості на здоровий спосіб життя в даний час є одним з найважливіших компонентів збереження здоров'я. Раціональне харчування визнається важливою характеристикою такого способу життя. Результати підтверджують, що харчування, поряд з фізичною активністю і дотриманням режиму сну і відпочинку, є основним фактором оптимізації здоров'я молоді, а також важливим профілактичним і лікувальним засобом сучасної медицини [</w:t>
      </w:r>
      <w:r w:rsidR="00FE4BC5" w:rsidRPr="002E6ECA">
        <w:rPr>
          <w:sz w:val="28"/>
          <w:szCs w:val="28"/>
          <w:lang w:val="uk-UA"/>
        </w:rPr>
        <w:t>354, 357</w:t>
      </w:r>
      <w:r w:rsidR="001D68D5" w:rsidRPr="002E6ECA">
        <w:rPr>
          <w:sz w:val="28"/>
          <w:szCs w:val="28"/>
          <w:lang w:val="uk-UA"/>
        </w:rPr>
        <w:t>, 464</w:t>
      </w:r>
      <w:r w:rsidRPr="002E6ECA">
        <w:rPr>
          <w:sz w:val="28"/>
          <w:szCs w:val="28"/>
          <w:lang w:val="uk-UA"/>
        </w:rPr>
        <w:t>].</w:t>
      </w:r>
    </w:p>
    <w:p w:rsidR="00E33723" w:rsidRPr="002E6ECA" w:rsidRDefault="00E33723" w:rsidP="00E33723">
      <w:pPr>
        <w:spacing w:line="360" w:lineRule="auto"/>
        <w:ind w:firstLine="709"/>
        <w:jc w:val="both"/>
        <w:rPr>
          <w:spacing w:val="-4"/>
          <w:sz w:val="28"/>
          <w:szCs w:val="28"/>
          <w:lang w:val="uk-UA"/>
        </w:rPr>
      </w:pPr>
      <w:r w:rsidRPr="002E6ECA">
        <w:rPr>
          <w:spacing w:val="-4"/>
          <w:sz w:val="28"/>
          <w:szCs w:val="28"/>
          <w:lang w:val="uk-UA"/>
        </w:rPr>
        <w:t>Для учнівської молоді харчування актуально, як фактор, що полегшує виконання навчальних навантажень і успішність в оволодінні знаннями, навичками і вміннями. На жаль, в даний час харчування учнівської молоді не може бути оцінений як оптимальне. Нераціональне харчування студентів є одним з факторів ризику порушення здоров'я. Автори підкреслюють, що студентська молодь є особливою групою населення, для якої характерна велика кількість порушень раціону і несприятливих харчових звичок [</w:t>
      </w:r>
      <w:r w:rsidR="00FE4BC5" w:rsidRPr="002E6ECA">
        <w:rPr>
          <w:sz w:val="28"/>
          <w:szCs w:val="28"/>
          <w:lang w:val="uk-UA"/>
        </w:rPr>
        <w:t>24, 62, 120, 166, 443</w:t>
      </w:r>
      <w:r w:rsidRPr="002E6ECA">
        <w:rPr>
          <w:spacing w:val="-4"/>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Аналіз харчової поведінки учнів дозволив оцінити їх стан як донозологіі аліментарного генезу, проявами якої є надлишкова маса тіла, дефіцит </w:t>
      </w:r>
      <w:r w:rsidRPr="002E6ECA">
        <w:rPr>
          <w:sz w:val="28"/>
          <w:szCs w:val="28"/>
          <w:lang w:val="uk-UA"/>
        </w:rPr>
        <w:lastRenderedPageBreak/>
        <w:t>есенціальних нутрієнтів (вітамінів, мінеральних речовин, харчових волокон), функціональні порушення травлення [</w:t>
      </w:r>
      <w:r w:rsidR="00FE4BC5" w:rsidRPr="002E6ECA">
        <w:rPr>
          <w:sz w:val="28"/>
          <w:szCs w:val="28"/>
          <w:lang w:val="uk-UA"/>
        </w:rPr>
        <w:t xml:space="preserve">25, 49, </w:t>
      </w:r>
      <w:r w:rsidR="00C07182" w:rsidRPr="002E6ECA">
        <w:rPr>
          <w:sz w:val="28"/>
          <w:szCs w:val="28"/>
          <w:lang w:val="uk-UA"/>
        </w:rPr>
        <w:t>144</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Актуальним напрямом сучасної нутриціології є дослідження харчового статусу і взаємозв'язків між харчуванням і здоров'ям за допомогою методів скринінгу, що дозволяють прогнозувати зміни функціонального стану під впливом раціону. До таких методик відноситься аналіз частоти споживання харчових продуктів [</w:t>
      </w:r>
      <w:r w:rsidR="00FE4BC5" w:rsidRPr="002E6ECA">
        <w:rPr>
          <w:sz w:val="28"/>
          <w:szCs w:val="28"/>
          <w:lang w:val="uk-UA"/>
        </w:rPr>
        <w:t xml:space="preserve">146, 171, </w:t>
      </w:r>
      <w:r w:rsidR="00FE4BC5" w:rsidRPr="002E6ECA">
        <w:rPr>
          <w:bCs/>
          <w:sz w:val="28"/>
          <w:szCs w:val="28"/>
        </w:rPr>
        <w:t>237</w:t>
      </w:r>
      <w:r w:rsidRPr="002E6ECA">
        <w:rPr>
          <w:sz w:val="28"/>
          <w:szCs w:val="28"/>
          <w:lang w:val="uk-UA"/>
        </w:rPr>
        <w:t>].</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Адаптація дітей до школи у сучасному науковому середовищі розглядається як складна суміжна проблема на стику медицини, психології, педагогіки, соціології. За узагальненням думки вчених, які досліджують фізичну, психологічну, соціальну та особистісну готовність дитини до навчання – шкільна адаптація являє собою процес і результат активного її пристосування до умов нового середовища, як здатність до подальшого психологічного, особистісного, соціального розвитку, що пов'язана зі зміною провідної діяльності і соціального оточення [</w:t>
      </w:r>
      <w:r w:rsidR="00FE4BC5" w:rsidRPr="002E6ECA">
        <w:rPr>
          <w:rFonts w:ascii="Times New Roman" w:hAnsi="Times New Roman" w:cs="Times New Roman"/>
          <w:sz w:val="28"/>
          <w:szCs w:val="28"/>
          <w:lang w:val="uk-UA"/>
        </w:rPr>
        <w:t xml:space="preserve">320, </w:t>
      </w:r>
      <w:r w:rsidR="00FE4BC5" w:rsidRPr="002E6ECA">
        <w:rPr>
          <w:rFonts w:ascii="Times New Roman" w:hAnsi="Times New Roman" w:cs="Times New Roman"/>
          <w:sz w:val="28"/>
          <w:szCs w:val="28"/>
          <w:shd w:val="clear" w:color="auto" w:fill="FFFFFF"/>
          <w:lang w:val="uk-UA"/>
        </w:rPr>
        <w:t xml:space="preserve">342, </w:t>
      </w:r>
      <w:r w:rsidR="00FE4BC5" w:rsidRPr="002E6ECA">
        <w:rPr>
          <w:rFonts w:ascii="Times New Roman" w:hAnsi="Times New Roman" w:cs="Times New Roman"/>
          <w:sz w:val="28"/>
          <w:szCs w:val="28"/>
          <w:lang w:val="uk-UA"/>
        </w:rPr>
        <w:t>409</w:t>
      </w:r>
      <w:r w:rsidRPr="002E6ECA">
        <w:rPr>
          <w:rFonts w:ascii="Times New Roman" w:hAnsi="Times New Roman" w:cs="Times New Roman"/>
          <w:sz w:val="28"/>
          <w:szCs w:val="28"/>
          <w:lang w:val="uk-UA"/>
        </w:rPr>
        <w:t>]</w:t>
      </w:r>
      <w:r w:rsidRPr="002E6ECA">
        <w:rPr>
          <w:rFonts w:ascii="Times New Roman" w:hAnsi="Times New Roman" w:cs="Times New Roman"/>
          <w:i/>
          <w:sz w:val="28"/>
          <w:szCs w:val="28"/>
          <w:lang w:val="uk-UA"/>
        </w:rPr>
        <w:t>.</w:t>
      </w:r>
      <w:r w:rsidRPr="002E6ECA">
        <w:rPr>
          <w:rFonts w:ascii="Times New Roman" w:hAnsi="Times New Roman" w:cs="Times New Roman"/>
          <w:sz w:val="28"/>
          <w:szCs w:val="28"/>
          <w:lang w:val="uk-UA"/>
        </w:rPr>
        <w:t xml:space="preserve"> </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Дослідження різних аспектів проблеми адаптації дітей до школи набули широкого обговорення саме у педагогічній спільноті і більшою частиною </w:t>
      </w:r>
      <w:r w:rsidR="00CE5CE5" w:rsidRPr="002E6ECA">
        <w:rPr>
          <w:rFonts w:ascii="Times New Roman" w:hAnsi="Times New Roman" w:cs="Times New Roman"/>
          <w:sz w:val="28"/>
          <w:szCs w:val="28"/>
          <w:lang w:val="uk-UA"/>
        </w:rPr>
        <w:t>–</w:t>
      </w:r>
      <w:r w:rsidRPr="002E6ECA">
        <w:rPr>
          <w:rFonts w:ascii="Times New Roman" w:hAnsi="Times New Roman" w:cs="Times New Roman"/>
          <w:sz w:val="28"/>
          <w:szCs w:val="28"/>
          <w:lang w:val="uk-UA"/>
        </w:rPr>
        <w:t xml:space="preserve"> у</w:t>
      </w:r>
      <w:r w:rsidR="00CE5CE5" w:rsidRPr="002E6ECA">
        <w:rPr>
          <w:rFonts w:ascii="Times New Roman" w:hAnsi="Times New Roman" w:cs="Times New Roman"/>
          <w:sz w:val="28"/>
          <w:szCs w:val="28"/>
          <w:lang w:val="uk-UA"/>
        </w:rPr>
        <w:t xml:space="preserve"> </w:t>
      </w:r>
      <w:r w:rsidRPr="002E6ECA">
        <w:rPr>
          <w:rFonts w:ascii="Times New Roman" w:hAnsi="Times New Roman" w:cs="Times New Roman"/>
          <w:sz w:val="28"/>
          <w:szCs w:val="28"/>
          <w:lang w:val="uk-UA"/>
        </w:rPr>
        <w:t xml:space="preserve">першокласників. Проблеми шкільної дезадаптації дітей початкової школи обговорюються як наслідок психологічного неблагополуччя освітнього середовища. Доведено, що дезадаптивний стан дітей 6-7 років є підставою психологічного неблагополуччя у подальшому. Педагогічний фактор шкільної адаптації є достатньо впливовим і обумовлений ризиками організації освітнього процесу, тому приділяється значна увага </w:t>
      </w:r>
      <w:r w:rsidRPr="002E6ECA">
        <w:rPr>
          <w:rFonts w:ascii="Times New Roman" w:eastAsia="TimesNewRomanPSMT" w:hAnsi="Times New Roman" w:cs="Times New Roman"/>
          <w:sz w:val="28"/>
          <w:szCs w:val="28"/>
          <w:lang w:val="uk-UA"/>
        </w:rPr>
        <w:t xml:space="preserve">ролі вчителя у оптимізації перебування дітей у загальноосвітньому навчальному закладі, </w:t>
      </w:r>
      <w:r w:rsidRPr="002E6ECA">
        <w:rPr>
          <w:rFonts w:ascii="Times New Roman" w:hAnsi="Times New Roman" w:cs="Times New Roman"/>
          <w:sz w:val="28"/>
          <w:szCs w:val="28"/>
          <w:lang w:val="uk-UA"/>
        </w:rPr>
        <w:t>створенні ним ряду превентивних заходів, що полегшують адаптаційний процес [</w:t>
      </w:r>
      <w:r w:rsidR="00FE4BC5" w:rsidRPr="002E6ECA">
        <w:rPr>
          <w:rFonts w:ascii="Times New Roman" w:hAnsi="Times New Roman" w:cs="Times New Roman"/>
          <w:sz w:val="28"/>
          <w:szCs w:val="28"/>
          <w:lang w:val="uk-UA"/>
        </w:rPr>
        <w:t>23, 28, 58, 118, 195, 218, 247, 253</w:t>
      </w:r>
      <w:r w:rsidRPr="002E6ECA">
        <w:rPr>
          <w:rFonts w:ascii="Times New Roman" w:hAnsi="Times New Roman" w:cs="Times New Roman"/>
          <w:sz w:val="28"/>
          <w:szCs w:val="28"/>
          <w:lang w:val="uk-UA"/>
        </w:rPr>
        <w:t>].</w:t>
      </w:r>
    </w:p>
    <w:p w:rsidR="00E33723" w:rsidRPr="002E6ECA" w:rsidRDefault="00E33723" w:rsidP="00E33723">
      <w:pPr>
        <w:pStyle w:val="HTML"/>
        <w:spacing w:line="360" w:lineRule="auto"/>
        <w:ind w:firstLine="709"/>
        <w:jc w:val="both"/>
        <w:rPr>
          <w:rFonts w:ascii="Times New Roman" w:hAnsi="Times New Roman" w:cs="Times New Roman"/>
          <w:sz w:val="28"/>
          <w:szCs w:val="28"/>
          <w:lang w:val="en-US"/>
        </w:rPr>
      </w:pPr>
      <w:r w:rsidRPr="002E6ECA">
        <w:rPr>
          <w:rFonts w:ascii="Times New Roman" w:hAnsi="Times New Roman" w:cs="Times New Roman"/>
          <w:sz w:val="28"/>
          <w:szCs w:val="28"/>
          <w:lang w:val="uk-UA"/>
        </w:rPr>
        <w:t xml:space="preserve">Інтереси дослідників також стосуються </w:t>
      </w:r>
      <w:r w:rsidRPr="002E6ECA">
        <w:rPr>
          <w:rFonts w:ascii="Times New Roman" w:eastAsia="TimesNewRomanPSMT" w:hAnsi="Times New Roman" w:cs="Times New Roman"/>
          <w:sz w:val="28"/>
          <w:szCs w:val="28"/>
          <w:lang w:val="uk-UA"/>
        </w:rPr>
        <w:t xml:space="preserve">визначення соціологічних (родинних, дитячо-батьківських) відносин, які за психологічними ознаками можуть мати вплив на формування адаптаційних можливостей до навчальної діяльності учнів перших класів початкової школи </w:t>
      </w:r>
      <w:r w:rsidRPr="002E6ECA">
        <w:rPr>
          <w:rFonts w:ascii="Times New Roman" w:hAnsi="Times New Roman" w:cs="Times New Roman"/>
          <w:sz w:val="28"/>
          <w:szCs w:val="28"/>
          <w:lang w:val="uk-UA"/>
        </w:rPr>
        <w:t>[</w:t>
      </w:r>
      <w:r w:rsidR="00FE4BC5" w:rsidRPr="002E6ECA">
        <w:rPr>
          <w:rFonts w:ascii="Times New Roman" w:hAnsi="Times New Roman" w:cs="Times New Roman"/>
          <w:sz w:val="28"/>
          <w:szCs w:val="28"/>
          <w:lang w:val="uk-UA"/>
        </w:rPr>
        <w:t>26, 134, 161</w:t>
      </w:r>
      <w:r w:rsidRPr="002E6ECA">
        <w:rPr>
          <w:rFonts w:ascii="Times New Roman" w:hAnsi="Times New Roman" w:cs="Times New Roman"/>
          <w:sz w:val="28"/>
          <w:szCs w:val="28"/>
          <w:lang w:val="uk-UA"/>
        </w:rPr>
        <w:t>]</w:t>
      </w:r>
      <w:r w:rsidR="00FE4BC5" w:rsidRPr="002E6ECA">
        <w:rPr>
          <w:rFonts w:ascii="Times New Roman" w:hAnsi="Times New Roman" w:cs="Times New Roman"/>
          <w:sz w:val="28"/>
          <w:szCs w:val="28"/>
          <w:lang w:val="en-US"/>
        </w:rPr>
        <w:t>.</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lastRenderedPageBreak/>
        <w:t>Важливо відзначити, що достатньо великий обсяг вітчизняних та закордонних публікацій присвячено психологічним аспектам адаптації дітей до навчання. Велика увага приділяється розробці, використанню та обговоренню результатів обстеження першокласників за психологічними методиками щодо визначення готовності дітей до перебування у навчальному закладі. Показано, що труднощі</w:t>
      </w:r>
      <w:r w:rsidRPr="002E6ECA">
        <w:rPr>
          <w:rFonts w:ascii="Times New Roman" w:hAnsi="Times New Roman" w:cs="Times New Roman"/>
          <w:bCs/>
          <w:sz w:val="28"/>
          <w:szCs w:val="28"/>
          <w:lang w:val="uk-UA"/>
        </w:rPr>
        <w:t xml:space="preserve"> </w:t>
      </w:r>
      <w:r w:rsidRPr="002E6ECA">
        <w:rPr>
          <w:rFonts w:ascii="Times New Roman" w:hAnsi="Times New Roman" w:cs="Times New Roman"/>
          <w:sz w:val="28"/>
          <w:szCs w:val="28"/>
          <w:lang w:val="uk-UA"/>
        </w:rPr>
        <w:t>соціально психологічної адаптації школярів шестирічного віку тісно пов'язані з «незрілістю шкільнозначущих» функцій, індивідуальними особливостями розвитку і станом здоров'я дітей [</w:t>
      </w:r>
      <w:r w:rsidR="00FE4BC5" w:rsidRPr="002E6ECA">
        <w:rPr>
          <w:rFonts w:ascii="Times New Roman" w:hAnsi="Times New Roman" w:cs="Times New Roman"/>
          <w:sz w:val="28"/>
          <w:szCs w:val="28"/>
          <w:lang w:val="uk-UA"/>
        </w:rPr>
        <w:t>23, 95, 107, 114, 173, 198, 247</w:t>
      </w:r>
      <w:r w:rsidRPr="002E6ECA">
        <w:rPr>
          <w:rFonts w:ascii="Times New Roman" w:hAnsi="Times New Roman" w:cs="Times New Roman"/>
          <w:sz w:val="28"/>
          <w:szCs w:val="28"/>
          <w:lang w:val="uk-UA"/>
        </w:rPr>
        <w:t>].</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У чисельних роботах розкриваються динаміка і особливості соціально-психологічної адаптації, шкільної мотивації, розумової працездатності і особистісної самооцінки першокласників у новій соціальній ситуації розвитку. Таким чином, психологічне неблагополуччя освітнього середовища є одним з аспектів шкільної дезадаптації [</w:t>
      </w:r>
      <w:r w:rsidR="00FE4BC5" w:rsidRPr="002E6ECA">
        <w:rPr>
          <w:rFonts w:ascii="Times New Roman" w:hAnsi="Times New Roman" w:cs="Times New Roman"/>
          <w:sz w:val="28"/>
          <w:szCs w:val="28"/>
          <w:lang w:val="uk-UA"/>
        </w:rPr>
        <w:t>132, 173, 174, 254</w:t>
      </w:r>
      <w:r w:rsidRPr="002E6ECA">
        <w:rPr>
          <w:rFonts w:ascii="Times New Roman" w:hAnsi="Times New Roman" w:cs="Times New Roman"/>
          <w:sz w:val="28"/>
          <w:szCs w:val="28"/>
          <w:lang w:val="uk-UA"/>
        </w:rPr>
        <w:t xml:space="preserve">].  </w:t>
      </w:r>
    </w:p>
    <w:p w:rsidR="00E33723" w:rsidRPr="002E6ECA" w:rsidRDefault="00E33723" w:rsidP="00E33723">
      <w:pPr>
        <w:pStyle w:val="HTML"/>
        <w:spacing w:line="360" w:lineRule="auto"/>
        <w:ind w:firstLine="709"/>
        <w:jc w:val="both"/>
        <w:rPr>
          <w:rFonts w:ascii="Times New Roman" w:eastAsia="TimesNewRoman" w:hAnsi="Times New Roman" w:cs="Times New Roman"/>
          <w:sz w:val="28"/>
          <w:szCs w:val="28"/>
          <w:lang w:val="uk-UA"/>
        </w:rPr>
      </w:pPr>
      <w:r w:rsidRPr="002E6ECA">
        <w:rPr>
          <w:rFonts w:ascii="Times New Roman" w:hAnsi="Times New Roman" w:cs="Times New Roman"/>
          <w:sz w:val="28"/>
          <w:szCs w:val="28"/>
          <w:lang w:val="uk-UA"/>
        </w:rPr>
        <w:t xml:space="preserve">Іншими великими напрямками досліджень шкільної адаптації є медичні аспекти. Визначено, що виникненню дезадаптивних станів у дітей сприяють  погіршення стану їх здоров'я, затримка морфофункционального розвитку, функціональна незрілість сенсомоторної і моторної функцій, емоційне неблагополуччя дітей 6-7 років. Також велика частка публікацій у контексті вивчення значущості медичної складової шкільної адаптації дітей молодшого шкільного віку присвячена вивченню їх фізичного розвитку, </w:t>
      </w:r>
      <w:r w:rsidRPr="002E6ECA">
        <w:rPr>
          <w:rFonts w:ascii="Times New Roman" w:eastAsia="TimesNewRoman" w:hAnsi="Times New Roman" w:cs="Times New Roman"/>
          <w:sz w:val="28"/>
          <w:szCs w:val="28"/>
          <w:lang w:val="uk-UA"/>
        </w:rPr>
        <w:t>функціональних можливостей адаптаційних систем і функціональних резервів організму учнів перших класів у процесі їх навчання (оцінка вегетативного статусу</w:t>
      </w:r>
      <w:r w:rsidRPr="002E6ECA">
        <w:rPr>
          <w:rFonts w:ascii="Times New Roman" w:hAnsi="Times New Roman" w:cs="Times New Roman"/>
          <w:sz w:val="28"/>
          <w:szCs w:val="28"/>
          <w:lang w:val="uk-UA"/>
        </w:rPr>
        <w:t xml:space="preserve"> за показниками варіабельності серцевого ритму, аналіз захворюваності, оцінка фізичного розвитку та інші</w:t>
      </w:r>
      <w:r w:rsidRPr="002E6ECA">
        <w:rPr>
          <w:rFonts w:ascii="Times New Roman" w:eastAsia="TimesNewRoman" w:hAnsi="Times New Roman" w:cs="Times New Roman"/>
          <w:sz w:val="28"/>
          <w:szCs w:val="28"/>
          <w:lang w:val="uk-UA"/>
        </w:rPr>
        <w:t>) [</w:t>
      </w:r>
      <w:r w:rsidR="00FE4BC5" w:rsidRPr="002E6ECA">
        <w:rPr>
          <w:rFonts w:ascii="Times New Roman" w:eastAsia="TimesNewRoman" w:hAnsi="Times New Roman" w:cs="Times New Roman"/>
          <w:sz w:val="28"/>
          <w:szCs w:val="28"/>
          <w:lang w:val="uk-UA"/>
        </w:rPr>
        <w:t xml:space="preserve">31, 78, 114, 132, 140, 191, </w:t>
      </w:r>
      <w:r w:rsidR="00FE4BC5" w:rsidRPr="002E6ECA">
        <w:rPr>
          <w:rFonts w:ascii="Times New Roman" w:hAnsi="Times New Roman" w:cs="Times New Roman"/>
          <w:sz w:val="28"/>
          <w:szCs w:val="28"/>
          <w:lang w:val="uk-UA"/>
        </w:rPr>
        <w:t>195, 201, 211</w:t>
      </w:r>
      <w:r w:rsidRPr="002E6ECA">
        <w:rPr>
          <w:rFonts w:ascii="Times New Roman" w:eastAsia="TimesNewRoman" w:hAnsi="Times New Roman" w:cs="Times New Roman"/>
          <w:sz w:val="28"/>
          <w:szCs w:val="28"/>
          <w:lang w:val="uk-UA"/>
        </w:rPr>
        <w:t>].</w:t>
      </w:r>
    </w:p>
    <w:p w:rsidR="00E33723" w:rsidRPr="002E6ECA" w:rsidRDefault="00E33723" w:rsidP="00E33723">
      <w:pPr>
        <w:autoSpaceDE w:val="0"/>
        <w:autoSpaceDN w:val="0"/>
        <w:adjustRightInd w:val="0"/>
        <w:spacing w:line="360" w:lineRule="auto"/>
        <w:ind w:firstLine="709"/>
        <w:jc w:val="both"/>
        <w:rPr>
          <w:sz w:val="28"/>
          <w:szCs w:val="28"/>
          <w:lang w:val="uk-UA"/>
        </w:rPr>
      </w:pPr>
      <w:r w:rsidRPr="002E6ECA">
        <w:rPr>
          <w:sz w:val="28"/>
          <w:szCs w:val="28"/>
          <w:lang w:val="uk-UA"/>
        </w:rPr>
        <w:t>Результати багаточисельних досліджень свідчать про тенденції до погіршення стану здоров’я школярів початкових класів упродовж навчального року, високий ризик зриву процесів адаптації та необхідність розробки і впровадження профілактичних оздоровчих заходів, які можуть бути застосовані у шкільних умовах з метою зменшення проявів шкільної дезадаптації [</w:t>
      </w:r>
      <w:r w:rsidR="00FE4BC5" w:rsidRPr="002E6ECA">
        <w:rPr>
          <w:sz w:val="28"/>
          <w:szCs w:val="28"/>
          <w:lang w:val="uk-UA"/>
        </w:rPr>
        <w:t>31, 52, 125, 191, 274</w:t>
      </w:r>
      <w:r w:rsidRPr="002E6ECA">
        <w:rPr>
          <w:sz w:val="28"/>
          <w:szCs w:val="28"/>
          <w:lang w:val="uk-UA"/>
        </w:rPr>
        <w:t>].</w:t>
      </w:r>
    </w:p>
    <w:p w:rsidR="00E33723" w:rsidRPr="002E6ECA" w:rsidRDefault="00E33723" w:rsidP="00E33723">
      <w:pPr>
        <w:autoSpaceDE w:val="0"/>
        <w:autoSpaceDN w:val="0"/>
        <w:adjustRightInd w:val="0"/>
        <w:spacing w:line="360" w:lineRule="auto"/>
        <w:ind w:firstLine="709"/>
        <w:jc w:val="both"/>
        <w:rPr>
          <w:sz w:val="28"/>
          <w:szCs w:val="28"/>
          <w:lang w:val="uk-UA"/>
        </w:rPr>
      </w:pPr>
      <w:r w:rsidRPr="002E6ECA">
        <w:rPr>
          <w:sz w:val="28"/>
          <w:szCs w:val="28"/>
          <w:lang w:val="uk-UA"/>
        </w:rPr>
        <w:lastRenderedPageBreak/>
        <w:t>Таким чином перехід учнів до навчання у базовій школі супроводжується певним «тягарем» патологічних та дезадаптивних станів.</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Не менш важливою проблемою є питання адаптації дітей різного віку в умовах навчання за інноваційними проектами. Проведено порівняльний аналіз вегетативних і нейродинамічних показників молодших і старших підлітків з освітніх закладів з різною інтенсивністю навчального процесу. Показано, що особливості адаптації підлітків до навчання і факторам освітнього середовища характеризуються напругою у тих навчальних закладах,  де спостерігалась  інтенсифікація навчального процесу [</w:t>
      </w:r>
      <w:r w:rsidR="00FE4BC5" w:rsidRPr="002E6ECA">
        <w:rPr>
          <w:rFonts w:ascii="Times New Roman" w:hAnsi="Times New Roman" w:cs="Times New Roman"/>
          <w:sz w:val="28"/>
          <w:szCs w:val="28"/>
          <w:lang w:val="uk-UA"/>
        </w:rPr>
        <w:t>26, 125, 242</w:t>
      </w:r>
      <w:r w:rsidRPr="002E6ECA">
        <w:rPr>
          <w:rFonts w:ascii="Times New Roman" w:hAnsi="Times New Roman" w:cs="Times New Roman"/>
          <w:sz w:val="28"/>
          <w:szCs w:val="28"/>
          <w:lang w:val="uk-UA"/>
        </w:rPr>
        <w:t>].</w:t>
      </w:r>
    </w:p>
    <w:p w:rsidR="00E33723" w:rsidRPr="002E6ECA" w:rsidRDefault="00E33723" w:rsidP="00E33723">
      <w:pPr>
        <w:autoSpaceDE w:val="0"/>
        <w:autoSpaceDN w:val="0"/>
        <w:adjustRightInd w:val="0"/>
        <w:spacing w:line="360" w:lineRule="auto"/>
        <w:ind w:firstLine="709"/>
        <w:jc w:val="both"/>
        <w:rPr>
          <w:rFonts w:eastAsia="TimesNewRomanPSMT"/>
          <w:sz w:val="28"/>
          <w:szCs w:val="28"/>
          <w:lang w:val="en-US"/>
        </w:rPr>
      </w:pPr>
      <w:r w:rsidRPr="002E6ECA">
        <w:rPr>
          <w:sz w:val="28"/>
          <w:szCs w:val="28"/>
          <w:lang w:val="uk-UA"/>
        </w:rPr>
        <w:t>Інтерес дослідників викликають проблеми шкільної адаптації у учнівської молоді: школярів середнього і старшого шкільного віку, студентів. Профілактика дезадаптації у школярів у кризові періоди, до яких належать перехід до основної школи,</w:t>
      </w:r>
      <w:r w:rsidRPr="002E6ECA">
        <w:rPr>
          <w:iCs/>
          <w:sz w:val="28"/>
          <w:szCs w:val="28"/>
          <w:lang w:val="uk-UA"/>
        </w:rPr>
        <w:t xml:space="preserve"> фізіологічна перебудова організму,</w:t>
      </w:r>
      <w:r w:rsidRPr="002E6ECA">
        <w:rPr>
          <w:sz w:val="28"/>
          <w:szCs w:val="28"/>
          <w:lang w:val="uk-UA"/>
        </w:rPr>
        <w:t xml:space="preserve"> є одним з напрямків медико-психолого-педагогічного супроводу навчально-виховного процесу. Авторами в</w:t>
      </w:r>
      <w:r w:rsidRPr="002E6ECA">
        <w:rPr>
          <w:iCs/>
          <w:sz w:val="28"/>
          <w:szCs w:val="28"/>
          <w:lang w:val="uk-UA"/>
        </w:rPr>
        <w:t>изначені</w:t>
      </w:r>
      <w:r w:rsidRPr="002E6ECA">
        <w:rPr>
          <w:sz w:val="28"/>
          <w:szCs w:val="28"/>
          <w:lang w:val="uk-UA"/>
        </w:rPr>
        <w:t xml:space="preserve"> особливості перебігу процесів психофізіологічної та психічної адаптації учнів шкільного віку, проведено їх моніторинг. </w:t>
      </w:r>
      <w:r w:rsidRPr="002E6ECA">
        <w:rPr>
          <w:rFonts w:eastAsia="TimesNewRomanPSMT"/>
          <w:bCs/>
          <w:sz w:val="28"/>
          <w:szCs w:val="28"/>
          <w:lang w:val="uk-UA"/>
        </w:rPr>
        <w:t xml:space="preserve">Доведено, що </w:t>
      </w:r>
      <w:r w:rsidRPr="002E6ECA">
        <w:rPr>
          <w:rFonts w:eastAsia="TimesNewRomanPSMT"/>
          <w:sz w:val="28"/>
          <w:szCs w:val="28"/>
          <w:lang w:val="uk-UA"/>
        </w:rPr>
        <w:t xml:space="preserve">здійснення комплексної фізіолого-гігієнічної та клінічної оцінки стану здоров'я учнів шкільного віку, визначення медико-соціальних факторів впливу на шкільну адаптацію становить одну з найважливіших проблем сучасної профілактичної медицини </w:t>
      </w:r>
      <w:r w:rsidRPr="002E6ECA">
        <w:rPr>
          <w:sz w:val="28"/>
          <w:szCs w:val="28"/>
          <w:lang w:val="uk-UA"/>
        </w:rPr>
        <w:t>[</w:t>
      </w:r>
      <w:r w:rsidR="00FE4BC5" w:rsidRPr="002E6ECA">
        <w:rPr>
          <w:sz w:val="28"/>
          <w:szCs w:val="28"/>
          <w:lang w:val="uk-UA"/>
        </w:rPr>
        <w:t xml:space="preserve">132, </w:t>
      </w:r>
      <w:r w:rsidR="000657BF" w:rsidRPr="002E6ECA">
        <w:rPr>
          <w:sz w:val="28"/>
          <w:szCs w:val="28"/>
          <w:lang w:val="uk-UA"/>
        </w:rPr>
        <w:t xml:space="preserve">187, 199, </w:t>
      </w:r>
      <w:r w:rsidR="00FE4BC5" w:rsidRPr="002E6ECA">
        <w:rPr>
          <w:sz w:val="28"/>
          <w:szCs w:val="28"/>
          <w:lang w:val="uk-UA"/>
        </w:rPr>
        <w:t xml:space="preserve">209, 214, </w:t>
      </w:r>
      <w:r w:rsidR="00FE4BC5" w:rsidRPr="002E6ECA">
        <w:rPr>
          <w:bCs/>
          <w:sz w:val="28"/>
          <w:szCs w:val="28"/>
          <w:lang w:val="uk-UA"/>
        </w:rPr>
        <w:t>253</w:t>
      </w:r>
      <w:r w:rsidRPr="002E6ECA">
        <w:rPr>
          <w:sz w:val="28"/>
          <w:szCs w:val="28"/>
          <w:lang w:val="uk-UA"/>
        </w:rPr>
        <w:t>].</w:t>
      </w:r>
      <w:r w:rsidR="00FE4BC5" w:rsidRPr="002E6ECA">
        <w:rPr>
          <w:sz w:val="28"/>
          <w:szCs w:val="28"/>
          <w:lang w:val="en-US"/>
        </w:rPr>
        <w:t xml:space="preserve"> </w:t>
      </w:r>
    </w:p>
    <w:p w:rsidR="00E33723" w:rsidRPr="002E6ECA" w:rsidRDefault="00E33723" w:rsidP="00E33723">
      <w:pPr>
        <w:pStyle w:val="HTML"/>
        <w:spacing w:line="360" w:lineRule="auto"/>
        <w:ind w:firstLine="709"/>
        <w:jc w:val="both"/>
        <w:rPr>
          <w:rFonts w:ascii="Times New Roman" w:eastAsia="ArialMT" w:hAnsi="Times New Roman" w:cs="Times New Roman"/>
          <w:sz w:val="28"/>
          <w:szCs w:val="28"/>
          <w:lang w:val="uk-UA"/>
        </w:rPr>
      </w:pPr>
      <w:r w:rsidRPr="002E6ECA">
        <w:rPr>
          <w:rFonts w:ascii="Times New Roman" w:eastAsia="TimesNewRomanPSMT" w:hAnsi="Times New Roman" w:cs="Times New Roman"/>
          <w:sz w:val="28"/>
          <w:szCs w:val="28"/>
          <w:lang w:val="uk-UA"/>
        </w:rPr>
        <w:t>Крім того, пропонуються різні авторські методики</w:t>
      </w:r>
      <w:r w:rsidRPr="002E6ECA">
        <w:rPr>
          <w:rFonts w:ascii="Times New Roman" w:hAnsi="Times New Roman" w:cs="Times New Roman"/>
          <w:sz w:val="28"/>
          <w:szCs w:val="28"/>
          <w:lang w:val="uk-UA"/>
        </w:rPr>
        <w:t xml:space="preserve"> </w:t>
      </w:r>
      <w:r w:rsidRPr="002E6ECA">
        <w:rPr>
          <w:rFonts w:ascii="Times New Roman" w:eastAsia="TimesNewRomanPSMT" w:hAnsi="Times New Roman" w:cs="Times New Roman"/>
          <w:sz w:val="28"/>
          <w:szCs w:val="28"/>
          <w:lang w:val="uk-UA"/>
        </w:rPr>
        <w:t xml:space="preserve">визначення якості адаптації, для чого рекомендується використовувати </w:t>
      </w:r>
      <w:r w:rsidRPr="002E6ECA">
        <w:rPr>
          <w:rFonts w:ascii="Times New Roman" w:eastAsia="ArialMT" w:hAnsi="Times New Roman" w:cs="Times New Roman"/>
          <w:sz w:val="28"/>
          <w:szCs w:val="28"/>
          <w:lang w:val="uk-UA"/>
        </w:rPr>
        <w:t>психогігієнічні  критерії,</w:t>
      </w:r>
      <w:r w:rsidRPr="002E6ECA">
        <w:rPr>
          <w:rFonts w:ascii="Times New Roman" w:eastAsia="TimesNewRomanPSMT" w:hAnsi="Times New Roman" w:cs="Times New Roman"/>
          <w:sz w:val="28"/>
          <w:szCs w:val="28"/>
          <w:lang w:val="uk-UA"/>
        </w:rPr>
        <w:t xml:space="preserve"> шкали вагових діагностичних/прогностичних критеріїв як </w:t>
      </w:r>
      <w:r w:rsidRPr="002E6ECA">
        <w:rPr>
          <w:rFonts w:ascii="Times New Roman" w:eastAsia="ArialMT" w:hAnsi="Times New Roman" w:cs="Times New Roman"/>
          <w:sz w:val="28"/>
          <w:szCs w:val="28"/>
          <w:lang w:val="uk-UA"/>
        </w:rPr>
        <w:t>способи оцінки рівня шкільної адаптації дітей [</w:t>
      </w:r>
      <w:r w:rsidR="00FE4BC5" w:rsidRPr="002E6ECA">
        <w:rPr>
          <w:rFonts w:ascii="Times New Roman" w:eastAsia="ArialMT" w:hAnsi="Times New Roman" w:cs="Times New Roman"/>
          <w:sz w:val="28"/>
          <w:szCs w:val="28"/>
          <w:lang w:val="uk-UA"/>
        </w:rPr>
        <w:t xml:space="preserve">161, </w:t>
      </w:r>
      <w:r w:rsidR="00FE4BC5" w:rsidRPr="002E6ECA">
        <w:rPr>
          <w:rFonts w:ascii="Times New Roman" w:hAnsi="Times New Roman" w:cs="Times New Roman"/>
          <w:sz w:val="28"/>
          <w:szCs w:val="28"/>
          <w:lang w:val="uk-UA"/>
        </w:rPr>
        <w:t>236, 237</w:t>
      </w:r>
      <w:r w:rsidRPr="002E6ECA">
        <w:rPr>
          <w:rFonts w:ascii="Times New Roman" w:eastAsia="ArialMT" w:hAnsi="Times New Roman" w:cs="Times New Roman"/>
          <w:sz w:val="28"/>
          <w:szCs w:val="28"/>
          <w:lang w:val="uk-UA"/>
        </w:rPr>
        <w:t>].</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eastAsia="ArialMT" w:hAnsi="Times New Roman" w:cs="Times New Roman"/>
          <w:sz w:val="28"/>
          <w:szCs w:val="28"/>
          <w:lang w:val="uk-UA"/>
        </w:rPr>
        <w:t>Таким чином, узагальнення результатів наукових досліджень з проблем шкільної адаптації свідчать про наступне</w:t>
      </w:r>
      <w:r w:rsidRPr="002E6ECA">
        <w:rPr>
          <w:rFonts w:ascii="Times New Roman" w:hAnsi="Times New Roman" w:cs="Times New Roman"/>
          <w:sz w:val="28"/>
          <w:szCs w:val="28"/>
          <w:lang w:val="uk-UA"/>
        </w:rPr>
        <w:t>:</w:t>
      </w:r>
    </w:p>
    <w:p w:rsidR="00E33723" w:rsidRPr="002E6ECA" w:rsidRDefault="00E33723" w:rsidP="00EC41AF">
      <w:pPr>
        <w:pStyle w:val="HTML"/>
        <w:numPr>
          <w:ilvl w:val="0"/>
          <w:numId w:val="47"/>
        </w:numPr>
        <w:tabs>
          <w:tab w:val="clear" w:pos="916"/>
          <w:tab w:val="left" w:pos="993"/>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переважна кількість наукових робіт присвячено адаптації до навчання саме першокласників, її успішність залежить від дотримання гігієнічних вимог до організації освітнього середовища, рівня психологічної готовності до </w:t>
      </w:r>
      <w:r w:rsidRPr="002E6ECA">
        <w:rPr>
          <w:rFonts w:ascii="Times New Roman" w:hAnsi="Times New Roman" w:cs="Times New Roman"/>
          <w:sz w:val="28"/>
          <w:szCs w:val="28"/>
          <w:lang w:val="uk-UA"/>
        </w:rPr>
        <w:lastRenderedPageBreak/>
        <w:t>навчання, індивідуальних особливостей, родинних стосунків, відносин з вчителями і однокласниками;</w:t>
      </w:r>
    </w:p>
    <w:p w:rsidR="00E33723" w:rsidRPr="002E6ECA" w:rsidRDefault="00E33723" w:rsidP="00EC41AF">
      <w:pPr>
        <w:pStyle w:val="HTML"/>
        <w:numPr>
          <w:ilvl w:val="0"/>
          <w:numId w:val="47"/>
        </w:numPr>
        <w:tabs>
          <w:tab w:val="clear" w:pos="916"/>
          <w:tab w:val="left" w:pos="993"/>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необхідно подальше вивчення чинників ризику формування шкільної адаптації у дітей шкільного віку у різні вікові період з урахуванням гендерних відмінностей та інтенсивності навчального процесу. Важливим є наукове обґрунтування і розробка пропозицій щодо організації медико-педагогічного супроводу адаптації учнів з впровадженням здоров'язберігаючих технологій, починаючи з першого року навчання і впродовж всього періоду перебування у школі.</w:t>
      </w:r>
    </w:p>
    <w:p w:rsidR="00E33723" w:rsidRPr="002E6ECA" w:rsidRDefault="00E33723" w:rsidP="00E33723">
      <w:pPr>
        <w:pStyle w:val="a3"/>
        <w:shd w:val="clear" w:color="auto" w:fill="FFFFFF"/>
        <w:spacing w:line="360" w:lineRule="auto"/>
        <w:ind w:firstLine="709"/>
        <w:rPr>
          <w:sz w:val="28"/>
          <w:szCs w:val="28"/>
          <w:lang w:val="uk-UA"/>
        </w:rPr>
      </w:pPr>
    </w:p>
    <w:p w:rsidR="00E33723" w:rsidRPr="002E6ECA" w:rsidRDefault="00E33723" w:rsidP="00E33723">
      <w:pPr>
        <w:pStyle w:val="a3"/>
        <w:numPr>
          <w:ilvl w:val="1"/>
          <w:numId w:val="1"/>
        </w:numPr>
        <w:spacing w:line="360" w:lineRule="auto"/>
        <w:ind w:left="0" w:firstLine="709"/>
        <w:jc w:val="both"/>
        <w:rPr>
          <w:b/>
          <w:sz w:val="28"/>
          <w:szCs w:val="28"/>
          <w:lang w:val="uk-UA"/>
        </w:rPr>
      </w:pPr>
      <w:r w:rsidRPr="002E6ECA">
        <w:rPr>
          <w:b/>
          <w:sz w:val="28"/>
          <w:szCs w:val="28"/>
          <w:lang w:val="uk-UA"/>
        </w:rPr>
        <w:t>Вплив сучасних освітніх технологій на стан здоров’я школярів</w:t>
      </w:r>
    </w:p>
    <w:p w:rsidR="00E33723" w:rsidRPr="002E6ECA" w:rsidRDefault="00E33723" w:rsidP="00E33723">
      <w:pPr>
        <w:spacing w:line="360" w:lineRule="auto"/>
        <w:ind w:firstLine="709"/>
        <w:jc w:val="both"/>
        <w:outlineLvl w:val="0"/>
        <w:rPr>
          <w:sz w:val="28"/>
          <w:szCs w:val="28"/>
          <w:lang w:val="uk-UA"/>
        </w:rPr>
      </w:pPr>
      <w:r w:rsidRPr="002E6ECA">
        <w:rPr>
          <w:sz w:val="28"/>
          <w:szCs w:val="28"/>
          <w:lang w:val="uk-UA"/>
        </w:rPr>
        <w:t>Формування безпечного для життя і здоров’я освітнього середовища сприятиме кращій реалізації інтелектуального, фізичного, соціального та емоційного розвитку учнів, їх потенціалу, а також матиме позитивний вплив на стан громадського здоров’я, економіки та демографії в цілому в Україні</w:t>
      </w:r>
      <w:r w:rsidR="008F57AC" w:rsidRPr="002E6ECA">
        <w:rPr>
          <w:sz w:val="28"/>
          <w:szCs w:val="28"/>
          <w:lang w:val="uk-UA"/>
        </w:rPr>
        <w:t xml:space="preserve"> [</w:t>
      </w:r>
      <w:r w:rsidR="00FE4BC5" w:rsidRPr="002E6ECA">
        <w:rPr>
          <w:sz w:val="28"/>
          <w:szCs w:val="28"/>
          <w:lang w:val="en-US"/>
        </w:rPr>
        <w:t>247</w:t>
      </w:r>
      <w:r w:rsidR="008F57AC" w:rsidRPr="002E6ECA">
        <w:rPr>
          <w:sz w:val="28"/>
          <w:szCs w:val="28"/>
          <w:lang w:val="uk-UA"/>
        </w:rPr>
        <w:t>]</w:t>
      </w:r>
      <w:r w:rsidRPr="002E6ECA">
        <w:rPr>
          <w:sz w:val="28"/>
          <w:szCs w:val="28"/>
          <w:lang w:val="uk-UA"/>
        </w:rPr>
        <w:t xml:space="preserve">. </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Проблема збереження здоров’я школярів широко обговорюються на європейських і світових форумах. Актуальними питаннями визначені такі загальні проблеми для усіх країн європейського регіону, як: низька ефективність фізичного виховання в закладах освіти, погіршення психічного здоров’я учнів, недостатня підготовленість медичних і педагогічних кадрів з питань здоров’язберігаючих технологій. Дослідження щодо впливу навчального процесу на здоров’я школярів проводяться науковцями в країнах ближнього та дальнього зарубіжжя.</w:t>
      </w:r>
      <w:r w:rsidRPr="002E6ECA">
        <w:rPr>
          <w:sz w:val="28"/>
          <w:szCs w:val="28"/>
          <w:lang w:val="uk-UA"/>
        </w:rPr>
        <w:t xml:space="preserve"> </w:t>
      </w:r>
      <w:r w:rsidRPr="002E6ECA">
        <w:rPr>
          <w:rFonts w:ascii="Times New Roman" w:hAnsi="Times New Roman" w:cs="Times New Roman"/>
          <w:sz w:val="28"/>
          <w:szCs w:val="28"/>
          <w:lang w:val="uk-UA"/>
        </w:rPr>
        <w:t>Їх результати свідчать про значну роль організації навчально-виховного процесу у формуванні здоров’я школярів [</w:t>
      </w:r>
      <w:r w:rsidR="00FE4BC5" w:rsidRPr="002E6ECA">
        <w:rPr>
          <w:rFonts w:ascii="Times New Roman" w:hAnsi="Times New Roman" w:cs="Times New Roman"/>
          <w:sz w:val="28"/>
          <w:szCs w:val="28"/>
          <w:lang w:val="uk-UA"/>
        </w:rPr>
        <w:t xml:space="preserve">11, </w:t>
      </w:r>
      <w:r w:rsidR="00FE4BC5" w:rsidRPr="002E6ECA">
        <w:rPr>
          <w:rFonts w:ascii="Times New Roman" w:hAnsi="Times New Roman" w:cs="Times New Roman"/>
          <w:sz w:val="28"/>
          <w:szCs w:val="28"/>
        </w:rPr>
        <w:t>44, 48, 88, 91, 103, 141, 160, 168, 176, 255, 263</w:t>
      </w:r>
      <w:r w:rsidRPr="002E6ECA">
        <w:rPr>
          <w:rFonts w:ascii="Times New Roman" w:hAnsi="Times New Roman" w:cs="Times New Roman"/>
          <w:sz w:val="28"/>
          <w:szCs w:val="28"/>
          <w:lang w:val="uk-UA"/>
        </w:rPr>
        <w:t>].</w:t>
      </w:r>
      <w:r w:rsidRPr="002E6ECA">
        <w:rPr>
          <w:sz w:val="28"/>
          <w:szCs w:val="28"/>
          <w:lang w:val="uk-UA"/>
        </w:rPr>
        <w:t xml:space="preserve"> </w:t>
      </w:r>
    </w:p>
    <w:p w:rsidR="00E33723" w:rsidRPr="002E6ECA" w:rsidRDefault="00E33723" w:rsidP="00E33723">
      <w:pPr>
        <w:pStyle w:val="a5"/>
        <w:spacing w:before="0" w:beforeAutospacing="0" w:after="0" w:afterAutospacing="0" w:line="360" w:lineRule="auto"/>
        <w:ind w:firstLine="709"/>
        <w:jc w:val="both"/>
        <w:rPr>
          <w:sz w:val="28"/>
          <w:szCs w:val="28"/>
          <w:lang w:val="uk-UA"/>
        </w:rPr>
      </w:pPr>
      <w:r w:rsidRPr="002E6ECA">
        <w:rPr>
          <w:sz w:val="28"/>
          <w:szCs w:val="28"/>
          <w:lang w:val="uk-UA"/>
        </w:rPr>
        <w:t xml:space="preserve">Під «шкільними» факторами ризику, що мають місце в закладах освіти і призводять до погіршення здоров'я дітей і підлітків у період навчання, розуміють стресову тактику педагогічних впливів, невідповідність технологій і методик навчання віковим і функціональним можливостям дітей, інтенсифікацію навчального процесу, неосвіченість батьків з питань охорони та </w:t>
      </w:r>
      <w:r w:rsidRPr="002E6ECA">
        <w:rPr>
          <w:sz w:val="28"/>
          <w:szCs w:val="28"/>
          <w:lang w:val="uk-UA"/>
        </w:rPr>
        <w:lastRenderedPageBreak/>
        <w:t>зміцнення здоров’я дітей, невідповідність умов навчання санітарно-гігієнічним вимогам; зниження рівня медичного контролю за здоров’ям учнів [2</w:t>
      </w:r>
      <w:r w:rsidR="00FE4BC5" w:rsidRPr="002E6ECA">
        <w:rPr>
          <w:sz w:val="28"/>
          <w:szCs w:val="28"/>
        </w:rPr>
        <w:t>9</w:t>
      </w:r>
      <w:r w:rsidR="00427FED" w:rsidRPr="002E6ECA">
        <w:rPr>
          <w:sz w:val="28"/>
          <w:szCs w:val="28"/>
          <w:lang w:val="uk-UA"/>
        </w:rPr>
        <w:t>, 4</w:t>
      </w:r>
      <w:r w:rsidR="00FE4BC5" w:rsidRPr="002E6ECA">
        <w:rPr>
          <w:sz w:val="28"/>
          <w:szCs w:val="28"/>
        </w:rPr>
        <w:t>4</w:t>
      </w:r>
      <w:r w:rsidR="00427FED" w:rsidRPr="002E6ECA">
        <w:rPr>
          <w:sz w:val="28"/>
          <w:szCs w:val="28"/>
          <w:lang w:val="uk-UA"/>
        </w:rPr>
        <w:t xml:space="preserve">, </w:t>
      </w:r>
      <w:r w:rsidR="00FE4BC5" w:rsidRPr="002E6ECA">
        <w:rPr>
          <w:sz w:val="28"/>
          <w:szCs w:val="28"/>
        </w:rPr>
        <w:t>86</w:t>
      </w:r>
      <w:r w:rsidR="00427FED" w:rsidRPr="002E6ECA">
        <w:rPr>
          <w:sz w:val="28"/>
          <w:szCs w:val="28"/>
          <w:lang w:val="uk-UA"/>
        </w:rPr>
        <w:t xml:space="preserve">,  </w:t>
      </w:r>
      <w:r w:rsidR="00FE4BC5" w:rsidRPr="002E6ECA">
        <w:rPr>
          <w:sz w:val="28"/>
          <w:szCs w:val="28"/>
        </w:rPr>
        <w:t>99</w:t>
      </w:r>
      <w:r w:rsidR="00427FED" w:rsidRPr="002E6ECA">
        <w:rPr>
          <w:sz w:val="28"/>
          <w:szCs w:val="28"/>
          <w:lang w:val="uk-UA"/>
        </w:rPr>
        <w:t xml:space="preserve">, </w:t>
      </w:r>
      <w:r w:rsidR="00FE4BC5" w:rsidRPr="002E6ECA">
        <w:rPr>
          <w:sz w:val="28"/>
          <w:szCs w:val="28"/>
        </w:rPr>
        <w:t>176</w:t>
      </w:r>
      <w:r w:rsidRPr="002E6ECA">
        <w:rPr>
          <w:sz w:val="28"/>
          <w:szCs w:val="28"/>
          <w:lang w:val="uk-UA"/>
        </w:rPr>
        <w:t xml:space="preserve">]. </w:t>
      </w:r>
    </w:p>
    <w:p w:rsidR="00E33723" w:rsidRPr="002E6ECA" w:rsidRDefault="00E33723" w:rsidP="00E33723">
      <w:pPr>
        <w:spacing w:line="360" w:lineRule="auto"/>
        <w:ind w:firstLine="709"/>
        <w:jc w:val="both"/>
        <w:rPr>
          <w:sz w:val="28"/>
          <w:szCs w:val="28"/>
          <w:lang w:val="uk-UA"/>
        </w:rPr>
      </w:pPr>
      <w:r w:rsidRPr="002E6ECA">
        <w:rPr>
          <w:sz w:val="28"/>
          <w:szCs w:val="28"/>
          <w:lang w:val="uk-UA"/>
        </w:rPr>
        <w:t>Причини зростання захворюваності школярів пов’язують і з такими чинниками навчальної діяльності, які призводять до перенапруження нервової системи і недостатньої рухової активності. На стані здоров’я учнів також позначаються невідповідність нових шкільних програм фізіологічним і психологічним особливостям їхнього розвитку, здорового дозвілля, правильного харчування. Окрім того, у багатьох навчальних закладах недостатньо впроваджується система здоров’язбереження школярів [</w:t>
      </w:r>
      <w:r w:rsidR="00FE4BC5" w:rsidRPr="002E6ECA">
        <w:rPr>
          <w:sz w:val="28"/>
          <w:szCs w:val="28"/>
          <w:lang w:val="en-US"/>
        </w:rPr>
        <w:t>103</w:t>
      </w:r>
      <w:r w:rsidR="00427FED" w:rsidRPr="002E6ECA">
        <w:rPr>
          <w:sz w:val="28"/>
          <w:szCs w:val="28"/>
          <w:lang w:val="uk-UA"/>
        </w:rPr>
        <w:t>, 1</w:t>
      </w:r>
      <w:r w:rsidR="00FE4BC5" w:rsidRPr="002E6ECA">
        <w:rPr>
          <w:sz w:val="28"/>
          <w:szCs w:val="28"/>
          <w:lang w:val="en-US"/>
        </w:rPr>
        <w:t>68</w:t>
      </w:r>
      <w:r w:rsidR="00427FED" w:rsidRPr="002E6ECA">
        <w:rPr>
          <w:sz w:val="28"/>
          <w:szCs w:val="28"/>
          <w:lang w:val="uk-UA"/>
        </w:rPr>
        <w:t xml:space="preserve">, </w:t>
      </w:r>
      <w:r w:rsidR="00FE4BC5" w:rsidRPr="002E6ECA">
        <w:rPr>
          <w:sz w:val="28"/>
          <w:szCs w:val="28"/>
          <w:lang w:val="en-US"/>
        </w:rPr>
        <w:t>205</w:t>
      </w:r>
      <w:r w:rsidRPr="002E6ECA">
        <w:rPr>
          <w:sz w:val="28"/>
          <w:szCs w:val="28"/>
          <w:lang w:val="uk-UA"/>
        </w:rPr>
        <w:t xml:space="preserve">]. </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Дослідження вітчизняних та іноземних гігієністів, психологів,  фізіологів показали, що ситуації, коли можливості функціональних систем організму учнівській молоді (дітей і підлітків шкільного віку, студентів) не відповідають вимогам навчання, це не тільки призводить до зниження успішності, але сприяє виникненню функціональних розладів, що в подальшому формують хронічні соматичні захворювання. Результати цих наукових пошуків  дали змогу обґрунтувати гігієнічні принципи збереження здоров’я учнів в умовах використання педагогічних технологій та освітніх інновацій [</w:t>
      </w:r>
      <w:r w:rsidR="00D206A0" w:rsidRPr="002E6ECA">
        <w:rPr>
          <w:rFonts w:ascii="Times New Roman" w:hAnsi="Times New Roman" w:cs="Times New Roman"/>
          <w:sz w:val="28"/>
          <w:szCs w:val="28"/>
          <w:lang w:val="uk-UA"/>
        </w:rPr>
        <w:t>82, 88, 92, 102, 210, 269</w:t>
      </w:r>
      <w:r w:rsidRPr="002E6ECA">
        <w:rPr>
          <w:rFonts w:ascii="Times New Roman" w:hAnsi="Times New Roman" w:cs="Times New Roman"/>
          <w:sz w:val="28"/>
          <w:szCs w:val="28"/>
          <w:lang w:val="uk-UA"/>
        </w:rPr>
        <w:t>]. Їх зміст полягає у фізіолого-гігієнічній регламентації навчального навантаження; моніторингу стану здоров’я школярів, і чинників внутрішньошкільного середовища. Надзвичайно важливим є використання скринінгових методик [</w:t>
      </w:r>
      <w:r w:rsidR="00D206A0" w:rsidRPr="002E6ECA">
        <w:rPr>
          <w:rFonts w:ascii="Times New Roman" w:hAnsi="Times New Roman" w:cs="Times New Roman"/>
          <w:sz w:val="28"/>
          <w:szCs w:val="28"/>
          <w:lang w:val="uk-UA"/>
        </w:rPr>
        <w:t>60, 61, 64, 181, 238</w:t>
      </w:r>
      <w:r w:rsidRPr="002E6ECA">
        <w:rPr>
          <w:rFonts w:ascii="Times New Roman" w:hAnsi="Times New Roman" w:cs="Times New Roman"/>
          <w:sz w:val="28"/>
          <w:szCs w:val="28"/>
          <w:lang w:val="uk-UA"/>
        </w:rPr>
        <w:t xml:space="preserve">].  </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Теоретичні й методологічні аспекти  здоров’язберегаючих  технології в освітньо-виховному процесі ретельно розглядаються  переважно у науковій  педагогічній періодиці з акцентом  їх використання у роботі вчителя. Крім того розроблено їх класифікацію (здоров’язберегаючі, оздоровчі, технології навчання здоров’ю, виховання культури здоров’ю) [</w:t>
      </w:r>
      <w:r w:rsidR="00D206A0" w:rsidRPr="002E6ECA">
        <w:rPr>
          <w:rFonts w:ascii="Times New Roman" w:hAnsi="Times New Roman" w:cs="Times New Roman"/>
          <w:sz w:val="28"/>
          <w:szCs w:val="28"/>
          <w:lang w:val="uk-UA"/>
        </w:rPr>
        <w:t>29</w:t>
      </w:r>
      <w:r w:rsidRPr="002E6ECA">
        <w:rPr>
          <w:rFonts w:ascii="Times New Roman" w:hAnsi="Times New Roman" w:cs="Times New Roman"/>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Важливо відзначити, що проведення багаточисельних наукових досліджень щодо вивчення стану здоров’я та динаміки його змін у дітей та </w:t>
      </w:r>
      <w:r w:rsidRPr="002E6ECA">
        <w:rPr>
          <w:sz w:val="28"/>
          <w:szCs w:val="28"/>
          <w:lang w:val="uk-UA"/>
        </w:rPr>
        <w:lastRenderedPageBreak/>
        <w:t>підлітків у період їх перебування у закладах освіти та впливу факторів оточуючого середовища на його формування дозволили  визначити поняття «здоров’я зберегаючі технології». Вони трактуються як заходи, методи, прийоми, що сприяють збереженню і зміцненню здоров’я школярів і не завдають прямої чи опосередкованої шкоди для здоров’я учнів і вчителів, забезпечують їм безпечні умови перебування, навчання і праці в навчальному закладі. Їх реалізація передбачає організацію навчання з урахуванням індивідуальних можливостей дитини, рівня його індивідуального здоров’я, психосоматичних, конституційних і соціально-духовних особливостей. Впровадження системи оздоровчих заходів зі збереження здоров’я учнівський молоді  ґрунтується на забезпеченні санітарно-гігієнічних вимог до створення оптимальних умов для  учнів і студентів. Не менш важливим є вибір оптимальних технологій і навчальних програм, що враховують стать, вік, соціальне та екологічне середовище. Особлива увага приділяється навчанню методам самооцінки та самоконтролю власного здоров’я, оптимізації соціально-гігієнічних умов життєдіяльності дітей, вихователів і педагогів [</w:t>
      </w:r>
      <w:r w:rsidR="00D206A0" w:rsidRPr="002E6ECA">
        <w:rPr>
          <w:sz w:val="28"/>
          <w:szCs w:val="28"/>
          <w:lang w:val="en-US"/>
        </w:rPr>
        <w:t>88</w:t>
      </w:r>
      <w:r w:rsidR="00B764B6" w:rsidRPr="002E6ECA">
        <w:rPr>
          <w:sz w:val="28"/>
          <w:szCs w:val="28"/>
          <w:lang w:val="uk-UA"/>
        </w:rPr>
        <w:t xml:space="preserve">, </w:t>
      </w:r>
      <w:r w:rsidR="00715EDB" w:rsidRPr="002E6ECA">
        <w:rPr>
          <w:sz w:val="28"/>
          <w:szCs w:val="28"/>
          <w:lang w:val="uk-UA"/>
        </w:rPr>
        <w:t>2</w:t>
      </w:r>
      <w:r w:rsidR="00D206A0" w:rsidRPr="002E6ECA">
        <w:rPr>
          <w:sz w:val="28"/>
          <w:szCs w:val="28"/>
          <w:lang w:val="en-US"/>
        </w:rPr>
        <w:t>47</w:t>
      </w:r>
      <w:r w:rsidR="00715EDB" w:rsidRPr="002E6ECA">
        <w:rPr>
          <w:sz w:val="28"/>
          <w:szCs w:val="28"/>
          <w:lang w:val="uk-UA"/>
        </w:rPr>
        <w:t xml:space="preserve">, </w:t>
      </w:r>
      <w:r w:rsidR="00D206A0" w:rsidRPr="002E6ECA">
        <w:rPr>
          <w:sz w:val="28"/>
          <w:szCs w:val="28"/>
          <w:lang w:val="en-US"/>
        </w:rPr>
        <w:t>422</w:t>
      </w:r>
      <w:r w:rsidRPr="002E6ECA">
        <w:rPr>
          <w:sz w:val="28"/>
          <w:szCs w:val="28"/>
          <w:lang w:val="uk-UA"/>
        </w:rPr>
        <w:t>].</w:t>
      </w:r>
    </w:p>
    <w:p w:rsidR="00E33723" w:rsidRPr="002E6ECA" w:rsidRDefault="00E33723" w:rsidP="00E33723">
      <w:pPr>
        <w:pStyle w:val="HTML"/>
        <w:spacing w:line="360" w:lineRule="auto"/>
        <w:ind w:firstLine="709"/>
        <w:jc w:val="both"/>
        <w:rPr>
          <w:rFonts w:ascii="Times New Roman" w:eastAsia="Calibri" w:hAnsi="Times New Roman" w:cs="Times New Roman"/>
          <w:sz w:val="28"/>
          <w:szCs w:val="28"/>
          <w:lang w:val="uk-UA"/>
        </w:rPr>
      </w:pPr>
      <w:r w:rsidRPr="002E6ECA">
        <w:rPr>
          <w:rFonts w:ascii="Times New Roman" w:hAnsi="Times New Roman" w:cs="Times New Roman"/>
          <w:sz w:val="28"/>
          <w:szCs w:val="28"/>
          <w:lang w:val="uk-UA"/>
        </w:rPr>
        <w:t>У чисельних науково-дослідних та дисертаційних роботах розкриті різні аспекти наукової проблеми гігієни дітей та підлітків шкільного віку, студентів за актуальними напрямками гігієнічних, психофізіологічних, психогігієнічних досліджень щодо  відповідності можливостей функціональних систем організму вимогам навчання [</w:t>
      </w:r>
      <w:r w:rsidR="00D206A0" w:rsidRPr="002E6ECA">
        <w:rPr>
          <w:rFonts w:ascii="Times New Roman" w:hAnsi="Times New Roman" w:cs="Times New Roman"/>
          <w:sz w:val="28"/>
          <w:szCs w:val="28"/>
          <w:lang w:val="uk-UA"/>
        </w:rPr>
        <w:t>142, 160, 169, 181, 205</w:t>
      </w:r>
      <w:r w:rsidRPr="002E6ECA">
        <w:rPr>
          <w:rFonts w:ascii="Times New Roman" w:hAnsi="Times New Roman" w:cs="Times New Roman"/>
          <w:sz w:val="28"/>
          <w:szCs w:val="28"/>
          <w:lang w:val="uk-UA"/>
        </w:rPr>
        <w:t>]. У їх числі вплив медико-соціальних чинників на формування здоров’я академічно здібних дітей молодшого та середнього шкільного віку, психологічні особливості дітей, що навчаються, диференційована система медико-педагогічного супроводу при різних програмах навчання [</w:t>
      </w:r>
      <w:r w:rsidR="00D206A0" w:rsidRPr="002E6ECA">
        <w:rPr>
          <w:rFonts w:ascii="Times New Roman" w:hAnsi="Times New Roman" w:cs="Times New Roman"/>
          <w:sz w:val="28"/>
          <w:szCs w:val="28"/>
          <w:lang w:val="uk-UA"/>
        </w:rPr>
        <w:t>52, 60, 104, 133, 142, 160, 183, 186, 196, 204, 205, 246, 260, 262, 266, 271, 273, 329, 337, 425, 457</w:t>
      </w:r>
      <w:r w:rsidRPr="002E6ECA">
        <w:rPr>
          <w:rFonts w:ascii="Times New Roman" w:hAnsi="Times New Roman" w:cs="Times New Roman"/>
          <w:sz w:val="28"/>
          <w:szCs w:val="28"/>
          <w:lang w:val="uk-UA"/>
        </w:rPr>
        <w:t>], удосконалення гігієнічних принципів формування здоров’язберігаючих технологій організації навчального процесу в загальноосвітніх навчальних закладах [</w:t>
      </w:r>
      <w:r w:rsidR="00D206A0" w:rsidRPr="002E6ECA">
        <w:rPr>
          <w:rFonts w:ascii="Times New Roman" w:eastAsia="Calibri" w:hAnsi="Times New Roman" w:cs="Times New Roman"/>
          <w:sz w:val="28"/>
          <w:szCs w:val="28"/>
          <w:lang w:val="uk-UA"/>
        </w:rPr>
        <w:t>12, 48,</w:t>
      </w:r>
      <w:r w:rsidR="00D206A0" w:rsidRPr="002E6ECA">
        <w:rPr>
          <w:rFonts w:ascii="Times New Roman" w:hAnsi="Times New Roman"/>
          <w:bCs/>
          <w:sz w:val="28"/>
          <w:szCs w:val="28"/>
          <w:lang w:val="uk-UA"/>
        </w:rPr>
        <w:t xml:space="preserve"> 205, 269, </w:t>
      </w:r>
      <w:r w:rsidR="00D206A0" w:rsidRPr="002E6ECA">
        <w:rPr>
          <w:rFonts w:ascii="Times New Roman" w:hAnsi="Times New Roman" w:cs="Times New Roman"/>
          <w:sz w:val="28"/>
          <w:szCs w:val="28"/>
          <w:lang w:val="uk-UA"/>
        </w:rPr>
        <w:t>93, 165</w:t>
      </w:r>
      <w:r w:rsidRPr="002E6ECA">
        <w:rPr>
          <w:rFonts w:ascii="Times New Roman" w:hAnsi="Times New Roman" w:cs="Times New Roman"/>
          <w:sz w:val="28"/>
          <w:szCs w:val="28"/>
          <w:lang w:val="uk-UA"/>
        </w:rPr>
        <w:t xml:space="preserve">], оптимізація системи профілактичних заходів та реабілітація порушень стану </w:t>
      </w:r>
      <w:r w:rsidRPr="002E6ECA">
        <w:rPr>
          <w:rFonts w:ascii="Times New Roman" w:hAnsi="Times New Roman" w:cs="Times New Roman"/>
          <w:sz w:val="28"/>
          <w:szCs w:val="28"/>
          <w:lang w:val="uk-UA"/>
        </w:rPr>
        <w:lastRenderedPageBreak/>
        <w:t>здоров’я дітей шкільного віку, гігієнічне обґрунтування принципів і критеріїв безпечного використання комп'ютерної техніки в навчанні молодших школярів, скринінгова оцінка адаптаційно-резервних можливостей дітей шкільного віку, психог</w:t>
      </w:r>
      <w:r w:rsidR="001D1E24" w:rsidRPr="002E6ECA">
        <w:rPr>
          <w:rFonts w:ascii="Times New Roman" w:hAnsi="Times New Roman" w:cs="Times New Roman"/>
          <w:sz w:val="28"/>
          <w:szCs w:val="28"/>
          <w:lang w:val="uk-UA"/>
        </w:rPr>
        <w:t>і</w:t>
      </w:r>
      <w:r w:rsidRPr="002E6ECA">
        <w:rPr>
          <w:rFonts w:ascii="Times New Roman" w:hAnsi="Times New Roman" w:cs="Times New Roman"/>
          <w:sz w:val="28"/>
          <w:szCs w:val="28"/>
          <w:lang w:val="uk-UA"/>
        </w:rPr>
        <w:t>г</w:t>
      </w:r>
      <w:r w:rsidR="001D1E24" w:rsidRPr="002E6ECA">
        <w:rPr>
          <w:rFonts w:ascii="Times New Roman" w:hAnsi="Times New Roman" w:cs="Times New Roman"/>
          <w:sz w:val="28"/>
          <w:szCs w:val="28"/>
          <w:lang w:val="uk-UA"/>
        </w:rPr>
        <w:t>і</w:t>
      </w:r>
      <w:r w:rsidRPr="002E6ECA">
        <w:rPr>
          <w:rFonts w:ascii="Times New Roman" w:hAnsi="Times New Roman" w:cs="Times New Roman"/>
          <w:sz w:val="28"/>
          <w:szCs w:val="28"/>
          <w:lang w:val="uk-UA"/>
        </w:rPr>
        <w:t>єн</w:t>
      </w:r>
      <w:r w:rsidR="001D1E24" w:rsidRPr="002E6ECA">
        <w:rPr>
          <w:rFonts w:ascii="Times New Roman" w:hAnsi="Times New Roman" w:cs="Times New Roman"/>
          <w:sz w:val="28"/>
          <w:szCs w:val="28"/>
          <w:lang w:val="uk-UA"/>
        </w:rPr>
        <w:t>і</w:t>
      </w:r>
      <w:r w:rsidRPr="002E6ECA">
        <w:rPr>
          <w:rFonts w:ascii="Times New Roman" w:hAnsi="Times New Roman" w:cs="Times New Roman"/>
          <w:sz w:val="28"/>
          <w:szCs w:val="28"/>
          <w:lang w:val="uk-UA"/>
        </w:rPr>
        <w:t>чна оцінка стану адаптації дітей з патологією опорно-рухового апарату [</w:t>
      </w:r>
      <w:r w:rsidR="00D206A0" w:rsidRPr="002E6ECA">
        <w:rPr>
          <w:rFonts w:ascii="Times New Roman" w:hAnsi="Times New Roman" w:cs="Times New Roman"/>
          <w:sz w:val="28"/>
          <w:szCs w:val="28"/>
          <w:lang w:val="uk-UA"/>
        </w:rPr>
        <w:t>6, 19, 106, 112,</w:t>
      </w:r>
      <w:r w:rsidR="00D206A0" w:rsidRPr="002E6ECA">
        <w:rPr>
          <w:rFonts w:ascii="Times New Roman" w:hAnsi="Times New Roman" w:cs="Times New Roman"/>
          <w:bCs/>
          <w:sz w:val="28"/>
          <w:szCs w:val="28"/>
          <w:lang w:val="uk-UA"/>
        </w:rPr>
        <w:t xml:space="preserve"> </w:t>
      </w:r>
      <w:r w:rsidR="00D206A0" w:rsidRPr="002E6ECA">
        <w:rPr>
          <w:rFonts w:ascii="Times New Roman" w:hAnsi="Times New Roman" w:cs="Times New Roman"/>
          <w:sz w:val="28"/>
          <w:szCs w:val="28"/>
          <w:lang w:val="uk-UA"/>
        </w:rPr>
        <w:t xml:space="preserve">165, </w:t>
      </w:r>
      <w:r w:rsidR="00D206A0" w:rsidRPr="002E6ECA">
        <w:rPr>
          <w:rFonts w:ascii="Times New Roman" w:hAnsi="Times New Roman" w:cs="Times New Roman"/>
          <w:bCs/>
          <w:sz w:val="28"/>
          <w:szCs w:val="28"/>
          <w:lang w:val="uk-UA"/>
        </w:rPr>
        <w:t>238</w:t>
      </w:r>
      <w:r w:rsidRPr="002E6ECA">
        <w:rPr>
          <w:rFonts w:ascii="Times New Roman" w:hAnsi="Times New Roman" w:cs="Times New Roman"/>
          <w:sz w:val="28"/>
          <w:szCs w:val="28"/>
          <w:lang w:val="uk-UA"/>
        </w:rPr>
        <w:t xml:space="preserve">]. </w:t>
      </w:r>
    </w:p>
    <w:p w:rsidR="00E33723" w:rsidRPr="002E6ECA" w:rsidRDefault="00E33723" w:rsidP="00E33723">
      <w:pPr>
        <w:pStyle w:val="HTML"/>
        <w:spacing w:line="360" w:lineRule="auto"/>
        <w:ind w:firstLine="709"/>
        <w:jc w:val="both"/>
        <w:rPr>
          <w:rFonts w:ascii="Times New Roman" w:hAnsi="Times New Roman" w:cs="Times New Roman"/>
          <w:spacing w:val="2"/>
          <w:sz w:val="28"/>
          <w:szCs w:val="28"/>
          <w:lang w:val="uk-UA"/>
        </w:rPr>
      </w:pPr>
      <w:r w:rsidRPr="002E6ECA">
        <w:rPr>
          <w:rFonts w:ascii="Times New Roman" w:hAnsi="Times New Roman" w:cs="Times New Roman"/>
          <w:sz w:val="28"/>
          <w:szCs w:val="28"/>
          <w:lang w:val="uk-UA"/>
        </w:rPr>
        <w:t xml:space="preserve"> </w:t>
      </w:r>
      <w:r w:rsidRPr="002E6ECA">
        <w:rPr>
          <w:rFonts w:ascii="Times New Roman" w:hAnsi="Times New Roman" w:cs="Times New Roman"/>
          <w:spacing w:val="2"/>
          <w:sz w:val="28"/>
          <w:szCs w:val="28"/>
          <w:lang w:val="uk-UA"/>
        </w:rPr>
        <w:t>Таким чином сучасна організація навчальної діяльності у різних закладах освіти не відповідає санітарно - гігієнічним вимогам до здійснення навчального процесу, психофізіологічним можливостям зростаючого організму, приводить до перевантаження та перенапруження нервової системи, виходить за межі адаптаційних і функціональних можливостей дітей та підлітків на всіх етапах їх перебування як у школі так і у виші. Тому розробка наукових, гігієнічно обґрунтованих організаційно-методичних заходів та рекомендацій щодо  попередження впливу шкільних факторів на формування здоров’я дітей та підлітків у закладах освіти є пріоритетним напрямком досліджень. Не менш важливим є розробка критеріїв оцінки ефективності впровадження у навчальних закладах здоров’язберегаючих  технологій.</w:t>
      </w:r>
    </w:p>
    <w:p w:rsidR="00E33723" w:rsidRPr="002E6ECA" w:rsidRDefault="00E33723" w:rsidP="00E33723">
      <w:pPr>
        <w:shd w:val="clear" w:color="auto" w:fill="FFFFFF"/>
        <w:spacing w:line="360" w:lineRule="auto"/>
        <w:ind w:firstLine="709"/>
        <w:jc w:val="center"/>
        <w:rPr>
          <w:sz w:val="28"/>
          <w:szCs w:val="28"/>
          <w:lang w:val="uk-UA"/>
        </w:rPr>
      </w:pPr>
    </w:p>
    <w:p w:rsidR="00E33723" w:rsidRPr="002E6ECA" w:rsidRDefault="00E33723" w:rsidP="00E33723">
      <w:pPr>
        <w:pStyle w:val="a3"/>
        <w:numPr>
          <w:ilvl w:val="1"/>
          <w:numId w:val="1"/>
        </w:numPr>
        <w:spacing w:line="360" w:lineRule="auto"/>
        <w:ind w:left="0" w:firstLine="709"/>
        <w:jc w:val="both"/>
        <w:rPr>
          <w:b/>
          <w:sz w:val="28"/>
          <w:szCs w:val="28"/>
          <w:lang w:val="uk-UA"/>
        </w:rPr>
      </w:pPr>
      <w:r w:rsidRPr="002E6ECA">
        <w:rPr>
          <w:b/>
          <w:sz w:val="28"/>
          <w:szCs w:val="28"/>
          <w:lang w:val="uk-UA"/>
        </w:rPr>
        <w:t>Медичні аспекти впровадження інноваційних навчально-педагогічних проєктів</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Соціально-економічні реформи, які сьогодні здійснюються у державі, вимагають від системи освіти створення відповідних умов для формування і виховання творчих, активних, не ординарно мислячих людей, які здатні нестандартно вирішувати поставлені завдання та виявляти нові перспективні напрямки розвитку суспільства. Тому навчальна робота, яка спрямована на підвищення активності дітей та підлітків у пізнавальній і практичній діяльності, набуває все більшого значення. З цих позицій особливу увагу привертають проблеми дитячої обдарованості, які активно досліджуються у психолого-педагогічній площині. З’ясовується сутність цього поняття, підкреслюється важливість мікросоціального оточення дитини для розвитку її потенційних </w:t>
      </w:r>
      <w:r w:rsidRPr="002E6ECA">
        <w:rPr>
          <w:sz w:val="28"/>
          <w:szCs w:val="28"/>
          <w:lang w:val="uk-UA"/>
        </w:rPr>
        <w:lastRenderedPageBreak/>
        <w:t>можливостей, визначаються умови її творчого становлення як особистості, роль вчителя у вияві і розвитку здібностей, розробляються інноваційні педагогічні проєкти [</w:t>
      </w:r>
      <w:r w:rsidR="00D206A0" w:rsidRPr="002E6ECA">
        <w:rPr>
          <w:sz w:val="28"/>
          <w:szCs w:val="28"/>
          <w:lang w:val="uk-UA"/>
        </w:rPr>
        <w:t>9, 27,</w:t>
      </w:r>
      <w:r w:rsidR="00D206A0" w:rsidRPr="002E6ECA">
        <w:rPr>
          <w:sz w:val="28"/>
          <w:szCs w:val="28"/>
          <w:shd w:val="clear" w:color="auto" w:fill="FFFFFF"/>
          <w:lang w:val="uk-UA"/>
        </w:rPr>
        <w:t xml:space="preserve"> </w:t>
      </w:r>
      <w:r w:rsidR="00D206A0" w:rsidRPr="002E6ECA">
        <w:rPr>
          <w:sz w:val="28"/>
          <w:szCs w:val="28"/>
          <w:lang w:val="uk-UA"/>
        </w:rPr>
        <w:t>75, 275</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Важливо відзначити, що</w:t>
      </w:r>
      <w:r w:rsidRPr="002E6ECA">
        <w:rPr>
          <w:b/>
          <w:sz w:val="28"/>
          <w:szCs w:val="28"/>
          <w:lang w:val="uk-UA"/>
        </w:rPr>
        <w:t xml:space="preserve"> </w:t>
      </w:r>
      <w:r w:rsidRPr="002E6ECA">
        <w:rPr>
          <w:sz w:val="28"/>
          <w:szCs w:val="28"/>
          <w:lang w:val="uk-UA"/>
        </w:rPr>
        <w:t>в багатьох країнах навчанню та вихованню інтелектуально здібних і обдарованих дітей та молоді, створенню для них спеціальної системи освіти приділяється багато уваги, функціонують відповідні організації: Європейська рада з високих здібностей (ECHA), Європейська мережа підтримки таланту (ETSN), Міжнародний центр інновацій в освіті (ICIE), Всесвітня рада сприяння освіті обдарованих і талановитих дітей (WCGTC). До складу цих організацій входять педагоги, науковці, батьки та інші зацікавлені особи з усього світу. Міжнародні організації є інноваційними освітніми мережами, які мають спільну місію, що полягає у розвиткові потенціалу обдарованих і талановитих дітей у співпраці і взаємодії вчителів, батьків, науковців, громадськості, освітніх політиків і обдарованих осіб [</w:t>
      </w:r>
      <w:r w:rsidR="00D206A0" w:rsidRPr="002E6ECA">
        <w:rPr>
          <w:sz w:val="28"/>
          <w:szCs w:val="28"/>
          <w:lang w:val="en-US"/>
        </w:rPr>
        <w:t>21</w:t>
      </w:r>
      <w:r w:rsidRPr="002E6ECA">
        <w:rPr>
          <w:sz w:val="28"/>
          <w:szCs w:val="28"/>
          <w:lang w:val="uk-UA"/>
        </w:rPr>
        <w:t xml:space="preserve">]. В Україні також функціонує </w:t>
      </w:r>
      <w:r w:rsidRPr="002E6ECA">
        <w:rPr>
          <w:bCs/>
          <w:sz w:val="28"/>
          <w:szCs w:val="28"/>
          <w:lang w:val="uk-UA"/>
        </w:rPr>
        <w:t xml:space="preserve">Інститут обдарованої дитини НАПН України, який є однією з провідних державних науково-дослідних установ, що здійснює наукові </w:t>
      </w:r>
      <w:r w:rsidRPr="002E6ECA">
        <w:rPr>
          <w:sz w:val="28"/>
          <w:szCs w:val="28"/>
          <w:lang w:val="uk-UA"/>
        </w:rPr>
        <w:t xml:space="preserve">дослідження з цих проблем. </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Згідно закону України «Про освіту» </w:t>
      </w:r>
      <w:r w:rsidR="00EC41AF" w:rsidRPr="002E6ECA">
        <w:rPr>
          <w:sz w:val="28"/>
          <w:szCs w:val="28"/>
        </w:rPr>
        <w:t>[</w:t>
      </w:r>
      <w:r w:rsidR="00D206A0" w:rsidRPr="002E6ECA">
        <w:rPr>
          <w:sz w:val="28"/>
          <w:szCs w:val="28"/>
          <w:lang w:val="en-US"/>
        </w:rPr>
        <w:t>80, 81</w:t>
      </w:r>
      <w:r w:rsidR="00EC41AF" w:rsidRPr="002E6ECA">
        <w:rPr>
          <w:sz w:val="28"/>
          <w:szCs w:val="28"/>
        </w:rPr>
        <w:t xml:space="preserve">] </w:t>
      </w:r>
      <w:r w:rsidRPr="002E6ECA">
        <w:rPr>
          <w:sz w:val="28"/>
          <w:szCs w:val="28"/>
          <w:lang w:val="uk-UA"/>
        </w:rPr>
        <w:t>шкільні заклади мають стати осередками розвитку обдарованості кожної особистості. Дослідники вважають, що перспективними напрямами навчання і виховання обдарованих дітей в Україні повинна бути державна підтримка системи їх навчання, активна робота щодо створення успішних розвивальних навчальних інноваційних проєктів [</w:t>
      </w:r>
      <w:r w:rsidR="00D206A0" w:rsidRPr="002E6ECA">
        <w:rPr>
          <w:sz w:val="28"/>
          <w:szCs w:val="28"/>
          <w:lang w:val="uk-UA"/>
        </w:rPr>
        <w:t>9, 27, 158, 257</w:t>
      </w:r>
      <w:r w:rsidRPr="002E6ECA">
        <w:rPr>
          <w:sz w:val="28"/>
          <w:szCs w:val="28"/>
          <w:lang w:val="uk-UA"/>
        </w:rPr>
        <w:t>]. Досить важливим постає завдання визначення рівня впливу новітніх технологій на стан здоров’я школярів, тому метою дослідження була аналітична оцінка організації медичного забезпечення дітей та підлітків, що навчаються за інноваційними педагогічними проєктами.</w:t>
      </w:r>
    </w:p>
    <w:p w:rsidR="00E33723" w:rsidRPr="002E6ECA" w:rsidRDefault="00E33723" w:rsidP="00E33723">
      <w:pPr>
        <w:spacing w:line="360" w:lineRule="auto"/>
        <w:ind w:firstLine="709"/>
        <w:jc w:val="both"/>
        <w:rPr>
          <w:sz w:val="28"/>
          <w:szCs w:val="28"/>
          <w:lang w:val="uk-UA"/>
        </w:rPr>
      </w:pPr>
      <w:r w:rsidRPr="002E6ECA">
        <w:rPr>
          <w:i/>
          <w:sz w:val="28"/>
          <w:szCs w:val="28"/>
          <w:lang w:val="uk-UA"/>
        </w:rPr>
        <w:t>Характеристика основних науково-педагогічних проєктів в Україні та країнах ЄС.</w:t>
      </w:r>
      <w:r w:rsidRPr="002E6ECA">
        <w:rPr>
          <w:sz w:val="28"/>
          <w:szCs w:val="28"/>
          <w:lang w:val="uk-UA"/>
        </w:rPr>
        <w:t xml:space="preserve"> З 2018 року в Україні розроблено декілька типових освітніх програм, які пройшли відповідні експертизи і рекомендовані до впровадження. У програмах чітко вказані мета, концептуальні положення щодо компетенції </w:t>
      </w:r>
      <w:r w:rsidRPr="002E6ECA">
        <w:rPr>
          <w:sz w:val="28"/>
          <w:szCs w:val="28"/>
          <w:lang w:val="uk-UA"/>
        </w:rPr>
        <w:lastRenderedPageBreak/>
        <w:t>учнів та вчителів, у тому числі у деяких з них передбачається завдання щодо збереження здоров’я дітей шляхом формування здорового способу життя і створення умов для фізичного й психоемоційного розвитку, перетворення школи на безпечне місце, де немає насильства і цькування</w:t>
      </w:r>
      <w:r w:rsidR="00E63445" w:rsidRPr="002E6ECA">
        <w:rPr>
          <w:sz w:val="28"/>
          <w:szCs w:val="28"/>
          <w:lang w:val="uk-UA"/>
        </w:rPr>
        <w:t xml:space="preserve"> [1</w:t>
      </w:r>
      <w:r w:rsidR="00D206A0" w:rsidRPr="002E6ECA">
        <w:rPr>
          <w:sz w:val="28"/>
          <w:szCs w:val="28"/>
          <w:lang w:val="en-US"/>
        </w:rPr>
        <w:t>2</w:t>
      </w:r>
      <w:r w:rsidR="008F57AC" w:rsidRPr="002E6ECA">
        <w:rPr>
          <w:sz w:val="28"/>
          <w:szCs w:val="28"/>
          <w:lang w:val="uk-UA"/>
        </w:rPr>
        <w:t>, 2</w:t>
      </w:r>
      <w:r w:rsidR="00D206A0" w:rsidRPr="002E6ECA">
        <w:rPr>
          <w:sz w:val="28"/>
          <w:szCs w:val="28"/>
          <w:lang w:val="en-US"/>
        </w:rPr>
        <w:t>47</w:t>
      </w:r>
      <w:r w:rsidR="00E63445" w:rsidRPr="002E6ECA">
        <w:rPr>
          <w:sz w:val="28"/>
          <w:szCs w:val="28"/>
          <w:lang w:val="uk-UA"/>
        </w:rPr>
        <w:t>]</w:t>
      </w:r>
      <w:r w:rsidRPr="002E6ECA">
        <w:rPr>
          <w:sz w:val="28"/>
          <w:szCs w:val="28"/>
          <w:lang w:val="uk-UA"/>
        </w:rPr>
        <w:t>.</w:t>
      </w:r>
    </w:p>
    <w:p w:rsidR="00E33723" w:rsidRPr="002E6ECA" w:rsidRDefault="00DA18CD" w:rsidP="00E33723">
      <w:pPr>
        <w:spacing w:line="360" w:lineRule="auto"/>
        <w:ind w:firstLine="709"/>
        <w:jc w:val="both"/>
        <w:rPr>
          <w:sz w:val="28"/>
          <w:szCs w:val="28"/>
          <w:lang w:val="uk-UA"/>
        </w:rPr>
      </w:pPr>
      <w:r w:rsidRPr="002E6ECA">
        <w:rPr>
          <w:sz w:val="28"/>
          <w:szCs w:val="28"/>
          <w:lang w:val="uk-UA"/>
        </w:rPr>
        <w:t>І</w:t>
      </w:r>
      <w:r w:rsidR="00E33723" w:rsidRPr="002E6ECA">
        <w:rPr>
          <w:sz w:val="28"/>
          <w:szCs w:val="28"/>
          <w:lang w:val="uk-UA"/>
        </w:rPr>
        <w:t>нноваційні педагогічні проєкти ґрунтуються на відповідних нормативно-правових документах, згідно з якими закладам освіти надається право розробляти власні типові освітні програми за умови їх затвердження в Центральному органі виконавчої влади або в його територіальному органі із забезпеченням якості навчального процесу. У науковій, переважно педагогічній літературі, опубліковано певні успіхи та досягнення учнів, які навчаються за інноваційними проєктами, але не досліджено вплив цих програм на формування здоров’я школярів.</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Ці проєкти підготовлені </w:t>
      </w:r>
      <w:r w:rsidR="00EC41AF" w:rsidRPr="002E6ECA">
        <w:rPr>
          <w:sz w:val="28"/>
          <w:szCs w:val="28"/>
          <w:lang w:val="uk-UA"/>
        </w:rPr>
        <w:t>в</w:t>
      </w:r>
      <w:r w:rsidRPr="002E6ECA">
        <w:rPr>
          <w:sz w:val="28"/>
          <w:szCs w:val="28"/>
          <w:lang w:val="uk-UA"/>
        </w:rPr>
        <w:t xml:space="preserve"> Інституті педагогіки НАПН України, Інституті модернізації змісту освіти, Київському інституті імені Б. Грінченка, Національному педагогічному університеті ім. М.П. Драгоманова, Харківській академії неперервної освіти, Миколаївському національному університеті імені В.О. Сухомлинського та ін. (лист МОН України від 30.01.2018 за № 22-2/10-236) відповідно до законодавчих документів [</w:t>
      </w:r>
      <w:r w:rsidR="00DA18CD" w:rsidRPr="002E6ECA">
        <w:rPr>
          <w:sz w:val="28"/>
          <w:szCs w:val="28"/>
          <w:lang w:val="uk-UA"/>
        </w:rPr>
        <w:t xml:space="preserve">36, 145, 153, </w:t>
      </w:r>
      <w:r w:rsidR="00DA18CD" w:rsidRPr="002E6ECA">
        <w:rPr>
          <w:sz w:val="26"/>
          <w:szCs w:val="26"/>
        </w:rPr>
        <w:t>154, 188, 194</w:t>
      </w:r>
      <w:r w:rsidRPr="002E6ECA">
        <w:rPr>
          <w:sz w:val="28"/>
          <w:szCs w:val="28"/>
          <w:lang w:val="uk-UA"/>
        </w:rPr>
        <w:t>]. Деякі з них, де чітко відображені здоров’яформуючі та здоров’язбережуючі аспекти заслуговують особливої уваги.</w:t>
      </w:r>
    </w:p>
    <w:p w:rsidR="00E33723" w:rsidRPr="002E6ECA" w:rsidRDefault="00E33723" w:rsidP="00E33723">
      <w:pPr>
        <w:spacing w:line="360" w:lineRule="auto"/>
        <w:ind w:firstLine="709"/>
        <w:jc w:val="both"/>
        <w:rPr>
          <w:bCs/>
          <w:sz w:val="28"/>
          <w:szCs w:val="28"/>
          <w:lang w:val="uk-UA"/>
        </w:rPr>
      </w:pPr>
      <w:r w:rsidRPr="002E6ECA">
        <w:rPr>
          <w:sz w:val="28"/>
          <w:szCs w:val="28"/>
          <w:lang w:val="uk-UA"/>
        </w:rPr>
        <w:t>У науково-педагогічному проєкті</w:t>
      </w:r>
      <w:r w:rsidR="00EC41AF" w:rsidRPr="002E6ECA">
        <w:rPr>
          <w:sz w:val="28"/>
          <w:szCs w:val="28"/>
          <w:lang w:val="uk-UA"/>
        </w:rPr>
        <w:t xml:space="preserve"> «Інтелект України», розробленому</w:t>
      </w:r>
      <w:r w:rsidRPr="002E6ECA">
        <w:rPr>
          <w:sz w:val="28"/>
          <w:szCs w:val="28"/>
          <w:lang w:val="uk-UA"/>
        </w:rPr>
        <w:t xml:space="preserve"> під керівництвом </w:t>
      </w:r>
      <w:r w:rsidR="00420D12" w:rsidRPr="002E6ECA">
        <w:rPr>
          <w:sz w:val="28"/>
          <w:szCs w:val="28"/>
          <w:lang w:val="uk-UA"/>
        </w:rPr>
        <w:t>І.В.</w:t>
      </w:r>
      <w:r w:rsidR="00420D12" w:rsidRPr="002E6ECA">
        <w:rPr>
          <w:sz w:val="28"/>
          <w:szCs w:val="28"/>
          <w:lang w:val="en-US"/>
        </w:rPr>
        <w:t> </w:t>
      </w:r>
      <w:r w:rsidRPr="002E6ECA">
        <w:rPr>
          <w:sz w:val="28"/>
          <w:szCs w:val="28"/>
          <w:lang w:val="uk-UA"/>
        </w:rPr>
        <w:t xml:space="preserve">Гавриша </w:t>
      </w:r>
      <w:r w:rsidRPr="002E6ECA">
        <w:rPr>
          <w:bCs/>
          <w:sz w:val="28"/>
          <w:szCs w:val="28"/>
          <w:lang w:val="uk-UA"/>
        </w:rPr>
        <w:t>на основі поурочно</w:t>
      </w:r>
      <w:r w:rsidRPr="002E6ECA">
        <w:rPr>
          <w:sz w:val="28"/>
          <w:szCs w:val="28"/>
          <w:lang w:val="uk-UA"/>
        </w:rPr>
        <w:t xml:space="preserve"> </w:t>
      </w:r>
      <w:r w:rsidRPr="002E6ECA">
        <w:rPr>
          <w:bCs/>
          <w:sz w:val="28"/>
          <w:szCs w:val="28"/>
          <w:lang w:val="uk-UA"/>
        </w:rPr>
        <w:t>збудованих планів, які включають спеціальний підбір навчальних завдань, спрямованих на активізацію обох півкуль головного мозку дітей, дозованого</w:t>
      </w:r>
      <w:r w:rsidRPr="002E6ECA">
        <w:rPr>
          <w:sz w:val="28"/>
          <w:szCs w:val="28"/>
          <w:lang w:val="uk-UA"/>
        </w:rPr>
        <w:t xml:space="preserve"> </w:t>
      </w:r>
      <w:r w:rsidRPr="002E6ECA">
        <w:rPr>
          <w:bCs/>
          <w:sz w:val="28"/>
          <w:szCs w:val="28"/>
          <w:lang w:val="uk-UA"/>
        </w:rPr>
        <w:t>використання мультимедійної подачі інформації, розвитку і підтримання</w:t>
      </w:r>
      <w:r w:rsidRPr="002E6ECA">
        <w:rPr>
          <w:sz w:val="28"/>
          <w:szCs w:val="28"/>
          <w:lang w:val="uk-UA"/>
        </w:rPr>
        <w:t xml:space="preserve"> </w:t>
      </w:r>
      <w:r w:rsidRPr="002E6ECA">
        <w:rPr>
          <w:bCs/>
          <w:sz w:val="28"/>
          <w:szCs w:val="28"/>
          <w:lang w:val="uk-UA"/>
        </w:rPr>
        <w:t>високої навчальної мотивації і працездатності, комплексно використовуються</w:t>
      </w:r>
      <w:r w:rsidRPr="002E6ECA">
        <w:rPr>
          <w:sz w:val="28"/>
          <w:szCs w:val="28"/>
          <w:lang w:val="uk-UA"/>
        </w:rPr>
        <w:t xml:space="preserve"> </w:t>
      </w:r>
      <w:r w:rsidRPr="002E6ECA">
        <w:rPr>
          <w:bCs/>
          <w:sz w:val="28"/>
          <w:szCs w:val="28"/>
          <w:lang w:val="uk-UA"/>
        </w:rPr>
        <w:t>освітні моделі поглиблення, збагачення та проблематизації [</w:t>
      </w:r>
      <w:r w:rsidR="00DA18CD" w:rsidRPr="002E6ECA">
        <w:rPr>
          <w:sz w:val="28"/>
          <w:szCs w:val="28"/>
          <w:lang w:val="uk-UA"/>
        </w:rPr>
        <w:t>36, 52, 100, 145, 266</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Особливостями освітньої програми, розробленої асоціацією вальдорфських ініціатив в Україні, постають організація головного уроку з регламентованою загальною тривалістю та вагою статичних видів діяльності, </w:t>
      </w:r>
      <w:r w:rsidRPr="002E6ECA">
        <w:rPr>
          <w:sz w:val="28"/>
          <w:szCs w:val="28"/>
          <w:lang w:val="uk-UA"/>
        </w:rPr>
        <w:lastRenderedPageBreak/>
        <w:t>наявність 30-хвилинної евритмичної паузи. Звертає увагу і організація уроків фізкультури, як одного з чинників здоров’яформуючої поведінки – рухливі ігри та евритмія [</w:t>
      </w:r>
      <w:r w:rsidR="00DA18CD" w:rsidRPr="002E6ECA">
        <w:rPr>
          <w:sz w:val="28"/>
          <w:szCs w:val="28"/>
          <w:lang w:val="uk-UA"/>
        </w:rPr>
        <w:t>45, 87, 162</w:t>
      </w:r>
      <w:r w:rsidRPr="002E6ECA">
        <w:rPr>
          <w:sz w:val="28"/>
          <w:szCs w:val="28"/>
          <w:lang w:val="uk-UA"/>
        </w:rPr>
        <w:t>].</w:t>
      </w:r>
    </w:p>
    <w:p w:rsidR="00E33723" w:rsidRPr="002E6ECA" w:rsidRDefault="00E33723" w:rsidP="00E33723">
      <w:pPr>
        <w:spacing w:line="360" w:lineRule="auto"/>
        <w:ind w:firstLine="709"/>
        <w:jc w:val="both"/>
        <w:rPr>
          <w:rFonts w:eastAsia="Calibri"/>
          <w:sz w:val="28"/>
          <w:szCs w:val="28"/>
          <w:lang w:val="uk-UA" w:eastAsia="en-US"/>
        </w:rPr>
      </w:pPr>
      <w:r w:rsidRPr="002E6ECA">
        <w:rPr>
          <w:sz w:val="28"/>
          <w:szCs w:val="28"/>
          <w:lang w:val="uk-UA"/>
        </w:rPr>
        <w:t xml:space="preserve">Розроблена під керівництвом </w:t>
      </w:r>
      <w:r w:rsidR="003845ED" w:rsidRPr="002E6ECA">
        <w:rPr>
          <w:sz w:val="28"/>
          <w:szCs w:val="28"/>
          <w:lang w:val="uk-UA"/>
        </w:rPr>
        <w:t>А.Д.</w:t>
      </w:r>
      <w:r w:rsidR="003845ED" w:rsidRPr="002E6ECA">
        <w:rPr>
          <w:sz w:val="28"/>
          <w:szCs w:val="28"/>
          <w:lang w:val="en-US"/>
        </w:rPr>
        <w:t> </w:t>
      </w:r>
      <w:r w:rsidRPr="002E6ECA">
        <w:rPr>
          <w:sz w:val="28"/>
          <w:szCs w:val="28"/>
          <w:lang w:val="uk-UA"/>
        </w:rPr>
        <w:t xml:space="preserve">Цимбалару програма «На крилах успіху» передбачає особливий, рухливий формат організації занять, комплекс </w:t>
      </w:r>
      <w:r w:rsidRPr="002E6ECA">
        <w:rPr>
          <w:rFonts w:eastAsia="Calibri"/>
          <w:sz w:val="28"/>
          <w:szCs w:val="28"/>
          <w:lang w:val="uk-UA" w:eastAsia="en-US"/>
        </w:rPr>
        <w:t>фізкультхвилинок, хвилинки-релаксації, тематичні заняття з фізичної культури, ігровий компонент, використання цифрових гаджетів, використання спеціальної навчальної літератури та дидактичних засобів [</w:t>
      </w:r>
      <w:r w:rsidR="00DA18CD" w:rsidRPr="002E6ECA">
        <w:rPr>
          <w:rFonts w:eastAsia="Calibri"/>
          <w:sz w:val="28"/>
          <w:szCs w:val="28"/>
          <w:lang w:val="uk-UA" w:eastAsia="en-US"/>
        </w:rPr>
        <w:t xml:space="preserve">152, </w:t>
      </w:r>
      <w:r w:rsidR="00DA18CD" w:rsidRPr="002E6ECA">
        <w:rPr>
          <w:sz w:val="28"/>
          <w:szCs w:val="28"/>
          <w:lang w:val="uk-UA"/>
        </w:rPr>
        <w:t>257</w:t>
      </w:r>
      <w:r w:rsidRPr="002E6ECA">
        <w:rPr>
          <w:rFonts w:eastAsia="Calibri"/>
          <w:sz w:val="28"/>
          <w:szCs w:val="28"/>
          <w:lang w:val="uk-UA" w:eastAsia="en-US"/>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Підґрунтям нещодавно заявленого освітнього проєкту «Піснезнайко» («Гармонія інтелекту та здоров’я») постає комфортна модель навчання для дітей з різною організацією мозкової діяльності, з різним рівнем інтелекту та стану здоров’я, у т.ч. з психоемоційними та психосоматичними розладами, порушеннями пізнавальної сфери, а також дітей із особливими педагогічними потребами, тобто може використовуватися і для інклюзивної освіти. Основою цього проєкту постає запатентована музикотерапевтична педагогіка, яка сприяє</w:t>
      </w:r>
      <w:r w:rsidRPr="002E6ECA">
        <w:rPr>
          <w:b/>
          <w:bCs/>
          <w:sz w:val="28"/>
          <w:szCs w:val="28"/>
          <w:lang w:val="uk-UA"/>
        </w:rPr>
        <w:t xml:space="preserve"> </w:t>
      </w:r>
      <w:r w:rsidRPr="002E6ECA">
        <w:rPr>
          <w:sz w:val="28"/>
          <w:szCs w:val="28"/>
          <w:lang w:val="uk-UA"/>
        </w:rPr>
        <w:t>психофізіологічній інтеграції,</w:t>
      </w:r>
      <w:r w:rsidRPr="002E6ECA">
        <w:rPr>
          <w:b/>
          <w:bCs/>
          <w:sz w:val="28"/>
          <w:szCs w:val="28"/>
          <w:lang w:val="uk-UA"/>
        </w:rPr>
        <w:t xml:space="preserve"> </w:t>
      </w:r>
      <w:r w:rsidRPr="002E6ECA">
        <w:rPr>
          <w:sz w:val="28"/>
          <w:szCs w:val="28"/>
          <w:lang w:val="uk-UA"/>
        </w:rPr>
        <w:t>врівноваженню психоемоційної діяльності, а також загальній нормалізації життєдіяльності [</w:t>
      </w:r>
      <w:hyperlink r:id="rId15" w:anchor="1075;&amp;" w:history="1">
        <w:r w:rsidR="00DA18CD" w:rsidRPr="002E6ECA">
          <w:rPr>
            <w:sz w:val="28"/>
            <w:szCs w:val="28"/>
            <w:lang w:val="uk-UA" w:eastAsia="uk-UA"/>
          </w:rPr>
          <w:t>188</w:t>
        </w:r>
      </w:hyperlink>
      <w:r w:rsidRPr="002E6ECA">
        <w:rPr>
          <w:sz w:val="28"/>
          <w:szCs w:val="28"/>
          <w:lang w:val="uk-UA"/>
        </w:rPr>
        <w:t xml:space="preserve">]. </w:t>
      </w:r>
    </w:p>
    <w:p w:rsidR="00E33723" w:rsidRPr="002E6ECA" w:rsidRDefault="00E33723" w:rsidP="00E33723">
      <w:pPr>
        <w:spacing w:line="360" w:lineRule="auto"/>
        <w:ind w:firstLine="709"/>
        <w:jc w:val="both"/>
        <w:rPr>
          <w:rStyle w:val="fontstyle01"/>
          <w:b w:val="0"/>
          <w:color w:val="auto"/>
          <w:sz w:val="28"/>
          <w:szCs w:val="28"/>
          <w:lang w:val="uk-UA"/>
        </w:rPr>
      </w:pPr>
      <w:r w:rsidRPr="002E6ECA">
        <w:rPr>
          <w:sz w:val="28"/>
          <w:szCs w:val="28"/>
          <w:lang w:val="uk-UA"/>
        </w:rPr>
        <w:t xml:space="preserve">Загальний аналіз літературних та установчих даних встановив, що за деякими освітніми програмами передбачено різні форми організації освітнього процесу: це може бути традиційний урок (Програми «НУШ», «Інтелект України» та ін.), заняття (проєкт «На крилах успіху»), навчальний проєкт без часового обмеження уроку (інтегрований день, тиждень, місяць – проєкт «Освіта для життя»). Змінюється і рівень навантажень. Так, різні освітні програми передбачають не тільки різну кількість предметів, а й спосіб інтеграції та інтегруємі дисципліни. Наприклад, у програмі </w:t>
      </w:r>
      <w:r w:rsidRPr="002E6ECA">
        <w:rPr>
          <w:bCs/>
          <w:sz w:val="28"/>
          <w:szCs w:val="28"/>
        </w:rPr>
        <w:t xml:space="preserve">«Інтелект України» математика є частиною інтегрованого курсу «Я пізнаю світ», а за вальдорфською педагогікою також викладається у складі інтегрованих курсів. </w:t>
      </w:r>
      <w:r w:rsidRPr="002E6ECA">
        <w:rPr>
          <w:sz w:val="28"/>
          <w:szCs w:val="28"/>
          <w:lang w:val="uk-UA"/>
        </w:rPr>
        <w:t xml:space="preserve">Крім варіативності за формою організації та підходах до інтеграції змісту освіти, новітні науково-педагогічні проєкти передбачають ще варіативність </w:t>
      </w:r>
      <w:r w:rsidRPr="002E6ECA">
        <w:rPr>
          <w:bCs/>
          <w:sz w:val="28"/>
          <w:szCs w:val="28"/>
        </w:rPr>
        <w:t xml:space="preserve">у </w:t>
      </w:r>
      <w:r w:rsidRPr="002E6ECA">
        <w:rPr>
          <w:bCs/>
          <w:sz w:val="28"/>
          <w:szCs w:val="28"/>
        </w:rPr>
        <w:lastRenderedPageBreak/>
        <w:t>формах структурування</w:t>
      </w:r>
      <w:r w:rsidRPr="002E6ECA">
        <w:rPr>
          <w:sz w:val="28"/>
          <w:szCs w:val="28"/>
          <w:lang w:val="uk-UA"/>
        </w:rPr>
        <w:t xml:space="preserve"> </w:t>
      </w:r>
      <w:r w:rsidRPr="002E6ECA">
        <w:rPr>
          <w:bCs/>
          <w:sz w:val="28"/>
          <w:szCs w:val="28"/>
        </w:rPr>
        <w:t>змісту, вибору</w:t>
      </w:r>
      <w:r w:rsidRPr="002E6ECA">
        <w:rPr>
          <w:sz w:val="28"/>
          <w:szCs w:val="28"/>
          <w:lang w:val="uk-UA"/>
        </w:rPr>
        <w:t xml:space="preserve"> </w:t>
      </w:r>
      <w:r w:rsidRPr="002E6ECA">
        <w:rPr>
          <w:bCs/>
          <w:sz w:val="28"/>
          <w:szCs w:val="28"/>
        </w:rPr>
        <w:t>навчальних предметів і курсів та формулюванні очікуваних результатів</w:t>
      </w:r>
      <w:r w:rsidRPr="002E6ECA">
        <w:rPr>
          <w:rStyle w:val="fontstyle01"/>
          <w:color w:val="auto"/>
          <w:sz w:val="28"/>
          <w:szCs w:val="28"/>
          <w:lang w:val="uk-UA"/>
        </w:rPr>
        <w:t xml:space="preserve"> </w:t>
      </w:r>
      <w:r w:rsidRPr="002E6ECA">
        <w:rPr>
          <w:sz w:val="28"/>
          <w:szCs w:val="28"/>
          <w:lang w:val="uk-UA"/>
        </w:rPr>
        <w:t>[</w:t>
      </w:r>
      <w:r w:rsidR="00DA18CD" w:rsidRPr="002E6ECA">
        <w:rPr>
          <w:sz w:val="28"/>
          <w:szCs w:val="28"/>
          <w:lang w:val="uk-UA"/>
        </w:rPr>
        <w:t>36, 153, 154, 162, 188, 194</w:t>
      </w:r>
      <w:r w:rsidRPr="002E6ECA">
        <w:rPr>
          <w:sz w:val="28"/>
          <w:szCs w:val="28"/>
          <w:lang w:val="uk-UA"/>
        </w:rPr>
        <w:t>]</w:t>
      </w:r>
      <w:r w:rsidR="00EC41AF" w:rsidRPr="002E6ECA">
        <w:rPr>
          <w:sz w:val="28"/>
          <w:szCs w:val="28"/>
          <w:lang w:val="uk-UA"/>
        </w:rPr>
        <w:t>.</w:t>
      </w:r>
    </w:p>
    <w:p w:rsidR="00E33723" w:rsidRPr="002E6ECA" w:rsidRDefault="00E33723" w:rsidP="00E33723">
      <w:pPr>
        <w:autoSpaceDE w:val="0"/>
        <w:autoSpaceDN w:val="0"/>
        <w:adjustRightInd w:val="0"/>
        <w:spacing w:line="360" w:lineRule="auto"/>
        <w:ind w:firstLine="709"/>
        <w:jc w:val="both"/>
        <w:rPr>
          <w:sz w:val="28"/>
          <w:szCs w:val="28"/>
          <w:lang w:val="uk-UA"/>
        </w:rPr>
      </w:pPr>
      <w:r w:rsidRPr="002E6ECA">
        <w:rPr>
          <w:sz w:val="28"/>
          <w:szCs w:val="28"/>
          <w:lang w:val="uk-UA"/>
        </w:rPr>
        <w:t>Різні способи інтеграції змісту освіти потребують не тільки спеціальної підготовки вчителів, а й спеціального підходу до визначення важкості інтегрованих предметів і, відповідно, при нормуванні навчального навантаження та складання розкладу занять.</w:t>
      </w:r>
    </w:p>
    <w:p w:rsidR="00E33723" w:rsidRPr="002E6ECA" w:rsidRDefault="00E33723" w:rsidP="00E33723">
      <w:pPr>
        <w:spacing w:line="360" w:lineRule="auto"/>
        <w:ind w:firstLine="709"/>
        <w:jc w:val="both"/>
        <w:rPr>
          <w:sz w:val="28"/>
          <w:szCs w:val="28"/>
          <w:lang w:val="uk-UA"/>
        </w:rPr>
      </w:pPr>
      <w:r w:rsidRPr="002E6ECA">
        <w:rPr>
          <w:sz w:val="28"/>
          <w:szCs w:val="28"/>
          <w:lang w:val="uk-UA"/>
        </w:rPr>
        <w:t>В останні роки значно змінилася якість навчання школярів. Впроваджуються нові, спеціалізовані та авторські програми, що відрізняються великою варіативністю, супроводжуються інтенсифікацією навчального процесу, збільшенням сумарного навчального навантаження, зниженням фізичної активності і погіршенням структури режиму дня учнів. Разом з тим є необхідним узагальнити дані як самих інноваційних освітніх програм, так і визначити їх вплив на формування здоров’я дітей, які навчаються за такими проєктами.</w:t>
      </w:r>
    </w:p>
    <w:p w:rsidR="00E33723" w:rsidRPr="002E6ECA" w:rsidRDefault="00E33723" w:rsidP="00E33723">
      <w:pPr>
        <w:spacing w:line="360" w:lineRule="auto"/>
        <w:ind w:firstLine="709"/>
        <w:jc w:val="both"/>
        <w:rPr>
          <w:spacing w:val="4"/>
          <w:sz w:val="28"/>
          <w:szCs w:val="28"/>
          <w:lang w:val="uk-UA"/>
        </w:rPr>
      </w:pPr>
      <w:r w:rsidRPr="002E6ECA">
        <w:rPr>
          <w:spacing w:val="4"/>
          <w:sz w:val="28"/>
          <w:szCs w:val="28"/>
          <w:lang w:val="uk-UA"/>
        </w:rPr>
        <w:t xml:space="preserve">У дисертаційному дослідженні </w:t>
      </w:r>
      <w:r w:rsidR="003845ED" w:rsidRPr="002E6ECA">
        <w:rPr>
          <w:spacing w:val="4"/>
          <w:sz w:val="28"/>
          <w:szCs w:val="28"/>
          <w:lang w:val="uk-UA"/>
        </w:rPr>
        <w:t>О.</w:t>
      </w:r>
      <w:r w:rsidR="00CE5CE5" w:rsidRPr="002E6ECA">
        <w:rPr>
          <w:spacing w:val="4"/>
          <w:sz w:val="28"/>
          <w:szCs w:val="28"/>
          <w:lang w:val="en-US"/>
        </w:rPr>
        <w:t> </w:t>
      </w:r>
      <w:r w:rsidR="003845ED" w:rsidRPr="002E6ECA">
        <w:rPr>
          <w:spacing w:val="4"/>
          <w:sz w:val="28"/>
          <w:szCs w:val="28"/>
          <w:lang w:val="uk-UA"/>
        </w:rPr>
        <w:t>Б.</w:t>
      </w:r>
      <w:r w:rsidR="003845ED" w:rsidRPr="002E6ECA">
        <w:rPr>
          <w:spacing w:val="4"/>
          <w:sz w:val="28"/>
          <w:szCs w:val="28"/>
          <w:lang w:val="en-US"/>
        </w:rPr>
        <w:t> </w:t>
      </w:r>
      <w:r w:rsidRPr="002E6ECA">
        <w:rPr>
          <w:spacing w:val="4"/>
          <w:sz w:val="28"/>
          <w:szCs w:val="28"/>
          <w:lang w:val="uk-UA"/>
        </w:rPr>
        <w:t xml:space="preserve">Ярової узагальнено педагогічні аспекти розвитку початкової освіти у країнах Європейського союзу. Проаналізовано роботи про заходи щодо соціально-педагогічної підтримки обдарованих дітей у Польщі, особливостей початкової освіти у Великій Британії та Північній Ірландії, основних підходів до адаптації навчальної програми командою вчителів у Іспанії, основних положеннях Національного курикулуму базової освіти та формування «навчального середовища» що охоплює фізичне середовище, психологічні фактори, соціальні відносини та покликаний забезпечувати умови для розвитку й навчання учнів у Фінляндії. Частиною стандарту в початковій школі є також теми з безпеки дорожнього руху, здоров’я та сексуальної освіти, сімейної освіти, ринку праці, освітньої та професійної орієнтації. Виявлено тенденції щодо зниження обсягу навчального навантаження учнів у Франції. Узагальнено та систематизовано відомості про основні підходи сучасної початкової освіти у країнах ЄС: це структурування її змісту у вигляді шести загальноприйнятих освітніх галузей за основними напрямками людських знань, фізичного виховання, мистецтва, </w:t>
      </w:r>
      <w:r w:rsidRPr="002E6ECA">
        <w:rPr>
          <w:spacing w:val="4"/>
          <w:sz w:val="28"/>
          <w:szCs w:val="28"/>
          <w:lang w:val="uk-UA"/>
        </w:rPr>
        <w:lastRenderedPageBreak/>
        <w:t>суспільно-гуманітарних наук та предметно-модульний підхід з об’єднанням обов’язкового, факультативного і шкільного модулів [</w:t>
      </w:r>
      <w:r w:rsidR="00DA18CD" w:rsidRPr="002E6ECA">
        <w:rPr>
          <w:spacing w:val="4"/>
          <w:sz w:val="28"/>
          <w:szCs w:val="28"/>
          <w:lang w:val="uk-UA"/>
        </w:rPr>
        <w:t>273, 329, 337, 425, 457</w:t>
      </w:r>
      <w:r w:rsidRPr="002E6ECA">
        <w:rPr>
          <w:spacing w:val="4"/>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Є позитивні тенденції і з точки зору збереження та підвищення рівня здоров’я школярів у західноєвропейських освітніх закладах. Так, у початкових школах </w:t>
      </w:r>
      <w:r w:rsidRPr="002E6ECA">
        <w:rPr>
          <w:spacing w:val="-2"/>
          <w:sz w:val="28"/>
          <w:szCs w:val="28"/>
          <w:lang w:val="uk-UA"/>
        </w:rPr>
        <w:t xml:space="preserve">Естонії передбачено проведення занять не тільки в навчальних аудиторіях, а й за межами класу: на природі, на підприємстві, віртуально. У країнах ЄС існують індикатори якості освіти, серед яких, наявність проблем зайвої ваги серед дітей, вживання наркотиків, забезпечення </w:t>
      </w:r>
      <w:r w:rsidRPr="002E6ECA">
        <w:rPr>
          <w:rStyle w:val="highlight"/>
          <w:spacing w:val="-2"/>
          <w:sz w:val="28"/>
          <w:szCs w:val="28"/>
          <w:lang w:val="uk-UA"/>
        </w:rPr>
        <w:t>здоров</w:t>
      </w:r>
      <w:r w:rsidRPr="002E6ECA">
        <w:rPr>
          <w:spacing w:val="-2"/>
          <w:sz w:val="28"/>
          <w:szCs w:val="28"/>
          <w:lang w:val="uk-UA"/>
        </w:rPr>
        <w:t xml:space="preserve">ого харчування у шкільних їдальнях. В Італії директори шкіл відповідають за формування </w:t>
      </w:r>
      <w:r w:rsidRPr="002E6ECA">
        <w:rPr>
          <w:rStyle w:val="highlight"/>
          <w:spacing w:val="-2"/>
          <w:sz w:val="28"/>
          <w:szCs w:val="28"/>
          <w:lang w:val="uk-UA"/>
        </w:rPr>
        <w:t>здоров</w:t>
      </w:r>
      <w:r w:rsidRPr="002E6ECA">
        <w:rPr>
          <w:spacing w:val="-2"/>
          <w:sz w:val="28"/>
          <w:szCs w:val="28"/>
          <w:lang w:val="uk-UA"/>
        </w:rPr>
        <w:t>ого способу життя школярів і профілактику наркоманії [</w:t>
      </w:r>
      <w:r w:rsidR="00DA18CD" w:rsidRPr="002E6ECA">
        <w:rPr>
          <w:sz w:val="28"/>
          <w:szCs w:val="28"/>
        </w:rPr>
        <w:t>273</w:t>
      </w:r>
      <w:r w:rsidRPr="002E6ECA">
        <w:rPr>
          <w:spacing w:val="-2"/>
          <w:sz w:val="28"/>
          <w:szCs w:val="28"/>
          <w:lang w:val="uk-UA"/>
        </w:rPr>
        <w:t>].</w:t>
      </w:r>
    </w:p>
    <w:p w:rsidR="00E33723" w:rsidRPr="002E6ECA" w:rsidRDefault="00E33723" w:rsidP="00E33723">
      <w:pPr>
        <w:autoSpaceDE w:val="0"/>
        <w:autoSpaceDN w:val="0"/>
        <w:adjustRightInd w:val="0"/>
        <w:spacing w:line="360" w:lineRule="auto"/>
        <w:ind w:firstLine="709"/>
        <w:jc w:val="both"/>
        <w:rPr>
          <w:sz w:val="28"/>
          <w:szCs w:val="28"/>
          <w:lang w:val="uk-UA"/>
        </w:rPr>
      </w:pPr>
      <w:r w:rsidRPr="002E6ECA">
        <w:rPr>
          <w:sz w:val="28"/>
          <w:szCs w:val="28"/>
          <w:lang w:val="uk-UA"/>
        </w:rPr>
        <w:t>Кожен учень розглядається як окрема особистість із притаманними тільки йому здібностями і можливостями, в зв'язку з цим проєктуються варіанти навчання з урахуванням даних особливостей для максимального розвитку дитини [</w:t>
      </w:r>
      <w:r w:rsidR="00DA18CD" w:rsidRPr="002E6ECA">
        <w:rPr>
          <w:sz w:val="28"/>
          <w:szCs w:val="28"/>
          <w:lang w:val="uk-UA"/>
        </w:rPr>
        <w:t>271</w:t>
      </w:r>
      <w:r w:rsidRPr="002E6ECA">
        <w:rPr>
          <w:sz w:val="28"/>
          <w:szCs w:val="28"/>
          <w:lang w:val="uk-UA"/>
        </w:rPr>
        <w:t>].</w:t>
      </w:r>
    </w:p>
    <w:p w:rsidR="00E33723" w:rsidRPr="002E6ECA" w:rsidRDefault="00E33723" w:rsidP="00E33723">
      <w:pPr>
        <w:spacing w:line="360" w:lineRule="auto"/>
        <w:ind w:firstLine="709"/>
        <w:jc w:val="both"/>
        <w:rPr>
          <w:b/>
          <w:bCs/>
          <w:sz w:val="28"/>
          <w:szCs w:val="28"/>
          <w:lang w:val="uk-UA"/>
        </w:rPr>
      </w:pPr>
      <w:r w:rsidRPr="002E6ECA">
        <w:rPr>
          <w:sz w:val="28"/>
          <w:szCs w:val="28"/>
          <w:lang w:val="uk-UA"/>
        </w:rPr>
        <w:t>Особлива увага приділяється обдарованим дітям, які відчувають в школі дискримінацію через часткової відсутності диференційованого навчання, через орієнтації школи на середнього учня, через надмірну уніфікацію програм, в яких погано передбачені або зовсім не враховуються індивідуальні можливості засвоєння знань. Тому американські вчені звертають увагу на наявність наступних стратегій навчання: «прискорення», «збагачення», «міждисциплінарне навчання» [</w:t>
      </w:r>
      <w:r w:rsidR="00DA18CD" w:rsidRPr="002E6ECA">
        <w:rPr>
          <w:sz w:val="28"/>
          <w:szCs w:val="28"/>
        </w:rPr>
        <w:t>186</w:t>
      </w:r>
      <w:r w:rsidRPr="002E6ECA">
        <w:rPr>
          <w:sz w:val="28"/>
          <w:szCs w:val="28"/>
          <w:lang w:val="uk-UA"/>
        </w:rPr>
        <w:t>].</w:t>
      </w:r>
    </w:p>
    <w:p w:rsidR="00E33723" w:rsidRPr="002E6ECA" w:rsidRDefault="00E33723" w:rsidP="00E33723">
      <w:pPr>
        <w:spacing w:line="360" w:lineRule="auto"/>
        <w:ind w:firstLine="709"/>
        <w:contextualSpacing/>
        <w:jc w:val="both"/>
        <w:rPr>
          <w:sz w:val="28"/>
          <w:szCs w:val="28"/>
          <w:lang w:val="uk-UA"/>
        </w:rPr>
      </w:pPr>
      <w:r w:rsidRPr="002E6ECA">
        <w:rPr>
          <w:i/>
          <w:sz w:val="28"/>
          <w:szCs w:val="28"/>
          <w:lang w:val="uk-UA"/>
        </w:rPr>
        <w:t>Медичні аспекти навчання школярів за новітніми освітніми технологіями.</w:t>
      </w:r>
      <w:r w:rsidRPr="002E6ECA">
        <w:rPr>
          <w:sz w:val="28"/>
          <w:szCs w:val="28"/>
          <w:lang w:val="uk-UA"/>
        </w:rPr>
        <w:t xml:space="preserve"> В багатьох країнах світу інтенсивно розвиваються і впроваджуються в життя нові навчально-педагогічні програми, спрямовані на академічно обдарованих і здібних дітей, а саме меритократичну освіту, концепція якої полягає в положенні про визначальну роль інтелектуальної еліти в забезпеченні мощі і процвітання держави [</w:t>
      </w:r>
      <w:r w:rsidR="00DA18CD" w:rsidRPr="002E6ECA">
        <w:rPr>
          <w:sz w:val="28"/>
          <w:szCs w:val="28"/>
          <w:lang w:val="uk-UA"/>
        </w:rPr>
        <w:t>75, 267</w:t>
      </w:r>
      <w:r w:rsidRPr="002E6ECA">
        <w:rPr>
          <w:sz w:val="28"/>
          <w:szCs w:val="28"/>
          <w:lang w:val="uk-UA"/>
        </w:rPr>
        <w:t xml:space="preserve">]. </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За результатами аналітичного огляду наукової літератури встановлено наступне. У науковій педагогічній та медичній світовій та вітчизняній </w:t>
      </w:r>
      <w:r w:rsidRPr="002E6ECA">
        <w:rPr>
          <w:sz w:val="28"/>
          <w:szCs w:val="28"/>
          <w:lang w:val="uk-UA"/>
        </w:rPr>
        <w:lastRenderedPageBreak/>
        <w:t>літературі опубліковано чимало даних стосовно різних аспектів стану здоров’я обдарованих дітей та підлітків, накопичені факти, які свідчать про вплив генетичних, психічних, психологічних та соціальних чинників на формування інтелекту дитини та його здоров’я. Разом с тим медичні аспекти цих взаємозв’язків повинні уточнюватись. Так, за дослідженням Венцель Л.Р. [</w:t>
      </w:r>
      <w:r w:rsidR="00DA18CD" w:rsidRPr="002E6ECA">
        <w:rPr>
          <w:sz w:val="28"/>
          <w:szCs w:val="28"/>
          <w:lang w:val="uk-UA"/>
        </w:rPr>
        <w:t>30</w:t>
      </w:r>
      <w:r w:rsidRPr="002E6ECA">
        <w:rPr>
          <w:sz w:val="28"/>
          <w:szCs w:val="28"/>
          <w:lang w:val="uk-UA"/>
        </w:rPr>
        <w:t>] показано зниження загальної реактивності і напруженість адаптаційних механізмів у цієї групи дітей, яке характеризується підвищенням у них гострої респіраторної захворюваності протягом періоду навчання.</w:t>
      </w:r>
    </w:p>
    <w:p w:rsidR="00E33723" w:rsidRPr="002E6ECA" w:rsidRDefault="00E33723" w:rsidP="00E33723">
      <w:pPr>
        <w:spacing w:line="360" w:lineRule="auto"/>
        <w:ind w:firstLine="709"/>
        <w:jc w:val="both"/>
        <w:rPr>
          <w:sz w:val="28"/>
          <w:szCs w:val="28"/>
          <w:lang w:val="uk-UA"/>
        </w:rPr>
      </w:pPr>
      <w:r w:rsidRPr="002E6ECA">
        <w:rPr>
          <w:sz w:val="28"/>
          <w:szCs w:val="28"/>
          <w:lang w:val="uk-UA"/>
        </w:rPr>
        <w:t>Розроблені методичні рекомендації щодо збереження психічного здоров’я здібних та обдарованих дітей, у яких розглянуто теоретичні і практичні питання щодо їх психологічного супроводу в навчальному закладі, фактори уразливості цих дітей, види психологічної допомоги [</w:t>
      </w:r>
      <w:r w:rsidR="00DA18CD" w:rsidRPr="002E6ECA">
        <w:rPr>
          <w:sz w:val="28"/>
          <w:szCs w:val="28"/>
          <w:lang w:val="uk-UA"/>
        </w:rPr>
        <w:t>30, 33, 52, 75, 77, 117, 133, 150, 167, 196, 266</w:t>
      </w:r>
      <w:r w:rsidRPr="002E6ECA">
        <w:rPr>
          <w:sz w:val="28"/>
          <w:szCs w:val="28"/>
          <w:lang w:val="uk-UA"/>
        </w:rPr>
        <w:t xml:space="preserve">]. </w:t>
      </w:r>
    </w:p>
    <w:p w:rsidR="00E33723" w:rsidRPr="002E6ECA" w:rsidRDefault="00E33723" w:rsidP="00E33723">
      <w:pPr>
        <w:spacing w:line="360" w:lineRule="auto"/>
        <w:ind w:firstLine="709"/>
        <w:jc w:val="both"/>
        <w:rPr>
          <w:sz w:val="28"/>
          <w:szCs w:val="28"/>
          <w:lang w:val="uk-UA"/>
        </w:rPr>
      </w:pPr>
      <w:r w:rsidRPr="002E6ECA">
        <w:rPr>
          <w:sz w:val="28"/>
          <w:szCs w:val="28"/>
          <w:lang w:val="uk-UA"/>
        </w:rPr>
        <w:t>За результатами дослідницьких робіт доведено, що найбільш негативний вплив на формування здоров’я обдарованої дитини надають шкільні фактори організації навчального процесу, серед яких найвпливовішими є: інтенсифікація навчального процесу, нераціональна організація навчальної діяльності, педагогічна тактика, відсутність системи роботи з формування цінності здоров'я та здорового способу життя у учнів [</w:t>
      </w:r>
      <w:r w:rsidR="00DA18CD" w:rsidRPr="002E6ECA">
        <w:rPr>
          <w:sz w:val="28"/>
          <w:szCs w:val="28"/>
          <w:lang w:val="uk-UA"/>
        </w:rPr>
        <w:t>33, 75, 77, 150</w:t>
      </w:r>
      <w:r w:rsidRPr="002E6ECA">
        <w:rPr>
          <w:sz w:val="28"/>
          <w:szCs w:val="28"/>
          <w:lang w:val="uk-UA"/>
        </w:rPr>
        <w:t>]. Надано медико-соціальні характеристики родинам, у яких виховуються обдаровані підлітки. Ці родини відрізняються високим культурним рівнем, медичної активністю, довірчими стосунками у вихованні своїх дітей. На формування психосоматичних розладів у інтелектуально обдарованих підлітків впливають особливості перинатальних факторів, таких як: вік матері до 30 років, несприятливий перебіг вагітності (загроза переривання вагітності, токсикоз, наявність хронічної патології у матерів) і особливості розвитку до 1 року (перинатальна енцефалопатія, погана прибавка у вазі і випередження в зростанні) [</w:t>
      </w:r>
      <w:r w:rsidR="00DA18CD" w:rsidRPr="002E6ECA">
        <w:rPr>
          <w:sz w:val="28"/>
          <w:szCs w:val="28"/>
          <w:lang w:val="uk-UA"/>
        </w:rPr>
        <w:t>77</w:t>
      </w:r>
      <w:r w:rsidRPr="002E6ECA">
        <w:rPr>
          <w:sz w:val="28"/>
          <w:szCs w:val="28"/>
          <w:lang w:val="uk-UA"/>
        </w:rPr>
        <w:t>].</w:t>
      </w:r>
    </w:p>
    <w:p w:rsidR="00E33723" w:rsidRPr="002E6ECA" w:rsidRDefault="00E33723" w:rsidP="00E33723">
      <w:pPr>
        <w:spacing w:line="360" w:lineRule="auto"/>
        <w:ind w:firstLine="709"/>
        <w:jc w:val="both"/>
        <w:rPr>
          <w:rStyle w:val="fontstyle01"/>
          <w:b w:val="0"/>
          <w:color w:val="auto"/>
          <w:sz w:val="28"/>
          <w:szCs w:val="28"/>
          <w:lang w:val="uk-UA"/>
        </w:rPr>
      </w:pPr>
      <w:r w:rsidRPr="002E6ECA">
        <w:rPr>
          <w:rStyle w:val="fontstyle01"/>
          <w:b w:val="0"/>
          <w:color w:val="auto"/>
          <w:sz w:val="28"/>
          <w:szCs w:val="28"/>
          <w:lang w:val="uk-UA"/>
        </w:rPr>
        <w:t xml:space="preserve">Визначення медичних аспектів впровадження новітніх технологій на різних етапах навчання у закладах середньої освіти постають вкрай </w:t>
      </w:r>
      <w:r w:rsidRPr="002E6ECA">
        <w:rPr>
          <w:rStyle w:val="fontstyle01"/>
          <w:b w:val="0"/>
          <w:color w:val="auto"/>
          <w:sz w:val="28"/>
          <w:szCs w:val="28"/>
          <w:lang w:val="uk-UA"/>
        </w:rPr>
        <w:lastRenderedPageBreak/>
        <w:t>необхідними, оскільки відсутність медичного супроводу, гігієнічної регламентації, може поглиблювати наявні проблеми у здоров’ї школярів та їх фізичному і психічному розвитку.</w:t>
      </w:r>
    </w:p>
    <w:p w:rsidR="00E33723" w:rsidRPr="002E6ECA" w:rsidRDefault="00E33723" w:rsidP="00E33723">
      <w:pPr>
        <w:spacing w:line="360" w:lineRule="auto"/>
        <w:ind w:firstLine="709"/>
        <w:jc w:val="both"/>
        <w:rPr>
          <w:sz w:val="28"/>
          <w:szCs w:val="28"/>
          <w:lang w:val="uk-UA"/>
        </w:rPr>
      </w:pPr>
      <w:r w:rsidRPr="002E6ECA">
        <w:rPr>
          <w:sz w:val="28"/>
          <w:szCs w:val="28"/>
          <w:lang w:val="uk-UA"/>
        </w:rPr>
        <w:t>Все це підтверджують численні гігієнічні оцінки і нових, і старих навчальних програм «традиційного» типу, що діють в більшості освітніх установ; результати цих досліджень свідчили про несприятливий вплив існуючих педагогічних технологій на центральну нервову систему, зростання астеноневротичних реакцій і симптомів дисфункції соматичних систем у учнів як протягом навчального року, так і у віковому аспекті [</w:t>
      </w:r>
      <w:r w:rsidR="00DA18CD" w:rsidRPr="002E6ECA">
        <w:rPr>
          <w:sz w:val="28"/>
          <w:szCs w:val="28"/>
          <w:lang w:val="uk-UA"/>
        </w:rPr>
        <w:t>117</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 xml:space="preserve">Медичні аспекти впровадження вальдорфської педагогічної технології та її гігієнічні аспекти відображено у дисертаційному дослідженні </w:t>
      </w:r>
      <w:r w:rsidR="003845ED" w:rsidRPr="002E6ECA">
        <w:rPr>
          <w:sz w:val="28"/>
          <w:szCs w:val="28"/>
          <w:lang w:val="uk-UA"/>
        </w:rPr>
        <w:t>С.В.</w:t>
      </w:r>
      <w:r w:rsidR="003845ED" w:rsidRPr="002E6ECA">
        <w:rPr>
          <w:sz w:val="28"/>
          <w:szCs w:val="28"/>
          <w:lang w:val="en-US"/>
        </w:rPr>
        <w:t> </w:t>
      </w:r>
      <w:r w:rsidRPr="002E6ECA">
        <w:rPr>
          <w:sz w:val="28"/>
          <w:szCs w:val="28"/>
          <w:lang w:val="uk-UA"/>
        </w:rPr>
        <w:t>Гозак</w:t>
      </w:r>
      <w:r w:rsidR="00CE5CE5" w:rsidRPr="002E6ECA">
        <w:rPr>
          <w:sz w:val="28"/>
          <w:szCs w:val="28"/>
          <w:lang w:val="uk-UA"/>
        </w:rPr>
        <w:t>.</w:t>
      </w:r>
      <w:r w:rsidRPr="002E6ECA">
        <w:rPr>
          <w:sz w:val="28"/>
          <w:szCs w:val="28"/>
          <w:lang w:val="uk-UA"/>
        </w:rPr>
        <w:t xml:space="preserve"> Встановлено позитивний вплив на стан здоров’я та позиціонування вальдорфської педагогіки як здоров’язберігаючої технології навчання. Доведено позитивний адаптогенний вплив вальдорфської педагогічної технології на організм молодших школярів за показниками індексу соматичного здоров’я, фізичного розвитку, зростанням кількості учнів із задовільним адаптаційним потенціалом, високим рівнем розумової працездатності, більш низьким рівнем тривожності порівняно з традиційною системою освіти [</w:t>
      </w:r>
      <w:r w:rsidR="00DA18CD" w:rsidRPr="002E6ECA">
        <w:rPr>
          <w:sz w:val="28"/>
          <w:szCs w:val="28"/>
          <w:lang w:val="uk-UA"/>
        </w:rPr>
        <w:t>45</w:t>
      </w:r>
      <w:r w:rsidRPr="002E6ECA">
        <w:rPr>
          <w:sz w:val="28"/>
          <w:szCs w:val="28"/>
          <w:lang w:val="uk-UA"/>
        </w:rPr>
        <w:t>].</w:t>
      </w:r>
    </w:p>
    <w:p w:rsidR="00E33723" w:rsidRPr="002E6ECA" w:rsidRDefault="00E33723" w:rsidP="00E33723">
      <w:pPr>
        <w:spacing w:line="360" w:lineRule="auto"/>
        <w:ind w:firstLine="709"/>
        <w:jc w:val="both"/>
        <w:rPr>
          <w:sz w:val="28"/>
          <w:szCs w:val="28"/>
          <w:lang w:val="uk-UA"/>
        </w:rPr>
      </w:pPr>
      <w:r w:rsidRPr="002E6ECA">
        <w:rPr>
          <w:sz w:val="28"/>
          <w:szCs w:val="28"/>
          <w:lang w:val="uk-UA"/>
        </w:rPr>
        <w:t>При порівняльному аналізі розвивальних програм встановлено, що більш щадним для здоров’я та самопочуття постає чотирирічний варіант програми розвиваючого навчання, але не зважаючи на більшу напруженість програми в учнів реєструвалась більш висока розумова працездатність, сприятлива вегетативна регуляція серцевого ритму, менша поширеність ознак дезадаптації центральної нервової системи та тривожності [</w:t>
      </w:r>
      <w:r w:rsidR="00DA18CD" w:rsidRPr="002E6ECA">
        <w:rPr>
          <w:sz w:val="28"/>
          <w:szCs w:val="28"/>
          <w:lang w:val="uk-UA"/>
        </w:rPr>
        <w:t>117</w:t>
      </w:r>
      <w:r w:rsidRPr="002E6ECA">
        <w:rPr>
          <w:sz w:val="28"/>
          <w:szCs w:val="28"/>
          <w:lang w:val="uk-UA"/>
        </w:rPr>
        <w:t xml:space="preserve">]. </w:t>
      </w:r>
    </w:p>
    <w:p w:rsidR="00E33723" w:rsidRPr="002E6ECA" w:rsidRDefault="00E33723" w:rsidP="00E33723">
      <w:pPr>
        <w:spacing w:line="360" w:lineRule="auto"/>
        <w:ind w:firstLine="709"/>
        <w:jc w:val="both"/>
        <w:rPr>
          <w:sz w:val="28"/>
          <w:szCs w:val="28"/>
          <w:lang w:val="uk-UA"/>
        </w:rPr>
      </w:pPr>
      <w:r w:rsidRPr="002E6ECA">
        <w:rPr>
          <w:sz w:val="28"/>
          <w:szCs w:val="28"/>
          <w:lang w:val="uk-UA"/>
        </w:rPr>
        <w:t>Таким чином на сьогоднішній день сформувались два окремих напрямк</w:t>
      </w:r>
      <w:r w:rsidR="00CE5CE5" w:rsidRPr="002E6ECA">
        <w:rPr>
          <w:sz w:val="28"/>
          <w:szCs w:val="28"/>
          <w:lang w:val="uk-UA"/>
        </w:rPr>
        <w:t>и</w:t>
      </w:r>
      <w:r w:rsidRPr="002E6ECA">
        <w:rPr>
          <w:sz w:val="28"/>
          <w:szCs w:val="28"/>
          <w:lang w:val="uk-UA"/>
        </w:rPr>
        <w:t xml:space="preserve"> досліджень, що стосуються вивчення, з одного боку, психолого-педагогічних аспектів навчання дітей за інноваційними освітніми технологіями, а з іншого – стану здоров’я школярів. Проте проведено лише поодинокі дослідження де ці обидва напрямки об’єднані та визначається безпосередній вплив навчального </w:t>
      </w:r>
      <w:r w:rsidRPr="002E6ECA">
        <w:rPr>
          <w:sz w:val="28"/>
          <w:szCs w:val="28"/>
          <w:lang w:val="uk-UA"/>
        </w:rPr>
        <w:lastRenderedPageBreak/>
        <w:t>процесу за новими освітніми проєктами на порушення у морфофункціональному, психоемоційному та загальному стані здоров’я школярів, визначено чинники ризику навчального процесу та надано рекомендації щодо профілактики шкільної дезадаптації.</w:t>
      </w:r>
    </w:p>
    <w:p w:rsidR="00E33723" w:rsidRPr="002E6ECA" w:rsidRDefault="00E33723" w:rsidP="00E33723">
      <w:pPr>
        <w:spacing w:line="360" w:lineRule="auto"/>
        <w:ind w:firstLine="709"/>
        <w:jc w:val="both"/>
        <w:rPr>
          <w:sz w:val="28"/>
          <w:szCs w:val="28"/>
          <w:lang w:val="uk-UA"/>
        </w:rPr>
      </w:pPr>
    </w:p>
    <w:p w:rsidR="00E33723" w:rsidRPr="002E6ECA" w:rsidRDefault="00E33723" w:rsidP="00E33723">
      <w:pPr>
        <w:pStyle w:val="a3"/>
        <w:numPr>
          <w:ilvl w:val="1"/>
          <w:numId w:val="1"/>
        </w:numPr>
        <w:spacing w:line="360" w:lineRule="auto"/>
        <w:ind w:left="0" w:firstLine="709"/>
        <w:jc w:val="both"/>
        <w:rPr>
          <w:b/>
          <w:sz w:val="28"/>
          <w:szCs w:val="28"/>
          <w:lang w:val="uk-UA"/>
        </w:rPr>
      </w:pPr>
      <w:r w:rsidRPr="002E6ECA">
        <w:rPr>
          <w:b/>
          <w:sz w:val="28"/>
          <w:szCs w:val="28"/>
          <w:lang w:val="uk-UA"/>
        </w:rPr>
        <w:t>Медико-психологічний супровід навчання академічно здібних та обдарованих дітей</w:t>
      </w:r>
    </w:p>
    <w:p w:rsidR="00E33723" w:rsidRPr="002E6ECA" w:rsidRDefault="00E33723" w:rsidP="00E33723">
      <w:pPr>
        <w:spacing w:line="360" w:lineRule="auto"/>
        <w:ind w:firstLine="709"/>
        <w:contextualSpacing/>
        <w:jc w:val="both"/>
        <w:rPr>
          <w:spacing w:val="4"/>
          <w:sz w:val="28"/>
          <w:szCs w:val="28"/>
          <w:lang w:val="uk-UA"/>
        </w:rPr>
      </w:pPr>
      <w:r w:rsidRPr="002E6ECA">
        <w:rPr>
          <w:spacing w:val="4"/>
          <w:sz w:val="28"/>
          <w:szCs w:val="28"/>
          <w:lang w:val="uk-UA"/>
        </w:rPr>
        <w:t xml:space="preserve">Стрімкий розвиток інформаційно-комп’ютерних технологій в другій половині ХХ – початку ХХІ ст., як однієї із сфер творчої діяльності людини, що пронизує все наше буття (промисловість, сільське господарство, науково-технічний комплекс, озброєння, транспорт, медицину, комунікації, освіту, банківську справу, комерцію, послуги, побут тощо), природно, ставить дуже багато життєвих проблем, з якими суспільство буде мати справу і надалі. До таких проблем відносяться осмислення, у зв’язку із змінами, розуміння природи інформації, глобальним розширенням можливостей людського спілкування. Тому актуалізується питання про зростання вимог до здатності людини нестандартно, оригінально мислити, знаходити нові проблеми і незвичайні шляхи їх вирішення. Для вирішення цієї проблеми відбувається інтеграція багатьох країн світу у пошуках освітянських механізмів для навчання академічно здібних дітей, що відповідають концепції меритократичної освіти, яка припускає створення початкових умов для талановитих та цілеспрямованих людей, за яких вони в майбутньому матимуть можливість займати керівні посади в умовах вільної конкуренції. Тобто це та освітянська система, яка покликана створити сприятливі умови для соціально-психологічної адаптації дітей в оточуючому середовищі, реалізації їх потенціалу, його ефективного використання для розвитку усього суспільства. Бо саме обдаровані діти – це той потенціал, </w:t>
      </w:r>
      <w:r w:rsidR="005B7F24" w:rsidRPr="002E6ECA">
        <w:rPr>
          <w:spacing w:val="4"/>
          <w:sz w:val="28"/>
          <w:szCs w:val="28"/>
          <w:lang w:val="uk-UA"/>
        </w:rPr>
        <w:t>як</w:t>
      </w:r>
      <w:r w:rsidRPr="002E6ECA">
        <w:rPr>
          <w:spacing w:val="4"/>
          <w:sz w:val="28"/>
          <w:szCs w:val="28"/>
          <w:lang w:val="uk-UA"/>
        </w:rPr>
        <w:t>ий буде завжди продукувати виконання тих завдань, які ставить перед ними просунутий соціум.</w:t>
      </w:r>
    </w:p>
    <w:p w:rsidR="00E33723" w:rsidRPr="002E6ECA" w:rsidRDefault="00E33723" w:rsidP="00E33723">
      <w:pPr>
        <w:spacing w:line="360" w:lineRule="auto"/>
        <w:ind w:firstLine="709"/>
        <w:contextualSpacing/>
        <w:jc w:val="both"/>
        <w:rPr>
          <w:sz w:val="28"/>
          <w:szCs w:val="28"/>
          <w:lang w:val="uk-UA"/>
        </w:rPr>
      </w:pPr>
      <w:r w:rsidRPr="002E6ECA">
        <w:rPr>
          <w:sz w:val="28"/>
          <w:szCs w:val="28"/>
          <w:lang w:val="uk-UA"/>
        </w:rPr>
        <w:lastRenderedPageBreak/>
        <w:t>Відомо, що суспільство завжди потребувало і буде потребувати творчо обдарованих людей. Тому дослідження з психології, педагогіки, медицини, а саме талантів і здібностей дітей почали з’являтися досить пізно. Лише з середини XX ст. почалося узагальнення розробок, що накопичилися у психології, педагогіці, медицині даних про природу таланту і умовах, що забезпечують його розвиток.</w:t>
      </w:r>
    </w:p>
    <w:p w:rsidR="00692A0C" w:rsidRPr="002E6ECA" w:rsidRDefault="00692A0C" w:rsidP="00692A0C">
      <w:pPr>
        <w:spacing w:line="372" w:lineRule="auto"/>
        <w:ind w:firstLine="709"/>
        <w:jc w:val="both"/>
        <w:rPr>
          <w:rStyle w:val="word"/>
          <w:sz w:val="28"/>
          <w:szCs w:val="28"/>
          <w:lang w:val="uk-UA"/>
        </w:rPr>
      </w:pPr>
      <w:r w:rsidRPr="002E6ECA">
        <w:rPr>
          <w:rStyle w:val="word"/>
          <w:sz w:val="28"/>
          <w:szCs w:val="28"/>
          <w:lang w:val="uk-UA"/>
        </w:rPr>
        <w:t>Над</w:t>
      </w:r>
      <w:r w:rsidRPr="002E6ECA">
        <w:rPr>
          <w:sz w:val="28"/>
          <w:szCs w:val="28"/>
          <w:lang w:val="uk-UA"/>
        </w:rPr>
        <w:t xml:space="preserve"> </w:t>
      </w:r>
      <w:r w:rsidRPr="002E6ECA">
        <w:rPr>
          <w:rStyle w:val="word"/>
          <w:sz w:val="28"/>
          <w:szCs w:val="28"/>
          <w:lang w:val="uk-UA"/>
        </w:rPr>
        <w:t>проблемою</w:t>
      </w:r>
      <w:r w:rsidRPr="002E6ECA">
        <w:rPr>
          <w:sz w:val="28"/>
          <w:szCs w:val="28"/>
          <w:lang w:val="uk-UA"/>
        </w:rPr>
        <w:t xml:space="preserve"> </w:t>
      </w:r>
      <w:r w:rsidRPr="002E6ECA">
        <w:rPr>
          <w:rStyle w:val="word"/>
          <w:sz w:val="28"/>
          <w:szCs w:val="28"/>
          <w:lang w:val="uk-UA"/>
        </w:rPr>
        <w:t>обдарованості</w:t>
      </w:r>
      <w:r w:rsidRPr="002E6ECA">
        <w:rPr>
          <w:sz w:val="28"/>
          <w:szCs w:val="28"/>
          <w:lang w:val="uk-UA"/>
        </w:rPr>
        <w:t xml:space="preserve"> </w:t>
      </w:r>
      <w:r w:rsidRPr="002E6ECA">
        <w:rPr>
          <w:rStyle w:val="word"/>
          <w:sz w:val="28"/>
          <w:szCs w:val="28"/>
          <w:lang w:val="uk-UA"/>
        </w:rPr>
        <w:t>за</w:t>
      </w:r>
      <w:r w:rsidRPr="002E6ECA">
        <w:rPr>
          <w:sz w:val="28"/>
          <w:szCs w:val="28"/>
          <w:lang w:val="uk-UA"/>
        </w:rPr>
        <w:t xml:space="preserve"> </w:t>
      </w:r>
      <w:r w:rsidRPr="002E6ECA">
        <w:rPr>
          <w:rStyle w:val="word"/>
          <w:sz w:val="28"/>
          <w:szCs w:val="28"/>
          <w:lang w:val="uk-UA"/>
        </w:rPr>
        <w:t>кордоном</w:t>
      </w:r>
      <w:r w:rsidRPr="002E6ECA">
        <w:rPr>
          <w:sz w:val="28"/>
          <w:szCs w:val="28"/>
          <w:lang w:val="uk-UA"/>
        </w:rPr>
        <w:t xml:space="preserve"> </w:t>
      </w:r>
      <w:r w:rsidRPr="002E6ECA">
        <w:rPr>
          <w:rStyle w:val="word"/>
          <w:sz w:val="28"/>
          <w:szCs w:val="28"/>
          <w:lang w:val="uk-UA"/>
        </w:rPr>
        <w:t>працюють</w:t>
      </w:r>
      <w:r w:rsidRPr="002E6ECA">
        <w:rPr>
          <w:sz w:val="28"/>
          <w:szCs w:val="28"/>
          <w:lang w:val="uk-UA"/>
        </w:rPr>
        <w:t xml:space="preserve"> </w:t>
      </w:r>
      <w:r w:rsidRPr="002E6ECA">
        <w:rPr>
          <w:rStyle w:val="word"/>
          <w:sz w:val="28"/>
          <w:szCs w:val="28"/>
          <w:lang w:val="uk-UA"/>
        </w:rPr>
        <w:t>дослідники</w:t>
      </w:r>
      <w:r w:rsidRPr="002E6ECA">
        <w:rPr>
          <w:sz w:val="28"/>
          <w:szCs w:val="28"/>
          <w:lang w:val="uk-UA"/>
        </w:rPr>
        <w:t xml:space="preserve"> </w:t>
      </w:r>
      <w:r w:rsidRPr="002E6ECA">
        <w:rPr>
          <w:rStyle w:val="word"/>
          <w:sz w:val="28"/>
          <w:szCs w:val="28"/>
          <w:lang w:val="uk-UA"/>
        </w:rPr>
        <w:t>США</w:t>
      </w:r>
      <w:r w:rsidRPr="002E6ECA">
        <w:rPr>
          <w:sz w:val="28"/>
          <w:szCs w:val="28"/>
          <w:lang w:val="uk-UA"/>
        </w:rPr>
        <w:t xml:space="preserve"> </w:t>
      </w:r>
      <w:r w:rsidRPr="002E6ECA">
        <w:rPr>
          <w:rStyle w:val="word"/>
          <w:sz w:val="28"/>
          <w:szCs w:val="28"/>
          <w:lang w:val="uk-UA"/>
        </w:rPr>
        <w:t>та</w:t>
      </w:r>
      <w:r w:rsidRPr="002E6ECA">
        <w:rPr>
          <w:sz w:val="28"/>
          <w:szCs w:val="28"/>
          <w:lang w:val="uk-UA"/>
        </w:rPr>
        <w:t xml:space="preserve"> </w:t>
      </w:r>
      <w:r w:rsidRPr="002E6ECA">
        <w:rPr>
          <w:rStyle w:val="word"/>
          <w:sz w:val="28"/>
          <w:szCs w:val="28"/>
          <w:lang w:val="uk-UA"/>
        </w:rPr>
        <w:t>деяких</w:t>
      </w:r>
      <w:r w:rsidRPr="002E6ECA">
        <w:rPr>
          <w:sz w:val="28"/>
          <w:szCs w:val="28"/>
          <w:lang w:val="uk-UA"/>
        </w:rPr>
        <w:t xml:space="preserve"> </w:t>
      </w:r>
      <w:r w:rsidRPr="002E6ECA">
        <w:rPr>
          <w:rStyle w:val="word"/>
          <w:sz w:val="28"/>
          <w:szCs w:val="28"/>
          <w:lang w:val="uk-UA"/>
        </w:rPr>
        <w:t>країн</w:t>
      </w:r>
      <w:r w:rsidRPr="002E6ECA">
        <w:rPr>
          <w:sz w:val="28"/>
          <w:szCs w:val="28"/>
          <w:lang w:val="uk-UA"/>
        </w:rPr>
        <w:t xml:space="preserve"> </w:t>
      </w:r>
      <w:r w:rsidRPr="002E6ECA">
        <w:rPr>
          <w:rStyle w:val="word"/>
          <w:sz w:val="28"/>
          <w:szCs w:val="28"/>
          <w:lang w:val="uk-UA"/>
        </w:rPr>
        <w:t>Європи</w:t>
      </w:r>
      <w:r w:rsidRPr="002E6ECA">
        <w:rPr>
          <w:sz w:val="28"/>
          <w:szCs w:val="28"/>
          <w:lang w:val="uk-UA"/>
        </w:rPr>
        <w:t xml:space="preserve">. </w:t>
      </w:r>
      <w:r w:rsidRPr="002E6ECA">
        <w:rPr>
          <w:rStyle w:val="word"/>
          <w:sz w:val="28"/>
          <w:szCs w:val="28"/>
          <w:lang w:val="uk-UA"/>
        </w:rPr>
        <w:t>Перш</w:t>
      </w:r>
      <w:r w:rsidRPr="002E6ECA">
        <w:rPr>
          <w:sz w:val="28"/>
          <w:szCs w:val="28"/>
          <w:lang w:val="uk-UA"/>
        </w:rPr>
        <w:t xml:space="preserve"> </w:t>
      </w:r>
      <w:r w:rsidRPr="002E6ECA">
        <w:rPr>
          <w:rStyle w:val="word"/>
          <w:sz w:val="28"/>
          <w:szCs w:val="28"/>
          <w:lang w:val="uk-UA"/>
        </w:rPr>
        <w:t>за</w:t>
      </w:r>
      <w:r w:rsidRPr="002E6ECA">
        <w:rPr>
          <w:sz w:val="28"/>
          <w:szCs w:val="28"/>
          <w:lang w:val="uk-UA"/>
        </w:rPr>
        <w:t xml:space="preserve"> </w:t>
      </w:r>
      <w:r w:rsidRPr="002E6ECA">
        <w:rPr>
          <w:rStyle w:val="word"/>
          <w:sz w:val="28"/>
          <w:szCs w:val="28"/>
          <w:lang w:val="uk-UA"/>
        </w:rPr>
        <w:t>все</w:t>
      </w:r>
      <w:r w:rsidRPr="002E6ECA">
        <w:rPr>
          <w:sz w:val="28"/>
          <w:szCs w:val="28"/>
          <w:lang w:val="uk-UA"/>
        </w:rPr>
        <w:t xml:space="preserve">, </w:t>
      </w:r>
      <w:r w:rsidRPr="002E6ECA">
        <w:rPr>
          <w:rStyle w:val="word"/>
          <w:sz w:val="28"/>
          <w:szCs w:val="28"/>
          <w:lang w:val="uk-UA"/>
        </w:rPr>
        <w:t xml:space="preserve">Комітетом із освіти США у 1972 р. опубліковано визначення такої дефініції як обдарованості: талановитими та обдарованими дітьми за оцінкою досвідчених фахівців слід вважати таких, які мають відповідний потенціал та/або спроможні демонструвати видатні здібності в декількох </w:t>
      </w:r>
      <w:r w:rsidRPr="002E6ECA">
        <w:rPr>
          <w:rStyle w:val="word"/>
          <w:sz w:val="28"/>
          <w:szCs w:val="28"/>
        </w:rPr>
        <w:t xml:space="preserve">або </w:t>
      </w:r>
      <w:r w:rsidRPr="002E6ECA">
        <w:rPr>
          <w:rStyle w:val="word"/>
          <w:sz w:val="28"/>
          <w:szCs w:val="28"/>
          <w:lang w:val="uk-UA"/>
        </w:rPr>
        <w:t xml:space="preserve">хоча б в одній сфері діяльності. У цьому ж році американський дослідник-психолог С. Марленд [4] запропонував набір основних категорій обдарованості, серед яких були: загальний високий рівень інтелекту (тобто інтелектуальна обдарованість); </w:t>
      </w:r>
      <w:r w:rsidRPr="002E6ECA">
        <w:rPr>
          <w:rStyle w:val="word"/>
          <w:sz w:val="28"/>
          <w:szCs w:val="28"/>
        </w:rPr>
        <w:t>«профільна»</w:t>
      </w:r>
      <w:r w:rsidRPr="002E6ECA">
        <w:rPr>
          <w:rStyle w:val="word"/>
          <w:sz w:val="28"/>
          <w:szCs w:val="28"/>
          <w:lang w:val="uk-UA"/>
        </w:rPr>
        <w:t xml:space="preserve"> обдарованість; творчі та лідерські якості; продуктивне </w:t>
      </w:r>
      <w:r w:rsidRPr="002E6ECA">
        <w:rPr>
          <w:rStyle w:val="word"/>
          <w:sz w:val="28"/>
          <w:szCs w:val="28"/>
        </w:rPr>
        <w:t>мислення</w:t>
      </w:r>
      <w:r w:rsidRPr="002E6ECA">
        <w:rPr>
          <w:rStyle w:val="word"/>
          <w:sz w:val="28"/>
          <w:szCs w:val="28"/>
          <w:lang w:val="uk-UA"/>
        </w:rPr>
        <w:t xml:space="preserve">; здатність до візуалізації та виконавчих видів діяльності; психомоторні здібності. </w:t>
      </w:r>
    </w:p>
    <w:p w:rsidR="00692A0C" w:rsidRPr="002E6ECA" w:rsidRDefault="00692A0C" w:rsidP="00692A0C">
      <w:pPr>
        <w:spacing w:line="372" w:lineRule="auto"/>
        <w:ind w:firstLine="709"/>
        <w:jc w:val="both"/>
        <w:rPr>
          <w:rStyle w:val="word"/>
          <w:sz w:val="28"/>
          <w:szCs w:val="28"/>
          <w:lang w:val="uk-UA"/>
        </w:rPr>
      </w:pPr>
      <w:r w:rsidRPr="002E6ECA">
        <w:rPr>
          <w:rStyle w:val="word"/>
          <w:sz w:val="28"/>
          <w:szCs w:val="28"/>
          <w:lang w:val="uk-UA"/>
        </w:rPr>
        <w:t xml:space="preserve">Родзинкою його дослідження було те, що він диференційовано підходить до проблеми. Вчений </w:t>
      </w:r>
      <w:r w:rsidRPr="002E6ECA">
        <w:rPr>
          <w:rStyle w:val="word"/>
          <w:sz w:val="28"/>
          <w:szCs w:val="28"/>
        </w:rPr>
        <w:t>виокремлював дітей, які мали загальну та «вузькопрофільну» (специфічну за одним типом діяльності) обдарованість. При цьому</w:t>
      </w:r>
      <w:r w:rsidRPr="002E6ECA">
        <w:rPr>
          <w:rStyle w:val="word"/>
          <w:sz w:val="28"/>
          <w:szCs w:val="28"/>
          <w:lang w:val="uk-UA"/>
        </w:rPr>
        <w:t xml:space="preserve"> талант С. Марлендом визначався не тільки як здатність, а й як тенденцію до особистісного розвитку.</w:t>
      </w:r>
    </w:p>
    <w:p w:rsidR="00692A0C" w:rsidRPr="002E6ECA" w:rsidRDefault="00692A0C" w:rsidP="00692A0C">
      <w:pPr>
        <w:spacing w:line="372" w:lineRule="auto"/>
        <w:ind w:firstLine="709"/>
        <w:jc w:val="both"/>
        <w:rPr>
          <w:rStyle w:val="word"/>
          <w:sz w:val="28"/>
          <w:szCs w:val="28"/>
          <w:lang w:val="uk-UA"/>
        </w:rPr>
      </w:pPr>
      <w:r w:rsidRPr="002E6ECA">
        <w:rPr>
          <w:rStyle w:val="word"/>
          <w:sz w:val="28"/>
          <w:szCs w:val="28"/>
          <w:lang w:val="uk-UA"/>
        </w:rPr>
        <w:t>Конструктивні ідеї з проблеми дитячої обдарованості з’явилися в працях таких дослідників як О.Н. Лук (ідея виявлення схильності суб'єкта до тієї чи іншої діяльності); О.М. Матюшкін (ідея «проблемного навчання»); Н.Ф. Тализіна (ідея розвитку людини через створення умов її творчої діяльності); П.Я. Гальперин (ідея поетапного розвитку розумового розвитку дитини) [37, 115, 241, 258].</w:t>
      </w:r>
    </w:p>
    <w:p w:rsidR="00692A0C" w:rsidRPr="002E6ECA" w:rsidRDefault="00692A0C" w:rsidP="00692A0C">
      <w:pPr>
        <w:spacing w:line="372" w:lineRule="auto"/>
        <w:ind w:firstLine="709"/>
        <w:jc w:val="both"/>
        <w:rPr>
          <w:sz w:val="28"/>
          <w:szCs w:val="28"/>
          <w:lang w:val="uk-UA"/>
        </w:rPr>
      </w:pPr>
      <w:r w:rsidRPr="002E6ECA">
        <w:rPr>
          <w:rStyle w:val="word"/>
          <w:sz w:val="28"/>
          <w:szCs w:val="28"/>
          <w:lang w:val="uk-UA"/>
        </w:rPr>
        <w:lastRenderedPageBreak/>
        <w:t xml:space="preserve">У психології європейських країн проблема обдарованості розроблялася як психологія здібностей. Так, дослідниками Б.М. Тепловою та С.Л. Рубінштейном було  класифіковано поняття таланту, обдарованості та </w:t>
      </w:r>
      <w:r w:rsidRPr="002E6ECA">
        <w:rPr>
          <w:rStyle w:val="word"/>
          <w:sz w:val="28"/>
          <w:szCs w:val="28"/>
        </w:rPr>
        <w:t>з</w:t>
      </w:r>
      <w:r w:rsidRPr="002E6ECA">
        <w:rPr>
          <w:rStyle w:val="word"/>
          <w:sz w:val="28"/>
          <w:szCs w:val="28"/>
          <w:lang w:val="uk-UA"/>
        </w:rPr>
        <w:t>дібностей за єдиним знаменником успішності в діяльності: здатності, що формуються в діяльності на підставі задатків анатомо-фізіологічних</w:t>
      </w:r>
      <w:r w:rsidRPr="002E6ECA">
        <w:rPr>
          <w:rStyle w:val="word"/>
          <w:sz w:val="28"/>
          <w:szCs w:val="28"/>
        </w:rPr>
        <w:t xml:space="preserve">, </w:t>
      </w:r>
      <w:r w:rsidRPr="002E6ECA">
        <w:rPr>
          <w:rStyle w:val="word"/>
          <w:sz w:val="28"/>
          <w:szCs w:val="28"/>
          <w:lang w:val="uk-UA"/>
        </w:rPr>
        <w:t>індивідуально-психологічні особливостей дитини. [202</w:t>
      </w:r>
      <w:r w:rsidRPr="002E6ECA">
        <w:rPr>
          <w:sz w:val="28"/>
          <w:szCs w:val="28"/>
          <w:lang w:val="uk-UA"/>
        </w:rPr>
        <w:t xml:space="preserve">, </w:t>
      </w:r>
      <w:r w:rsidRPr="002E6ECA">
        <w:rPr>
          <w:rStyle w:val="word"/>
          <w:sz w:val="28"/>
          <w:szCs w:val="28"/>
          <w:lang w:val="uk-UA"/>
        </w:rPr>
        <w:t>243</w:t>
      </w:r>
      <w:r w:rsidRPr="002E6ECA">
        <w:rPr>
          <w:sz w:val="28"/>
          <w:szCs w:val="28"/>
          <w:lang w:val="uk-UA"/>
        </w:rPr>
        <w:t>].</w:t>
      </w:r>
    </w:p>
    <w:p w:rsidR="00E33723" w:rsidRPr="002E6ECA" w:rsidRDefault="00E33723" w:rsidP="00692A0C">
      <w:pPr>
        <w:spacing w:line="372" w:lineRule="auto"/>
        <w:ind w:firstLine="709"/>
        <w:contextualSpacing/>
        <w:jc w:val="both"/>
        <w:rPr>
          <w:sz w:val="28"/>
          <w:szCs w:val="28"/>
          <w:lang w:val="uk-UA"/>
        </w:rPr>
      </w:pPr>
      <w:r w:rsidRPr="002E6ECA">
        <w:rPr>
          <w:sz w:val="28"/>
          <w:szCs w:val="28"/>
          <w:lang w:val="uk-UA"/>
        </w:rPr>
        <w:t>Психолог В.Д.</w:t>
      </w:r>
      <w:r w:rsidR="007C2624" w:rsidRPr="002E6ECA">
        <w:rPr>
          <w:sz w:val="28"/>
          <w:szCs w:val="28"/>
          <w:lang w:val="uk-UA"/>
        </w:rPr>
        <w:t> </w:t>
      </w:r>
      <w:r w:rsidRPr="002E6ECA">
        <w:rPr>
          <w:sz w:val="28"/>
          <w:szCs w:val="28"/>
          <w:lang w:val="uk-UA"/>
        </w:rPr>
        <w:t>Шадриков на цій підставі зміг охарактеризувати обдарованість як цілісний прояв здібностей в діяльності, а також як загальну властивість інтегрованої в діяльності сукупність здібностей [</w:t>
      </w:r>
      <w:r w:rsidR="005B13E6" w:rsidRPr="002E6ECA">
        <w:rPr>
          <w:sz w:val="28"/>
          <w:szCs w:val="28"/>
          <w:lang w:val="uk-UA"/>
        </w:rPr>
        <w:t>259</w:t>
      </w:r>
      <w:r w:rsidRPr="002E6ECA">
        <w:rPr>
          <w:sz w:val="28"/>
          <w:szCs w:val="28"/>
          <w:lang w:val="uk-UA"/>
        </w:rPr>
        <w:t>].</w:t>
      </w:r>
    </w:p>
    <w:p w:rsidR="00E33723" w:rsidRPr="002E6ECA" w:rsidRDefault="00E33723" w:rsidP="00E33723">
      <w:pPr>
        <w:spacing w:line="360" w:lineRule="auto"/>
        <w:ind w:firstLine="709"/>
        <w:contextualSpacing/>
        <w:jc w:val="both"/>
        <w:rPr>
          <w:sz w:val="28"/>
          <w:szCs w:val="28"/>
          <w:lang w:val="uk-UA"/>
        </w:rPr>
      </w:pPr>
      <w:r w:rsidRPr="002E6ECA">
        <w:rPr>
          <w:sz w:val="28"/>
          <w:szCs w:val="28"/>
          <w:lang w:val="uk-UA"/>
        </w:rPr>
        <w:t>Цікавим є підхід психолога А.І.</w:t>
      </w:r>
      <w:r w:rsidR="007C2624" w:rsidRPr="002E6ECA">
        <w:rPr>
          <w:sz w:val="28"/>
          <w:szCs w:val="28"/>
          <w:lang w:val="uk-UA"/>
        </w:rPr>
        <w:t> </w:t>
      </w:r>
      <w:r w:rsidRPr="002E6ECA">
        <w:rPr>
          <w:sz w:val="28"/>
          <w:szCs w:val="28"/>
          <w:lang w:val="uk-UA"/>
        </w:rPr>
        <w:t>Матюшкіна. Він продукує концепцію творчої обдарованості. Вона дозволяє розглядати структурні елементи обдарованості, що характеризують творчість і творчий розвиток дитини. Він акцентує увагу на тому, що творчий потенціал особистості – основа для розвитку обдарованості; що творчий потенціал закладений в дитині з народження і розвивається в міру його дорослішання; його величина варіюється у різних дітей в залежності від їх індивідуальних особливостей, а це</w:t>
      </w:r>
      <w:r w:rsidR="00CE5CE5" w:rsidRPr="002E6ECA">
        <w:rPr>
          <w:sz w:val="28"/>
          <w:szCs w:val="28"/>
          <w:lang w:val="uk-UA"/>
        </w:rPr>
        <w:t xml:space="preserve"> </w:t>
      </w:r>
      <w:r w:rsidRPr="002E6ECA">
        <w:rPr>
          <w:sz w:val="28"/>
          <w:szCs w:val="28"/>
          <w:lang w:val="uk-UA"/>
        </w:rPr>
        <w:t>дозволяє: а) розкрити обдарованість як загальну передумову творчості в будь-якій професії; б) розглядати обдарованість як передумову становлення і розвитку творчої особистості [</w:t>
      </w:r>
      <w:r w:rsidR="005B13E6" w:rsidRPr="002E6ECA">
        <w:rPr>
          <w:sz w:val="28"/>
          <w:szCs w:val="28"/>
          <w:lang w:val="uk-UA"/>
        </w:rPr>
        <w:t>258</w:t>
      </w:r>
      <w:r w:rsidRPr="002E6ECA">
        <w:rPr>
          <w:sz w:val="28"/>
          <w:szCs w:val="28"/>
          <w:lang w:val="uk-UA"/>
        </w:rPr>
        <w:t>].</w:t>
      </w:r>
    </w:p>
    <w:p w:rsidR="00E33723" w:rsidRPr="002E6ECA" w:rsidRDefault="00E33723" w:rsidP="00E33723">
      <w:pPr>
        <w:spacing w:line="360" w:lineRule="auto"/>
        <w:ind w:right="214" w:firstLine="709"/>
        <w:jc w:val="both"/>
        <w:rPr>
          <w:sz w:val="28"/>
          <w:szCs w:val="28"/>
          <w:lang w:val="uk-UA"/>
        </w:rPr>
      </w:pPr>
      <w:r w:rsidRPr="002E6ECA">
        <w:rPr>
          <w:sz w:val="28"/>
          <w:szCs w:val="28"/>
          <w:lang w:val="uk-UA"/>
        </w:rPr>
        <w:t>В полі зору дослідників концентрується проблема культури, культурного середовища. Такі вчені-психологи як Л.С.</w:t>
      </w:r>
      <w:r w:rsidR="007C2624" w:rsidRPr="002E6ECA">
        <w:rPr>
          <w:sz w:val="28"/>
          <w:szCs w:val="28"/>
          <w:lang w:val="uk-UA"/>
        </w:rPr>
        <w:t> </w:t>
      </w:r>
      <w:r w:rsidRPr="002E6ECA">
        <w:rPr>
          <w:sz w:val="28"/>
          <w:szCs w:val="28"/>
          <w:lang w:val="uk-UA"/>
        </w:rPr>
        <w:t xml:space="preserve">Виготський вважав, що для успішного розвитку обдарованості дитини необхідно культурне середовище з його традиціями, мовою, невербальними здобутками, де обдарованість дитини могла б проявитися, перш за все, через мотивацію до діяльності з подальшим досягненням значущих для неї результатів. Тому основна домінанта такого підходу – це формування культурної обдарованості дитини. Вона полягає, перш за все, в тому, щоб, маючи </w:t>
      </w:r>
      <w:r w:rsidRPr="002E6ECA">
        <w:rPr>
          <w:spacing w:val="-3"/>
          <w:sz w:val="28"/>
          <w:szCs w:val="28"/>
          <w:lang w:val="uk-UA"/>
        </w:rPr>
        <w:t xml:space="preserve">від </w:t>
      </w:r>
      <w:r w:rsidRPr="002E6ECA">
        <w:rPr>
          <w:sz w:val="28"/>
          <w:szCs w:val="28"/>
          <w:lang w:val="uk-UA"/>
        </w:rPr>
        <w:t xml:space="preserve">природи середні або невисокі задатки, досягати за допомогою їх раціонального використання таких результатів, яких інша, культурно нерозвинена </w:t>
      </w:r>
      <w:r w:rsidRPr="002E6ECA">
        <w:rPr>
          <w:spacing w:val="-3"/>
          <w:sz w:val="28"/>
          <w:szCs w:val="28"/>
          <w:lang w:val="uk-UA"/>
        </w:rPr>
        <w:t xml:space="preserve">людина, </w:t>
      </w:r>
      <w:r w:rsidRPr="002E6ECA">
        <w:rPr>
          <w:sz w:val="28"/>
          <w:szCs w:val="28"/>
          <w:lang w:val="uk-UA"/>
        </w:rPr>
        <w:t>може досягти тільки за допомогою природних задатків, значно більш сильних [</w:t>
      </w:r>
      <w:r w:rsidR="005B13E6" w:rsidRPr="002E6ECA">
        <w:rPr>
          <w:sz w:val="28"/>
          <w:szCs w:val="28"/>
          <w:lang w:val="uk-UA"/>
        </w:rPr>
        <w:t>35</w:t>
      </w:r>
      <w:r w:rsidRPr="002E6ECA">
        <w:rPr>
          <w:sz w:val="28"/>
          <w:szCs w:val="28"/>
          <w:lang w:val="uk-UA"/>
        </w:rPr>
        <w:t>].</w:t>
      </w:r>
    </w:p>
    <w:p w:rsidR="00E33723" w:rsidRPr="002E6ECA" w:rsidRDefault="00E33723" w:rsidP="00E33723">
      <w:pPr>
        <w:spacing w:line="360" w:lineRule="auto"/>
        <w:ind w:right="38" w:firstLine="709"/>
        <w:jc w:val="both"/>
        <w:rPr>
          <w:spacing w:val="4"/>
          <w:sz w:val="28"/>
          <w:szCs w:val="28"/>
          <w:lang w:val="uk-UA"/>
        </w:rPr>
      </w:pPr>
      <w:r w:rsidRPr="002E6ECA">
        <w:rPr>
          <w:spacing w:val="4"/>
          <w:sz w:val="28"/>
          <w:szCs w:val="28"/>
          <w:lang w:val="uk-UA"/>
        </w:rPr>
        <w:lastRenderedPageBreak/>
        <w:t>Надзвичайно цікавим та креативним є підхід до вивчення і розвитку обдарованих дітей дослідника Н.С.</w:t>
      </w:r>
      <w:r w:rsidR="007C2624" w:rsidRPr="002E6ECA">
        <w:rPr>
          <w:spacing w:val="4"/>
          <w:sz w:val="28"/>
          <w:szCs w:val="28"/>
          <w:lang w:val="uk-UA"/>
        </w:rPr>
        <w:t> </w:t>
      </w:r>
      <w:r w:rsidRPr="002E6ECA">
        <w:rPr>
          <w:spacing w:val="4"/>
          <w:sz w:val="28"/>
          <w:szCs w:val="28"/>
          <w:lang w:val="uk-UA"/>
        </w:rPr>
        <w:t>Лейтеса. Він підходить до вирішення проблеми нетрадиційно, а саме порівнює розумовий розвиток обдарованих дітей з віковими особливостями звичайних школярів. Загальна обдарованість, на думку психолога, являє собою сукупність загальних здібностей. Спільними він називає розумові здібності людини, оскільки вони дуже широко проявляються в різних видах діяльності, а тому в цьому сенсі є загальними для різних видів занять. Тому розумова обдарованість характеризується таким рівнем інтелектуального розвитку, який значно перевершує вікові норми [</w:t>
      </w:r>
      <w:r w:rsidR="005B13E6" w:rsidRPr="002E6ECA">
        <w:rPr>
          <w:spacing w:val="4"/>
          <w:sz w:val="28"/>
          <w:szCs w:val="28"/>
          <w:lang w:val="uk-UA"/>
        </w:rPr>
        <w:t>113</w:t>
      </w:r>
      <w:r w:rsidRPr="002E6ECA">
        <w:rPr>
          <w:spacing w:val="4"/>
          <w:sz w:val="28"/>
          <w:szCs w:val="28"/>
          <w:lang w:val="uk-UA"/>
        </w:rPr>
        <w:t xml:space="preserve">]. </w:t>
      </w:r>
    </w:p>
    <w:p w:rsidR="00E33723" w:rsidRPr="002E6ECA" w:rsidRDefault="007C2624" w:rsidP="00E33723">
      <w:pPr>
        <w:spacing w:line="360" w:lineRule="auto"/>
        <w:ind w:right="38" w:firstLine="709"/>
        <w:jc w:val="both"/>
        <w:rPr>
          <w:sz w:val="28"/>
          <w:szCs w:val="28"/>
          <w:lang w:val="uk-UA"/>
        </w:rPr>
      </w:pPr>
      <w:r w:rsidRPr="002E6ECA">
        <w:rPr>
          <w:sz w:val="28"/>
          <w:szCs w:val="28"/>
          <w:lang w:val="uk-UA"/>
        </w:rPr>
        <w:t xml:space="preserve">Н.С. Лейтес </w:t>
      </w:r>
      <w:r w:rsidR="00E33723" w:rsidRPr="002E6ECA">
        <w:rPr>
          <w:sz w:val="28"/>
          <w:szCs w:val="28"/>
          <w:lang w:val="uk-UA"/>
        </w:rPr>
        <w:t xml:space="preserve">також відзначає, що саму дефініцію «обдарована дитина» не можна визнати нормованою, оскільки в ній чітко акцентується увага на якийсь природний дар, що отриманий при народженні. Відводити в розвитку обдарованості домінуючу роль біологічній детермінації ніяк неприпустимо, бо задатки (анатомо-фізіологічні особливості) самі по собі ще </w:t>
      </w:r>
      <w:r w:rsidR="00E33723" w:rsidRPr="002E6ECA">
        <w:rPr>
          <w:spacing w:val="3"/>
          <w:sz w:val="28"/>
          <w:szCs w:val="28"/>
          <w:lang w:val="uk-UA"/>
        </w:rPr>
        <w:t xml:space="preserve">не </w:t>
      </w:r>
      <w:r w:rsidR="00E33723" w:rsidRPr="002E6ECA">
        <w:rPr>
          <w:sz w:val="28"/>
          <w:szCs w:val="28"/>
          <w:lang w:val="uk-UA"/>
        </w:rPr>
        <w:t>зумовлюють майбутнє дитини, а саме формування і зростання здібностей відбувається в соціальній сфері. І це є аксіомою. При цьому психолог виділяє три категорії обдарованих дітей:</w:t>
      </w:r>
    </w:p>
    <w:p w:rsidR="00E33723" w:rsidRPr="002E6ECA" w:rsidRDefault="00E33723" w:rsidP="00E33723">
      <w:pPr>
        <w:pStyle w:val="a3"/>
        <w:numPr>
          <w:ilvl w:val="0"/>
          <w:numId w:val="11"/>
        </w:numPr>
        <w:spacing w:line="360" w:lineRule="auto"/>
        <w:ind w:right="40"/>
        <w:jc w:val="both"/>
        <w:rPr>
          <w:sz w:val="28"/>
          <w:szCs w:val="28"/>
          <w:lang w:val="uk-UA"/>
        </w:rPr>
      </w:pPr>
      <w:r w:rsidRPr="002E6ECA">
        <w:rPr>
          <w:sz w:val="28"/>
          <w:szCs w:val="28"/>
          <w:lang w:val="uk-UA"/>
        </w:rPr>
        <w:t>Діти з прискореним розумовим розвитком, що випереджає на кілька років календарний вік. Для них характерна вражаюча розумова активність, ненаситність пізнавальної потреби.</w:t>
      </w:r>
    </w:p>
    <w:p w:rsidR="00E33723" w:rsidRPr="002E6ECA" w:rsidRDefault="00E33723" w:rsidP="00E33723">
      <w:pPr>
        <w:pStyle w:val="a3"/>
        <w:numPr>
          <w:ilvl w:val="0"/>
          <w:numId w:val="11"/>
        </w:numPr>
        <w:spacing w:line="360" w:lineRule="auto"/>
        <w:ind w:right="40"/>
        <w:jc w:val="both"/>
        <w:rPr>
          <w:sz w:val="28"/>
          <w:szCs w:val="28"/>
          <w:lang w:val="uk-UA"/>
        </w:rPr>
      </w:pPr>
      <w:r w:rsidRPr="002E6ECA">
        <w:rPr>
          <w:sz w:val="28"/>
          <w:szCs w:val="28"/>
          <w:lang w:val="uk-UA"/>
        </w:rPr>
        <w:t>Діти з ранньою розумовою спеціалізацією – у них при звичайному загальному рівні інтелекту виявляється особлива прихильність до якої-небудь окремої галузі науки або техніки, в якій вони значно перевершують своїх однолітків по успішності навчання, тоді як інші розділи програми можуть викликати у них труднощі.</w:t>
      </w:r>
    </w:p>
    <w:p w:rsidR="00E33723" w:rsidRPr="002E6ECA" w:rsidRDefault="00E33723" w:rsidP="00E33723">
      <w:pPr>
        <w:pStyle w:val="a3"/>
        <w:numPr>
          <w:ilvl w:val="0"/>
          <w:numId w:val="11"/>
        </w:numPr>
        <w:spacing w:line="360" w:lineRule="auto"/>
        <w:ind w:right="40"/>
        <w:jc w:val="both"/>
        <w:rPr>
          <w:sz w:val="28"/>
          <w:szCs w:val="28"/>
          <w:lang w:val="uk-UA"/>
        </w:rPr>
      </w:pPr>
      <w:r w:rsidRPr="002E6ECA">
        <w:rPr>
          <w:sz w:val="28"/>
          <w:szCs w:val="28"/>
          <w:lang w:val="uk-UA"/>
        </w:rPr>
        <w:t>Діти з окремими неабиякими здібностями.</w:t>
      </w:r>
    </w:p>
    <w:p w:rsidR="00E33723" w:rsidRPr="002E6ECA" w:rsidRDefault="00E33723" w:rsidP="00E33723">
      <w:pPr>
        <w:spacing w:line="360" w:lineRule="auto"/>
        <w:ind w:left="112" w:right="212" w:firstLine="355"/>
        <w:jc w:val="both"/>
        <w:rPr>
          <w:sz w:val="28"/>
          <w:szCs w:val="28"/>
          <w:lang w:val="uk-UA"/>
        </w:rPr>
      </w:pPr>
      <w:r w:rsidRPr="002E6ECA">
        <w:rPr>
          <w:sz w:val="28"/>
          <w:szCs w:val="28"/>
          <w:lang w:val="uk-UA"/>
        </w:rPr>
        <w:t xml:space="preserve">Аналіз існуючих досліджень кінця ХХ ст. свідчить, що феномен дитячої обдарованості </w:t>
      </w:r>
      <w:r w:rsidRPr="002E6ECA">
        <w:rPr>
          <w:sz w:val="28"/>
          <w:szCs w:val="28"/>
          <w:lang w:val="uk-UA"/>
        </w:rPr>
        <w:sym w:font="Symbol" w:char="F02D"/>
      </w:r>
      <w:r w:rsidRPr="002E6ECA">
        <w:rPr>
          <w:sz w:val="28"/>
          <w:szCs w:val="28"/>
          <w:lang w:val="uk-UA"/>
        </w:rPr>
        <w:t xml:space="preserve"> це складне поліфонічне та багатогранне явище, яке потребує всебічного дослідження. Це ніби «пазл», який є якісно своєрідним </w:t>
      </w:r>
      <w:r w:rsidRPr="002E6ECA">
        <w:rPr>
          <w:sz w:val="28"/>
          <w:szCs w:val="28"/>
          <w:lang w:val="uk-UA"/>
        </w:rPr>
        <w:lastRenderedPageBreak/>
        <w:t>поєднанням здібностей, що забезпечують успішність виконання будь-якої діяльності</w:t>
      </w:r>
      <w:r w:rsidRPr="002E6ECA">
        <w:rPr>
          <w:i/>
          <w:iCs/>
          <w:sz w:val="28"/>
          <w:szCs w:val="28"/>
          <w:lang w:val="uk-UA"/>
        </w:rPr>
        <w:t xml:space="preserve">. </w:t>
      </w:r>
      <w:r w:rsidRPr="002E6ECA">
        <w:rPr>
          <w:sz w:val="28"/>
          <w:szCs w:val="28"/>
          <w:lang w:val="uk-UA"/>
        </w:rPr>
        <w:t>Це визначення дозволяє встановити взаємозв'язок між поняттями «обдарованість» і «здібності».</w:t>
      </w:r>
    </w:p>
    <w:p w:rsidR="005B7F24" w:rsidRPr="002E6ECA" w:rsidRDefault="005B7F24" w:rsidP="005B7F24">
      <w:pPr>
        <w:spacing w:line="360" w:lineRule="auto"/>
        <w:ind w:left="112" w:right="215" w:firstLine="597"/>
        <w:jc w:val="both"/>
        <w:rPr>
          <w:sz w:val="28"/>
          <w:szCs w:val="28"/>
          <w:lang w:val="uk-UA"/>
        </w:rPr>
      </w:pPr>
      <w:r w:rsidRPr="002E6ECA">
        <w:rPr>
          <w:sz w:val="28"/>
          <w:szCs w:val="28"/>
          <w:lang w:val="uk-UA"/>
        </w:rPr>
        <w:t xml:space="preserve">Здібності як </w:t>
      </w:r>
      <w:r w:rsidRPr="002E6ECA">
        <w:rPr>
          <w:spacing w:val="-1"/>
          <w:sz w:val="28"/>
          <w:szCs w:val="28"/>
          <w:lang w:val="uk-UA"/>
        </w:rPr>
        <w:t xml:space="preserve">індивідуальні психологічні </w:t>
      </w:r>
      <w:r w:rsidRPr="002E6ECA">
        <w:rPr>
          <w:sz w:val="28"/>
          <w:szCs w:val="28"/>
          <w:lang w:val="uk-UA"/>
        </w:rPr>
        <w:t xml:space="preserve">особливості особистості, що постають умовою успішного виконання будь-якої продуктивної діяльності, мають тісний взаємозв'язок із загальною спрямованістю людини та характеризуються стійкістю. Тому здібності </w:t>
      </w:r>
      <w:r w:rsidRPr="002E6ECA">
        <w:rPr>
          <w:sz w:val="28"/>
          <w:szCs w:val="28"/>
        </w:rPr>
        <w:t>характеризу</w:t>
      </w:r>
      <w:r w:rsidRPr="002E6ECA">
        <w:rPr>
          <w:sz w:val="28"/>
          <w:szCs w:val="28"/>
          <w:lang w:val="uk-UA"/>
        </w:rPr>
        <w:t xml:space="preserve">ють: </w:t>
      </w:r>
    </w:p>
    <w:p w:rsidR="005B7F24" w:rsidRPr="002E6ECA" w:rsidRDefault="005B7F24" w:rsidP="005B7F24">
      <w:pPr>
        <w:spacing w:line="360" w:lineRule="auto"/>
        <w:ind w:left="112" w:right="215" w:firstLine="597"/>
        <w:jc w:val="both"/>
        <w:rPr>
          <w:sz w:val="28"/>
          <w:szCs w:val="28"/>
          <w:lang w:val="uk-UA"/>
        </w:rPr>
      </w:pPr>
      <w:r w:rsidRPr="002E6ECA">
        <w:rPr>
          <w:sz w:val="28"/>
          <w:szCs w:val="28"/>
          <w:lang w:val="uk-UA"/>
        </w:rPr>
        <w:t>а) якісн</w:t>
      </w:r>
      <w:r w:rsidRPr="002E6ECA">
        <w:rPr>
          <w:sz w:val="28"/>
          <w:szCs w:val="28"/>
        </w:rPr>
        <w:t xml:space="preserve">о – шляхом </w:t>
      </w:r>
      <w:r w:rsidRPr="002E6ECA">
        <w:rPr>
          <w:sz w:val="28"/>
          <w:szCs w:val="28"/>
          <w:lang w:val="uk-UA"/>
        </w:rPr>
        <w:t>виявлення тих інд</w:t>
      </w:r>
      <w:r w:rsidRPr="002E6ECA">
        <w:rPr>
          <w:sz w:val="28"/>
          <w:szCs w:val="28"/>
        </w:rPr>
        <w:t>ивідуальних характеристик особистості</w:t>
      </w:r>
      <w:r w:rsidRPr="002E6ECA">
        <w:rPr>
          <w:sz w:val="28"/>
          <w:szCs w:val="28"/>
          <w:lang w:val="uk-UA"/>
        </w:rPr>
        <w:t xml:space="preserve">, </w:t>
      </w:r>
      <w:r w:rsidRPr="002E6ECA">
        <w:rPr>
          <w:sz w:val="28"/>
          <w:szCs w:val="28"/>
        </w:rPr>
        <w:t>що</w:t>
      </w:r>
      <w:r w:rsidRPr="002E6ECA">
        <w:rPr>
          <w:sz w:val="28"/>
          <w:szCs w:val="28"/>
          <w:lang w:val="uk-UA"/>
        </w:rPr>
        <w:t xml:space="preserve"> необхідні для ефективно</w:t>
      </w:r>
      <w:r w:rsidRPr="002E6ECA">
        <w:rPr>
          <w:sz w:val="28"/>
          <w:szCs w:val="28"/>
        </w:rPr>
        <w:t>ї</w:t>
      </w:r>
      <w:r w:rsidRPr="002E6ECA">
        <w:rPr>
          <w:sz w:val="28"/>
          <w:szCs w:val="28"/>
          <w:lang w:val="uk-UA"/>
        </w:rPr>
        <w:t xml:space="preserve"> діяльності</w:t>
      </w:r>
      <w:r w:rsidRPr="002E6ECA">
        <w:rPr>
          <w:sz w:val="28"/>
          <w:szCs w:val="28"/>
        </w:rPr>
        <w:t xml:space="preserve"> певного виду</w:t>
      </w:r>
      <w:r w:rsidRPr="002E6ECA">
        <w:rPr>
          <w:sz w:val="28"/>
          <w:szCs w:val="28"/>
          <w:lang w:val="uk-UA"/>
        </w:rPr>
        <w:t xml:space="preserve">; </w:t>
      </w:r>
    </w:p>
    <w:p w:rsidR="005B7F24" w:rsidRPr="002E6ECA" w:rsidRDefault="005B7F24" w:rsidP="005B7F24">
      <w:pPr>
        <w:spacing w:line="360" w:lineRule="auto"/>
        <w:ind w:left="112" w:right="215" w:firstLine="597"/>
        <w:jc w:val="both"/>
        <w:rPr>
          <w:sz w:val="14"/>
          <w:szCs w:val="14"/>
          <w:lang w:val="uk-UA"/>
        </w:rPr>
      </w:pPr>
      <w:r w:rsidRPr="002E6ECA">
        <w:rPr>
          <w:sz w:val="28"/>
          <w:szCs w:val="28"/>
          <w:lang w:val="uk-UA"/>
        </w:rPr>
        <w:t>б) кількісн</w:t>
      </w:r>
      <w:r w:rsidRPr="002E6ECA">
        <w:rPr>
          <w:sz w:val="28"/>
          <w:szCs w:val="28"/>
        </w:rPr>
        <w:t xml:space="preserve">о – визначають </w:t>
      </w:r>
      <w:r w:rsidRPr="002E6ECA">
        <w:rPr>
          <w:sz w:val="28"/>
          <w:szCs w:val="28"/>
          <w:lang w:val="uk-UA"/>
        </w:rPr>
        <w:t>міру їх вираженості [</w:t>
      </w:r>
      <w:r w:rsidR="005B13E6" w:rsidRPr="002E6ECA">
        <w:rPr>
          <w:sz w:val="28"/>
          <w:szCs w:val="28"/>
          <w:lang w:val="uk-UA"/>
        </w:rPr>
        <w:t>182</w:t>
      </w:r>
      <w:r w:rsidRPr="002E6ECA">
        <w:rPr>
          <w:sz w:val="28"/>
          <w:szCs w:val="28"/>
          <w:lang w:val="uk-UA"/>
        </w:rPr>
        <w:t>].</w:t>
      </w:r>
    </w:p>
    <w:p w:rsidR="00E33723" w:rsidRPr="002E6ECA" w:rsidRDefault="00E33723" w:rsidP="00E33723">
      <w:pPr>
        <w:spacing w:line="360" w:lineRule="auto"/>
        <w:ind w:right="215" w:firstLine="709"/>
        <w:jc w:val="both"/>
        <w:rPr>
          <w:sz w:val="14"/>
          <w:szCs w:val="14"/>
          <w:lang w:val="uk-UA"/>
        </w:rPr>
      </w:pPr>
      <w:r w:rsidRPr="002E6ECA">
        <w:rPr>
          <w:sz w:val="28"/>
          <w:szCs w:val="28"/>
          <w:lang w:val="uk-UA"/>
        </w:rPr>
        <w:t>ХХІ ст., серед цілої низки проблем, що стосуються обдарованих дітей, акцентує увагу на навколишньому середовищі, що прямо або опосередковано впливає на формування перших. Вочевидь, слід виділити три базові середовища, в яких формується особистість обдарованої дитини: родина, навчальний заклад, група рівних, або група однолітків поза школою. Їх структури та сутність можуть бути подібними та різними. Також сучасний етап розвитку наукових досліджень звернув увагу на медичний аспект даної проблеми, яка торкається здоров’я обдарованих дітей. Ця «біла пляма» у дослідницькій літературі почала потроху звужуватися, з’явилися перші напрацювання по даному питанню.</w:t>
      </w:r>
    </w:p>
    <w:p w:rsidR="00D73FEB" w:rsidRPr="002E6ECA" w:rsidRDefault="00E33723" w:rsidP="00E33723">
      <w:pPr>
        <w:spacing w:line="360" w:lineRule="auto"/>
        <w:ind w:firstLine="709"/>
        <w:contextualSpacing/>
        <w:jc w:val="both"/>
        <w:rPr>
          <w:spacing w:val="4"/>
          <w:sz w:val="28"/>
          <w:szCs w:val="28"/>
          <w:lang w:val="uk-UA"/>
        </w:rPr>
      </w:pPr>
      <w:r w:rsidRPr="002E6ECA">
        <w:rPr>
          <w:spacing w:val="2"/>
          <w:sz w:val="28"/>
          <w:szCs w:val="28"/>
          <w:lang w:val="uk-UA"/>
        </w:rPr>
        <w:t xml:space="preserve">Одним із самих значущих середовищ, що впливає на формування обдарованої дитини, безумовно, є навчальний заклад. Якщо говорити про </w:t>
      </w:r>
      <w:r w:rsidRPr="002E6ECA">
        <w:rPr>
          <w:i/>
          <w:spacing w:val="2"/>
          <w:sz w:val="28"/>
          <w:szCs w:val="28"/>
          <w:lang w:val="uk-UA"/>
        </w:rPr>
        <w:t>дошкільні та</w:t>
      </w:r>
      <w:r w:rsidRPr="002E6ECA">
        <w:rPr>
          <w:spacing w:val="2"/>
          <w:sz w:val="28"/>
          <w:szCs w:val="28"/>
          <w:lang w:val="uk-UA"/>
        </w:rPr>
        <w:t xml:space="preserve"> </w:t>
      </w:r>
      <w:r w:rsidRPr="002E6ECA">
        <w:rPr>
          <w:i/>
          <w:spacing w:val="2"/>
          <w:sz w:val="28"/>
          <w:szCs w:val="28"/>
          <w:lang w:val="uk-UA"/>
        </w:rPr>
        <w:t>шкільні заклади</w:t>
      </w:r>
      <w:r w:rsidRPr="002E6ECA">
        <w:rPr>
          <w:spacing w:val="2"/>
          <w:sz w:val="28"/>
          <w:szCs w:val="28"/>
          <w:lang w:val="uk-UA"/>
        </w:rPr>
        <w:t xml:space="preserve">, то слід відзначити, що дошкільний та шкільний вік – </w:t>
      </w:r>
      <w:r w:rsidRPr="002E6ECA">
        <w:rPr>
          <w:spacing w:val="4"/>
          <w:sz w:val="28"/>
          <w:szCs w:val="28"/>
          <w:lang w:val="uk-UA"/>
        </w:rPr>
        <w:t xml:space="preserve">це період найбільш інтенсивного становлення здібностей та особистості дитини. Більша частина дітей при цьому мають певні психічні можливості, тобто потенціал, для досягнення у тій або іншій формі діяльності (потенціально обдаровані), або ж мали яскраві, очевидні, іноді видатні досягнення у конкретній галузі у порівнянні з віковою та соціальною нормами (обдаровані). Тому одним із завдань сучасної школи є створення умов для оптимального розвитку обдарованих дітей, навіть охоплюючи </w:t>
      </w:r>
      <w:r w:rsidRPr="002E6ECA">
        <w:rPr>
          <w:spacing w:val="4"/>
          <w:sz w:val="28"/>
          <w:szCs w:val="28"/>
          <w:lang w:val="uk-UA"/>
        </w:rPr>
        <w:lastRenderedPageBreak/>
        <w:t>дітей, чия обдарованість ще не виявлена [</w:t>
      </w:r>
      <w:r w:rsidR="005B13E6" w:rsidRPr="002E6ECA">
        <w:rPr>
          <w:spacing w:val="4"/>
          <w:sz w:val="28"/>
          <w:szCs w:val="28"/>
          <w:lang w:val="uk-UA"/>
        </w:rPr>
        <w:t>151</w:t>
      </w:r>
      <w:r w:rsidR="007669A0" w:rsidRPr="002E6ECA">
        <w:rPr>
          <w:spacing w:val="4"/>
          <w:sz w:val="28"/>
          <w:szCs w:val="28"/>
          <w:lang w:val="uk-UA"/>
        </w:rPr>
        <w:t>, 2</w:t>
      </w:r>
      <w:r w:rsidR="005B13E6" w:rsidRPr="002E6ECA">
        <w:rPr>
          <w:spacing w:val="4"/>
          <w:sz w:val="28"/>
          <w:szCs w:val="28"/>
          <w:lang w:val="uk-UA"/>
        </w:rPr>
        <w:t>6</w:t>
      </w:r>
      <w:r w:rsidR="00F847B1" w:rsidRPr="002E6ECA">
        <w:rPr>
          <w:spacing w:val="4"/>
          <w:sz w:val="28"/>
          <w:szCs w:val="28"/>
          <w:lang w:val="uk-UA"/>
        </w:rPr>
        <w:t>6</w:t>
      </w:r>
      <w:r w:rsidRPr="002E6ECA">
        <w:rPr>
          <w:spacing w:val="4"/>
          <w:sz w:val="28"/>
          <w:szCs w:val="28"/>
          <w:lang w:val="uk-UA"/>
        </w:rPr>
        <w:t xml:space="preserve">]. При цьому автори наголошують на тому, що важливим етапом розвитку обдарованої дитини є дошкільна ступінь навчання, яка визначає подальше становлення особистості. </w:t>
      </w:r>
    </w:p>
    <w:p w:rsidR="00E33723" w:rsidRPr="002E6ECA" w:rsidRDefault="00E33723" w:rsidP="00E33723">
      <w:pPr>
        <w:spacing w:line="360" w:lineRule="auto"/>
        <w:ind w:firstLine="709"/>
        <w:contextualSpacing/>
        <w:jc w:val="both"/>
        <w:rPr>
          <w:spacing w:val="2"/>
          <w:sz w:val="28"/>
          <w:szCs w:val="28"/>
          <w:lang w:val="uk-UA"/>
        </w:rPr>
      </w:pPr>
      <w:r w:rsidRPr="002E6ECA">
        <w:rPr>
          <w:spacing w:val="4"/>
          <w:sz w:val="28"/>
          <w:szCs w:val="28"/>
          <w:lang w:val="uk-UA"/>
        </w:rPr>
        <w:t>Психологи погоджуються з тим, що діти, які не досягли до початку навчального періоду «шкільної зрілості» або не справляються з вимогами учбових програм, або виконують їх ціною зниження рівня здоров’я. Тому вивчення особливостей розвитку обдарованої дитини і сучасний підхід до збереження т</w:t>
      </w:r>
      <w:r w:rsidRPr="002E6ECA">
        <w:rPr>
          <w:spacing w:val="2"/>
          <w:sz w:val="28"/>
          <w:szCs w:val="28"/>
          <w:lang w:val="uk-UA"/>
        </w:rPr>
        <w:t xml:space="preserve">а укріплення її здоров’я завжди є архіважливою проблемою </w:t>
      </w:r>
      <w:r w:rsidRPr="002E6ECA">
        <w:rPr>
          <w:rFonts w:ascii="MyriadPro-Cond" w:hAnsi="MyriadPro-Cond"/>
          <w:spacing w:val="2"/>
          <w:sz w:val="26"/>
          <w:szCs w:val="26"/>
        </w:rPr>
        <w:t>[</w:t>
      </w:r>
      <w:r w:rsidR="005B13E6" w:rsidRPr="002E6ECA">
        <w:rPr>
          <w:spacing w:val="2"/>
          <w:sz w:val="28"/>
          <w:szCs w:val="28"/>
          <w:lang w:val="uk-UA"/>
        </w:rPr>
        <w:t>36, 64, 75, 77, 184, 196, 266</w:t>
      </w:r>
      <w:r w:rsidR="00F847B1" w:rsidRPr="002E6ECA">
        <w:rPr>
          <w:spacing w:val="2"/>
          <w:sz w:val="28"/>
          <w:szCs w:val="28"/>
          <w:lang w:val="uk-UA"/>
        </w:rPr>
        <w:t>, 267</w:t>
      </w:r>
      <w:r w:rsidRPr="002E6ECA">
        <w:rPr>
          <w:rFonts w:ascii="MyriadPro-Cond" w:hAnsi="MyriadPro-Cond"/>
          <w:spacing w:val="2"/>
          <w:sz w:val="26"/>
          <w:szCs w:val="26"/>
        </w:rPr>
        <w:t>]</w:t>
      </w:r>
      <w:r w:rsidRPr="002E6ECA">
        <w:rPr>
          <w:spacing w:val="2"/>
          <w:sz w:val="28"/>
          <w:szCs w:val="28"/>
          <w:lang w:val="uk-UA"/>
        </w:rPr>
        <w:t xml:space="preserve">. </w:t>
      </w:r>
    </w:p>
    <w:p w:rsidR="00E33723" w:rsidRPr="002E6ECA" w:rsidRDefault="00E33723" w:rsidP="00E33723">
      <w:pPr>
        <w:spacing w:line="360" w:lineRule="auto"/>
        <w:ind w:firstLine="709"/>
        <w:contextualSpacing/>
        <w:jc w:val="both"/>
        <w:rPr>
          <w:spacing w:val="-2"/>
          <w:sz w:val="28"/>
          <w:szCs w:val="28"/>
          <w:lang w:val="uk-UA"/>
        </w:rPr>
      </w:pPr>
      <w:r w:rsidRPr="002E6ECA">
        <w:rPr>
          <w:spacing w:val="-2"/>
          <w:sz w:val="28"/>
          <w:szCs w:val="28"/>
          <w:lang w:val="uk-UA"/>
        </w:rPr>
        <w:t>Окрема тема у медико-психологічних колах – збереження психологічного здоров’я обдарованих дітей, що досягається комплексом завдань психологічного супроводу, у т.ч. діагностичного, консультаційного та корекційно-розвивального напрямів та немедикаментозної корекції [</w:t>
      </w:r>
      <w:r w:rsidR="001B574F" w:rsidRPr="002E6ECA">
        <w:rPr>
          <w:sz w:val="28"/>
          <w:szCs w:val="28"/>
          <w:lang w:val="uk-UA"/>
        </w:rPr>
        <w:t>33, 196, 337</w:t>
      </w:r>
      <w:r w:rsidRPr="002E6ECA">
        <w:rPr>
          <w:spacing w:val="-2"/>
          <w:sz w:val="28"/>
          <w:szCs w:val="28"/>
        </w:rPr>
        <w:t>].</w:t>
      </w:r>
      <w:r w:rsidRPr="002E6ECA">
        <w:rPr>
          <w:spacing w:val="-2"/>
          <w:sz w:val="28"/>
          <w:szCs w:val="28"/>
          <w:lang w:val="uk-UA"/>
        </w:rPr>
        <w:t xml:space="preserve"> </w:t>
      </w:r>
    </w:p>
    <w:p w:rsidR="00EE3896" w:rsidRPr="002E6ECA" w:rsidRDefault="00EE3896" w:rsidP="00EE3896">
      <w:pPr>
        <w:spacing w:line="360" w:lineRule="auto"/>
        <w:ind w:firstLine="709"/>
        <w:contextualSpacing/>
        <w:jc w:val="both"/>
        <w:rPr>
          <w:spacing w:val="2"/>
          <w:sz w:val="28"/>
          <w:szCs w:val="28"/>
          <w:lang w:val="uk-UA"/>
        </w:rPr>
      </w:pPr>
      <w:r w:rsidRPr="002E6ECA">
        <w:rPr>
          <w:spacing w:val="2"/>
          <w:sz w:val="28"/>
          <w:szCs w:val="28"/>
          <w:lang w:val="uk-UA"/>
        </w:rPr>
        <w:t>Автори дослідження щодо профілактики порушень у стані здоров’я обдарованих дітей не тільки констатують його погіршення за період навчання у загальноосвітній школі, а й наполягають на підборі індивідуально-зорієнтованих програм, що дає змогу зберегти здоров’я обдарованій дитині за ознаками кращої адаптації до колективу, зниження гострої та хронічної захворюваності, підвищення резистентності організму [</w:t>
      </w:r>
      <w:r w:rsidR="00DA18CD" w:rsidRPr="002E6ECA">
        <w:rPr>
          <w:spacing w:val="2"/>
          <w:sz w:val="28"/>
          <w:szCs w:val="28"/>
          <w:lang w:val="uk-UA"/>
        </w:rPr>
        <w:t xml:space="preserve">33, 75, 77, 150, </w:t>
      </w:r>
      <w:r w:rsidR="001B574F" w:rsidRPr="002E6ECA">
        <w:rPr>
          <w:spacing w:val="2"/>
          <w:sz w:val="28"/>
          <w:szCs w:val="28"/>
          <w:lang w:val="uk-UA"/>
        </w:rPr>
        <w:t xml:space="preserve">260, </w:t>
      </w:r>
      <w:r w:rsidR="00DA18CD" w:rsidRPr="002E6ECA">
        <w:rPr>
          <w:spacing w:val="2"/>
          <w:sz w:val="28"/>
          <w:szCs w:val="28"/>
          <w:lang w:val="uk-UA"/>
        </w:rPr>
        <w:t>266</w:t>
      </w:r>
      <w:r w:rsidRPr="002E6ECA">
        <w:rPr>
          <w:spacing w:val="2"/>
          <w:sz w:val="28"/>
          <w:szCs w:val="28"/>
          <w:lang w:val="uk-UA"/>
        </w:rPr>
        <w:t xml:space="preserve">]. </w:t>
      </w:r>
    </w:p>
    <w:p w:rsidR="00EE3896" w:rsidRPr="002E6ECA" w:rsidRDefault="00EE3896" w:rsidP="00EE3896">
      <w:pPr>
        <w:spacing w:line="360" w:lineRule="auto"/>
        <w:ind w:firstLine="709"/>
        <w:contextualSpacing/>
        <w:jc w:val="both"/>
        <w:rPr>
          <w:spacing w:val="2"/>
          <w:sz w:val="28"/>
          <w:szCs w:val="28"/>
          <w:lang w:val="uk-UA"/>
        </w:rPr>
      </w:pPr>
      <w:r w:rsidRPr="002E6ECA">
        <w:rPr>
          <w:spacing w:val="2"/>
          <w:sz w:val="28"/>
          <w:szCs w:val="28"/>
          <w:lang w:val="uk-UA"/>
        </w:rPr>
        <w:t>Про погіршення стану здоров'я обдарованих і здібних дітей, прискорення темпу відхилень при більш інтенсивних навантаженнях, підтверджується і дослідженням А.В.</w:t>
      </w:r>
      <w:r w:rsidRPr="002E6ECA">
        <w:rPr>
          <w:spacing w:val="2"/>
          <w:sz w:val="28"/>
          <w:szCs w:val="28"/>
          <w:lang w:val="en-US"/>
        </w:rPr>
        <w:t> </w:t>
      </w:r>
      <w:r w:rsidRPr="002E6ECA">
        <w:rPr>
          <w:spacing w:val="2"/>
          <w:sz w:val="28"/>
          <w:szCs w:val="28"/>
          <w:lang w:val="uk-UA"/>
        </w:rPr>
        <w:t>Власенко та співавторами [</w:t>
      </w:r>
      <w:r w:rsidR="001B574F" w:rsidRPr="002E6ECA">
        <w:rPr>
          <w:spacing w:val="2"/>
          <w:sz w:val="28"/>
          <w:szCs w:val="28"/>
          <w:lang w:val="uk-UA"/>
        </w:rPr>
        <w:t>33</w:t>
      </w:r>
      <w:r w:rsidRPr="002E6ECA">
        <w:rPr>
          <w:spacing w:val="2"/>
          <w:sz w:val="28"/>
          <w:szCs w:val="28"/>
          <w:lang w:val="uk-UA"/>
        </w:rPr>
        <w:t xml:space="preserve">]. Ними визначено, що інтелектуально обдаровані діти частіше характеризувались дисгармонійним фізичним розвитком (у т.ч. гіпотрофія та ожиріння), були більш схильними до гострих інфекційних захворювань, мали вегетативні розлади, гіпотензію та синкопальні стани. Крім того, у них значно частіше, ніж у «середньоінтелектуалів», виявлялись патологія шлунково-кишкового тракту, кістково-м'язової системи, а також алергічні стани, у т.ч. бронхіальна </w:t>
      </w:r>
      <w:r w:rsidRPr="002E6ECA">
        <w:rPr>
          <w:spacing w:val="2"/>
          <w:sz w:val="28"/>
          <w:szCs w:val="28"/>
          <w:lang w:val="uk-UA"/>
        </w:rPr>
        <w:lastRenderedPageBreak/>
        <w:t>астма. Подібних висновків дійшли і Н.І.</w:t>
      </w:r>
      <w:r w:rsidRPr="002E6ECA">
        <w:rPr>
          <w:spacing w:val="2"/>
          <w:sz w:val="28"/>
          <w:szCs w:val="28"/>
          <w:lang w:val="en-US"/>
        </w:rPr>
        <w:t> </w:t>
      </w:r>
      <w:r w:rsidRPr="002E6ECA">
        <w:rPr>
          <w:spacing w:val="2"/>
          <w:sz w:val="28"/>
          <w:szCs w:val="28"/>
          <w:lang w:val="uk-UA"/>
        </w:rPr>
        <w:t>Окко зі співавторами [</w:t>
      </w:r>
      <w:r w:rsidR="001B574F" w:rsidRPr="002E6ECA">
        <w:rPr>
          <w:spacing w:val="2"/>
          <w:sz w:val="28"/>
          <w:szCs w:val="28"/>
          <w:lang w:val="uk-UA"/>
        </w:rPr>
        <w:t>151</w:t>
      </w:r>
      <w:r w:rsidRPr="002E6ECA">
        <w:rPr>
          <w:spacing w:val="2"/>
          <w:sz w:val="28"/>
          <w:szCs w:val="28"/>
          <w:lang w:val="uk-UA"/>
        </w:rPr>
        <w:t>], які довели, що найбільш негативний вплив на дитину надають стресова тактика, педагогічний вплив, невідповідність методик, технологій навчання, інтенсифікація навчального процесу, нераціональна організація навчальної діяльності, відсутність системи роботи щодо здоров’я формуючої поведінки школярів.</w:t>
      </w:r>
    </w:p>
    <w:p w:rsidR="00EE3896" w:rsidRPr="002E6ECA" w:rsidRDefault="00EE3896" w:rsidP="00EE3896">
      <w:pPr>
        <w:spacing w:line="360" w:lineRule="auto"/>
        <w:ind w:firstLine="709"/>
        <w:contextualSpacing/>
        <w:jc w:val="both"/>
        <w:rPr>
          <w:sz w:val="28"/>
          <w:szCs w:val="28"/>
          <w:lang w:val="uk-UA"/>
        </w:rPr>
      </w:pPr>
      <w:r w:rsidRPr="002E6ECA">
        <w:rPr>
          <w:sz w:val="28"/>
          <w:szCs w:val="28"/>
          <w:lang w:val="uk-UA"/>
        </w:rPr>
        <w:t>У дослідженнях Г.М.</w:t>
      </w:r>
      <w:r w:rsidR="00CE5CE5" w:rsidRPr="002E6ECA">
        <w:rPr>
          <w:sz w:val="28"/>
          <w:szCs w:val="28"/>
          <w:lang w:val="uk-UA"/>
        </w:rPr>
        <w:t> </w:t>
      </w:r>
      <w:r w:rsidRPr="002E6ECA">
        <w:rPr>
          <w:sz w:val="28"/>
          <w:szCs w:val="28"/>
          <w:lang w:val="uk-UA"/>
        </w:rPr>
        <w:t>Даниленка та співавторів [</w:t>
      </w:r>
      <w:r w:rsidR="001B574F" w:rsidRPr="002E6ECA">
        <w:rPr>
          <w:sz w:val="28"/>
          <w:szCs w:val="28"/>
          <w:lang w:val="uk-UA"/>
        </w:rPr>
        <w:t>75, 266</w:t>
      </w:r>
      <w:r w:rsidRPr="002E6ECA">
        <w:rPr>
          <w:sz w:val="28"/>
          <w:szCs w:val="28"/>
          <w:lang w:val="uk-UA"/>
        </w:rPr>
        <w:t>] встановлено істотне погіршення стану здоров'я академічно здібних дітей незалежно від програми навчання; зміни рівня розумової працездатності під впливом програми навчання, умов організації навчального процесу і особистості вчителя. Важливим висновком з цього дослідження поставало ствердження про можливість підвищення показників шкільної адаптації таких учнів в умовах експериментальних класів за програмою «Інтелект України». За думкою інших дослідників [</w:t>
      </w:r>
      <w:r w:rsidR="001B574F" w:rsidRPr="002E6ECA">
        <w:rPr>
          <w:sz w:val="28"/>
          <w:szCs w:val="28"/>
          <w:lang w:val="uk-UA"/>
        </w:rPr>
        <w:t xml:space="preserve">33, 52, 75, 77, 104, 133, 167, 183, 196, 204, 260, 266, 267, 271, 273, 329, 337, 425, </w:t>
      </w:r>
      <w:r w:rsidR="001B574F" w:rsidRPr="002E6ECA">
        <w:rPr>
          <w:rFonts w:eastAsiaTheme="minorHAnsi" w:cstheme="minorBidi"/>
          <w:bCs/>
          <w:sz w:val="28"/>
          <w:szCs w:val="28"/>
          <w:lang w:val="uk-UA" w:eastAsia="en-US"/>
        </w:rPr>
        <w:t>457</w:t>
      </w:r>
      <w:r w:rsidRPr="002E6ECA">
        <w:rPr>
          <w:sz w:val="28"/>
          <w:szCs w:val="28"/>
          <w:lang w:val="uk-UA"/>
        </w:rPr>
        <w:t xml:space="preserve">] індивідуально підібрані програми також сприяють збереженню здоров'я дитини, а своєчасно проведена корекція і медико-психолого-педагогічний супровід сприяють не тільки збереженню, а й зміцненню здоров'я дитини. </w:t>
      </w:r>
    </w:p>
    <w:p w:rsidR="00EE3896" w:rsidRPr="002E6ECA" w:rsidRDefault="00EE3896" w:rsidP="00EE3896">
      <w:pPr>
        <w:spacing w:line="360" w:lineRule="auto"/>
        <w:ind w:firstLine="709"/>
        <w:jc w:val="both"/>
        <w:rPr>
          <w:sz w:val="28"/>
          <w:szCs w:val="28"/>
          <w:lang w:val="uk-UA"/>
        </w:rPr>
      </w:pPr>
      <w:r w:rsidRPr="002E6ECA">
        <w:rPr>
          <w:sz w:val="28"/>
          <w:szCs w:val="28"/>
          <w:lang w:val="uk-UA"/>
        </w:rPr>
        <w:t>На сьогодні «Інтелект України» єдиний довготривалий освітній проєкт, який реалізовано не тільки у початковій школі. Діти продовжують навчатись за цією програмою вже понад 10 років. І за цей період було внесено ряд коректив не тільки психолого-педагогічного, а й медико-профілактичного характеру. При дослідженні особливостей програми «Інтелект України» з позицій медичного супроводу учнів молодшого шкільного віку було встановлено, що рівень мотивації батьків на інноваційну педагогічну програму, відсутність медико-профілактичного супроводу навчання, організація навчальної діяльності, умови активного відпочинку під час перерви в школі та організація харчування спричиняли певний ризик погіршення здоров’я академічно здібних учнів початкової школи [</w:t>
      </w:r>
      <w:r w:rsidR="001B574F" w:rsidRPr="002E6ECA">
        <w:rPr>
          <w:sz w:val="28"/>
          <w:szCs w:val="28"/>
          <w:lang w:val="uk-UA"/>
        </w:rPr>
        <w:t>27, 52, 266</w:t>
      </w:r>
      <w:r w:rsidRPr="002E6ECA">
        <w:rPr>
          <w:sz w:val="28"/>
          <w:szCs w:val="28"/>
          <w:lang w:val="uk-UA"/>
        </w:rPr>
        <w:t xml:space="preserve">]. </w:t>
      </w:r>
    </w:p>
    <w:p w:rsidR="00EE3896" w:rsidRPr="002E6ECA" w:rsidRDefault="00EE3896" w:rsidP="00EE3896">
      <w:pPr>
        <w:spacing w:line="360" w:lineRule="auto"/>
        <w:ind w:firstLine="709"/>
        <w:contextualSpacing/>
        <w:jc w:val="both"/>
        <w:rPr>
          <w:spacing w:val="2"/>
          <w:sz w:val="28"/>
          <w:szCs w:val="28"/>
          <w:lang w:val="uk-UA"/>
        </w:rPr>
      </w:pPr>
      <w:r w:rsidRPr="002E6ECA">
        <w:rPr>
          <w:spacing w:val="2"/>
          <w:sz w:val="28"/>
          <w:szCs w:val="28"/>
          <w:lang w:val="uk-UA"/>
        </w:rPr>
        <w:lastRenderedPageBreak/>
        <w:t>Інформаційний аналіз наукових джерел стосовно актуальних проблем навчання та медичного забезпечення обдарованих дітей та підлітків свідчить про зацікавленість суспільства у проведенні подальших медико-педагогічних досліджень для розробки профілактичних заходів щодо збереження їх здоров’я.</w:t>
      </w:r>
    </w:p>
    <w:p w:rsidR="00E33723" w:rsidRPr="002E6ECA" w:rsidRDefault="00E33723" w:rsidP="00E33723">
      <w:pPr>
        <w:pStyle w:val="a3"/>
        <w:spacing w:line="360" w:lineRule="auto"/>
        <w:rPr>
          <w:sz w:val="28"/>
          <w:szCs w:val="28"/>
          <w:lang w:val="uk-UA"/>
        </w:rPr>
      </w:pPr>
    </w:p>
    <w:p w:rsidR="00E33723" w:rsidRPr="002E6ECA" w:rsidRDefault="00E33723" w:rsidP="00E33723">
      <w:pPr>
        <w:shd w:val="clear" w:color="auto" w:fill="FFFFFF"/>
        <w:spacing w:line="360" w:lineRule="auto"/>
        <w:ind w:firstLine="709"/>
        <w:jc w:val="both"/>
        <w:rPr>
          <w:b/>
          <w:sz w:val="28"/>
          <w:szCs w:val="28"/>
          <w:lang w:val="uk-UA"/>
        </w:rPr>
      </w:pPr>
      <w:r w:rsidRPr="002E6ECA">
        <w:rPr>
          <w:b/>
          <w:sz w:val="28"/>
          <w:szCs w:val="28"/>
          <w:lang w:val="uk-UA"/>
        </w:rPr>
        <w:t>1.5. Сучасні аспекти гігієнічного моніторингу здоров’я школярів</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Відповідно до статті 33 Закону України "Про забезпечення  санітарного та епідемічного благополуччя населення" (</w:t>
      </w:r>
      <w:hyperlink r:id="rId16" w:tgtFrame="_blank" w:history="1">
        <w:r w:rsidRPr="002E6ECA">
          <w:rPr>
            <w:sz w:val="28"/>
            <w:szCs w:val="28"/>
            <w:lang w:val="uk-UA"/>
          </w:rPr>
          <w:t>4004-12</w:t>
        </w:r>
      </w:hyperlink>
      <w:r w:rsidRPr="002E6ECA">
        <w:rPr>
          <w:sz w:val="28"/>
          <w:szCs w:val="28"/>
          <w:lang w:val="uk-UA"/>
        </w:rPr>
        <w:t xml:space="preserve">) Постановою Кабінету Міністрів України від 22 лютого 2006 р. </w:t>
      </w:r>
      <w:r w:rsidR="001B574F" w:rsidRPr="002E6ECA">
        <w:rPr>
          <w:sz w:val="28"/>
          <w:szCs w:val="28"/>
          <w:lang w:val="uk-UA"/>
        </w:rPr>
        <w:t>№</w:t>
      </w:r>
      <w:r w:rsidRPr="002E6ECA">
        <w:rPr>
          <w:sz w:val="28"/>
          <w:szCs w:val="28"/>
          <w:lang w:val="uk-UA"/>
        </w:rPr>
        <w:t xml:space="preserve"> 182 затверджено Порядок проведення державного соціально-гігієнічного моніторингу [</w:t>
      </w:r>
      <w:r w:rsidR="001B574F" w:rsidRPr="002E6ECA">
        <w:rPr>
          <w:sz w:val="28"/>
          <w:szCs w:val="28"/>
          <w:lang w:val="uk-UA"/>
        </w:rPr>
        <w:t>79, 189, 263</w:t>
      </w:r>
      <w:r w:rsidRPr="002E6ECA">
        <w:rPr>
          <w:sz w:val="28"/>
          <w:szCs w:val="28"/>
          <w:lang w:val="uk-UA"/>
        </w:rPr>
        <w:t>] у загальній</w:t>
      </w:r>
      <w:r w:rsidRPr="002E6ECA">
        <w:rPr>
          <w:b/>
          <w:bCs/>
          <w:sz w:val="28"/>
          <w:szCs w:val="28"/>
          <w:lang w:val="uk-UA"/>
        </w:rPr>
        <w:t xml:space="preserve"> </w:t>
      </w:r>
      <w:bookmarkStart w:id="4" w:name="o13"/>
      <w:bookmarkEnd w:id="4"/>
      <w:r w:rsidRPr="002E6ECA">
        <w:rPr>
          <w:sz w:val="28"/>
          <w:szCs w:val="28"/>
          <w:lang w:val="uk-UA"/>
        </w:rPr>
        <w:t xml:space="preserve">частині якого надаються таки роз’яснення </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pacing w:val="2"/>
          <w:sz w:val="28"/>
          <w:szCs w:val="28"/>
          <w:lang w:val="uk-UA"/>
        </w:rPr>
      </w:pPr>
      <w:bookmarkStart w:id="5" w:name="o14"/>
      <w:bookmarkEnd w:id="5"/>
      <w:r w:rsidRPr="002E6ECA">
        <w:rPr>
          <w:spacing w:val="2"/>
          <w:sz w:val="28"/>
          <w:szCs w:val="28"/>
          <w:lang w:val="uk-UA"/>
        </w:rPr>
        <w:t xml:space="preserve">Державний соціально-гігієнічний моніторинг – це система спостереження, аналізу, оцінки і прогнозу стану здоров'я населення та середовища життєдіяльності людини, а також виявлення причинно-наслідкових зв'язків між станом здоров'я населення та  впливом на нього факторів середовища життєдіяльності людини. </w:t>
      </w:r>
      <w:bookmarkStart w:id="6" w:name="o15"/>
      <w:bookmarkEnd w:id="6"/>
      <w:r w:rsidRPr="002E6ECA">
        <w:rPr>
          <w:spacing w:val="2"/>
          <w:sz w:val="28"/>
          <w:szCs w:val="28"/>
          <w:lang w:val="uk-UA"/>
        </w:rPr>
        <w:t xml:space="preserve">Моніторинг проводиться з метою забезпечення санітарного та епідемічного благополуччя населення і використовується для  складання соціально-економічних прогнозів. </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bookmarkStart w:id="7" w:name="o16"/>
      <w:bookmarkStart w:id="8" w:name="o18"/>
      <w:bookmarkEnd w:id="7"/>
      <w:bookmarkEnd w:id="8"/>
      <w:r w:rsidRPr="002E6ECA">
        <w:rPr>
          <w:sz w:val="28"/>
          <w:szCs w:val="28"/>
          <w:lang w:val="uk-UA"/>
        </w:rPr>
        <w:t xml:space="preserve">Завданнями моніторингу є: </w:t>
      </w:r>
      <w:bookmarkStart w:id="9" w:name="o19"/>
      <w:bookmarkStart w:id="10" w:name="o20"/>
      <w:bookmarkEnd w:id="9"/>
      <w:bookmarkEnd w:id="10"/>
      <w:r w:rsidRPr="002E6ECA">
        <w:rPr>
          <w:sz w:val="28"/>
          <w:szCs w:val="28"/>
          <w:lang w:val="uk-UA"/>
        </w:rPr>
        <w:t xml:space="preserve">виявлення причинно-наслідкових зв'язків між станом здоров'я населення та впливом на нього факторів середовища  життєдіяльності людини на основі їх системного аналізу і оцінки  ризику для здоров'я людини; </w:t>
      </w:r>
      <w:bookmarkStart w:id="11" w:name="o21"/>
      <w:bookmarkEnd w:id="11"/>
      <w:r w:rsidRPr="002E6ECA">
        <w:rPr>
          <w:sz w:val="28"/>
          <w:szCs w:val="28"/>
          <w:lang w:val="uk-UA"/>
        </w:rPr>
        <w:t xml:space="preserve">підготовка пропозицій щодо поліпшення діяльності органів виконавчої влади та органів місцевого самоврядування з питань забезпечення санітарного та епідемічного благополуччя населення. </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У визначенні мети та завдань соціально-гігієнічного моніторингу в галузі гігієни дітей та підлітків признано, що він належить до ефективних інструментів забезпечення санітарно-епідеміологічної безпеки охорони здоров’я підростаючого покоління. Мета-аналізом із проблем профілактичної медицини в освітніх закладах встановлено, що найперспективнішим підходом </w:t>
      </w:r>
      <w:r w:rsidRPr="002E6ECA">
        <w:rPr>
          <w:rFonts w:ascii="Times New Roman" w:hAnsi="Times New Roman" w:cs="Times New Roman"/>
          <w:sz w:val="28"/>
          <w:szCs w:val="28"/>
          <w:lang w:val="uk-UA"/>
        </w:rPr>
        <w:lastRenderedPageBreak/>
        <w:t>до обґрунтування здоров’я формуючих технологій є соціально-гігієнічний моніторинг. Його перспективність використання на сучасному етапі організації медичного забезпечення учнівській молоді пов’язана з виявленням факторів ризику оточуючого середовища, визначенням причинно-наслідкових зв’язків між здоров’ям та його чинниками, цілеспрямованим обґрунтуванням найбільш ефективних профілактичних заходів [</w:t>
      </w:r>
      <w:r w:rsidR="001B574F" w:rsidRPr="002E6ECA">
        <w:rPr>
          <w:rFonts w:ascii="Times New Roman" w:hAnsi="Times New Roman" w:cs="Times New Roman"/>
          <w:sz w:val="28"/>
          <w:szCs w:val="28"/>
          <w:lang w:val="uk-UA"/>
        </w:rPr>
        <w:t>83, 84, 94, 110, 172, 269</w:t>
      </w:r>
      <w:r w:rsidRPr="002E6ECA">
        <w:rPr>
          <w:rFonts w:ascii="Times New Roman" w:hAnsi="Times New Roman" w:cs="Times New Roman"/>
          <w:sz w:val="28"/>
          <w:szCs w:val="28"/>
          <w:lang w:val="uk-UA"/>
        </w:rPr>
        <w:t>]. Соціально-гігієнічний моніторинг стану здоров'я школярів та факторів внутрішньошкільного середовища, які впливають на його формування, є методологічним підґрунтям визначення пріоритетів щодо розробки профілактичних заходів в різних видах освітніх закладів.</w:t>
      </w:r>
    </w:p>
    <w:p w:rsidR="00D73FEB"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У контексті узагальнення наукових результатів досліджень щодо соціально-гігієнічного моніторингу стану здоров’я учнівській молоді можна  констатувати наступне. Особливої актуальності у межах цієї наукової проблеми набувають теоретичні пошуки щодо визначення понять «здоров’язбережувальне середовище» (ЗЗС) та «здоров’язбережувальні» освітні технології [</w:t>
      </w:r>
      <w:r w:rsidR="00C22DBE" w:rsidRPr="002E6ECA">
        <w:rPr>
          <w:sz w:val="28"/>
          <w:szCs w:val="28"/>
          <w:lang w:val="uk-UA"/>
        </w:rPr>
        <w:t>29, 50</w:t>
      </w:r>
      <w:r w:rsidR="00427FED" w:rsidRPr="002E6ECA">
        <w:rPr>
          <w:sz w:val="28"/>
          <w:szCs w:val="28"/>
          <w:lang w:val="uk-UA"/>
        </w:rPr>
        <w:t xml:space="preserve">, </w:t>
      </w:r>
      <w:r w:rsidR="00C22DBE" w:rsidRPr="002E6ECA">
        <w:rPr>
          <w:sz w:val="28"/>
          <w:szCs w:val="28"/>
          <w:lang w:val="uk-UA"/>
        </w:rPr>
        <w:t xml:space="preserve">88, </w:t>
      </w:r>
      <w:r w:rsidR="00C22DBE" w:rsidRPr="002E6ECA">
        <w:rPr>
          <w:rFonts w:eastAsia="TimesNewRomanPSMT"/>
          <w:sz w:val="28"/>
          <w:szCs w:val="28"/>
          <w:lang w:val="uk-UA"/>
        </w:rPr>
        <w:t xml:space="preserve">90, </w:t>
      </w:r>
      <w:r w:rsidR="00C22DBE" w:rsidRPr="002E6ECA">
        <w:rPr>
          <w:sz w:val="28"/>
          <w:szCs w:val="28"/>
          <w:lang w:val="uk-UA"/>
        </w:rPr>
        <w:t>91</w:t>
      </w:r>
      <w:r w:rsidR="00427FED" w:rsidRPr="002E6ECA">
        <w:rPr>
          <w:sz w:val="28"/>
          <w:szCs w:val="28"/>
          <w:lang w:val="uk-UA"/>
        </w:rPr>
        <w:t xml:space="preserve">, </w:t>
      </w:r>
      <w:r w:rsidR="00C22DBE" w:rsidRPr="002E6ECA">
        <w:rPr>
          <w:sz w:val="28"/>
          <w:szCs w:val="28"/>
          <w:lang w:val="uk-UA"/>
        </w:rPr>
        <w:t>103</w:t>
      </w:r>
      <w:r w:rsidR="00427FED" w:rsidRPr="002E6ECA">
        <w:rPr>
          <w:sz w:val="28"/>
          <w:szCs w:val="28"/>
          <w:lang w:val="uk-UA"/>
        </w:rPr>
        <w:t xml:space="preserve">, </w:t>
      </w:r>
      <w:r w:rsidR="00C22DBE" w:rsidRPr="002E6ECA">
        <w:rPr>
          <w:sz w:val="28"/>
          <w:szCs w:val="28"/>
          <w:lang w:val="uk-UA"/>
        </w:rPr>
        <w:t>240</w:t>
      </w:r>
      <w:r w:rsidRPr="002E6ECA">
        <w:rPr>
          <w:sz w:val="28"/>
          <w:szCs w:val="28"/>
          <w:lang w:val="uk-UA"/>
        </w:rPr>
        <w:t xml:space="preserve">]. ЗЗС розглядається як умови навчання у закладах освіти, здоров’язбережувальні заходи, діяльність адміністрації щодо покращення матеріально-технічного забезпечення умов навчання з використанням медичного, валеологічного, педагогічного підходів. Також пропонується використовувати поняття «здоров’язбережувальний потенціал» (ЗЗП) як комплекс умов внутрішньошкільного середовища, можливостей, ресурсів навчального закладу для забезпечення збереження і зміцнення здоров’я учасників педагогічного процесу, формування навичок здорового способу життя. </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pacing w:val="-2"/>
          <w:sz w:val="28"/>
          <w:szCs w:val="28"/>
          <w:lang w:val="uk-UA"/>
        </w:rPr>
      </w:pPr>
      <w:r w:rsidRPr="002E6ECA">
        <w:rPr>
          <w:spacing w:val="-2"/>
          <w:sz w:val="28"/>
          <w:szCs w:val="28"/>
          <w:lang w:val="uk-UA"/>
        </w:rPr>
        <w:t xml:space="preserve">Поняття «здоров’язбережувальні технології» об’єднує усі напрямки діяльності закладу освіти і належить до характеристики будь-якої педагогічної технології, яка б вирішувала завдання збереження і зміцнення здоров'я учнів та вчителя, впливала на формування навичок здорового способу життя (умови навчання, раціональна організація навчального процесу, відповідність навчального та фізичного навантаження віковим можливостям дитини; </w:t>
      </w:r>
      <w:r w:rsidRPr="002E6ECA">
        <w:rPr>
          <w:spacing w:val="-2"/>
          <w:sz w:val="28"/>
          <w:szCs w:val="28"/>
          <w:lang w:val="uk-UA"/>
        </w:rPr>
        <w:lastRenderedPageBreak/>
        <w:t>необхідний, достатній і раціонально організований руховий режим) [</w:t>
      </w:r>
      <w:r w:rsidR="00C22DBE" w:rsidRPr="002E6ECA">
        <w:rPr>
          <w:sz w:val="28"/>
          <w:szCs w:val="28"/>
          <w:lang w:val="uk-UA"/>
        </w:rPr>
        <w:t>16, 60, 240</w:t>
      </w:r>
      <w:r w:rsidR="001D68D5" w:rsidRPr="002E6ECA">
        <w:rPr>
          <w:sz w:val="28"/>
          <w:szCs w:val="28"/>
          <w:lang w:val="uk-UA"/>
        </w:rPr>
        <w:t>, 368</w:t>
      </w:r>
      <w:r w:rsidRPr="002E6ECA">
        <w:rPr>
          <w:spacing w:val="-2"/>
          <w:sz w:val="28"/>
          <w:szCs w:val="28"/>
          <w:lang w:val="uk-UA"/>
        </w:rPr>
        <w:t>]</w:t>
      </w:r>
      <w:r w:rsidR="007669A0" w:rsidRPr="002E6ECA">
        <w:rPr>
          <w:spacing w:val="-2"/>
          <w:sz w:val="28"/>
          <w:szCs w:val="28"/>
          <w:lang w:val="uk-UA"/>
        </w:rPr>
        <w:t>.</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bookmarkStart w:id="12" w:name="o22"/>
      <w:bookmarkEnd w:id="12"/>
      <w:r w:rsidRPr="002E6ECA">
        <w:rPr>
          <w:sz w:val="28"/>
          <w:szCs w:val="28"/>
          <w:lang w:val="uk-UA"/>
        </w:rPr>
        <w:t>Дослідниками визначені</w:t>
      </w:r>
      <w:bookmarkStart w:id="13" w:name="o42"/>
      <w:bookmarkEnd w:id="13"/>
      <w:r w:rsidRPr="002E6ECA">
        <w:rPr>
          <w:sz w:val="28"/>
          <w:szCs w:val="28"/>
          <w:lang w:val="uk-UA"/>
        </w:rPr>
        <w:t xml:space="preserve"> наступні складові соціально-гігієнічного моніторингу у напрямку гігієни дітей та підлітків шкільного віку та студентів:</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1) стан здоров’я учнівській молоді: показники структури гострих та хронічних захворювань, фізичного розвитку, їх динаміка;</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2) санітарно-гігієнічна оцінка інфраструктури навчального закладу (благоустрій, устаткування, загальна місткість, освітлення, мікроклімат, меблі, комп’ютери, шум, повітряне середовище, санітарне утримання харчоблоку, стан харчування, питна вода);</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3) санітарно-гігієнічна оцінка навчального процесу: розклад уроків, обсяг і структура навчального навантаження, інноваційні педагогічні технології у навчанні, розподіл тижневого навчального навантаження;</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4) оцінка потенціалу фахівців щодо їх особистісної та професійної готовності до здоров’язбережної діяльності (медичних працівників, соціальних педагогів, психологів, учителів фізичної культури);</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 xml:space="preserve">5) оцінка способу життя учнів </w:t>
      </w:r>
      <w:r w:rsidR="00CE5CE5" w:rsidRPr="002E6ECA">
        <w:rPr>
          <w:sz w:val="28"/>
          <w:szCs w:val="28"/>
          <w:lang w:val="uk-UA"/>
        </w:rPr>
        <w:t>–</w:t>
      </w:r>
      <w:r w:rsidRPr="002E6ECA">
        <w:rPr>
          <w:sz w:val="28"/>
          <w:szCs w:val="28"/>
          <w:lang w:val="uk-UA"/>
        </w:rPr>
        <w:t xml:space="preserve"> освітній</w:t>
      </w:r>
      <w:r w:rsidR="00CE5CE5" w:rsidRPr="002E6ECA">
        <w:rPr>
          <w:sz w:val="28"/>
          <w:szCs w:val="28"/>
          <w:lang w:val="uk-UA"/>
        </w:rPr>
        <w:t xml:space="preserve"> </w:t>
      </w:r>
      <w:r w:rsidRPr="002E6ECA">
        <w:rPr>
          <w:sz w:val="28"/>
          <w:szCs w:val="28"/>
          <w:lang w:val="uk-UA"/>
        </w:rPr>
        <w:t xml:space="preserve">рівень батьків, побутові умови, наявність комп’ютера; харчування, рухова активність, структура дозвілля учнів; </w:t>
      </w:r>
    </w:p>
    <w:p w:rsidR="00E33723" w:rsidRPr="002E6ECA" w:rsidRDefault="00E33723" w:rsidP="00E33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2E6ECA">
        <w:rPr>
          <w:sz w:val="28"/>
          <w:szCs w:val="28"/>
          <w:lang w:val="uk-UA"/>
        </w:rPr>
        <w:t xml:space="preserve">6) оцінка готовності учнів до ведення здорового способу життя </w:t>
      </w:r>
      <w:r w:rsidR="00CE5CE5" w:rsidRPr="002E6ECA">
        <w:rPr>
          <w:sz w:val="28"/>
          <w:szCs w:val="28"/>
          <w:lang w:val="uk-UA"/>
        </w:rPr>
        <w:t xml:space="preserve">– </w:t>
      </w:r>
      <w:r w:rsidRPr="002E6ECA">
        <w:rPr>
          <w:sz w:val="28"/>
          <w:szCs w:val="28"/>
          <w:lang w:val="uk-UA"/>
        </w:rPr>
        <w:t>оцінюється</w:t>
      </w:r>
      <w:r w:rsidR="00CE5CE5" w:rsidRPr="002E6ECA">
        <w:rPr>
          <w:sz w:val="28"/>
          <w:szCs w:val="28"/>
          <w:lang w:val="uk-UA"/>
        </w:rPr>
        <w:t xml:space="preserve"> </w:t>
      </w:r>
      <w:r w:rsidRPr="002E6ECA">
        <w:rPr>
          <w:sz w:val="28"/>
          <w:szCs w:val="28"/>
          <w:lang w:val="uk-UA"/>
        </w:rPr>
        <w:t>за рівнем сформованості життєвих навичок [</w:t>
      </w:r>
      <w:r w:rsidR="00C22DBE" w:rsidRPr="002E6ECA">
        <w:rPr>
          <w:sz w:val="28"/>
          <w:szCs w:val="28"/>
          <w:lang w:val="uk-UA"/>
        </w:rPr>
        <w:t>48, 60, 168, 176, 179, 185, 263</w:t>
      </w:r>
      <w:r w:rsidRPr="002E6ECA">
        <w:rPr>
          <w:sz w:val="28"/>
          <w:szCs w:val="28"/>
          <w:lang w:val="uk-UA"/>
        </w:rPr>
        <w:t>].</w:t>
      </w:r>
    </w:p>
    <w:p w:rsidR="00D73FEB" w:rsidRPr="002E6ECA" w:rsidRDefault="00E33723" w:rsidP="00E33723">
      <w:pPr>
        <w:pStyle w:val="a5"/>
        <w:spacing w:before="0" w:beforeAutospacing="0" w:after="0" w:afterAutospacing="0" w:line="360" w:lineRule="auto"/>
        <w:ind w:firstLine="709"/>
        <w:jc w:val="both"/>
        <w:rPr>
          <w:sz w:val="28"/>
          <w:szCs w:val="28"/>
          <w:lang w:val="uk-UA"/>
        </w:rPr>
      </w:pPr>
      <w:r w:rsidRPr="002E6ECA">
        <w:rPr>
          <w:sz w:val="28"/>
          <w:szCs w:val="28"/>
          <w:lang w:val="uk-UA"/>
        </w:rPr>
        <w:t>Важливо відзначити, що аналізу стану здоров’я та динаміки його змін у дітей та підлітків, які навчаються, присвячено чимало наукових публікацій. Їх ретроспективний аналіз свідчить про наступне. Дослідниками, які спостерігали тенденції його погіршення, ще на початку нового сторіччя зафіксували  зростання функціональних розладів, гострої та хронічної соматичної захворюваності, зменшення частки дітей та підлітків із гармонічним фізичним розвитком не тільки у період навчання у школі, але і протягом тривалого часу  спостереження цього явища (199</w:t>
      </w:r>
      <w:r w:rsidR="007669A0" w:rsidRPr="002E6ECA">
        <w:rPr>
          <w:sz w:val="28"/>
          <w:szCs w:val="28"/>
          <w:lang w:val="uk-UA"/>
        </w:rPr>
        <w:t>1-</w:t>
      </w:r>
      <w:r w:rsidRPr="002E6ECA">
        <w:rPr>
          <w:sz w:val="28"/>
          <w:szCs w:val="28"/>
          <w:lang w:val="uk-UA"/>
        </w:rPr>
        <w:t>2018р.р.) [</w:t>
      </w:r>
      <w:r w:rsidR="00C22DBE" w:rsidRPr="002E6ECA">
        <w:rPr>
          <w:sz w:val="28"/>
          <w:szCs w:val="28"/>
          <w:lang w:val="uk-UA"/>
        </w:rPr>
        <w:t>17, 53, 97, 116, 141, 147, 198</w:t>
      </w:r>
      <w:r w:rsidRPr="002E6ECA">
        <w:rPr>
          <w:sz w:val="28"/>
          <w:szCs w:val="28"/>
          <w:lang w:val="uk-UA"/>
        </w:rPr>
        <w:t xml:space="preserve">]. У пошуках причин погіршення стану здоров'я дітей і підлітків в умовах </w:t>
      </w:r>
      <w:r w:rsidRPr="002E6ECA">
        <w:rPr>
          <w:sz w:val="28"/>
          <w:szCs w:val="28"/>
          <w:lang w:val="uk-UA"/>
        </w:rPr>
        <w:lastRenderedPageBreak/>
        <w:t xml:space="preserve">навчальних закладів велику увагу було звернено на вивчення рівня фізичного, розумового, функціонального розвитку учнів в різні вікові періоди, фізичну та нервово-психічну адаптацію на різних етапах їх перебування у навчальних закладах різного типу. </w:t>
      </w:r>
    </w:p>
    <w:p w:rsidR="00D73FEB" w:rsidRPr="002E6ECA" w:rsidRDefault="00E33723" w:rsidP="00E33723">
      <w:pPr>
        <w:pStyle w:val="a5"/>
        <w:spacing w:before="0" w:beforeAutospacing="0" w:after="0" w:afterAutospacing="0" w:line="360" w:lineRule="auto"/>
        <w:ind w:firstLine="709"/>
        <w:jc w:val="both"/>
        <w:rPr>
          <w:sz w:val="28"/>
          <w:szCs w:val="28"/>
          <w:lang w:val="uk-UA"/>
        </w:rPr>
      </w:pPr>
      <w:r w:rsidRPr="002E6ECA">
        <w:rPr>
          <w:sz w:val="28"/>
          <w:szCs w:val="28"/>
          <w:lang w:val="uk-UA"/>
        </w:rPr>
        <w:t>У чисельних наукових працях узагальнено дані про стан здоров’я і тенденції його змін у учнівської молоді і визначено, що на стан здоров’я дітей впливає так званий шкільний фактор, про що свідчить суттєве збільшення різних захворювань під час навчання у школі. Так, у 70% дітей молодшого шкільного віку індивідуальна, розумова та фізична працездатність не відповідала їх шкільному навантаженню, впродовж навчання у 3</w:t>
      </w:r>
      <w:r w:rsidR="00CE5CE5" w:rsidRPr="002E6ECA">
        <w:rPr>
          <w:sz w:val="28"/>
          <w:szCs w:val="28"/>
          <w:lang w:val="uk-UA"/>
        </w:rPr>
        <w:t>-</w:t>
      </w:r>
      <w:r w:rsidRPr="002E6ECA">
        <w:rPr>
          <w:sz w:val="28"/>
          <w:szCs w:val="28"/>
          <w:lang w:val="uk-UA"/>
        </w:rPr>
        <w:t xml:space="preserve">4 рази зростала патологія органів травлення, у два рази </w:t>
      </w:r>
      <w:r w:rsidR="00CE5CE5" w:rsidRPr="002E6ECA">
        <w:rPr>
          <w:sz w:val="28"/>
          <w:szCs w:val="28"/>
          <w:lang w:val="uk-UA"/>
        </w:rPr>
        <w:t>–</w:t>
      </w:r>
      <w:r w:rsidRPr="002E6ECA">
        <w:rPr>
          <w:sz w:val="28"/>
          <w:szCs w:val="28"/>
          <w:lang w:val="uk-UA"/>
        </w:rPr>
        <w:t xml:space="preserve"> органів зору та нервової системи [</w:t>
      </w:r>
      <w:r w:rsidR="00C22DBE" w:rsidRPr="002E6ECA">
        <w:rPr>
          <w:sz w:val="28"/>
          <w:szCs w:val="28"/>
          <w:lang w:val="uk-UA"/>
        </w:rPr>
        <w:t>125</w:t>
      </w:r>
      <w:r w:rsidR="00814A93" w:rsidRPr="002E6ECA">
        <w:rPr>
          <w:sz w:val="28"/>
          <w:szCs w:val="28"/>
          <w:lang w:val="uk-UA"/>
        </w:rPr>
        <w:t>, 1</w:t>
      </w:r>
      <w:r w:rsidR="00C22DBE" w:rsidRPr="002E6ECA">
        <w:rPr>
          <w:sz w:val="28"/>
          <w:szCs w:val="28"/>
          <w:lang w:val="uk-UA"/>
        </w:rPr>
        <w:t>31</w:t>
      </w:r>
      <w:r w:rsidR="00814A93" w:rsidRPr="002E6ECA">
        <w:rPr>
          <w:sz w:val="28"/>
          <w:szCs w:val="28"/>
          <w:lang w:val="uk-UA"/>
        </w:rPr>
        <w:t xml:space="preserve">, </w:t>
      </w:r>
      <w:r w:rsidR="00E20975" w:rsidRPr="002E6ECA">
        <w:rPr>
          <w:sz w:val="28"/>
          <w:szCs w:val="28"/>
          <w:lang w:val="uk-UA"/>
        </w:rPr>
        <w:t>1</w:t>
      </w:r>
      <w:r w:rsidR="00C22DBE" w:rsidRPr="002E6ECA">
        <w:rPr>
          <w:sz w:val="28"/>
          <w:szCs w:val="28"/>
          <w:lang w:val="uk-UA"/>
        </w:rPr>
        <w:t>48</w:t>
      </w:r>
      <w:r w:rsidR="00E20975" w:rsidRPr="002E6ECA">
        <w:rPr>
          <w:sz w:val="28"/>
          <w:szCs w:val="28"/>
          <w:lang w:val="uk-UA"/>
        </w:rPr>
        <w:t xml:space="preserve">, </w:t>
      </w:r>
      <w:r w:rsidR="00814A93" w:rsidRPr="002E6ECA">
        <w:rPr>
          <w:sz w:val="28"/>
          <w:szCs w:val="28"/>
          <w:lang w:val="uk-UA"/>
        </w:rPr>
        <w:t>1</w:t>
      </w:r>
      <w:r w:rsidR="0006197A" w:rsidRPr="002E6ECA">
        <w:rPr>
          <w:sz w:val="28"/>
          <w:szCs w:val="28"/>
          <w:lang w:val="uk-UA"/>
        </w:rPr>
        <w:t>60</w:t>
      </w:r>
      <w:r w:rsidRPr="002E6ECA">
        <w:rPr>
          <w:sz w:val="28"/>
          <w:szCs w:val="28"/>
          <w:lang w:val="uk-UA"/>
        </w:rPr>
        <w:t xml:space="preserve">]. </w:t>
      </w:r>
    </w:p>
    <w:p w:rsidR="00D73FEB" w:rsidRPr="002E6ECA" w:rsidRDefault="00E33723" w:rsidP="00E33723">
      <w:pPr>
        <w:pStyle w:val="a5"/>
        <w:spacing w:before="0" w:beforeAutospacing="0" w:after="0" w:afterAutospacing="0" w:line="360" w:lineRule="auto"/>
        <w:ind w:firstLine="709"/>
        <w:jc w:val="both"/>
        <w:rPr>
          <w:sz w:val="28"/>
          <w:szCs w:val="28"/>
          <w:lang w:val="uk-UA"/>
        </w:rPr>
      </w:pPr>
      <w:r w:rsidRPr="002E6ECA">
        <w:rPr>
          <w:sz w:val="28"/>
          <w:szCs w:val="28"/>
          <w:lang w:val="uk-UA"/>
        </w:rPr>
        <w:t>За думкою вчених процес отримання освіти як у загальноосвітньому навчальному закладі</w:t>
      </w:r>
      <w:r w:rsidR="00814A93" w:rsidRPr="002E6ECA">
        <w:rPr>
          <w:sz w:val="28"/>
          <w:szCs w:val="28"/>
          <w:lang w:val="uk-UA"/>
        </w:rPr>
        <w:t>,</w:t>
      </w:r>
      <w:r w:rsidRPr="002E6ECA">
        <w:rPr>
          <w:sz w:val="28"/>
          <w:szCs w:val="28"/>
          <w:lang w:val="uk-UA"/>
        </w:rPr>
        <w:t xml:space="preserve"> так і у виші можна віднести до специфічного виду діяльності, який пов’язаний з високим рівнем психічних та фізичних навантажень, дефіцитом часу, необхідністю інтенсивно засвоювати великий обсяг інформації, підвищеними вимогами до розв’язання проблемних ситуацій, жорстким контролем та регламентацією режиму дня [</w:t>
      </w:r>
      <w:r w:rsidR="0006197A" w:rsidRPr="002E6ECA">
        <w:rPr>
          <w:sz w:val="28"/>
          <w:szCs w:val="28"/>
          <w:lang w:val="uk-UA"/>
        </w:rPr>
        <w:t>124</w:t>
      </w:r>
      <w:r w:rsidR="00814A93" w:rsidRPr="002E6ECA">
        <w:rPr>
          <w:sz w:val="28"/>
          <w:szCs w:val="28"/>
          <w:lang w:val="uk-UA"/>
        </w:rPr>
        <w:t xml:space="preserve">, </w:t>
      </w:r>
      <w:r w:rsidR="0006197A" w:rsidRPr="002E6ECA">
        <w:rPr>
          <w:sz w:val="28"/>
          <w:szCs w:val="28"/>
          <w:lang w:val="uk-UA"/>
        </w:rPr>
        <w:t>209</w:t>
      </w:r>
      <w:r w:rsidR="00814A93" w:rsidRPr="002E6ECA">
        <w:rPr>
          <w:sz w:val="28"/>
          <w:szCs w:val="28"/>
          <w:lang w:val="uk-UA"/>
        </w:rPr>
        <w:t xml:space="preserve">, </w:t>
      </w:r>
      <w:r w:rsidR="0006197A" w:rsidRPr="002E6ECA">
        <w:rPr>
          <w:sz w:val="28"/>
          <w:szCs w:val="28"/>
          <w:lang w:val="uk-UA"/>
        </w:rPr>
        <w:t>217</w:t>
      </w:r>
      <w:r w:rsidR="00814A93" w:rsidRPr="002E6ECA">
        <w:rPr>
          <w:sz w:val="28"/>
          <w:szCs w:val="28"/>
          <w:lang w:val="uk-UA"/>
        </w:rPr>
        <w:t xml:space="preserve">, </w:t>
      </w:r>
      <w:r w:rsidR="0006197A" w:rsidRPr="002E6ECA">
        <w:rPr>
          <w:sz w:val="28"/>
          <w:szCs w:val="28"/>
          <w:lang w:val="uk-UA"/>
        </w:rPr>
        <w:t>244</w:t>
      </w:r>
      <w:r w:rsidR="00814A93" w:rsidRPr="002E6ECA">
        <w:rPr>
          <w:sz w:val="28"/>
          <w:szCs w:val="28"/>
          <w:lang w:val="uk-UA"/>
        </w:rPr>
        <w:t>, 2</w:t>
      </w:r>
      <w:r w:rsidR="0006197A" w:rsidRPr="002E6ECA">
        <w:rPr>
          <w:sz w:val="28"/>
          <w:szCs w:val="28"/>
          <w:lang w:val="uk-UA"/>
        </w:rPr>
        <w:t>61</w:t>
      </w:r>
      <w:r w:rsidR="00814A93" w:rsidRPr="002E6ECA">
        <w:rPr>
          <w:sz w:val="28"/>
          <w:szCs w:val="28"/>
          <w:lang w:val="uk-UA"/>
        </w:rPr>
        <w:t>, 2</w:t>
      </w:r>
      <w:r w:rsidR="0006197A" w:rsidRPr="002E6ECA">
        <w:rPr>
          <w:sz w:val="28"/>
          <w:szCs w:val="28"/>
          <w:lang w:val="uk-UA"/>
        </w:rPr>
        <w:t>74</w:t>
      </w:r>
      <w:r w:rsidRPr="002E6ECA">
        <w:rPr>
          <w:sz w:val="28"/>
          <w:szCs w:val="28"/>
          <w:lang w:val="uk-UA"/>
        </w:rPr>
        <w:t xml:space="preserve">]. Тому питання розробки науково-обґрунтованих оцінок функціональних психофізіологічних можливостей організму учнів до адаптації до чинників внутрішньошкільного середовища залишаються актуальними в теорії та практиці гігієни дітей та підлітків. </w:t>
      </w:r>
    </w:p>
    <w:p w:rsidR="00E33723" w:rsidRPr="002E6ECA" w:rsidRDefault="00E33723" w:rsidP="00E33723">
      <w:pPr>
        <w:pStyle w:val="a5"/>
        <w:spacing w:before="0" w:beforeAutospacing="0" w:after="0" w:afterAutospacing="0" w:line="360" w:lineRule="auto"/>
        <w:ind w:firstLine="709"/>
        <w:jc w:val="both"/>
        <w:rPr>
          <w:sz w:val="28"/>
          <w:szCs w:val="28"/>
          <w:lang w:val="uk-UA"/>
        </w:rPr>
      </w:pPr>
      <w:r w:rsidRPr="002E6ECA">
        <w:rPr>
          <w:sz w:val="28"/>
          <w:szCs w:val="28"/>
          <w:lang w:val="uk-UA"/>
        </w:rPr>
        <w:t>У зв’язку з цим особливої актуальності набувають скринінгові дослідження щодо визначення донозологічних станів порушення здоров’я в учнівської молоді (дітей, підлітків, студентів) [</w:t>
      </w:r>
      <w:r w:rsidR="0006197A" w:rsidRPr="002E6ECA">
        <w:rPr>
          <w:sz w:val="28"/>
          <w:szCs w:val="28"/>
          <w:lang w:val="uk-UA"/>
        </w:rPr>
        <w:t>64, 108, 147, 155, 169, 213, 217</w:t>
      </w:r>
      <w:r w:rsidRPr="002E6ECA">
        <w:rPr>
          <w:sz w:val="28"/>
          <w:szCs w:val="28"/>
          <w:lang w:val="uk-UA"/>
        </w:rPr>
        <w:t>]. Їх мета – необхідність використання поглибленої донозологічної діагностики для раннього виявлення відхилень у стані здоров'я дітей та підлітків, які навчаються, для прийняття своєчасних управлінських рішень щодо забезпечення збереження  та зміцнення здоров’я учнівській молоді.</w:t>
      </w:r>
    </w:p>
    <w:p w:rsidR="00D73FEB" w:rsidRPr="002E6ECA" w:rsidRDefault="00E33723" w:rsidP="00E33723">
      <w:pPr>
        <w:pStyle w:val="1"/>
        <w:spacing w:before="0" w:beforeAutospacing="0" w:after="0" w:afterAutospacing="0" w:line="360" w:lineRule="auto"/>
        <w:ind w:firstLine="709"/>
        <w:jc w:val="both"/>
        <w:rPr>
          <w:b w:val="0"/>
          <w:spacing w:val="4"/>
          <w:sz w:val="28"/>
          <w:szCs w:val="28"/>
          <w:lang w:val="uk-UA"/>
        </w:rPr>
      </w:pPr>
      <w:r w:rsidRPr="002E6ECA">
        <w:rPr>
          <w:b w:val="0"/>
          <w:spacing w:val="4"/>
          <w:sz w:val="28"/>
          <w:szCs w:val="28"/>
          <w:lang w:val="uk-UA"/>
        </w:rPr>
        <w:lastRenderedPageBreak/>
        <w:t>За даними фізіолого-гігієнічних досліджень останніх років показано, що більше половини учнів (53%) мають сильну втому наприкінці навчального дня, що проявляється у суттєвому зниженні працездатності та зростанні помилок. При цьому за період 2005-2015 рр. частка учнів 5-9 класів з сильною втомою зросла більш ніж у 2 рази (з 22,2% до 52,6%), за цей період частка дітей з дефіцитом сну збільшилась на 7 %, відсоток дітей, які виконували домашні завдання понад 2,5 години на день – на 12,5% [</w:t>
      </w:r>
      <w:r w:rsidR="0006197A" w:rsidRPr="002E6ECA">
        <w:rPr>
          <w:b w:val="0"/>
          <w:spacing w:val="4"/>
          <w:sz w:val="28"/>
          <w:szCs w:val="28"/>
          <w:lang w:val="uk-UA"/>
        </w:rPr>
        <w:t xml:space="preserve">20, 47, </w:t>
      </w:r>
      <w:r w:rsidR="0006197A" w:rsidRPr="002E6ECA">
        <w:rPr>
          <w:b w:val="0"/>
          <w:bCs w:val="0"/>
          <w:spacing w:val="4"/>
          <w:kern w:val="0"/>
          <w:sz w:val="28"/>
          <w:szCs w:val="28"/>
          <w:lang w:val="uk-UA" w:eastAsia="en-US"/>
        </w:rPr>
        <w:t xml:space="preserve">163, </w:t>
      </w:r>
      <w:r w:rsidR="0006197A" w:rsidRPr="002E6ECA">
        <w:rPr>
          <w:b w:val="0"/>
          <w:spacing w:val="4"/>
          <w:sz w:val="28"/>
          <w:szCs w:val="28"/>
          <w:lang w:val="uk-UA"/>
        </w:rPr>
        <w:t>178, 181</w:t>
      </w:r>
      <w:r w:rsidRPr="002E6ECA">
        <w:rPr>
          <w:b w:val="0"/>
          <w:spacing w:val="4"/>
          <w:sz w:val="28"/>
          <w:szCs w:val="28"/>
          <w:lang w:val="uk-UA"/>
        </w:rPr>
        <w:t xml:space="preserve">]. </w:t>
      </w:r>
    </w:p>
    <w:p w:rsidR="00E33723" w:rsidRPr="002E6ECA" w:rsidRDefault="00E33723" w:rsidP="00D73FEB">
      <w:pPr>
        <w:pStyle w:val="1"/>
        <w:spacing w:before="0" w:beforeAutospacing="0" w:after="0" w:afterAutospacing="0" w:line="372" w:lineRule="auto"/>
        <w:ind w:firstLine="709"/>
        <w:jc w:val="both"/>
        <w:rPr>
          <w:b w:val="0"/>
          <w:spacing w:val="2"/>
          <w:sz w:val="28"/>
          <w:szCs w:val="28"/>
          <w:lang w:val="uk-UA"/>
        </w:rPr>
      </w:pPr>
      <w:r w:rsidRPr="002E6ECA">
        <w:rPr>
          <w:b w:val="0"/>
          <w:spacing w:val="2"/>
          <w:sz w:val="28"/>
          <w:szCs w:val="28"/>
          <w:lang w:val="uk-UA"/>
        </w:rPr>
        <w:t>До перевтомлення, зниження адаптаційних можливостей, формування клінічних розладів призводять значне навчальне навантаження на тлі незадовільної рухової активності, недостатньої тривалості сну й перебування на відкритому повітрі – у 35% учнів рухова активність не відповідає віковим фізіологічним нормам. Також зафіксовано зниження рівня рухової активності дітей на 16,5%. Малорухливий спосіб життя характерний для 75,6% сучасних міських учнів середнього шкільного віку</w:t>
      </w:r>
      <w:r w:rsidR="00E20975" w:rsidRPr="002E6ECA">
        <w:rPr>
          <w:b w:val="0"/>
          <w:spacing w:val="2"/>
          <w:sz w:val="28"/>
          <w:szCs w:val="28"/>
          <w:lang w:val="uk-UA"/>
        </w:rPr>
        <w:t xml:space="preserve"> </w:t>
      </w:r>
      <w:r w:rsidR="00E20975" w:rsidRPr="002E6ECA">
        <w:rPr>
          <w:b w:val="0"/>
          <w:spacing w:val="2"/>
          <w:sz w:val="28"/>
          <w:szCs w:val="28"/>
        </w:rPr>
        <w:t>[</w:t>
      </w:r>
      <w:r w:rsidR="0006197A" w:rsidRPr="002E6ECA">
        <w:rPr>
          <w:b w:val="0"/>
          <w:spacing w:val="2"/>
          <w:sz w:val="28"/>
          <w:szCs w:val="28"/>
          <w:lang w:val="uk-UA"/>
        </w:rPr>
        <w:t>49</w:t>
      </w:r>
      <w:r w:rsidR="00E20975" w:rsidRPr="002E6ECA">
        <w:rPr>
          <w:b w:val="0"/>
          <w:spacing w:val="2"/>
          <w:sz w:val="28"/>
          <w:szCs w:val="28"/>
        </w:rPr>
        <w:t>]</w:t>
      </w:r>
      <w:r w:rsidRPr="002E6ECA">
        <w:rPr>
          <w:b w:val="0"/>
          <w:spacing w:val="2"/>
          <w:sz w:val="28"/>
          <w:szCs w:val="28"/>
          <w:lang w:val="uk-UA"/>
        </w:rPr>
        <w:t>. На підставі ризикового підходу авторами розроблено  рейтинг факторів, в який включили 10 детермінант. Переважна більшість з цих факторів є керованими, тобто такими, які можна коригувати. Отже, зниження резервів здоров’я дітей спричиняють такі фактори (від найвпливовішого до найменш впливового):</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Надмірна маса тіла або її дефіцит.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Наявність хронічних захворювань.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Кратність занять спортом менше 3 разів на тиждень.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Тривалість сну менше 9 год/добу.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Вік підлітка більше 14,5 років.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Низький рівень доходів сім’ї.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Тривалість занять спортом або танцями менше 270 хвилин на тиждень (хлопці) та 230 хвилин на тиждень (дівчата).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 xml:space="preserve">Малорухлива (сидяча) поведінка у позашкільний час більше 4 годин на добу.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lastRenderedPageBreak/>
        <w:t xml:space="preserve">Відсутність фізичних занять у батьків.  </w:t>
      </w:r>
    </w:p>
    <w:p w:rsidR="00E33723" w:rsidRPr="002E6ECA" w:rsidRDefault="00E33723" w:rsidP="00D73FEB">
      <w:pPr>
        <w:pStyle w:val="a5"/>
        <w:numPr>
          <w:ilvl w:val="0"/>
          <w:numId w:val="43"/>
        </w:numPr>
        <w:spacing w:before="0" w:beforeAutospacing="0" w:after="0" w:afterAutospacing="0" w:line="372" w:lineRule="auto"/>
        <w:jc w:val="both"/>
        <w:rPr>
          <w:sz w:val="28"/>
          <w:szCs w:val="28"/>
          <w:lang w:val="uk-UA"/>
        </w:rPr>
      </w:pPr>
      <w:r w:rsidRPr="002E6ECA">
        <w:rPr>
          <w:sz w:val="28"/>
          <w:szCs w:val="28"/>
          <w:lang w:val="uk-UA"/>
        </w:rPr>
        <w:t>Відсутність спільних занять руховою активністю батьків і дітей [</w:t>
      </w:r>
      <w:r w:rsidR="0006197A" w:rsidRPr="002E6ECA">
        <w:rPr>
          <w:sz w:val="28"/>
          <w:szCs w:val="28"/>
          <w:lang w:val="uk-UA"/>
        </w:rPr>
        <w:t>175</w:t>
      </w:r>
      <w:r w:rsidRPr="002E6ECA">
        <w:rPr>
          <w:sz w:val="28"/>
          <w:szCs w:val="28"/>
          <w:lang w:val="uk-UA"/>
        </w:rPr>
        <w:t>].</w:t>
      </w:r>
    </w:p>
    <w:p w:rsidR="00D73FEB" w:rsidRPr="002E6ECA" w:rsidRDefault="00E33723" w:rsidP="00D73FEB">
      <w:pPr>
        <w:pStyle w:val="1"/>
        <w:spacing w:before="0" w:beforeAutospacing="0" w:after="0" w:afterAutospacing="0" w:line="372" w:lineRule="auto"/>
        <w:ind w:firstLine="709"/>
        <w:jc w:val="both"/>
        <w:rPr>
          <w:b w:val="0"/>
          <w:spacing w:val="2"/>
          <w:sz w:val="28"/>
          <w:szCs w:val="28"/>
          <w:lang w:val="uk-UA"/>
        </w:rPr>
      </w:pPr>
      <w:r w:rsidRPr="002E6ECA">
        <w:rPr>
          <w:b w:val="0"/>
          <w:spacing w:val="2"/>
          <w:sz w:val="28"/>
          <w:szCs w:val="28"/>
          <w:lang w:val="uk-UA"/>
        </w:rPr>
        <w:t xml:space="preserve">Навчальний процес стає все більш агресивним по відношенню до здоров'я. На даний момент є відомості про те, що у 75% дітей дошкільного віку вже спостерігаються порушення стану здоров'я, у 25% наявні хронічні захворювання, більша частина з них має розумову і фізичну працездатність, що не відповідає їхньому психофізичному навантаженню в школі. За перші п'ять років шкільного навчання в 1,5 рази збільшується частота патологій зорової системи, в 3-4 рази – порушення органів травлення, в 2-3 рази –патологій опорно-рухового апарату, в 1,5 рази – нервово-психічних розладів. Так, дані свідчать про те, що 32% шестирічок неготові до навчання в умовах школи (а серед хлопчиків навіть 44%). </w:t>
      </w:r>
    </w:p>
    <w:p w:rsidR="00D73FEB" w:rsidRPr="002E6ECA" w:rsidRDefault="00E33723" w:rsidP="00D73FEB">
      <w:pPr>
        <w:pStyle w:val="1"/>
        <w:spacing w:before="0" w:beforeAutospacing="0" w:after="0" w:afterAutospacing="0" w:line="372" w:lineRule="auto"/>
        <w:ind w:firstLine="709"/>
        <w:jc w:val="both"/>
        <w:rPr>
          <w:b w:val="0"/>
          <w:spacing w:val="2"/>
          <w:sz w:val="28"/>
          <w:szCs w:val="28"/>
          <w:lang w:val="uk-UA"/>
        </w:rPr>
      </w:pPr>
      <w:r w:rsidRPr="002E6ECA">
        <w:rPr>
          <w:b w:val="0"/>
          <w:spacing w:val="2"/>
          <w:sz w:val="28"/>
          <w:szCs w:val="28"/>
          <w:lang w:val="uk-UA"/>
        </w:rPr>
        <w:t xml:space="preserve">Серед «шкільно незрілих» дітей 40% мають хронічні захворювання, 73% – недостатні функціональні можливості для повноцінної адаптації з боку серцево-судинної системи. Нервово-психічні відхилення, домінуючу позицію серед яких займають астеноневротичні стани, виявляються майже в половини обстежених першокласників, у 52,5% учнів простежуються явища соціальної і психічної дезадаптації, значна емоційна лабільність. </w:t>
      </w:r>
    </w:p>
    <w:p w:rsidR="00E33723" w:rsidRPr="002E6ECA" w:rsidRDefault="00E33723" w:rsidP="00E33723">
      <w:pPr>
        <w:pStyle w:val="1"/>
        <w:spacing w:before="0" w:beforeAutospacing="0" w:after="0" w:afterAutospacing="0" w:line="360" w:lineRule="auto"/>
        <w:ind w:firstLine="709"/>
        <w:jc w:val="both"/>
        <w:rPr>
          <w:b w:val="0"/>
          <w:spacing w:val="4"/>
          <w:sz w:val="28"/>
          <w:szCs w:val="28"/>
          <w:lang w:val="uk-UA"/>
        </w:rPr>
      </w:pPr>
      <w:r w:rsidRPr="002E6ECA">
        <w:rPr>
          <w:b w:val="0"/>
          <w:spacing w:val="4"/>
          <w:sz w:val="28"/>
          <w:szCs w:val="28"/>
          <w:lang w:val="uk-UA"/>
        </w:rPr>
        <w:t>Своєчасна оцінка психічної готовності дітей до навчання в школі є одним з основних видів профілактики майбутніх можливих труднощів у навчанні і розвитку. В сучасних умовах доцільно виділити наступні критерії здоров'язберігаючих технологій навчання: забезпечення мотивації на здоровий спосіб життя; облік індивідуальних особливостей учнів; забезпечення навчальної мотивації, підвищення рухової активності учнів; психологічна комфортність для учнів і педагогів; низький ступінь втоми учнів [</w:t>
      </w:r>
      <w:r w:rsidR="0006197A" w:rsidRPr="002E6ECA">
        <w:rPr>
          <w:b w:val="0"/>
          <w:spacing w:val="4"/>
          <w:sz w:val="28"/>
          <w:szCs w:val="28"/>
          <w:lang w:val="uk-UA"/>
        </w:rPr>
        <w:t>109, 118, 163</w:t>
      </w:r>
      <w:r w:rsidRPr="002E6ECA">
        <w:rPr>
          <w:b w:val="0"/>
          <w:spacing w:val="4"/>
          <w:sz w:val="28"/>
          <w:szCs w:val="28"/>
          <w:lang w:val="uk-UA"/>
        </w:rPr>
        <w:t xml:space="preserve">]. </w:t>
      </w:r>
      <w:r w:rsidR="0006197A" w:rsidRPr="002E6ECA">
        <w:rPr>
          <w:b w:val="0"/>
          <w:spacing w:val="4"/>
          <w:sz w:val="28"/>
          <w:szCs w:val="28"/>
          <w:lang w:val="uk-UA"/>
        </w:rPr>
        <w:t xml:space="preserve"> </w:t>
      </w:r>
    </w:p>
    <w:p w:rsidR="00E33723" w:rsidRPr="002E6ECA" w:rsidRDefault="00E33723" w:rsidP="00E33723">
      <w:pPr>
        <w:pStyle w:val="1"/>
        <w:spacing w:before="0" w:beforeAutospacing="0" w:after="0" w:afterAutospacing="0" w:line="360" w:lineRule="auto"/>
        <w:ind w:firstLine="709"/>
        <w:jc w:val="both"/>
        <w:rPr>
          <w:b w:val="0"/>
          <w:spacing w:val="2"/>
          <w:sz w:val="28"/>
          <w:szCs w:val="28"/>
          <w:lang w:val="uk-UA"/>
        </w:rPr>
      </w:pPr>
      <w:r w:rsidRPr="002E6ECA">
        <w:rPr>
          <w:b w:val="0"/>
          <w:spacing w:val="2"/>
          <w:sz w:val="28"/>
          <w:szCs w:val="28"/>
          <w:lang w:val="uk-UA"/>
        </w:rPr>
        <w:t xml:space="preserve"> За сучасних умов процес отримання освіти у загальноосвітньому навчальному закладі можна віднести до специфічного виду діяльності, який пов’язаний з високим рівнем психічних та фізичних навантажень, дефіцитом </w:t>
      </w:r>
      <w:r w:rsidRPr="002E6ECA">
        <w:rPr>
          <w:b w:val="0"/>
          <w:spacing w:val="2"/>
          <w:sz w:val="28"/>
          <w:szCs w:val="28"/>
          <w:lang w:val="uk-UA"/>
        </w:rPr>
        <w:lastRenderedPageBreak/>
        <w:t xml:space="preserve">часу, необхідністю інтенсивно засвоювати великий обсяг інформації, підвищеними вимогами до вирішення проблемних ситуацій. </w:t>
      </w:r>
    </w:p>
    <w:p w:rsidR="00D73FEB" w:rsidRPr="002E6ECA" w:rsidRDefault="00E33723" w:rsidP="00B764B6">
      <w:pPr>
        <w:pStyle w:val="HTML"/>
        <w:spacing w:line="360" w:lineRule="auto"/>
        <w:ind w:firstLine="709"/>
        <w:jc w:val="both"/>
        <w:rPr>
          <w:rFonts w:ascii="Times New Roman" w:hAnsi="Times New Roman" w:cs="Times New Roman"/>
          <w:spacing w:val="2"/>
          <w:sz w:val="28"/>
          <w:szCs w:val="28"/>
          <w:lang w:val="uk-UA"/>
        </w:rPr>
      </w:pPr>
      <w:r w:rsidRPr="002E6ECA">
        <w:rPr>
          <w:rFonts w:ascii="Times New Roman" w:hAnsi="Times New Roman" w:cs="Times New Roman"/>
          <w:spacing w:val="2"/>
          <w:sz w:val="28"/>
          <w:szCs w:val="28"/>
          <w:lang w:val="uk-UA"/>
        </w:rPr>
        <w:t>Соціально-гігієнічний моніторинг у гігієні дітей та підлітків є науково-обґрунтованим і широко використовуваним в даний час методом щодо виявлення факторів ризику внутрішньо шкільного середовища, які впливають на формування стану здоров'я дітей та підлітків шкільного віку. Їх аналіз дає змогу прийняти своєчасні управлінські рішення  щодо забезпечення санітарно-епідеміологічного благополуччя учнів. Також є доцільним використання донозологичної діагностики для раннього виявлення відхилень у стані здоров'я школярів [</w:t>
      </w:r>
      <w:r w:rsidR="0006197A" w:rsidRPr="002E6ECA">
        <w:rPr>
          <w:rFonts w:ascii="Times New Roman" w:hAnsi="Times New Roman" w:cs="Times New Roman"/>
          <w:bCs/>
          <w:iCs/>
          <w:spacing w:val="2"/>
          <w:kern w:val="36"/>
          <w:sz w:val="28"/>
          <w:szCs w:val="28"/>
          <w:lang w:val="uk-UA"/>
        </w:rPr>
        <w:t>110,</w:t>
      </w:r>
      <w:r w:rsidR="0006197A" w:rsidRPr="002E6ECA">
        <w:rPr>
          <w:rFonts w:ascii="Times New Roman" w:hAnsi="Times New Roman" w:cs="Times New Roman"/>
          <w:bCs/>
          <w:iCs/>
          <w:spacing w:val="2"/>
          <w:kern w:val="36"/>
          <w:sz w:val="24"/>
          <w:szCs w:val="24"/>
          <w:lang w:val="uk-UA"/>
        </w:rPr>
        <w:t xml:space="preserve"> </w:t>
      </w:r>
      <w:r w:rsidR="0006197A" w:rsidRPr="002E6ECA">
        <w:rPr>
          <w:rFonts w:ascii="Times New Roman" w:hAnsi="Times New Roman" w:cs="Times New Roman"/>
          <w:spacing w:val="2"/>
          <w:sz w:val="28"/>
          <w:szCs w:val="28"/>
          <w:lang w:val="uk-UA"/>
        </w:rPr>
        <w:t>169</w:t>
      </w:r>
      <w:r w:rsidRPr="002E6ECA">
        <w:rPr>
          <w:rFonts w:ascii="Times New Roman" w:hAnsi="Times New Roman" w:cs="Times New Roman"/>
          <w:spacing w:val="2"/>
          <w:sz w:val="28"/>
          <w:szCs w:val="28"/>
          <w:lang w:val="uk-UA"/>
        </w:rPr>
        <w:t xml:space="preserve">]. </w:t>
      </w:r>
    </w:p>
    <w:p w:rsidR="00B764B6" w:rsidRPr="002E6ECA" w:rsidRDefault="00E33723" w:rsidP="00B764B6">
      <w:pPr>
        <w:pStyle w:val="HTML"/>
        <w:spacing w:line="360" w:lineRule="auto"/>
        <w:ind w:firstLine="709"/>
        <w:jc w:val="both"/>
        <w:rPr>
          <w:rFonts w:ascii="Times New Roman" w:hAnsi="Times New Roman" w:cs="Times New Roman"/>
          <w:spacing w:val="2"/>
          <w:sz w:val="28"/>
          <w:szCs w:val="28"/>
          <w:lang w:val="uk-UA"/>
        </w:rPr>
      </w:pPr>
      <w:r w:rsidRPr="002E6ECA">
        <w:rPr>
          <w:rFonts w:ascii="Times New Roman" w:hAnsi="Times New Roman" w:cs="Times New Roman"/>
          <w:spacing w:val="2"/>
          <w:sz w:val="28"/>
          <w:szCs w:val="28"/>
          <w:lang w:val="uk-UA"/>
        </w:rPr>
        <w:t xml:space="preserve">Досвід застосування СГМ в гігієні дітей і підлітків вказує на </w:t>
      </w:r>
      <w:r w:rsidR="00B764B6" w:rsidRPr="002E6ECA">
        <w:rPr>
          <w:rFonts w:ascii="Times New Roman" w:hAnsi="Times New Roman" w:cs="Times New Roman"/>
          <w:spacing w:val="2"/>
          <w:sz w:val="28"/>
          <w:szCs w:val="28"/>
          <w:lang w:val="uk-UA"/>
        </w:rPr>
        <w:t>те, що 1-е і 2-е рангові місця за впливом середовища на здоров'я дитячого населення займають некеровані органами охорони здоров'я та освіти соціальні та екологічні фактори, при цьому моніторинг якості об’єктів навколишнього середовища наразі проводиться без прив’язки до контролю динаміки екологічно обумовлених захворювань.</w:t>
      </w:r>
    </w:p>
    <w:p w:rsidR="00E33723" w:rsidRPr="002E6ECA" w:rsidRDefault="00B764B6" w:rsidP="00B764B6">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Чинники середовища життєдіяльності, що пов’язані з впливом освітнього процесу</w:t>
      </w:r>
      <w:r w:rsidR="00CE5CE5" w:rsidRPr="002E6ECA">
        <w:rPr>
          <w:rFonts w:ascii="Times New Roman" w:hAnsi="Times New Roman" w:cs="Times New Roman"/>
          <w:sz w:val="28"/>
          <w:szCs w:val="28"/>
          <w:lang w:val="uk-UA"/>
        </w:rPr>
        <w:t>,</w:t>
      </w:r>
      <w:r w:rsidRPr="002E6ECA">
        <w:rPr>
          <w:rFonts w:ascii="Times New Roman" w:hAnsi="Times New Roman" w:cs="Times New Roman"/>
          <w:sz w:val="28"/>
          <w:szCs w:val="28"/>
          <w:lang w:val="uk-UA"/>
        </w:rPr>
        <w:t xml:space="preserve"> посіли 3-е рангове місце.</w:t>
      </w:r>
      <w:r w:rsidR="00CE5CE5" w:rsidRPr="002E6ECA">
        <w:rPr>
          <w:rFonts w:ascii="Times New Roman" w:hAnsi="Times New Roman" w:cs="Times New Roman"/>
          <w:sz w:val="28"/>
          <w:szCs w:val="28"/>
          <w:lang w:val="uk-UA"/>
        </w:rPr>
        <w:t xml:space="preserve"> </w:t>
      </w:r>
      <w:r w:rsidR="00E33723" w:rsidRPr="002E6ECA">
        <w:rPr>
          <w:rFonts w:ascii="Times New Roman" w:hAnsi="Times New Roman" w:cs="Times New Roman"/>
          <w:sz w:val="28"/>
          <w:szCs w:val="28"/>
          <w:lang w:val="uk-UA"/>
        </w:rPr>
        <w:t>Провідними порушеннями здоров'я у школярів з тенденцією до збільшення поширеності є функціональні порушення кістково-м'язової системи, системи кровообігу, органів зору, нервово-психічні розлади, а також хронічні хвороби кістково-м'язової системи та органів травлення. Розроблено сучасну класифікацію оцінки умов і режимів навчання дітей в школі, що характеризує ступінь ризику для здоров'я учнів умов навчання (оптимальні, допустимі, потенційно небезпечні і небезпечні) [</w:t>
      </w:r>
      <w:r w:rsidR="0006197A" w:rsidRPr="002E6ECA">
        <w:rPr>
          <w:rFonts w:ascii="Times New Roman" w:hAnsi="Times New Roman" w:cs="Times New Roman"/>
          <w:sz w:val="28"/>
          <w:szCs w:val="28"/>
          <w:lang w:val="uk-UA"/>
        </w:rPr>
        <w:t>6</w:t>
      </w:r>
      <w:r w:rsidR="00814A93" w:rsidRPr="002E6ECA">
        <w:rPr>
          <w:rFonts w:ascii="Times New Roman" w:hAnsi="Times New Roman" w:cs="Times New Roman"/>
          <w:sz w:val="28"/>
          <w:szCs w:val="28"/>
          <w:lang w:val="uk-UA"/>
        </w:rPr>
        <w:t xml:space="preserve">, </w:t>
      </w:r>
      <w:r w:rsidR="0006197A" w:rsidRPr="002E6ECA">
        <w:rPr>
          <w:rFonts w:ascii="Times New Roman" w:hAnsi="Times New Roman" w:cs="Times New Roman"/>
          <w:sz w:val="28"/>
          <w:szCs w:val="28"/>
          <w:lang w:val="uk-UA"/>
        </w:rPr>
        <w:t>7</w:t>
      </w:r>
      <w:r w:rsidR="00814A93" w:rsidRPr="002E6ECA">
        <w:rPr>
          <w:rFonts w:ascii="Times New Roman" w:hAnsi="Times New Roman" w:cs="Times New Roman"/>
          <w:sz w:val="28"/>
          <w:szCs w:val="28"/>
          <w:lang w:val="uk-UA"/>
        </w:rPr>
        <w:t>, 4</w:t>
      </w:r>
      <w:r w:rsidR="0006197A" w:rsidRPr="002E6ECA">
        <w:rPr>
          <w:rFonts w:ascii="Times New Roman" w:hAnsi="Times New Roman" w:cs="Times New Roman"/>
          <w:sz w:val="28"/>
          <w:szCs w:val="28"/>
          <w:lang w:val="uk-UA"/>
        </w:rPr>
        <w:t>9</w:t>
      </w:r>
      <w:r w:rsidR="00814A93" w:rsidRPr="002E6ECA">
        <w:rPr>
          <w:rFonts w:ascii="Times New Roman" w:hAnsi="Times New Roman" w:cs="Times New Roman"/>
          <w:sz w:val="28"/>
          <w:szCs w:val="28"/>
          <w:lang w:val="uk-UA"/>
        </w:rPr>
        <w:t>, 5</w:t>
      </w:r>
      <w:r w:rsidR="0006197A" w:rsidRPr="002E6ECA">
        <w:rPr>
          <w:rFonts w:ascii="Times New Roman" w:hAnsi="Times New Roman" w:cs="Times New Roman"/>
          <w:sz w:val="28"/>
          <w:szCs w:val="28"/>
          <w:lang w:val="uk-UA"/>
        </w:rPr>
        <w:t>9</w:t>
      </w:r>
      <w:r w:rsidR="00814A93" w:rsidRPr="002E6ECA">
        <w:rPr>
          <w:rFonts w:ascii="Times New Roman" w:hAnsi="Times New Roman" w:cs="Times New Roman"/>
          <w:sz w:val="28"/>
          <w:szCs w:val="28"/>
          <w:lang w:val="uk-UA"/>
        </w:rPr>
        <w:t xml:space="preserve">, </w:t>
      </w:r>
      <w:r w:rsidR="0006197A" w:rsidRPr="002E6ECA">
        <w:rPr>
          <w:rFonts w:ascii="Times New Roman" w:hAnsi="Times New Roman" w:cs="Times New Roman"/>
          <w:sz w:val="28"/>
          <w:szCs w:val="28"/>
          <w:lang w:val="uk-UA"/>
        </w:rPr>
        <w:t>86</w:t>
      </w:r>
      <w:r w:rsidR="00814A93" w:rsidRPr="002E6ECA">
        <w:rPr>
          <w:rFonts w:ascii="Times New Roman" w:hAnsi="Times New Roman" w:cs="Times New Roman"/>
          <w:sz w:val="28"/>
          <w:szCs w:val="28"/>
          <w:lang w:val="uk-UA"/>
        </w:rPr>
        <w:t xml:space="preserve">, </w:t>
      </w:r>
      <w:r w:rsidR="0006197A" w:rsidRPr="002E6ECA">
        <w:rPr>
          <w:rFonts w:ascii="Times New Roman" w:hAnsi="Times New Roman" w:cs="Times New Roman"/>
          <w:sz w:val="28"/>
          <w:szCs w:val="28"/>
          <w:lang w:val="uk-UA"/>
        </w:rPr>
        <w:t>111, 112</w:t>
      </w:r>
      <w:r w:rsidR="00427FED" w:rsidRPr="002E6ECA">
        <w:rPr>
          <w:rFonts w:ascii="Times New Roman" w:hAnsi="Times New Roman" w:cs="Times New Roman"/>
          <w:sz w:val="28"/>
          <w:szCs w:val="28"/>
          <w:lang w:val="uk-UA"/>
        </w:rPr>
        <w:t xml:space="preserve">, </w:t>
      </w:r>
      <w:r w:rsidR="00E20975" w:rsidRPr="002E6ECA">
        <w:rPr>
          <w:rFonts w:ascii="Times New Roman" w:hAnsi="Times New Roman" w:cs="Times New Roman"/>
          <w:sz w:val="28"/>
          <w:szCs w:val="28"/>
          <w:lang w:val="uk-UA"/>
        </w:rPr>
        <w:t>1</w:t>
      </w:r>
      <w:r w:rsidR="0006197A" w:rsidRPr="002E6ECA">
        <w:rPr>
          <w:rFonts w:ascii="Times New Roman" w:hAnsi="Times New Roman" w:cs="Times New Roman"/>
          <w:sz w:val="28"/>
          <w:szCs w:val="28"/>
          <w:lang w:val="uk-UA"/>
        </w:rPr>
        <w:t>48</w:t>
      </w:r>
      <w:r w:rsidR="00E20975" w:rsidRPr="002E6ECA">
        <w:rPr>
          <w:rFonts w:ascii="Times New Roman" w:hAnsi="Times New Roman" w:cs="Times New Roman"/>
          <w:sz w:val="28"/>
          <w:szCs w:val="28"/>
          <w:lang w:val="uk-UA"/>
        </w:rPr>
        <w:t xml:space="preserve">, </w:t>
      </w:r>
      <w:r w:rsidR="00E72EB1" w:rsidRPr="002E6ECA">
        <w:rPr>
          <w:rFonts w:ascii="Times New Roman" w:hAnsi="Times New Roman" w:cs="Times New Roman"/>
          <w:sz w:val="28"/>
          <w:szCs w:val="28"/>
          <w:lang w:val="uk-UA"/>
        </w:rPr>
        <w:t>1</w:t>
      </w:r>
      <w:r w:rsidR="0006197A" w:rsidRPr="002E6ECA">
        <w:rPr>
          <w:rFonts w:ascii="Times New Roman" w:hAnsi="Times New Roman" w:cs="Times New Roman"/>
          <w:sz w:val="28"/>
          <w:szCs w:val="28"/>
          <w:lang w:val="uk-UA"/>
        </w:rPr>
        <w:t>85</w:t>
      </w:r>
      <w:r w:rsidR="00E72EB1" w:rsidRPr="002E6ECA">
        <w:rPr>
          <w:rFonts w:ascii="Times New Roman" w:hAnsi="Times New Roman" w:cs="Times New Roman"/>
          <w:sz w:val="28"/>
          <w:szCs w:val="28"/>
          <w:lang w:val="uk-UA"/>
        </w:rPr>
        <w:t xml:space="preserve">, </w:t>
      </w:r>
      <w:r w:rsidR="0006197A" w:rsidRPr="002E6ECA">
        <w:rPr>
          <w:rFonts w:ascii="Times New Roman" w:hAnsi="Times New Roman" w:cs="Times New Roman"/>
          <w:sz w:val="28"/>
          <w:szCs w:val="28"/>
          <w:lang w:val="uk-UA"/>
        </w:rPr>
        <w:t>206</w:t>
      </w:r>
      <w:r w:rsidR="00E72EB1" w:rsidRPr="002E6ECA">
        <w:rPr>
          <w:rFonts w:ascii="Times New Roman" w:hAnsi="Times New Roman" w:cs="Times New Roman"/>
          <w:sz w:val="28"/>
          <w:szCs w:val="28"/>
          <w:lang w:val="uk-UA"/>
        </w:rPr>
        <w:t>, 2</w:t>
      </w:r>
      <w:r w:rsidR="0006197A" w:rsidRPr="002E6ECA">
        <w:rPr>
          <w:rFonts w:ascii="Times New Roman" w:hAnsi="Times New Roman" w:cs="Times New Roman"/>
          <w:sz w:val="28"/>
          <w:szCs w:val="28"/>
          <w:lang w:val="uk-UA"/>
        </w:rPr>
        <w:t>55</w:t>
      </w:r>
      <w:r w:rsidR="00E33723" w:rsidRPr="002E6ECA">
        <w:rPr>
          <w:rFonts w:ascii="Times New Roman" w:hAnsi="Times New Roman" w:cs="Times New Roman"/>
          <w:sz w:val="28"/>
          <w:szCs w:val="28"/>
          <w:lang w:val="uk-UA"/>
        </w:rPr>
        <w:t>].</w:t>
      </w:r>
    </w:p>
    <w:p w:rsidR="00E72EB1" w:rsidRPr="002E6ECA" w:rsidRDefault="00E72EB1" w:rsidP="00E33723">
      <w:pPr>
        <w:pStyle w:val="HTML"/>
        <w:spacing w:line="360" w:lineRule="auto"/>
        <w:ind w:firstLine="709"/>
        <w:jc w:val="center"/>
        <w:rPr>
          <w:rFonts w:ascii="Times New Roman" w:hAnsi="Times New Roman" w:cs="Times New Roman"/>
          <w:b/>
          <w:sz w:val="28"/>
          <w:szCs w:val="28"/>
          <w:lang w:val="uk-UA"/>
        </w:rPr>
      </w:pPr>
    </w:p>
    <w:p w:rsidR="00E33723" w:rsidRPr="002E6ECA" w:rsidRDefault="00E33723" w:rsidP="00E33723">
      <w:pPr>
        <w:pStyle w:val="HTML"/>
        <w:spacing w:line="360" w:lineRule="auto"/>
        <w:ind w:firstLine="709"/>
        <w:jc w:val="center"/>
        <w:rPr>
          <w:rFonts w:ascii="Times New Roman" w:hAnsi="Times New Roman" w:cs="Times New Roman"/>
          <w:b/>
          <w:sz w:val="28"/>
          <w:szCs w:val="28"/>
          <w:lang w:val="uk-UA"/>
        </w:rPr>
      </w:pPr>
      <w:r w:rsidRPr="002E6ECA">
        <w:rPr>
          <w:rFonts w:ascii="Times New Roman" w:hAnsi="Times New Roman" w:cs="Times New Roman"/>
          <w:b/>
          <w:sz w:val="28"/>
          <w:szCs w:val="28"/>
          <w:lang w:val="uk-UA"/>
        </w:rPr>
        <w:t>Висновки до розділу 1</w:t>
      </w:r>
    </w:p>
    <w:p w:rsidR="00E33723" w:rsidRPr="002E6ECA" w:rsidRDefault="00E33723" w:rsidP="00E33723">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Таким чином, аналітичний огляд наукової літератури дозволяє зробити наступні висновки:</w:t>
      </w:r>
    </w:p>
    <w:p w:rsidR="00E33723" w:rsidRPr="002E6ECA" w:rsidRDefault="00E33723" w:rsidP="00E33723">
      <w:pPr>
        <w:pStyle w:val="HTML"/>
        <w:numPr>
          <w:ilvl w:val="0"/>
          <w:numId w:val="32"/>
        </w:numPr>
        <w:tabs>
          <w:tab w:val="clear" w:pos="916"/>
          <w:tab w:val="left" w:pos="851"/>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sz w:val="28"/>
          <w:szCs w:val="28"/>
          <w:lang w:val="uk-UA"/>
        </w:rPr>
        <w:lastRenderedPageBreak/>
        <w:t>На сьогоднішній день сформувались два окремих напрямки досліджень, що стосуються вивчення, з одного боку, психолого-педагогічних аспектів навчання дітей за інноваційними освітніми технологіями, а з іншого – стану здоров’я школярів. Проте проведено лише поодинокі дослідження де ці обидва напрямки об’єднані та визначається безпосередній вплив навчального процесу за новими освітніми проєктами на порушення у морфофункціональному, психоемоційному та загальному стані здоров’я школярів, визначено чинники ризику навчального процесу та надано рекомендації щодо профілактики шкільної дезадаптації.</w:t>
      </w:r>
    </w:p>
    <w:p w:rsidR="00E33723" w:rsidRPr="002E6ECA" w:rsidRDefault="00E33723" w:rsidP="00E33723">
      <w:pPr>
        <w:pStyle w:val="HTML"/>
        <w:numPr>
          <w:ilvl w:val="0"/>
          <w:numId w:val="32"/>
        </w:numPr>
        <w:tabs>
          <w:tab w:val="clear" w:pos="916"/>
          <w:tab w:val="left" w:pos="851"/>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sz w:val="28"/>
          <w:szCs w:val="28"/>
          <w:lang w:val="uk-UA"/>
        </w:rPr>
        <w:t>Інформаційний аналіз наукових джерел стосовно актуальних проблем навчання та медичного забезпечення обдарованих дітей та підлітків свідчить про зацікавленість суспільства у проведенні подальших медико-педагогічних досліджень для розробки профілактичних заходів щодо збереження їх здоров’я.</w:t>
      </w:r>
    </w:p>
    <w:p w:rsidR="00E33723" w:rsidRPr="002E6ECA" w:rsidRDefault="00E33723" w:rsidP="00E33723">
      <w:pPr>
        <w:pStyle w:val="HTML"/>
        <w:numPr>
          <w:ilvl w:val="0"/>
          <w:numId w:val="32"/>
        </w:numPr>
        <w:tabs>
          <w:tab w:val="clear" w:pos="916"/>
          <w:tab w:val="left" w:pos="851"/>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Перспективними  напрямками  подальшого розвитку щодо використання соціально-гігієнічного моніторингу у галузі гігієни дітей шкільного віку та підлітків є:  </w:t>
      </w:r>
    </w:p>
    <w:p w:rsidR="00E33723" w:rsidRPr="002E6ECA" w:rsidRDefault="00E33723" w:rsidP="00E33723">
      <w:pPr>
        <w:pStyle w:val="HTML"/>
        <w:numPr>
          <w:ilvl w:val="0"/>
          <w:numId w:val="31"/>
        </w:numPr>
        <w:tabs>
          <w:tab w:val="clear" w:pos="916"/>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вивчення показників функціонального стану основних систем організму та їх адаптаційних можливостей, у том числі використання варіабельності серцевого ритму, що дозволяє виявляти і проводити корекцію донозологичних і преморбідних станів у школярів;</w:t>
      </w:r>
    </w:p>
    <w:p w:rsidR="00E33723" w:rsidRPr="002E6ECA" w:rsidRDefault="00E33723" w:rsidP="00E33723">
      <w:pPr>
        <w:pStyle w:val="HTML"/>
        <w:numPr>
          <w:ilvl w:val="0"/>
          <w:numId w:val="31"/>
        </w:numPr>
        <w:tabs>
          <w:tab w:val="clear" w:pos="916"/>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створення об'єктивної оцінки санітарно-епідемічного благополуччя шкіл, яка сприятиме встановленню шкільних  ризиків щодо  їх впливу та внеску на стан формування здоров'я учнів; </w:t>
      </w:r>
    </w:p>
    <w:p w:rsidR="00E33723" w:rsidRPr="002E6ECA" w:rsidRDefault="00E33723" w:rsidP="00E33723">
      <w:pPr>
        <w:pStyle w:val="1"/>
        <w:numPr>
          <w:ilvl w:val="0"/>
          <w:numId w:val="31"/>
        </w:numPr>
        <w:tabs>
          <w:tab w:val="left" w:pos="1134"/>
        </w:tabs>
        <w:spacing w:before="0" w:beforeAutospacing="0" w:after="0" w:afterAutospacing="0" w:line="360" w:lineRule="auto"/>
        <w:ind w:left="0" w:firstLine="709"/>
        <w:jc w:val="both"/>
        <w:rPr>
          <w:b w:val="0"/>
          <w:sz w:val="28"/>
          <w:szCs w:val="28"/>
          <w:lang w:val="uk-UA"/>
        </w:rPr>
      </w:pPr>
      <w:r w:rsidRPr="002E6ECA">
        <w:rPr>
          <w:b w:val="0"/>
          <w:sz w:val="28"/>
          <w:szCs w:val="28"/>
          <w:lang w:val="uk-UA"/>
        </w:rPr>
        <w:t>наукове обґрунтування нових критеріїв здоров’я дітей і провідних факторів, які їх зумовлюють, створення керованої системи управління здоров’ям дітей та підлітків в освітніх закладах.</w:t>
      </w:r>
    </w:p>
    <w:p w:rsidR="00E33723" w:rsidRPr="002E6ECA" w:rsidRDefault="00E33723" w:rsidP="00E33723">
      <w:pPr>
        <w:pStyle w:val="HTML"/>
        <w:numPr>
          <w:ilvl w:val="0"/>
          <w:numId w:val="32"/>
        </w:numPr>
        <w:tabs>
          <w:tab w:val="clear" w:pos="916"/>
          <w:tab w:val="left" w:pos="851"/>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Академічно здібні та обдаровані діти – це окрема категорія учнів, які потребують особливого медико-психолого-педагогічного супроводу під час отримання середньої освіти.</w:t>
      </w:r>
    </w:p>
    <w:p w:rsidR="00E33723" w:rsidRPr="002E6ECA" w:rsidRDefault="00E33723" w:rsidP="00E33723">
      <w:pPr>
        <w:pStyle w:val="HTML"/>
        <w:numPr>
          <w:ilvl w:val="0"/>
          <w:numId w:val="32"/>
        </w:numPr>
        <w:tabs>
          <w:tab w:val="clear" w:pos="916"/>
          <w:tab w:val="left" w:pos="851"/>
          <w:tab w:val="left" w:pos="1134"/>
        </w:tabs>
        <w:spacing w:line="360" w:lineRule="auto"/>
        <w:ind w:left="0"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lastRenderedPageBreak/>
        <w:t>Навчання за спеціально створеними освітніми програмами у відповідних санітарно-гігієнічних та психолого-педагогічних умовах сприяють не тільки високій успішності учнів, збереженню їх психологічного стану, а й збереженню здоров’я та попередженню шкільної дезадаптації.</w:t>
      </w:r>
    </w:p>
    <w:p w:rsidR="00E33723" w:rsidRPr="002E6ECA" w:rsidRDefault="00E33723" w:rsidP="00E33723">
      <w:pPr>
        <w:rPr>
          <w:lang w:val="uk-UA"/>
        </w:rPr>
      </w:pPr>
    </w:p>
    <w:p w:rsidR="00E33723" w:rsidRPr="002E6ECA" w:rsidRDefault="004341ED" w:rsidP="00E33723">
      <w:pPr>
        <w:spacing w:line="360" w:lineRule="auto"/>
        <w:rPr>
          <w:b/>
          <w:sz w:val="28"/>
          <w:szCs w:val="28"/>
          <w:lang w:val="uk-UA"/>
        </w:rPr>
      </w:pPr>
      <w:r w:rsidRPr="002E6ECA">
        <w:rPr>
          <w:sz w:val="28"/>
          <w:szCs w:val="28"/>
          <w:lang w:val="uk-UA"/>
        </w:rPr>
        <w:t>Матеріали розділу викладено у наступних публікаціях</w:t>
      </w:r>
      <w:r w:rsidR="00E33723" w:rsidRPr="002E6ECA">
        <w:rPr>
          <w:b/>
          <w:sz w:val="28"/>
          <w:szCs w:val="28"/>
          <w:lang w:val="uk-UA"/>
        </w:rPr>
        <w:t>:</w:t>
      </w:r>
      <w:r w:rsidR="008A7114" w:rsidRPr="002E6ECA">
        <w:rPr>
          <w:b/>
          <w:sz w:val="28"/>
          <w:szCs w:val="28"/>
          <w:lang w:val="uk-UA"/>
        </w:rPr>
        <w:t xml:space="preserve"> </w:t>
      </w:r>
      <w:r w:rsidR="008A7114" w:rsidRPr="002E6ECA">
        <w:rPr>
          <w:sz w:val="28"/>
          <w:szCs w:val="28"/>
          <w:lang w:val="uk-UA"/>
        </w:rPr>
        <w:t>219, 226, 227, 228.</w:t>
      </w:r>
      <w:r w:rsidR="00177BF1" w:rsidRPr="002E6ECA">
        <w:rPr>
          <w:sz w:val="28"/>
          <w:szCs w:val="28"/>
        </w:rPr>
        <w:t xml:space="preserve"> </w:t>
      </w:r>
    </w:p>
    <w:p w:rsidR="00917BD4" w:rsidRPr="002E6ECA" w:rsidRDefault="00917BD4" w:rsidP="00177BF1">
      <w:pPr>
        <w:numPr>
          <w:ilvl w:val="0"/>
          <w:numId w:val="24"/>
        </w:numPr>
        <w:spacing w:line="312" w:lineRule="auto"/>
        <w:ind w:left="0" w:firstLine="709"/>
        <w:contextualSpacing/>
        <w:jc w:val="both"/>
        <w:rPr>
          <w:rFonts w:eastAsiaTheme="minorHAnsi" w:cstheme="minorBidi"/>
          <w:sz w:val="28"/>
          <w:szCs w:val="28"/>
          <w:lang w:val="uk-UA" w:eastAsia="en-US"/>
        </w:rPr>
      </w:pPr>
      <w:r w:rsidRPr="002E6ECA">
        <w:rPr>
          <w:sz w:val="28"/>
          <w:szCs w:val="28"/>
          <w:lang w:val="uk-UA"/>
        </w:rPr>
        <w:br w:type="page"/>
      </w:r>
    </w:p>
    <w:p w:rsidR="00A704B3" w:rsidRPr="002E6ECA" w:rsidRDefault="00671012" w:rsidP="00671012">
      <w:pPr>
        <w:spacing w:line="360" w:lineRule="auto"/>
        <w:ind w:firstLine="709"/>
        <w:jc w:val="center"/>
        <w:rPr>
          <w:sz w:val="28"/>
          <w:szCs w:val="28"/>
          <w:lang w:val="uk-UA"/>
        </w:rPr>
      </w:pPr>
      <w:r w:rsidRPr="002E6ECA">
        <w:rPr>
          <w:sz w:val="28"/>
          <w:szCs w:val="28"/>
          <w:lang w:val="uk-UA"/>
        </w:rPr>
        <w:lastRenderedPageBreak/>
        <w:t xml:space="preserve">РОЗДІЛ 2 </w:t>
      </w:r>
    </w:p>
    <w:p w:rsidR="00671012" w:rsidRPr="002E6ECA" w:rsidRDefault="00671012" w:rsidP="00671012">
      <w:pPr>
        <w:spacing w:line="360" w:lineRule="auto"/>
        <w:ind w:firstLine="709"/>
        <w:jc w:val="center"/>
        <w:rPr>
          <w:sz w:val="28"/>
          <w:szCs w:val="28"/>
          <w:lang w:val="uk-UA"/>
        </w:rPr>
      </w:pPr>
      <w:r w:rsidRPr="002E6ECA">
        <w:rPr>
          <w:sz w:val="28"/>
          <w:szCs w:val="28"/>
          <w:lang w:val="uk-UA"/>
        </w:rPr>
        <w:t xml:space="preserve">ПРОГРАМА, МЕТОДИ ТА ДИЗАЙН ДОСЛІДЖЕННЯ </w:t>
      </w:r>
    </w:p>
    <w:p w:rsidR="00671012" w:rsidRPr="002E6ECA" w:rsidRDefault="00671012" w:rsidP="00671012">
      <w:pPr>
        <w:spacing w:line="360" w:lineRule="auto"/>
        <w:ind w:firstLine="709"/>
        <w:jc w:val="center"/>
        <w:rPr>
          <w:sz w:val="28"/>
          <w:szCs w:val="28"/>
          <w:lang w:val="uk-UA"/>
        </w:rPr>
      </w:pPr>
    </w:p>
    <w:p w:rsidR="00671012" w:rsidRPr="002E6ECA" w:rsidRDefault="00671012" w:rsidP="00671012">
      <w:pPr>
        <w:widowControl w:val="0"/>
        <w:spacing w:line="360" w:lineRule="auto"/>
        <w:ind w:firstLine="709"/>
        <w:jc w:val="both"/>
        <w:rPr>
          <w:spacing w:val="-4"/>
          <w:sz w:val="28"/>
          <w:szCs w:val="28"/>
          <w:lang w:val="uk-UA"/>
        </w:rPr>
      </w:pPr>
      <w:r w:rsidRPr="002E6ECA">
        <w:rPr>
          <w:spacing w:val="-4"/>
          <w:sz w:val="28"/>
          <w:szCs w:val="28"/>
          <w:lang w:val="uk-UA"/>
        </w:rPr>
        <w:t>Дослідження проведено на базі закладів загальної середньої освіти згідно із програмою, що розроблена відповідно до поставленої мети та завдань (рис.</w:t>
      </w:r>
      <w:r w:rsidR="000C3DDF" w:rsidRPr="002E6ECA">
        <w:rPr>
          <w:spacing w:val="-4"/>
          <w:sz w:val="28"/>
          <w:szCs w:val="28"/>
          <w:lang w:val="uk-UA"/>
        </w:rPr>
        <w:t> </w:t>
      </w:r>
      <w:r w:rsidRPr="002E6ECA">
        <w:rPr>
          <w:spacing w:val="-4"/>
          <w:sz w:val="28"/>
          <w:szCs w:val="28"/>
          <w:lang w:val="uk-UA"/>
        </w:rPr>
        <w:t xml:space="preserve">2.1). </w:t>
      </w:r>
    </w:p>
    <w:p w:rsidR="00A704B3" w:rsidRPr="002E6ECA" w:rsidRDefault="00671012" w:rsidP="000C3DDF">
      <w:pPr>
        <w:spacing w:line="360" w:lineRule="auto"/>
        <w:ind w:firstLine="709"/>
        <w:jc w:val="both"/>
        <w:rPr>
          <w:spacing w:val="-4"/>
          <w:sz w:val="28"/>
          <w:szCs w:val="28"/>
          <w:lang w:val="uk-UA"/>
        </w:rPr>
      </w:pPr>
      <w:r w:rsidRPr="002E6ECA">
        <w:rPr>
          <w:bCs/>
          <w:spacing w:val="-4"/>
          <w:sz w:val="28"/>
          <w:szCs w:val="28"/>
          <w:lang w:val="uk-UA"/>
        </w:rPr>
        <w:t xml:space="preserve">Головним завданням </w:t>
      </w:r>
      <w:r w:rsidRPr="002E6ECA">
        <w:rPr>
          <w:bCs/>
          <w:i/>
          <w:spacing w:val="-4"/>
          <w:sz w:val="28"/>
          <w:szCs w:val="28"/>
          <w:lang w:val="uk-UA"/>
        </w:rPr>
        <w:t>першого етапу</w:t>
      </w:r>
      <w:r w:rsidRPr="002E6ECA">
        <w:rPr>
          <w:bCs/>
          <w:spacing w:val="-4"/>
          <w:sz w:val="28"/>
          <w:szCs w:val="28"/>
          <w:lang w:val="uk-UA"/>
        </w:rPr>
        <w:t xml:space="preserve"> дослідження постав аналіз світової літератури </w:t>
      </w:r>
      <w:r w:rsidRPr="002E6ECA">
        <w:rPr>
          <w:spacing w:val="-4"/>
          <w:sz w:val="28"/>
          <w:szCs w:val="28"/>
          <w:lang w:val="uk-UA"/>
        </w:rPr>
        <w:t xml:space="preserve">щодо стану здоров’я дітей шкільного віку та підлітків, основних чинниках, що формують його, характеру впливу сучасних освітніх технологій на стан здоров’я школярів, у т.ч. </w:t>
      </w:r>
      <w:r w:rsidRPr="002E6ECA">
        <w:rPr>
          <w:spacing w:val="-6"/>
          <w:sz w:val="28"/>
          <w:szCs w:val="28"/>
          <w:lang w:val="uk-UA"/>
        </w:rPr>
        <w:t>академічно здібних. На підставі аналізу літературних</w:t>
      </w:r>
      <w:r w:rsidRPr="002E6ECA">
        <w:rPr>
          <w:spacing w:val="-4"/>
          <w:sz w:val="28"/>
          <w:szCs w:val="28"/>
          <w:lang w:val="uk-UA"/>
        </w:rPr>
        <w:t xml:space="preserve"> джерел доведено, що навчання за спеціально створеними освітніми програмами у відповідних санітарно-гігієнічних та психолого-педагогічних умовах сприяють не тільки високій успішності учнів, збереженню їх психологічного стану, а й збереженню здоров’я та попередженню шкільної дезадаптації. За результатами отриманої наукової інформації було визначено напрям, об’єкт та предмет дослідження, сформульовану мету та завдання, сформовано поетапний план, обґрунтовано обсяг та дослідницькі методи (табл. 2.1). </w:t>
      </w:r>
    </w:p>
    <w:p w:rsidR="00671012" w:rsidRPr="002E6ECA" w:rsidRDefault="00671012" w:rsidP="00671012">
      <w:pPr>
        <w:spacing w:line="360" w:lineRule="auto"/>
        <w:ind w:firstLine="709"/>
        <w:jc w:val="both"/>
        <w:rPr>
          <w:sz w:val="28"/>
          <w:szCs w:val="28"/>
          <w:lang w:val="uk-UA"/>
        </w:rPr>
      </w:pPr>
      <w:r w:rsidRPr="002E6ECA">
        <w:rPr>
          <w:i/>
          <w:sz w:val="28"/>
          <w:szCs w:val="28"/>
          <w:lang w:val="uk-UA"/>
        </w:rPr>
        <w:t>Об’єктом дослідження</w:t>
      </w:r>
      <w:r w:rsidRPr="002E6ECA">
        <w:rPr>
          <w:sz w:val="28"/>
          <w:szCs w:val="28"/>
          <w:lang w:val="uk-UA"/>
        </w:rPr>
        <w:t xml:space="preserve"> є вплив різних освітніх програм та рівня академічної успішності на формування здоров’я учнів базової школи, шкільної дезадаптації, якості життя, що пов’язана зі здоров’ям, а </w:t>
      </w:r>
      <w:r w:rsidRPr="002E6ECA">
        <w:rPr>
          <w:i/>
          <w:sz w:val="28"/>
          <w:szCs w:val="28"/>
          <w:lang w:val="uk-UA"/>
        </w:rPr>
        <w:t>предметом</w:t>
      </w:r>
      <w:r w:rsidRPr="002E6ECA">
        <w:rPr>
          <w:sz w:val="28"/>
          <w:szCs w:val="28"/>
          <w:lang w:val="uk-UA"/>
        </w:rPr>
        <w:t xml:space="preserve"> – особливості навчального процесу за умов впровадження різних освітніх програм, показники здоров’я та адаптаційні резерви учнів середнього шкільного віку, розумова працездатність, рівень якості життя та психосоціального функціонування</w:t>
      </w:r>
      <w:r w:rsidRPr="002E6ECA">
        <w:rPr>
          <w:i/>
          <w:iCs/>
          <w:sz w:val="28"/>
          <w:szCs w:val="28"/>
          <w:lang w:val="uk-UA"/>
        </w:rPr>
        <w:t xml:space="preserve"> </w:t>
      </w:r>
      <w:r w:rsidRPr="002E6ECA">
        <w:rPr>
          <w:sz w:val="28"/>
          <w:szCs w:val="28"/>
          <w:lang w:val="uk-UA"/>
        </w:rPr>
        <w:t xml:space="preserve">школярів. </w:t>
      </w:r>
    </w:p>
    <w:p w:rsidR="006B72FB" w:rsidRPr="002E6ECA" w:rsidRDefault="000C3DDF" w:rsidP="006B72FB">
      <w:pPr>
        <w:pStyle w:val="a3"/>
        <w:tabs>
          <w:tab w:val="left" w:pos="993"/>
        </w:tabs>
        <w:spacing w:line="360" w:lineRule="auto"/>
        <w:ind w:left="709"/>
        <w:jc w:val="both"/>
        <w:rPr>
          <w:sz w:val="28"/>
          <w:szCs w:val="28"/>
        </w:rPr>
      </w:pPr>
      <w:r w:rsidRPr="002E6ECA">
        <w:rPr>
          <w:sz w:val="28"/>
          <w:szCs w:val="28"/>
        </w:rPr>
        <w:t xml:space="preserve">У роботі було використано наступні методи дослідження: </w:t>
      </w:r>
    </w:p>
    <w:p w:rsidR="006B72FB" w:rsidRPr="002E6ECA" w:rsidRDefault="000C3DDF" w:rsidP="009A2CF7">
      <w:pPr>
        <w:pStyle w:val="a3"/>
        <w:numPr>
          <w:ilvl w:val="0"/>
          <w:numId w:val="56"/>
        </w:numPr>
        <w:tabs>
          <w:tab w:val="left" w:pos="993"/>
        </w:tabs>
        <w:spacing w:line="360" w:lineRule="auto"/>
        <w:ind w:left="0" w:firstLine="709"/>
        <w:jc w:val="both"/>
        <w:rPr>
          <w:sz w:val="28"/>
          <w:szCs w:val="28"/>
        </w:rPr>
      </w:pPr>
      <w:r w:rsidRPr="002E6ECA">
        <w:rPr>
          <w:sz w:val="28"/>
          <w:szCs w:val="28"/>
        </w:rPr>
        <w:t xml:space="preserve">бібліосемантичний </w:t>
      </w:r>
      <w:r w:rsidR="006B72FB" w:rsidRPr="002E6ECA">
        <w:rPr>
          <w:sz w:val="28"/>
          <w:szCs w:val="28"/>
          <w:lang w:val="uk-UA"/>
        </w:rPr>
        <w:t xml:space="preserve">– </w:t>
      </w:r>
      <w:r w:rsidRPr="002E6ECA">
        <w:rPr>
          <w:sz w:val="28"/>
          <w:szCs w:val="28"/>
        </w:rPr>
        <w:t>вивчення</w:t>
      </w:r>
      <w:r w:rsidR="006B72FB" w:rsidRPr="002E6ECA">
        <w:rPr>
          <w:sz w:val="28"/>
          <w:szCs w:val="28"/>
          <w:lang w:val="uk-UA"/>
        </w:rPr>
        <w:t xml:space="preserve"> </w:t>
      </w:r>
      <w:r w:rsidRPr="002E6ECA">
        <w:rPr>
          <w:sz w:val="28"/>
          <w:szCs w:val="28"/>
        </w:rPr>
        <w:t>даних наукової літератури</w:t>
      </w:r>
      <w:r w:rsidR="006B72FB" w:rsidRPr="002E6ECA">
        <w:rPr>
          <w:sz w:val="28"/>
          <w:szCs w:val="28"/>
          <w:lang w:val="uk-UA"/>
        </w:rPr>
        <w:t>;</w:t>
      </w:r>
    </w:p>
    <w:p w:rsidR="006B72FB" w:rsidRPr="002E6ECA" w:rsidRDefault="000C3DDF" w:rsidP="009A2CF7">
      <w:pPr>
        <w:pStyle w:val="a3"/>
        <w:numPr>
          <w:ilvl w:val="0"/>
          <w:numId w:val="56"/>
        </w:numPr>
        <w:tabs>
          <w:tab w:val="left" w:pos="993"/>
        </w:tabs>
        <w:spacing w:line="360" w:lineRule="auto"/>
        <w:ind w:left="0" w:firstLine="709"/>
        <w:jc w:val="both"/>
        <w:rPr>
          <w:sz w:val="28"/>
          <w:szCs w:val="28"/>
        </w:rPr>
      </w:pPr>
      <w:r w:rsidRPr="002E6ECA">
        <w:rPr>
          <w:sz w:val="28"/>
          <w:szCs w:val="28"/>
        </w:rPr>
        <w:t>гігієнічні</w:t>
      </w:r>
      <w:r w:rsidR="006B72FB" w:rsidRPr="002E6ECA">
        <w:rPr>
          <w:sz w:val="28"/>
          <w:szCs w:val="28"/>
          <w:lang w:val="uk-UA"/>
        </w:rPr>
        <w:t xml:space="preserve"> – </w:t>
      </w:r>
      <w:r w:rsidRPr="002E6ECA">
        <w:rPr>
          <w:sz w:val="28"/>
          <w:szCs w:val="28"/>
        </w:rPr>
        <w:t xml:space="preserve">оцінка умов навчання школярів </w:t>
      </w:r>
      <w:r w:rsidR="006B72FB" w:rsidRPr="002E6ECA">
        <w:rPr>
          <w:sz w:val="28"/>
          <w:szCs w:val="28"/>
          <w:lang w:val="uk-UA"/>
        </w:rPr>
        <w:t>(</w:t>
      </w:r>
      <w:r w:rsidRPr="002E6ECA">
        <w:rPr>
          <w:sz w:val="28"/>
          <w:szCs w:val="28"/>
        </w:rPr>
        <w:t>санітарний опис навчальних приміщень, лабораторно-інструментальні дослідження параметрів мікроклімату, рівня природної та штучної освітленості, оцінка навчального розкладу</w:t>
      </w:r>
      <w:r w:rsidR="006B72FB" w:rsidRPr="002E6ECA">
        <w:rPr>
          <w:sz w:val="28"/>
          <w:szCs w:val="28"/>
          <w:lang w:val="uk-UA"/>
        </w:rPr>
        <w:t>);</w:t>
      </w:r>
    </w:p>
    <w:p w:rsidR="006B72FB" w:rsidRPr="002E6ECA" w:rsidRDefault="000C3DDF" w:rsidP="009A2CF7">
      <w:pPr>
        <w:pStyle w:val="a3"/>
        <w:numPr>
          <w:ilvl w:val="0"/>
          <w:numId w:val="56"/>
        </w:numPr>
        <w:tabs>
          <w:tab w:val="left" w:pos="993"/>
        </w:tabs>
        <w:spacing w:line="360" w:lineRule="auto"/>
        <w:ind w:left="0" w:firstLine="709"/>
        <w:jc w:val="both"/>
        <w:rPr>
          <w:sz w:val="28"/>
          <w:szCs w:val="28"/>
        </w:rPr>
      </w:pPr>
      <w:r w:rsidRPr="002E6ECA">
        <w:rPr>
          <w:sz w:val="28"/>
          <w:szCs w:val="28"/>
        </w:rPr>
        <w:lastRenderedPageBreak/>
        <w:t>клінічні</w:t>
      </w:r>
      <w:r w:rsidR="006B72FB" w:rsidRPr="002E6ECA">
        <w:rPr>
          <w:sz w:val="28"/>
          <w:szCs w:val="28"/>
          <w:lang w:val="uk-UA"/>
        </w:rPr>
        <w:t xml:space="preserve"> –</w:t>
      </w:r>
      <w:r w:rsidRPr="002E6ECA">
        <w:rPr>
          <w:sz w:val="28"/>
          <w:szCs w:val="28"/>
        </w:rPr>
        <w:t xml:space="preserve"> оцінка захворюваності, фізичного розвитку учнів середнього шкільного віку, скринінг-діагностика патологічних станів</w:t>
      </w:r>
      <w:r w:rsidR="006B72FB" w:rsidRPr="002E6ECA">
        <w:rPr>
          <w:sz w:val="28"/>
          <w:szCs w:val="28"/>
          <w:lang w:val="uk-UA"/>
        </w:rPr>
        <w:t>;</w:t>
      </w:r>
    </w:p>
    <w:p w:rsidR="004341ED" w:rsidRPr="002E6ECA" w:rsidRDefault="004341ED" w:rsidP="004341ED">
      <w:pPr>
        <w:pStyle w:val="a3"/>
        <w:numPr>
          <w:ilvl w:val="0"/>
          <w:numId w:val="56"/>
        </w:numPr>
        <w:tabs>
          <w:tab w:val="left" w:pos="993"/>
        </w:tabs>
        <w:spacing w:before="120" w:line="360" w:lineRule="auto"/>
        <w:ind w:left="0" w:firstLine="709"/>
        <w:jc w:val="both"/>
        <w:rPr>
          <w:sz w:val="28"/>
          <w:szCs w:val="28"/>
        </w:rPr>
      </w:pPr>
      <w:r w:rsidRPr="002E6ECA">
        <w:rPr>
          <w:sz w:val="28"/>
          <w:szCs w:val="28"/>
        </w:rPr>
        <w:t xml:space="preserve">медико-соціологічні </w:t>
      </w:r>
      <w:r w:rsidRPr="002E6ECA">
        <w:rPr>
          <w:sz w:val="28"/>
          <w:szCs w:val="28"/>
          <w:lang w:val="uk-UA"/>
        </w:rPr>
        <w:t xml:space="preserve">– </w:t>
      </w:r>
      <w:r w:rsidRPr="002E6ECA">
        <w:rPr>
          <w:sz w:val="28"/>
          <w:szCs w:val="28"/>
        </w:rPr>
        <w:t>оцінка якості життя, що пов’язана зі здоров’ям, рівень поширеності шкідливих звичок, оцінка режиму дня</w:t>
      </w:r>
      <w:r w:rsidRPr="002E6ECA">
        <w:rPr>
          <w:sz w:val="28"/>
          <w:szCs w:val="28"/>
          <w:lang w:val="uk-UA"/>
        </w:rPr>
        <w:t>;</w:t>
      </w:r>
    </w:p>
    <w:p w:rsidR="004341ED" w:rsidRPr="002E6ECA" w:rsidRDefault="004341ED" w:rsidP="004341ED">
      <w:pPr>
        <w:pStyle w:val="a3"/>
        <w:numPr>
          <w:ilvl w:val="0"/>
          <w:numId w:val="56"/>
        </w:numPr>
        <w:tabs>
          <w:tab w:val="left" w:pos="993"/>
        </w:tabs>
        <w:spacing w:line="360" w:lineRule="auto"/>
        <w:ind w:left="0" w:firstLine="709"/>
        <w:jc w:val="both"/>
        <w:rPr>
          <w:sz w:val="28"/>
          <w:szCs w:val="28"/>
        </w:rPr>
      </w:pPr>
      <w:r w:rsidRPr="002E6ECA">
        <w:rPr>
          <w:sz w:val="28"/>
          <w:szCs w:val="28"/>
        </w:rPr>
        <w:t xml:space="preserve">психофізіологічні </w:t>
      </w:r>
      <w:r w:rsidRPr="002E6ECA">
        <w:rPr>
          <w:sz w:val="28"/>
          <w:szCs w:val="28"/>
          <w:lang w:val="uk-UA"/>
        </w:rPr>
        <w:t xml:space="preserve">– </w:t>
      </w:r>
      <w:r w:rsidRPr="002E6ECA">
        <w:rPr>
          <w:sz w:val="28"/>
          <w:szCs w:val="28"/>
        </w:rPr>
        <w:t>вивчення розумової працездатності, напруженості вегетативних регуляторних систем та особливостей нейрокогнітивних процесів</w:t>
      </w:r>
      <w:r w:rsidRPr="002E6ECA">
        <w:rPr>
          <w:sz w:val="28"/>
          <w:szCs w:val="28"/>
          <w:lang w:val="uk-UA"/>
        </w:rPr>
        <w:t>;</w:t>
      </w:r>
    </w:p>
    <w:p w:rsidR="004341ED" w:rsidRPr="002E6ECA" w:rsidRDefault="004341ED" w:rsidP="004341ED">
      <w:pPr>
        <w:pStyle w:val="a3"/>
        <w:numPr>
          <w:ilvl w:val="0"/>
          <w:numId w:val="56"/>
        </w:numPr>
        <w:tabs>
          <w:tab w:val="left" w:pos="993"/>
        </w:tabs>
        <w:spacing w:line="360" w:lineRule="auto"/>
        <w:ind w:left="0" w:firstLine="709"/>
        <w:jc w:val="both"/>
        <w:rPr>
          <w:sz w:val="28"/>
          <w:szCs w:val="28"/>
        </w:rPr>
      </w:pPr>
      <w:r w:rsidRPr="002E6ECA">
        <w:rPr>
          <w:sz w:val="28"/>
          <w:szCs w:val="28"/>
        </w:rPr>
        <w:t xml:space="preserve">психолого-педагогічні </w:t>
      </w:r>
      <w:r w:rsidRPr="002E6ECA">
        <w:rPr>
          <w:sz w:val="28"/>
          <w:szCs w:val="28"/>
          <w:lang w:val="uk-UA"/>
        </w:rPr>
        <w:t xml:space="preserve">– </w:t>
      </w:r>
      <w:r w:rsidRPr="002E6ECA">
        <w:rPr>
          <w:sz w:val="28"/>
          <w:szCs w:val="28"/>
        </w:rPr>
        <w:t>визначення академічно успішності та рівня психосоціальної адаптації школярів</w:t>
      </w:r>
      <w:r w:rsidRPr="002E6ECA">
        <w:rPr>
          <w:sz w:val="28"/>
          <w:szCs w:val="28"/>
          <w:lang w:val="uk-UA"/>
        </w:rPr>
        <w:t>;</w:t>
      </w:r>
    </w:p>
    <w:p w:rsidR="004341ED" w:rsidRPr="002E6ECA" w:rsidRDefault="004341ED" w:rsidP="004341ED">
      <w:pPr>
        <w:pStyle w:val="a3"/>
        <w:numPr>
          <w:ilvl w:val="0"/>
          <w:numId w:val="56"/>
        </w:numPr>
        <w:tabs>
          <w:tab w:val="left" w:pos="993"/>
        </w:tabs>
        <w:spacing w:line="360" w:lineRule="auto"/>
        <w:ind w:left="0" w:firstLine="709"/>
        <w:jc w:val="both"/>
        <w:rPr>
          <w:sz w:val="28"/>
          <w:szCs w:val="28"/>
        </w:rPr>
      </w:pPr>
      <w:r w:rsidRPr="002E6ECA">
        <w:rPr>
          <w:sz w:val="28"/>
          <w:szCs w:val="28"/>
        </w:rPr>
        <w:t>статистичні – однофакторн</w:t>
      </w:r>
      <w:r w:rsidRPr="002E6ECA">
        <w:rPr>
          <w:sz w:val="28"/>
          <w:szCs w:val="28"/>
          <w:lang w:val="uk-UA"/>
        </w:rPr>
        <w:t>ий</w:t>
      </w:r>
      <w:r w:rsidRPr="002E6ECA">
        <w:rPr>
          <w:sz w:val="28"/>
          <w:szCs w:val="28"/>
        </w:rPr>
        <w:t xml:space="preserve"> дисперсійн</w:t>
      </w:r>
      <w:r w:rsidRPr="002E6ECA">
        <w:rPr>
          <w:sz w:val="28"/>
          <w:szCs w:val="28"/>
          <w:lang w:val="uk-UA"/>
        </w:rPr>
        <w:t>ий</w:t>
      </w:r>
      <w:r w:rsidRPr="002E6ECA">
        <w:rPr>
          <w:sz w:val="28"/>
          <w:szCs w:val="28"/>
        </w:rPr>
        <w:t>, кореляційн</w:t>
      </w:r>
      <w:r w:rsidRPr="002E6ECA">
        <w:rPr>
          <w:sz w:val="28"/>
          <w:szCs w:val="28"/>
          <w:lang w:val="uk-UA"/>
        </w:rPr>
        <w:t>ий</w:t>
      </w:r>
      <w:r w:rsidRPr="002E6ECA">
        <w:rPr>
          <w:sz w:val="28"/>
          <w:szCs w:val="28"/>
        </w:rPr>
        <w:t xml:space="preserve"> аналіз, критері</w:t>
      </w:r>
      <w:r w:rsidRPr="002E6ECA">
        <w:rPr>
          <w:sz w:val="28"/>
          <w:szCs w:val="28"/>
          <w:lang w:val="uk-UA"/>
        </w:rPr>
        <w:t>й</w:t>
      </w:r>
      <w:r w:rsidRPr="002E6ECA">
        <w:rPr>
          <w:sz w:val="28"/>
          <w:szCs w:val="28"/>
        </w:rPr>
        <w:t xml:space="preserve"> Хі-квадрат за методом МакНемара та Фрідмана, t-тест та </w:t>
      </w:r>
      <w:r w:rsidRPr="002E6ECA">
        <w:rPr>
          <w:sz w:val="28"/>
          <w:szCs w:val="28"/>
          <w:lang w:val="uk-UA"/>
        </w:rPr>
        <w:t xml:space="preserve">метод </w:t>
      </w:r>
      <w:r w:rsidRPr="002E6ECA">
        <w:rPr>
          <w:sz w:val="28"/>
          <w:szCs w:val="28"/>
        </w:rPr>
        <w:t xml:space="preserve">узагальнюючих лінійних змішаних моделей, моделювання структурними рівняннями (SEM). </w:t>
      </w:r>
    </w:p>
    <w:p w:rsidR="004341ED" w:rsidRPr="002E6ECA" w:rsidRDefault="004341ED" w:rsidP="004341ED">
      <w:pPr>
        <w:spacing w:line="360" w:lineRule="auto"/>
        <w:ind w:firstLine="709"/>
        <w:jc w:val="both"/>
        <w:rPr>
          <w:sz w:val="28"/>
          <w:szCs w:val="28"/>
          <w:lang w:val="uk-UA"/>
        </w:rPr>
      </w:pPr>
      <w:r w:rsidRPr="002E6ECA">
        <w:rPr>
          <w:i/>
          <w:sz w:val="28"/>
          <w:szCs w:val="28"/>
          <w:lang w:val="uk-UA"/>
        </w:rPr>
        <w:t>База наукового дослідження</w:t>
      </w:r>
      <w:r w:rsidRPr="002E6ECA">
        <w:rPr>
          <w:sz w:val="28"/>
          <w:szCs w:val="28"/>
          <w:lang w:val="uk-UA"/>
        </w:rPr>
        <w:t>: 47 закладів загальної середньої освіти, що розташовані у обласних центрах (25 ЗЗСО), містах районного значення (13 ЗЗСО), селищах (4 ЗЗСО) та селах (5 ЗЗСО) Дніпровської, Донецької, Київської, Львівської, Рівненської, Харківської області, міст Вінниця, Тернопіль, Кривий Ріг, Чернівці.</w:t>
      </w:r>
    </w:p>
    <w:p w:rsidR="004341ED" w:rsidRPr="002E6ECA" w:rsidRDefault="004341ED" w:rsidP="004341ED">
      <w:pPr>
        <w:spacing w:line="360" w:lineRule="auto"/>
        <w:ind w:firstLine="709"/>
        <w:jc w:val="both"/>
        <w:rPr>
          <w:sz w:val="28"/>
          <w:szCs w:val="28"/>
          <w:lang w:val="uk-UA"/>
        </w:rPr>
      </w:pPr>
      <w:r w:rsidRPr="002E6ECA">
        <w:rPr>
          <w:sz w:val="28"/>
          <w:szCs w:val="28"/>
          <w:lang w:val="uk-UA"/>
        </w:rPr>
        <w:t xml:space="preserve">На </w:t>
      </w:r>
      <w:r w:rsidRPr="002E6ECA">
        <w:rPr>
          <w:i/>
          <w:sz w:val="28"/>
          <w:szCs w:val="28"/>
          <w:lang w:val="uk-UA"/>
        </w:rPr>
        <w:t>другому етапі</w:t>
      </w:r>
      <w:r w:rsidRPr="002E6ECA">
        <w:rPr>
          <w:sz w:val="28"/>
          <w:szCs w:val="28"/>
          <w:lang w:val="uk-UA"/>
        </w:rPr>
        <w:t xml:space="preserve"> вивчався стан здоров’я дітей середнього шкільного віку, який оцінювався за даними профілактичних медичних оглядів, проведених фахівцями ДУ «Інститут охорони здоров’я дітей та підлітків НАМН України», а також за показниками гострої захворюваності – вивчення числа випадків та днів захворювання, що фіксувались у класних журналах, а також розрахунку тривалості одного випадку та індексу здоров’я.</w:t>
      </w:r>
    </w:p>
    <w:p w:rsidR="004341ED" w:rsidRPr="002E6ECA" w:rsidRDefault="004341ED" w:rsidP="004341ED">
      <w:pPr>
        <w:spacing w:line="360" w:lineRule="auto"/>
        <w:ind w:firstLine="709"/>
        <w:jc w:val="both"/>
        <w:rPr>
          <w:sz w:val="28"/>
          <w:szCs w:val="28"/>
          <w:lang w:val="uk-UA"/>
        </w:rPr>
      </w:pPr>
      <w:r w:rsidRPr="002E6ECA">
        <w:rPr>
          <w:sz w:val="28"/>
          <w:szCs w:val="28"/>
          <w:lang w:val="uk-UA"/>
        </w:rPr>
        <w:t>Згідно з даними епідеміологічних досліджень, поширеність як надлишкової, так і недостатньої маси тіла збільшується в педіатричній популяції, при цьому дослідники наголошують на прямому взаємозв’язку фізичного розвитку з соціально-економічними, клімато-географічними та екологічними чинниками, складом сім’ї та її фінансовим благополуччям [</w:t>
      </w:r>
      <w:r w:rsidR="008A7114" w:rsidRPr="002E6ECA">
        <w:rPr>
          <w:sz w:val="28"/>
          <w:szCs w:val="28"/>
          <w:lang w:val="uk-UA"/>
        </w:rPr>
        <w:t>248,</w:t>
      </w:r>
      <w:r w:rsidR="008A7114" w:rsidRPr="002E6ECA">
        <w:rPr>
          <w:rFonts w:asciiTheme="minorHAnsi" w:eastAsiaTheme="minorHAnsi" w:hAnsiTheme="minorHAnsi" w:cstheme="minorBidi"/>
          <w:sz w:val="22"/>
          <w:szCs w:val="22"/>
          <w:lang w:val="uk-UA" w:eastAsia="en-US"/>
        </w:rPr>
        <w:t xml:space="preserve"> </w:t>
      </w:r>
      <w:r w:rsidR="008A7114" w:rsidRPr="002E6ECA">
        <w:rPr>
          <w:sz w:val="28"/>
          <w:szCs w:val="28"/>
          <w:lang w:val="uk-UA"/>
        </w:rPr>
        <w:t>279,</w:t>
      </w:r>
      <w:r w:rsidR="008A7114" w:rsidRPr="002E6ECA">
        <w:rPr>
          <w:rFonts w:asciiTheme="minorHAnsi" w:eastAsiaTheme="minorHAnsi" w:hAnsiTheme="minorHAnsi" w:cstheme="minorBidi"/>
          <w:sz w:val="28"/>
          <w:szCs w:val="28"/>
          <w:lang w:val="uk-UA" w:eastAsia="en-US"/>
        </w:rPr>
        <w:t xml:space="preserve"> </w:t>
      </w:r>
      <w:r w:rsidR="008A7114" w:rsidRPr="002E6ECA">
        <w:rPr>
          <w:sz w:val="28"/>
          <w:szCs w:val="28"/>
          <w:lang w:val="uk-UA"/>
        </w:rPr>
        <w:t>284, 285,</w:t>
      </w:r>
      <w:r w:rsidR="008A7114" w:rsidRPr="002E6ECA">
        <w:rPr>
          <w:rFonts w:asciiTheme="minorHAnsi" w:eastAsiaTheme="minorHAnsi" w:hAnsiTheme="minorHAnsi" w:cstheme="minorBidi"/>
          <w:sz w:val="28"/>
          <w:szCs w:val="28"/>
          <w:lang w:val="uk-UA" w:eastAsia="en-US"/>
        </w:rPr>
        <w:t xml:space="preserve"> </w:t>
      </w:r>
      <w:r w:rsidR="008A7114" w:rsidRPr="002E6ECA">
        <w:rPr>
          <w:sz w:val="28"/>
          <w:szCs w:val="28"/>
          <w:lang w:val="uk-UA"/>
        </w:rPr>
        <w:t>372,</w:t>
      </w:r>
      <w:r w:rsidR="008A7114" w:rsidRPr="002E6ECA">
        <w:rPr>
          <w:rFonts w:asciiTheme="minorHAnsi" w:eastAsiaTheme="minorHAnsi" w:hAnsiTheme="minorHAnsi" w:cstheme="minorBidi"/>
          <w:sz w:val="28"/>
          <w:szCs w:val="28"/>
          <w:lang w:val="uk-UA" w:eastAsia="en-US"/>
        </w:rPr>
        <w:t xml:space="preserve"> </w:t>
      </w:r>
      <w:r w:rsidR="008A7114" w:rsidRPr="002E6ECA">
        <w:rPr>
          <w:sz w:val="28"/>
          <w:szCs w:val="28"/>
          <w:lang w:val="uk-UA"/>
        </w:rPr>
        <w:t>416,</w:t>
      </w:r>
      <w:r w:rsidR="008A7114" w:rsidRPr="002E6ECA">
        <w:rPr>
          <w:rFonts w:asciiTheme="minorHAnsi" w:eastAsiaTheme="minorHAnsi" w:hAnsiTheme="minorHAnsi" w:cstheme="minorBidi"/>
          <w:sz w:val="28"/>
          <w:szCs w:val="28"/>
          <w:lang w:val="uk-UA" w:eastAsia="en-US"/>
        </w:rPr>
        <w:t xml:space="preserve"> </w:t>
      </w:r>
      <w:r w:rsidR="008A7114" w:rsidRPr="002E6ECA">
        <w:rPr>
          <w:sz w:val="28"/>
          <w:szCs w:val="28"/>
          <w:lang w:val="uk-UA"/>
        </w:rPr>
        <w:t>459</w:t>
      </w:r>
      <w:r w:rsidRPr="002E6ECA">
        <w:rPr>
          <w:sz w:val="28"/>
          <w:szCs w:val="28"/>
          <w:lang w:val="uk-UA"/>
        </w:rPr>
        <w:t xml:space="preserve">]. Визначається зміна тенденцій у фізичному </w:t>
      </w:r>
      <w:r w:rsidRPr="002E6ECA">
        <w:rPr>
          <w:sz w:val="28"/>
          <w:szCs w:val="28"/>
          <w:lang w:val="uk-UA"/>
        </w:rPr>
        <w:lastRenderedPageBreak/>
        <w:t>розвиткові дітей та підлітків у бік процесів акселерації, грацілізації, а також зростання кількості школярів з надлишковою масою тіла та ожирінням, що</w:t>
      </w:r>
    </w:p>
    <w:p w:rsidR="008C506D" w:rsidRPr="002E6ECA" w:rsidRDefault="00CE5CE5" w:rsidP="008C506D">
      <w:pPr>
        <w:spacing w:line="360" w:lineRule="auto"/>
        <w:jc w:val="center"/>
        <w:rPr>
          <w:sz w:val="28"/>
          <w:szCs w:val="28"/>
          <w:lang w:val="uk-UA"/>
        </w:rPr>
      </w:pPr>
      <w:r w:rsidRPr="002E6ECA">
        <w:rPr>
          <w:noProof/>
          <w:lang w:val="uk-UA" w:eastAsia="uk-UA"/>
        </w:rPr>
        <w:drawing>
          <wp:inline distT="0" distB="0" distL="0" distR="0" wp14:anchorId="5B90D713" wp14:editId="5E97CCEA">
            <wp:extent cx="5505450" cy="82486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7">
                      <a:extLst>
                        <a:ext uri="{28A0092B-C50C-407E-A947-70E740481C1C}">
                          <a14:useLocalDpi xmlns:a14="http://schemas.microsoft.com/office/drawing/2010/main" val="0"/>
                        </a:ext>
                      </a:extLst>
                    </a:blip>
                    <a:srcRect l="55469" t="10533" r="28040" b="12485"/>
                    <a:stretch>
                      <a:fillRect/>
                    </a:stretch>
                  </pic:blipFill>
                  <pic:spPr bwMode="auto">
                    <a:xfrm>
                      <a:off x="0" y="0"/>
                      <a:ext cx="5505450" cy="8248650"/>
                    </a:xfrm>
                    <a:prstGeom prst="rect">
                      <a:avLst/>
                    </a:prstGeom>
                    <a:noFill/>
                    <a:ln>
                      <a:noFill/>
                    </a:ln>
                  </pic:spPr>
                </pic:pic>
              </a:graphicData>
            </a:graphic>
          </wp:inline>
        </w:drawing>
      </w:r>
    </w:p>
    <w:p w:rsidR="00671012" w:rsidRPr="002E6ECA" w:rsidRDefault="00671012" w:rsidP="008C506D">
      <w:pPr>
        <w:spacing w:line="360" w:lineRule="auto"/>
        <w:ind w:firstLine="709"/>
        <w:rPr>
          <w:sz w:val="28"/>
          <w:szCs w:val="28"/>
          <w:lang w:val="uk-UA"/>
        </w:rPr>
      </w:pPr>
      <w:r w:rsidRPr="002E6ECA">
        <w:rPr>
          <w:sz w:val="28"/>
          <w:szCs w:val="28"/>
          <w:lang w:val="uk-UA"/>
        </w:rPr>
        <w:t xml:space="preserve">Рис. 2.1. Програма дослідження </w:t>
      </w:r>
    </w:p>
    <w:p w:rsidR="00671012" w:rsidRPr="002E6ECA" w:rsidRDefault="00671012" w:rsidP="00671012">
      <w:pPr>
        <w:spacing w:line="360" w:lineRule="auto"/>
        <w:ind w:firstLine="709"/>
        <w:jc w:val="right"/>
        <w:rPr>
          <w:i/>
          <w:sz w:val="28"/>
          <w:szCs w:val="28"/>
          <w:lang w:val="uk-UA"/>
        </w:rPr>
      </w:pPr>
      <w:r w:rsidRPr="002E6ECA">
        <w:rPr>
          <w:i/>
          <w:sz w:val="28"/>
          <w:szCs w:val="28"/>
          <w:lang w:val="uk-UA"/>
        </w:rPr>
        <w:lastRenderedPageBreak/>
        <w:t>Таблиця 2.1</w:t>
      </w:r>
    </w:p>
    <w:p w:rsidR="00671012" w:rsidRPr="002E6ECA" w:rsidRDefault="00671012" w:rsidP="00671012">
      <w:pPr>
        <w:spacing w:line="360" w:lineRule="auto"/>
        <w:ind w:firstLine="709"/>
        <w:jc w:val="center"/>
        <w:rPr>
          <w:b/>
          <w:bCs/>
          <w:sz w:val="28"/>
          <w:szCs w:val="28"/>
          <w:lang w:val="uk-UA"/>
        </w:rPr>
      </w:pPr>
      <w:r w:rsidRPr="002E6ECA">
        <w:rPr>
          <w:noProof/>
          <w:lang w:val="uk-UA" w:eastAsia="uk-UA"/>
        </w:rPr>
        <mc:AlternateContent>
          <mc:Choice Requires="wps">
            <w:drawing>
              <wp:anchor distT="0" distB="0" distL="114300" distR="114300" simplePos="0" relativeHeight="251678208" behindDoc="0" locked="0" layoutInCell="1" allowOverlap="1" wp14:anchorId="009D251F" wp14:editId="27A5D042">
                <wp:simplePos x="0" y="0"/>
                <wp:positionH relativeFrom="column">
                  <wp:posOffset>9311640</wp:posOffset>
                </wp:positionH>
                <wp:positionV relativeFrom="paragraph">
                  <wp:posOffset>-550545</wp:posOffset>
                </wp:positionV>
                <wp:extent cx="342900" cy="342900"/>
                <wp:effectExtent l="0" t="0" r="0" b="0"/>
                <wp:wrapNone/>
                <wp:docPr id="84" name="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9BB836" id="Прямоугольник 84" o:spid="_x0000_s1026" style="position:absolute;margin-left:733.2pt;margin-top:-43.35pt;width:27pt;height:27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" stroked="f"/>
            </w:pict>
          </mc:Fallback>
        </mc:AlternateContent>
      </w:r>
      <w:r w:rsidRPr="002E6ECA">
        <w:rPr>
          <w:noProof/>
          <w:lang w:val="uk-UA" w:eastAsia="uk-UA"/>
        </w:rPr>
        <mc:AlternateContent>
          <mc:Choice Requires="wps">
            <w:drawing>
              <wp:anchor distT="0" distB="0" distL="114300" distR="114300" simplePos="0" relativeHeight="251677184" behindDoc="0" locked="0" layoutInCell="1" allowOverlap="1" wp14:anchorId="1F333E16" wp14:editId="0BE18343">
                <wp:simplePos x="0" y="0"/>
                <wp:positionH relativeFrom="column">
                  <wp:posOffset>9046845</wp:posOffset>
                </wp:positionH>
                <wp:positionV relativeFrom="paragraph">
                  <wp:posOffset>-702945</wp:posOffset>
                </wp:positionV>
                <wp:extent cx="342900" cy="342900"/>
                <wp:effectExtent l="0" t="0" r="0" b="0"/>
                <wp:wrapNone/>
                <wp:docPr id="83" name="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EC9345" id="Прямоугольник 83" o:spid="_x0000_s1026" style="position:absolute;margin-left:712.35pt;margin-top:-55.35pt;width:27pt;height:27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" stroked="f"/>
            </w:pict>
          </mc:Fallback>
        </mc:AlternateContent>
      </w:r>
      <w:r w:rsidRPr="002E6ECA">
        <w:rPr>
          <w:b/>
          <w:bCs/>
          <w:sz w:val="28"/>
          <w:szCs w:val="28"/>
          <w:lang w:val="uk-UA"/>
        </w:rPr>
        <w:t>Основні види, методи та обсяг проведених досліджень</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83"/>
        <w:gridCol w:w="2175"/>
      </w:tblGrid>
      <w:tr w:rsidR="00671012" w:rsidRPr="002E6ECA" w:rsidTr="006B72FB">
        <w:trPr>
          <w:trHeight w:val="578"/>
        </w:trPr>
        <w:tc>
          <w:tcPr>
            <w:tcW w:w="3897" w:type="pct"/>
            <w:tcMar>
              <w:left w:w="28" w:type="dxa"/>
              <w:right w:w="28" w:type="dxa"/>
            </w:tcMar>
            <w:vAlign w:val="center"/>
          </w:tcPr>
          <w:p w:rsidR="00671012" w:rsidRPr="002E6ECA" w:rsidRDefault="00671012" w:rsidP="006B72FB">
            <w:pPr>
              <w:tabs>
                <w:tab w:val="center" w:pos="3719"/>
              </w:tabs>
              <w:jc w:val="center"/>
              <w:rPr>
                <w:sz w:val="28"/>
                <w:szCs w:val="28"/>
                <w:lang w:val="uk-UA"/>
              </w:rPr>
            </w:pPr>
            <w:r w:rsidRPr="002E6ECA">
              <w:rPr>
                <w:sz w:val="28"/>
                <w:szCs w:val="28"/>
                <w:lang w:val="uk-UA"/>
              </w:rPr>
              <w:t>Методи дослідження</w:t>
            </w:r>
          </w:p>
        </w:tc>
        <w:tc>
          <w:tcPr>
            <w:tcW w:w="1103" w:type="pct"/>
            <w:tcMar>
              <w:left w:w="28" w:type="dxa"/>
              <w:right w:w="28" w:type="dxa"/>
            </w:tcMar>
            <w:vAlign w:val="center"/>
          </w:tcPr>
          <w:p w:rsidR="00671012" w:rsidRPr="002E6ECA" w:rsidRDefault="00671012" w:rsidP="006B72FB">
            <w:pPr>
              <w:jc w:val="center"/>
              <w:rPr>
                <w:sz w:val="28"/>
                <w:szCs w:val="28"/>
                <w:lang w:val="uk-UA"/>
              </w:rPr>
            </w:pPr>
            <w:r w:rsidRPr="002E6ECA">
              <w:rPr>
                <w:sz w:val="28"/>
                <w:szCs w:val="28"/>
                <w:lang w:val="uk-UA"/>
              </w:rPr>
              <w:t>Обсяг</w:t>
            </w:r>
          </w:p>
        </w:tc>
      </w:tr>
      <w:tr w:rsidR="00671012" w:rsidRPr="002E6ECA" w:rsidTr="006B72FB">
        <w:tc>
          <w:tcPr>
            <w:tcW w:w="5000" w:type="pct"/>
            <w:gridSpan w:val="2"/>
            <w:tcMar>
              <w:left w:w="28" w:type="dxa"/>
              <w:right w:w="28" w:type="dxa"/>
            </w:tcMar>
            <w:vAlign w:val="center"/>
          </w:tcPr>
          <w:p w:rsidR="00671012" w:rsidRPr="002E6ECA" w:rsidRDefault="00671012" w:rsidP="006B72FB">
            <w:pPr>
              <w:jc w:val="center"/>
              <w:rPr>
                <w:i/>
                <w:iCs/>
                <w:spacing w:val="-2"/>
                <w:sz w:val="28"/>
                <w:szCs w:val="28"/>
                <w:lang w:val="uk-UA"/>
              </w:rPr>
            </w:pPr>
            <w:r w:rsidRPr="002E6ECA">
              <w:rPr>
                <w:b/>
                <w:i/>
                <w:iCs/>
                <w:spacing w:val="-2"/>
                <w:sz w:val="28"/>
                <w:szCs w:val="28"/>
                <w:lang w:val="uk-UA"/>
              </w:rPr>
              <w:t>Санітарно-гігієнічні  умови внутрішньошкільного середовища (4705 вимірів):</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Санітарний опис навчального закладу</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158 навчальних приміщень</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Оцінка мікрокліматичних умов (температура, відносна вологість повітря)</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1192 вимірювання</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Оцінка рівня природної освітленості</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294 вимірювань</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Оцінка рівня штучної освітленості</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3219 вимірювань</w:t>
            </w:r>
          </w:p>
        </w:tc>
      </w:tr>
      <w:tr w:rsidR="00671012" w:rsidRPr="002E6ECA" w:rsidTr="006B72FB">
        <w:tc>
          <w:tcPr>
            <w:tcW w:w="3897" w:type="pct"/>
            <w:tcMar>
              <w:left w:w="28" w:type="dxa"/>
              <w:right w:w="28" w:type="dxa"/>
            </w:tcMar>
            <w:vAlign w:val="center"/>
          </w:tcPr>
          <w:p w:rsidR="00671012" w:rsidRPr="002E6ECA" w:rsidRDefault="00671012" w:rsidP="006B72FB">
            <w:pPr>
              <w:jc w:val="center"/>
              <w:rPr>
                <w:b/>
                <w:i/>
                <w:iCs/>
                <w:sz w:val="28"/>
                <w:szCs w:val="28"/>
                <w:lang w:val="uk-UA"/>
              </w:rPr>
            </w:pPr>
            <w:r w:rsidRPr="002E6ECA">
              <w:rPr>
                <w:b/>
                <w:i/>
                <w:iCs/>
                <w:sz w:val="28"/>
                <w:szCs w:val="28"/>
                <w:lang w:val="uk-UA"/>
              </w:rPr>
              <w:t>Організація навчального процесу:</w:t>
            </w:r>
          </w:p>
        </w:tc>
        <w:tc>
          <w:tcPr>
            <w:tcW w:w="1103" w:type="pct"/>
            <w:tcMar>
              <w:left w:w="28" w:type="dxa"/>
              <w:right w:w="28" w:type="dxa"/>
            </w:tcMar>
          </w:tcPr>
          <w:p w:rsidR="00671012" w:rsidRPr="002E6ECA" w:rsidRDefault="00671012" w:rsidP="006B72FB">
            <w:pPr>
              <w:jc w:val="center"/>
              <w:rPr>
                <w:i/>
                <w:iCs/>
                <w:sz w:val="28"/>
                <w:szCs w:val="28"/>
                <w:lang w:val="uk-UA"/>
              </w:rPr>
            </w:pP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Оцінка навчального розкладу</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53 розклади</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Оцінка режиму дня</w:t>
            </w:r>
          </w:p>
        </w:tc>
        <w:tc>
          <w:tcPr>
            <w:tcW w:w="1103" w:type="pct"/>
            <w:tcMar>
              <w:left w:w="28" w:type="dxa"/>
              <w:right w:w="28" w:type="dxa"/>
            </w:tcMar>
          </w:tcPr>
          <w:p w:rsidR="00671012" w:rsidRPr="002E6ECA" w:rsidRDefault="00D749CB" w:rsidP="006B72FB">
            <w:pPr>
              <w:jc w:val="center"/>
              <w:rPr>
                <w:sz w:val="28"/>
                <w:szCs w:val="28"/>
                <w:lang w:val="uk-UA"/>
              </w:rPr>
            </w:pPr>
            <w:r w:rsidRPr="002E6ECA">
              <w:rPr>
                <w:sz w:val="28"/>
                <w:szCs w:val="28"/>
                <w:lang w:val="uk-UA"/>
              </w:rPr>
              <w:t>3099</w:t>
            </w:r>
            <w:r w:rsidR="00671012" w:rsidRPr="002E6ECA">
              <w:rPr>
                <w:sz w:val="28"/>
                <w:szCs w:val="28"/>
                <w:lang w:val="uk-UA"/>
              </w:rPr>
              <w:t xml:space="preserve"> анкет</w:t>
            </w:r>
          </w:p>
        </w:tc>
      </w:tr>
      <w:tr w:rsidR="00671012" w:rsidRPr="002E6ECA" w:rsidTr="006B72FB">
        <w:tc>
          <w:tcPr>
            <w:tcW w:w="5000" w:type="pct"/>
            <w:gridSpan w:val="2"/>
            <w:tcMar>
              <w:left w:w="28" w:type="dxa"/>
              <w:right w:w="28" w:type="dxa"/>
            </w:tcMar>
            <w:vAlign w:val="center"/>
          </w:tcPr>
          <w:p w:rsidR="00671012" w:rsidRPr="002E6ECA" w:rsidRDefault="00671012" w:rsidP="006B72FB">
            <w:pPr>
              <w:jc w:val="center"/>
              <w:rPr>
                <w:sz w:val="28"/>
                <w:szCs w:val="28"/>
                <w:lang w:val="uk-UA"/>
              </w:rPr>
            </w:pPr>
            <w:r w:rsidRPr="002E6ECA">
              <w:rPr>
                <w:b/>
                <w:i/>
                <w:iCs/>
                <w:sz w:val="28"/>
                <w:szCs w:val="28"/>
                <w:lang w:val="uk-UA"/>
              </w:rPr>
              <w:t xml:space="preserve">Дослідження стану здоров’я (3834 учні): </w:t>
            </w:r>
          </w:p>
        </w:tc>
      </w:tr>
      <w:tr w:rsidR="00671012" w:rsidRPr="002E6ECA" w:rsidTr="006B72FB">
        <w:tc>
          <w:tcPr>
            <w:tcW w:w="3897" w:type="pct"/>
            <w:tcMar>
              <w:left w:w="28" w:type="dxa"/>
              <w:right w:w="28" w:type="dxa"/>
            </w:tcMar>
            <w:vAlign w:val="center"/>
          </w:tcPr>
          <w:p w:rsidR="00671012" w:rsidRPr="002E6ECA" w:rsidRDefault="00671012" w:rsidP="006B72FB">
            <w:pPr>
              <w:rPr>
                <w:spacing w:val="-4"/>
                <w:sz w:val="28"/>
                <w:szCs w:val="28"/>
                <w:lang w:val="uk-UA"/>
              </w:rPr>
            </w:pPr>
            <w:r w:rsidRPr="002E6ECA">
              <w:rPr>
                <w:spacing w:val="-4"/>
                <w:sz w:val="28"/>
                <w:szCs w:val="28"/>
                <w:lang w:val="uk-UA"/>
              </w:rPr>
              <w:t>Гостра захворюваність у динаміці навчання (5 навчальних років)</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564 учні</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Фізичний розвиток (соматометричні та фізіометричні показники)</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1894 учнів</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Каліперометрія та біоімпендансометрія</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262 учні</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Хронічна захворюваність – дослідження патологічної ураженості</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869 учнів</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Скринінг-дослідження (визначення патологічних станів)</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3099 анкет</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Самооцінка «Самопочуття-активність-настрій»</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2760 анкет</w:t>
            </w:r>
          </w:p>
        </w:tc>
      </w:tr>
      <w:tr w:rsidR="00671012" w:rsidRPr="002E6ECA" w:rsidTr="006B72FB">
        <w:tc>
          <w:tcPr>
            <w:tcW w:w="3897" w:type="pct"/>
            <w:tcMar>
              <w:left w:w="28" w:type="dxa"/>
              <w:right w:w="28" w:type="dxa"/>
            </w:tcMar>
            <w:vAlign w:val="center"/>
          </w:tcPr>
          <w:p w:rsidR="00671012" w:rsidRPr="002E6ECA" w:rsidRDefault="00671012" w:rsidP="006B72FB">
            <w:pPr>
              <w:jc w:val="both"/>
              <w:rPr>
                <w:iCs/>
                <w:sz w:val="28"/>
                <w:szCs w:val="28"/>
                <w:lang w:val="uk-UA"/>
              </w:rPr>
            </w:pPr>
            <w:r w:rsidRPr="002E6ECA">
              <w:rPr>
                <w:iCs/>
                <w:sz w:val="28"/>
                <w:szCs w:val="28"/>
                <w:lang w:val="uk-UA"/>
              </w:rPr>
              <w:t>Харчовий статус за ІМТ</w:t>
            </w:r>
          </w:p>
        </w:tc>
        <w:tc>
          <w:tcPr>
            <w:tcW w:w="1103" w:type="pct"/>
            <w:tcMar>
              <w:left w:w="28" w:type="dxa"/>
              <w:right w:w="28" w:type="dxa"/>
            </w:tcMar>
          </w:tcPr>
          <w:p w:rsidR="00671012" w:rsidRPr="002E6ECA" w:rsidRDefault="00671012" w:rsidP="006B72FB">
            <w:pPr>
              <w:jc w:val="both"/>
              <w:rPr>
                <w:sz w:val="28"/>
                <w:szCs w:val="28"/>
                <w:lang w:val="uk-UA"/>
              </w:rPr>
            </w:pPr>
            <w:r w:rsidRPr="002E6ECA">
              <w:rPr>
                <w:sz w:val="28"/>
                <w:szCs w:val="28"/>
                <w:lang w:val="uk-UA"/>
              </w:rPr>
              <w:t>1894 уч., 63 ст.</w:t>
            </w:r>
          </w:p>
        </w:tc>
      </w:tr>
      <w:tr w:rsidR="00671012" w:rsidRPr="002E6ECA" w:rsidTr="006B72FB">
        <w:tc>
          <w:tcPr>
            <w:tcW w:w="3897" w:type="pct"/>
            <w:tcMar>
              <w:left w:w="28" w:type="dxa"/>
              <w:right w:w="28" w:type="dxa"/>
            </w:tcMar>
            <w:vAlign w:val="center"/>
          </w:tcPr>
          <w:p w:rsidR="00671012" w:rsidRPr="002E6ECA" w:rsidRDefault="00671012" w:rsidP="006B72FB">
            <w:pPr>
              <w:jc w:val="both"/>
              <w:rPr>
                <w:iCs/>
                <w:sz w:val="28"/>
                <w:szCs w:val="28"/>
                <w:lang w:val="uk-UA"/>
              </w:rPr>
            </w:pPr>
            <w:r w:rsidRPr="002E6ECA">
              <w:rPr>
                <w:iCs/>
                <w:sz w:val="28"/>
                <w:szCs w:val="28"/>
                <w:lang w:val="uk-UA"/>
              </w:rPr>
              <w:t xml:space="preserve">Харчовий статус за хронометражем </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63 студенти</w:t>
            </w:r>
          </w:p>
        </w:tc>
      </w:tr>
      <w:tr w:rsidR="00671012" w:rsidRPr="002E6ECA" w:rsidTr="006B72FB">
        <w:tc>
          <w:tcPr>
            <w:tcW w:w="5000" w:type="pct"/>
            <w:gridSpan w:val="2"/>
            <w:tcMar>
              <w:left w:w="28" w:type="dxa"/>
              <w:right w:w="28" w:type="dxa"/>
            </w:tcMar>
            <w:vAlign w:val="center"/>
          </w:tcPr>
          <w:p w:rsidR="00671012" w:rsidRPr="002E6ECA" w:rsidRDefault="00671012" w:rsidP="006B72FB">
            <w:pPr>
              <w:jc w:val="center"/>
              <w:rPr>
                <w:sz w:val="28"/>
                <w:szCs w:val="28"/>
                <w:lang w:val="uk-UA"/>
              </w:rPr>
            </w:pPr>
            <w:r w:rsidRPr="002E6ECA">
              <w:rPr>
                <w:b/>
                <w:i/>
                <w:iCs/>
                <w:sz w:val="28"/>
                <w:szCs w:val="28"/>
                <w:lang w:val="uk-UA"/>
              </w:rPr>
              <w:t>Психолого-педагогічні</w:t>
            </w:r>
            <w:r w:rsidRPr="002E6ECA">
              <w:rPr>
                <w:i/>
                <w:iCs/>
                <w:sz w:val="28"/>
                <w:szCs w:val="28"/>
                <w:lang w:val="uk-UA"/>
              </w:rPr>
              <w:t xml:space="preserve"> </w:t>
            </w:r>
            <w:r w:rsidRPr="002E6ECA">
              <w:rPr>
                <w:b/>
                <w:i/>
                <w:iCs/>
                <w:sz w:val="28"/>
                <w:szCs w:val="28"/>
                <w:lang w:val="uk-UA"/>
              </w:rPr>
              <w:t>дослідження:</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Вивчення навчальної успішності</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564 учні</w:t>
            </w:r>
          </w:p>
        </w:tc>
      </w:tr>
      <w:tr w:rsidR="00671012" w:rsidRPr="002E6ECA" w:rsidTr="006B72FB">
        <w:tc>
          <w:tcPr>
            <w:tcW w:w="3897" w:type="pct"/>
            <w:tcMar>
              <w:left w:w="28" w:type="dxa"/>
              <w:right w:w="28" w:type="dxa"/>
            </w:tcMar>
            <w:vAlign w:val="center"/>
          </w:tcPr>
          <w:p w:rsidR="00671012" w:rsidRPr="002E6ECA" w:rsidRDefault="00671012" w:rsidP="006B72FB">
            <w:pPr>
              <w:jc w:val="center"/>
              <w:rPr>
                <w:b/>
                <w:i/>
                <w:iCs/>
                <w:sz w:val="28"/>
                <w:szCs w:val="28"/>
                <w:lang w:val="uk-UA"/>
              </w:rPr>
            </w:pPr>
            <w:r w:rsidRPr="002E6ECA">
              <w:rPr>
                <w:b/>
                <w:i/>
                <w:iCs/>
                <w:sz w:val="28"/>
                <w:szCs w:val="28"/>
                <w:lang w:val="uk-UA"/>
              </w:rPr>
              <w:t>Психофізіологічні дослідження:</w:t>
            </w:r>
          </w:p>
        </w:tc>
        <w:tc>
          <w:tcPr>
            <w:tcW w:w="1103" w:type="pct"/>
            <w:tcMar>
              <w:left w:w="28" w:type="dxa"/>
              <w:right w:w="28" w:type="dxa"/>
            </w:tcMar>
          </w:tcPr>
          <w:p w:rsidR="00671012" w:rsidRPr="002E6ECA" w:rsidRDefault="00671012" w:rsidP="006B72FB">
            <w:pPr>
              <w:jc w:val="center"/>
              <w:rPr>
                <w:sz w:val="28"/>
                <w:szCs w:val="28"/>
                <w:lang w:val="uk-UA"/>
              </w:rPr>
            </w:pP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Розумова працездатність (проведення коректурної проби)</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6362 проби</w:t>
            </w:r>
          </w:p>
        </w:tc>
      </w:tr>
      <w:tr w:rsidR="00671012" w:rsidRPr="002E6ECA" w:rsidTr="006B72FB">
        <w:tc>
          <w:tcPr>
            <w:tcW w:w="389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Частота серцевих скорочень</w:t>
            </w:r>
          </w:p>
        </w:tc>
        <w:tc>
          <w:tcPr>
            <w:tcW w:w="1103" w:type="pct"/>
            <w:tcBorders>
              <w:top w:val="single" w:sz="4" w:space="0" w:color="auto"/>
              <w:left w:val="single" w:sz="4" w:space="0" w:color="auto"/>
              <w:bottom w:val="single" w:sz="4" w:space="0" w:color="auto"/>
              <w:right w:val="single" w:sz="4" w:space="0" w:color="auto"/>
            </w:tcBorders>
            <w:tcMar>
              <w:left w:w="28" w:type="dxa"/>
              <w:right w:w="28" w:type="dxa"/>
            </w:tcMar>
          </w:tcPr>
          <w:p w:rsidR="00671012" w:rsidRPr="002E6ECA" w:rsidRDefault="00671012" w:rsidP="006B72FB">
            <w:pPr>
              <w:jc w:val="center"/>
              <w:rPr>
                <w:sz w:val="28"/>
                <w:szCs w:val="28"/>
                <w:lang w:val="uk-UA"/>
              </w:rPr>
            </w:pPr>
            <w:r w:rsidRPr="002E6ECA">
              <w:rPr>
                <w:sz w:val="28"/>
                <w:szCs w:val="28"/>
                <w:lang w:val="uk-UA"/>
              </w:rPr>
              <w:t>12724 вимірів</w:t>
            </w:r>
          </w:p>
        </w:tc>
      </w:tr>
      <w:tr w:rsidR="00671012" w:rsidRPr="002E6ECA" w:rsidTr="006B72FB">
        <w:tc>
          <w:tcPr>
            <w:tcW w:w="389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Спектральний аналіз серцевого ритму</w:t>
            </w:r>
          </w:p>
        </w:tc>
        <w:tc>
          <w:tcPr>
            <w:tcW w:w="1103" w:type="pct"/>
            <w:tcBorders>
              <w:top w:val="single" w:sz="4" w:space="0" w:color="auto"/>
              <w:left w:val="single" w:sz="4" w:space="0" w:color="auto"/>
              <w:bottom w:val="single" w:sz="4" w:space="0" w:color="auto"/>
              <w:right w:val="single" w:sz="4" w:space="0" w:color="auto"/>
            </w:tcBorders>
            <w:tcMar>
              <w:left w:w="28" w:type="dxa"/>
              <w:right w:w="28" w:type="dxa"/>
            </w:tcMar>
          </w:tcPr>
          <w:p w:rsidR="00671012" w:rsidRPr="002E6ECA" w:rsidRDefault="00671012" w:rsidP="006B72FB">
            <w:pPr>
              <w:jc w:val="center"/>
              <w:rPr>
                <w:sz w:val="28"/>
                <w:szCs w:val="28"/>
                <w:lang w:val="uk-UA"/>
              </w:rPr>
            </w:pPr>
            <w:r w:rsidRPr="002E6ECA">
              <w:rPr>
                <w:sz w:val="28"/>
                <w:szCs w:val="28"/>
                <w:lang w:val="uk-UA"/>
              </w:rPr>
              <w:t>180 вимірів</w:t>
            </w:r>
          </w:p>
        </w:tc>
      </w:tr>
      <w:tr w:rsidR="00671012" w:rsidRPr="002E6ECA" w:rsidTr="006B72FB">
        <w:tc>
          <w:tcPr>
            <w:tcW w:w="389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Електроенцефалографія</w:t>
            </w:r>
          </w:p>
        </w:tc>
        <w:tc>
          <w:tcPr>
            <w:tcW w:w="1103" w:type="pct"/>
            <w:tcBorders>
              <w:top w:val="single" w:sz="4" w:space="0" w:color="auto"/>
              <w:left w:val="single" w:sz="4" w:space="0" w:color="auto"/>
              <w:bottom w:val="single" w:sz="4" w:space="0" w:color="auto"/>
              <w:right w:val="single" w:sz="4" w:space="0" w:color="auto"/>
            </w:tcBorders>
            <w:tcMar>
              <w:left w:w="28" w:type="dxa"/>
              <w:right w:w="28" w:type="dxa"/>
            </w:tcMar>
          </w:tcPr>
          <w:p w:rsidR="00671012" w:rsidRPr="002E6ECA" w:rsidRDefault="00671012" w:rsidP="006B72FB">
            <w:pPr>
              <w:jc w:val="center"/>
              <w:rPr>
                <w:sz w:val="28"/>
                <w:szCs w:val="28"/>
                <w:lang w:val="uk-UA"/>
              </w:rPr>
            </w:pPr>
            <w:r w:rsidRPr="002E6ECA">
              <w:rPr>
                <w:sz w:val="28"/>
                <w:szCs w:val="28"/>
                <w:lang w:val="uk-UA"/>
              </w:rPr>
              <w:t>86 вимірів</w:t>
            </w:r>
          </w:p>
        </w:tc>
      </w:tr>
      <w:tr w:rsidR="00177BF1" w:rsidRPr="002E6ECA" w:rsidTr="006B72FB">
        <w:tc>
          <w:tcPr>
            <w:tcW w:w="389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77BF1" w:rsidRPr="002E6ECA" w:rsidRDefault="005B58FC" w:rsidP="005B58FC">
            <w:pPr>
              <w:rPr>
                <w:sz w:val="28"/>
                <w:szCs w:val="28"/>
                <w:lang w:val="uk-UA"/>
              </w:rPr>
            </w:pPr>
            <w:r w:rsidRPr="002E6ECA">
              <w:rPr>
                <w:sz w:val="28"/>
                <w:szCs w:val="28"/>
                <w:lang w:val="uk-UA"/>
              </w:rPr>
              <w:t>Функціональна проба з визначенням часу реакції</w:t>
            </w:r>
          </w:p>
        </w:tc>
        <w:tc>
          <w:tcPr>
            <w:tcW w:w="1103" w:type="pct"/>
            <w:tcBorders>
              <w:top w:val="single" w:sz="4" w:space="0" w:color="auto"/>
              <w:left w:val="single" w:sz="4" w:space="0" w:color="auto"/>
              <w:bottom w:val="single" w:sz="4" w:space="0" w:color="auto"/>
              <w:right w:val="single" w:sz="4" w:space="0" w:color="auto"/>
            </w:tcBorders>
            <w:tcMar>
              <w:left w:w="28" w:type="dxa"/>
              <w:right w:w="28" w:type="dxa"/>
            </w:tcMar>
          </w:tcPr>
          <w:p w:rsidR="00177BF1" w:rsidRPr="002E6ECA" w:rsidRDefault="005B58FC" w:rsidP="006B72FB">
            <w:pPr>
              <w:jc w:val="center"/>
              <w:rPr>
                <w:sz w:val="28"/>
                <w:szCs w:val="28"/>
                <w:lang w:val="uk-UA"/>
              </w:rPr>
            </w:pPr>
            <w:r w:rsidRPr="002E6ECA">
              <w:rPr>
                <w:sz w:val="28"/>
                <w:szCs w:val="28"/>
                <w:lang w:val="uk-UA"/>
              </w:rPr>
              <w:t>63 спортсмени, 105 учнів</w:t>
            </w:r>
          </w:p>
        </w:tc>
      </w:tr>
      <w:tr w:rsidR="00671012" w:rsidRPr="002E6ECA" w:rsidTr="006B72FB">
        <w:tc>
          <w:tcPr>
            <w:tcW w:w="5000" w:type="pct"/>
            <w:gridSpan w:val="2"/>
            <w:tcMar>
              <w:left w:w="28" w:type="dxa"/>
              <w:right w:w="28" w:type="dxa"/>
            </w:tcMar>
            <w:vAlign w:val="center"/>
          </w:tcPr>
          <w:p w:rsidR="00671012" w:rsidRPr="002E6ECA" w:rsidRDefault="00671012" w:rsidP="006B72FB">
            <w:pPr>
              <w:jc w:val="center"/>
              <w:rPr>
                <w:sz w:val="28"/>
                <w:szCs w:val="28"/>
                <w:lang w:val="uk-UA"/>
              </w:rPr>
            </w:pPr>
            <w:r w:rsidRPr="002E6ECA">
              <w:rPr>
                <w:b/>
                <w:i/>
                <w:iCs/>
                <w:sz w:val="28"/>
                <w:szCs w:val="28"/>
                <w:lang w:val="uk-UA"/>
              </w:rPr>
              <w:t xml:space="preserve">Соціологічні дослідження (3771 </w:t>
            </w:r>
            <w:r w:rsidR="006B72FB" w:rsidRPr="002E6ECA">
              <w:rPr>
                <w:b/>
                <w:i/>
                <w:iCs/>
                <w:sz w:val="28"/>
                <w:szCs w:val="28"/>
                <w:lang w:val="uk-UA"/>
              </w:rPr>
              <w:t>учень</w:t>
            </w:r>
            <w:r w:rsidRPr="002E6ECA">
              <w:rPr>
                <w:b/>
                <w:i/>
                <w:iCs/>
                <w:sz w:val="28"/>
                <w:szCs w:val="28"/>
                <w:lang w:val="uk-UA"/>
              </w:rPr>
              <w:t xml:space="preserve"> та 570 батьків):</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Дослідження якості життя (3 види анкет)</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2064 анкети</w:t>
            </w:r>
          </w:p>
        </w:tc>
      </w:tr>
      <w:tr w:rsidR="00671012" w:rsidRPr="002E6ECA" w:rsidTr="006B72FB">
        <w:tc>
          <w:tcPr>
            <w:tcW w:w="3897" w:type="pct"/>
            <w:tcMar>
              <w:left w:w="28" w:type="dxa"/>
              <w:right w:w="28" w:type="dxa"/>
            </w:tcMar>
            <w:vAlign w:val="center"/>
          </w:tcPr>
          <w:p w:rsidR="00671012" w:rsidRPr="002E6ECA" w:rsidRDefault="00671012" w:rsidP="006B72FB">
            <w:pPr>
              <w:rPr>
                <w:sz w:val="28"/>
                <w:szCs w:val="28"/>
                <w:lang w:val="uk-UA"/>
              </w:rPr>
            </w:pPr>
            <w:r w:rsidRPr="002E6ECA">
              <w:rPr>
                <w:sz w:val="28"/>
                <w:szCs w:val="28"/>
                <w:lang w:val="uk-UA"/>
              </w:rPr>
              <w:t>Опитувальник «Шановний друже»</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1088 анкет</w:t>
            </w:r>
          </w:p>
        </w:tc>
      </w:tr>
      <w:tr w:rsidR="00671012" w:rsidRPr="002E6ECA" w:rsidTr="006B72FB">
        <w:tc>
          <w:tcPr>
            <w:tcW w:w="3897" w:type="pct"/>
            <w:tcMar>
              <w:left w:w="28" w:type="dxa"/>
              <w:right w:w="28" w:type="dxa"/>
            </w:tcMar>
            <w:vAlign w:val="center"/>
          </w:tcPr>
          <w:p w:rsidR="00671012" w:rsidRPr="002E6ECA" w:rsidRDefault="00671012" w:rsidP="006B72FB">
            <w:pPr>
              <w:rPr>
                <w:b/>
                <w:i/>
                <w:iCs/>
                <w:sz w:val="28"/>
                <w:szCs w:val="28"/>
                <w:lang w:val="uk-UA"/>
              </w:rPr>
            </w:pPr>
            <w:r w:rsidRPr="002E6ECA">
              <w:rPr>
                <w:sz w:val="28"/>
                <w:szCs w:val="28"/>
                <w:lang w:val="uk-UA"/>
              </w:rPr>
              <w:t>Методика «Перелік дитячих симптомів» - дитяче-підліткова версія (Y-PSC)</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619 анкет</w:t>
            </w:r>
          </w:p>
        </w:tc>
      </w:tr>
      <w:tr w:rsidR="00671012" w:rsidRPr="002E6ECA" w:rsidTr="006B72FB">
        <w:tc>
          <w:tcPr>
            <w:tcW w:w="3897" w:type="pct"/>
            <w:tcMar>
              <w:left w:w="28" w:type="dxa"/>
              <w:right w:w="28" w:type="dxa"/>
            </w:tcMar>
            <w:vAlign w:val="center"/>
          </w:tcPr>
          <w:p w:rsidR="00671012" w:rsidRPr="002E6ECA" w:rsidRDefault="00671012" w:rsidP="006B72FB">
            <w:pPr>
              <w:rPr>
                <w:b/>
                <w:i/>
                <w:iCs/>
                <w:sz w:val="28"/>
                <w:szCs w:val="28"/>
                <w:lang w:val="uk-UA"/>
              </w:rPr>
            </w:pPr>
            <w:r w:rsidRPr="002E6ECA">
              <w:rPr>
                <w:sz w:val="28"/>
                <w:szCs w:val="28"/>
                <w:lang w:val="uk-UA"/>
              </w:rPr>
              <w:t>Методика «Перелік дитячих симптомів» - батьківська версія (PSC)</w:t>
            </w:r>
          </w:p>
        </w:tc>
        <w:tc>
          <w:tcPr>
            <w:tcW w:w="1103" w:type="pct"/>
            <w:tcMar>
              <w:left w:w="28" w:type="dxa"/>
              <w:right w:w="28" w:type="dxa"/>
            </w:tcMar>
          </w:tcPr>
          <w:p w:rsidR="00671012" w:rsidRPr="002E6ECA" w:rsidRDefault="00671012" w:rsidP="006B72FB">
            <w:pPr>
              <w:jc w:val="center"/>
              <w:rPr>
                <w:sz w:val="28"/>
                <w:szCs w:val="28"/>
                <w:lang w:val="uk-UA"/>
              </w:rPr>
            </w:pPr>
            <w:r w:rsidRPr="002E6ECA">
              <w:rPr>
                <w:sz w:val="28"/>
                <w:szCs w:val="28"/>
                <w:lang w:val="uk-UA"/>
              </w:rPr>
              <w:t>570 анкет</w:t>
            </w:r>
          </w:p>
        </w:tc>
      </w:tr>
      <w:tr w:rsidR="00671012" w:rsidRPr="002E6ECA" w:rsidTr="006B72FB">
        <w:tc>
          <w:tcPr>
            <w:tcW w:w="389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012" w:rsidRPr="002E6ECA" w:rsidRDefault="00671012" w:rsidP="006B72FB">
            <w:pPr>
              <w:jc w:val="center"/>
              <w:rPr>
                <w:b/>
                <w:i/>
                <w:iCs/>
                <w:sz w:val="28"/>
                <w:szCs w:val="28"/>
                <w:lang w:val="uk-UA"/>
              </w:rPr>
            </w:pPr>
            <w:r w:rsidRPr="002E6ECA">
              <w:rPr>
                <w:b/>
                <w:i/>
                <w:iCs/>
                <w:sz w:val="28"/>
                <w:szCs w:val="28"/>
                <w:lang w:val="uk-UA"/>
              </w:rPr>
              <w:t>Проведення багатовимірного статистичного аналізу</w:t>
            </w:r>
          </w:p>
        </w:tc>
        <w:tc>
          <w:tcPr>
            <w:tcW w:w="1103" w:type="pct"/>
            <w:tcBorders>
              <w:top w:val="single" w:sz="4" w:space="0" w:color="auto"/>
              <w:left w:val="single" w:sz="4" w:space="0" w:color="auto"/>
              <w:bottom w:val="single" w:sz="4" w:space="0" w:color="auto"/>
              <w:right w:val="single" w:sz="4" w:space="0" w:color="auto"/>
            </w:tcBorders>
            <w:tcMar>
              <w:left w:w="28" w:type="dxa"/>
              <w:right w:w="28" w:type="dxa"/>
            </w:tcMar>
          </w:tcPr>
          <w:p w:rsidR="00671012" w:rsidRPr="002E6ECA" w:rsidRDefault="00671012" w:rsidP="006B72FB">
            <w:pPr>
              <w:jc w:val="center"/>
              <w:rPr>
                <w:sz w:val="28"/>
                <w:szCs w:val="28"/>
                <w:lang w:val="uk-UA"/>
              </w:rPr>
            </w:pPr>
          </w:p>
        </w:tc>
      </w:tr>
    </w:tbl>
    <w:p w:rsidR="00177BF1" w:rsidRPr="002E6ECA" w:rsidRDefault="00177BF1" w:rsidP="004341ED">
      <w:pPr>
        <w:spacing w:line="360" w:lineRule="auto"/>
        <w:jc w:val="both"/>
        <w:rPr>
          <w:sz w:val="28"/>
          <w:szCs w:val="28"/>
          <w:lang w:val="uk-UA"/>
        </w:rPr>
      </w:pPr>
      <w:r w:rsidRPr="002E6ECA">
        <w:rPr>
          <w:sz w:val="28"/>
          <w:szCs w:val="28"/>
          <w:lang w:val="uk-UA"/>
        </w:rPr>
        <w:lastRenderedPageBreak/>
        <w:t>пов’язано зі зниженням рівня фізичної активності [</w:t>
      </w:r>
      <w:r w:rsidR="008A7114" w:rsidRPr="002E6ECA">
        <w:rPr>
          <w:sz w:val="28"/>
          <w:szCs w:val="28"/>
          <w:lang w:val="uk-UA"/>
        </w:rPr>
        <w:t>249,</w:t>
      </w:r>
      <w:r w:rsidR="008A7114" w:rsidRPr="002E6ECA">
        <w:rPr>
          <w:rFonts w:asciiTheme="minorHAnsi" w:eastAsiaTheme="minorHAnsi" w:hAnsiTheme="minorHAnsi" w:cstheme="minorBidi"/>
          <w:sz w:val="22"/>
          <w:szCs w:val="22"/>
          <w:lang w:val="uk-UA" w:eastAsia="en-US"/>
        </w:rPr>
        <w:t xml:space="preserve"> </w:t>
      </w:r>
      <w:r w:rsidR="008A7114" w:rsidRPr="002E6ECA">
        <w:rPr>
          <w:sz w:val="28"/>
          <w:szCs w:val="28"/>
          <w:lang w:val="uk-UA"/>
        </w:rPr>
        <w:t>468</w:t>
      </w:r>
      <w:r w:rsidRPr="002E6ECA">
        <w:rPr>
          <w:sz w:val="28"/>
          <w:szCs w:val="28"/>
          <w:lang w:val="uk-UA"/>
        </w:rPr>
        <w:t>]. Використання сучасних та інформативних методів визначення фізичного розвитку постає активним діагностичним критерієм при визначенні ризику розвитку ожиріння або дефіциту маси тіла. Останнім часом дослідники все більше уваги приділяють використанню індексу маси тіла Кетле як окремого критерію та у складі комплексу показників, у тому числі і для скринінг-оцінки фізичного розвитку [</w:t>
      </w:r>
      <w:r w:rsidR="008A7114" w:rsidRPr="002E6ECA">
        <w:rPr>
          <w:sz w:val="28"/>
          <w:szCs w:val="28"/>
          <w:lang w:val="uk-UA"/>
        </w:rPr>
        <w:t>43,  164, 276, 372, 384, 442</w:t>
      </w:r>
      <w:r w:rsidRPr="002E6ECA">
        <w:rPr>
          <w:sz w:val="28"/>
          <w:szCs w:val="28"/>
          <w:lang w:val="uk-UA"/>
        </w:rPr>
        <w:t>].</w:t>
      </w: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t xml:space="preserve">Дослідження фізичного розвитку </w:t>
      </w:r>
      <w:r w:rsidRPr="002E6ECA">
        <w:rPr>
          <w:sz w:val="28"/>
          <w:szCs w:val="28"/>
          <w:lang w:val="uk-UA"/>
        </w:rPr>
        <w:t xml:space="preserve">1894 дітей середнього шкільного віку (від 10 до 15 років) </w:t>
      </w:r>
      <w:r w:rsidRPr="002E6ECA">
        <w:rPr>
          <w:bCs/>
          <w:sz w:val="28"/>
          <w:szCs w:val="28"/>
          <w:lang w:val="uk-UA"/>
        </w:rPr>
        <w:t xml:space="preserve">здійснювалось за допомогою соматометричних та фізіометричних методів. Антропометричні дослідження включали вимірювання довжини тіла, маси тіла, обводу грудної клітки. Довжину тіла стоячи вимірювали за загальноприйнятою методикою за допомогою ростоміра, точність вимірювання 0,5 см. Маса тіла визначалась шляхом зважування на медичних вагах, точність вимірювання – 0,1 кг. Обвід грудної клітки визначали в стані спокою, при максимальному вдиху та видиху  сантиметровою стрічкою, точність вимірювання 0,5 см. Життєва ємність легень визначалась методом спірометрії. Для визначення м’язової сили кистей рук та витривалості використовували ручний динамометр. </w:t>
      </w:r>
    </w:p>
    <w:p w:rsidR="00177BF1" w:rsidRPr="002E6ECA" w:rsidRDefault="00177BF1" w:rsidP="00177BF1">
      <w:pPr>
        <w:spacing w:line="360" w:lineRule="auto"/>
        <w:ind w:firstLine="709"/>
        <w:jc w:val="both"/>
        <w:rPr>
          <w:sz w:val="28"/>
          <w:szCs w:val="28"/>
          <w:lang w:val="uk-UA"/>
        </w:rPr>
      </w:pPr>
      <w:r w:rsidRPr="002E6ECA">
        <w:rPr>
          <w:sz w:val="28"/>
          <w:szCs w:val="28"/>
          <w:lang w:val="uk-UA"/>
        </w:rPr>
        <w:t>Оцінка показників фізичного розвитку проводили за центильними таблицями індексу маси тіла [</w:t>
      </w:r>
      <w:r w:rsidR="00F847B1" w:rsidRPr="002E6ECA">
        <w:rPr>
          <w:bCs/>
          <w:sz w:val="28"/>
          <w:szCs w:val="28"/>
          <w:lang w:val="uk-UA"/>
        </w:rPr>
        <w:t>501</w:t>
      </w:r>
      <w:r w:rsidRPr="002E6ECA">
        <w:rPr>
          <w:sz w:val="28"/>
          <w:szCs w:val="28"/>
          <w:lang w:val="uk-UA"/>
        </w:rPr>
        <w:t>], а також за національними українськими стандартами згідно з наказом МОЗ України «Про затвердження Критеріїв оцінки фізичного розвитку дітей шкільного віку» [</w:t>
      </w:r>
      <w:r w:rsidR="008A7114" w:rsidRPr="002E6ECA">
        <w:rPr>
          <w:bCs/>
          <w:sz w:val="28"/>
          <w:szCs w:val="28"/>
          <w:lang w:val="uk-UA"/>
        </w:rPr>
        <w:t>193</w:t>
      </w:r>
      <w:r w:rsidRPr="002E6ECA">
        <w:rPr>
          <w:sz w:val="28"/>
          <w:szCs w:val="28"/>
          <w:lang w:val="uk-UA"/>
        </w:rPr>
        <w:t>] та «Про затвердження протоколів лікування дітей з ендокринними захворюваннями» [</w:t>
      </w:r>
      <w:r w:rsidR="008A7114" w:rsidRPr="002E6ECA">
        <w:rPr>
          <w:sz w:val="28"/>
          <w:szCs w:val="28"/>
          <w:lang w:val="uk-UA"/>
        </w:rPr>
        <w:t>138</w:t>
      </w:r>
      <w:r w:rsidRPr="002E6ECA">
        <w:rPr>
          <w:sz w:val="28"/>
          <w:szCs w:val="28"/>
          <w:lang w:val="uk-UA"/>
        </w:rPr>
        <w:t xml:space="preserve">] і передбачала використання шкал регресії із покроковою оцінкою зросту та маси тіла, а також комплексною оцінкою за даними маси та окружності грудної клітки з визначенням «гармонійний», «дисгармонійний», «різко дисгармонійний» фізичний розвиток. </w:t>
      </w:r>
    </w:p>
    <w:p w:rsidR="007306D6" w:rsidRPr="002E6ECA" w:rsidRDefault="007306D6" w:rsidP="007306D6">
      <w:pPr>
        <w:spacing w:line="360" w:lineRule="auto"/>
        <w:ind w:firstLine="709"/>
        <w:jc w:val="both"/>
        <w:rPr>
          <w:sz w:val="28"/>
          <w:szCs w:val="28"/>
          <w:lang w:val="uk-UA"/>
        </w:rPr>
      </w:pPr>
      <w:r w:rsidRPr="002E6ECA">
        <w:rPr>
          <w:sz w:val="28"/>
          <w:szCs w:val="28"/>
          <w:lang w:val="uk-UA"/>
        </w:rPr>
        <w:t xml:space="preserve">Компоненти соматотипу широко використовуються в науці, в тому числі і в якості критеріїв здоров'я людини. Зарубіжні дослідники оцінювали спрямованість способу життя за змістом жирової і м'язової тканини в організмі </w:t>
      </w:r>
      <w:r w:rsidRPr="002E6ECA">
        <w:rPr>
          <w:sz w:val="28"/>
          <w:szCs w:val="28"/>
          <w:lang w:val="uk-UA"/>
        </w:rPr>
        <w:lastRenderedPageBreak/>
        <w:t>[</w:t>
      </w:r>
      <w:r w:rsidR="001D68D5" w:rsidRPr="002E6ECA">
        <w:rPr>
          <w:sz w:val="28"/>
          <w:szCs w:val="28"/>
          <w:lang w:val="uk-UA"/>
        </w:rPr>
        <w:t xml:space="preserve">473, </w:t>
      </w:r>
      <w:r w:rsidR="008A7114" w:rsidRPr="002E6ECA">
        <w:rPr>
          <w:sz w:val="28"/>
          <w:szCs w:val="28"/>
          <w:lang w:val="uk-UA"/>
        </w:rPr>
        <w:t>479</w:t>
      </w:r>
      <w:r w:rsidRPr="002E6ECA">
        <w:rPr>
          <w:sz w:val="28"/>
          <w:szCs w:val="28"/>
          <w:lang w:val="uk-UA"/>
        </w:rPr>
        <w:t>]. Підкреслюється, що вимірювання складу тіла необхідні для аналізу працездатності в моніторингу здоров'я [</w:t>
      </w:r>
      <w:r w:rsidR="008A7114" w:rsidRPr="002E6ECA">
        <w:rPr>
          <w:sz w:val="28"/>
          <w:szCs w:val="28"/>
          <w:lang w:val="uk-UA"/>
        </w:rPr>
        <w:t>430, 465</w:t>
      </w:r>
      <w:r w:rsidRPr="002E6ECA">
        <w:rPr>
          <w:sz w:val="28"/>
          <w:szCs w:val="28"/>
          <w:lang w:val="uk-UA"/>
        </w:rPr>
        <w:t>]. Дані методи повинні бути точними, практичними і мінімально інвазивними. Підтверджено інформативність і достовірність біоімпедансного методу для оцінки впливу біологічної зрілості на склад тіла у бразильських підлітків, фізичної активності дітей і підлітків та ефе</w:t>
      </w:r>
      <w:r w:rsidR="00785B07" w:rsidRPr="002E6ECA">
        <w:rPr>
          <w:sz w:val="28"/>
          <w:szCs w:val="28"/>
          <w:lang w:val="uk-UA"/>
        </w:rPr>
        <w:t>ктивності літнього оздоровлення</w:t>
      </w:r>
      <w:r w:rsidRPr="002E6ECA">
        <w:rPr>
          <w:sz w:val="28"/>
          <w:szCs w:val="28"/>
          <w:lang w:val="uk-UA"/>
        </w:rPr>
        <w:t xml:space="preserve">, стану гідратації та інших фізіологічних і </w:t>
      </w:r>
      <w:r w:rsidR="00785B07" w:rsidRPr="002E6ECA">
        <w:rPr>
          <w:sz w:val="28"/>
          <w:szCs w:val="28"/>
          <w:lang w:val="uk-UA"/>
        </w:rPr>
        <w:t>клінічних значущих характеристи</w:t>
      </w:r>
      <w:r w:rsidRPr="002E6ECA">
        <w:rPr>
          <w:sz w:val="28"/>
          <w:szCs w:val="28"/>
          <w:lang w:val="uk-UA"/>
        </w:rPr>
        <w:t>, для  встановлення відмінностей адаптаційних можливостей серця у чоловіків і жінок [</w:t>
      </w:r>
      <w:r w:rsidR="00785B07" w:rsidRPr="002E6ECA">
        <w:rPr>
          <w:sz w:val="28"/>
          <w:szCs w:val="28"/>
          <w:lang w:val="uk-UA"/>
        </w:rPr>
        <w:t>30</w:t>
      </w:r>
      <w:r w:rsidR="009A04FD" w:rsidRPr="002E6ECA">
        <w:rPr>
          <w:sz w:val="28"/>
          <w:szCs w:val="28"/>
          <w:lang w:val="uk-UA"/>
        </w:rPr>
        <w:t>4</w:t>
      </w:r>
      <w:r w:rsidR="00785B07" w:rsidRPr="002E6ECA">
        <w:rPr>
          <w:sz w:val="28"/>
          <w:szCs w:val="28"/>
          <w:lang w:val="uk-UA"/>
        </w:rPr>
        <w:t>, 339, 380, 454</w:t>
      </w:r>
      <w:r w:rsidRPr="002E6ECA">
        <w:rPr>
          <w:sz w:val="28"/>
          <w:szCs w:val="28"/>
          <w:lang w:val="uk-UA"/>
        </w:rPr>
        <w:t>]. Оцінка складу тіла за допомогою нових методів надає унікальну можливість розробляти поліпшені методи оцінки ризику харчування на основі об'єктивних даних [</w:t>
      </w:r>
      <w:r w:rsidR="008A7114" w:rsidRPr="002E6ECA">
        <w:rPr>
          <w:sz w:val="28"/>
          <w:szCs w:val="28"/>
          <w:lang w:val="uk-UA"/>
        </w:rPr>
        <w:t>415</w:t>
      </w:r>
      <w:r w:rsidRPr="002E6ECA">
        <w:rPr>
          <w:sz w:val="28"/>
          <w:szCs w:val="28"/>
          <w:lang w:val="uk-UA"/>
        </w:rPr>
        <w:t xml:space="preserve">]. </w:t>
      </w:r>
    </w:p>
    <w:p w:rsidR="007306D6" w:rsidRPr="002E6ECA" w:rsidRDefault="007306D6" w:rsidP="007306D6">
      <w:pPr>
        <w:spacing w:line="360" w:lineRule="auto"/>
        <w:ind w:firstLine="709"/>
        <w:jc w:val="both"/>
        <w:rPr>
          <w:sz w:val="28"/>
          <w:szCs w:val="28"/>
          <w:lang w:val="uk-UA"/>
        </w:rPr>
      </w:pPr>
      <w:r w:rsidRPr="002E6ECA">
        <w:rPr>
          <w:sz w:val="28"/>
          <w:szCs w:val="28"/>
          <w:lang w:val="uk-UA"/>
        </w:rPr>
        <w:t>Підтверджено збіг даних, отриманих за допомогою біоімпеданса і денситометрії, а також інших еталонних методів оцінки складу тіла, у т.ч. комп'ютерної томографії та ультразвукового дослідження [</w:t>
      </w:r>
      <w:r w:rsidR="009D6F94" w:rsidRPr="002E6ECA">
        <w:rPr>
          <w:sz w:val="28"/>
          <w:szCs w:val="28"/>
          <w:lang w:val="uk-UA"/>
        </w:rPr>
        <w:t>309</w:t>
      </w:r>
      <w:r w:rsidR="008A7114" w:rsidRPr="002E6ECA">
        <w:rPr>
          <w:sz w:val="28"/>
          <w:szCs w:val="28"/>
          <w:lang w:val="uk-UA"/>
        </w:rPr>
        <w:t>, 435</w:t>
      </w:r>
      <w:r w:rsidRPr="002E6ECA">
        <w:rPr>
          <w:sz w:val="28"/>
          <w:szCs w:val="28"/>
          <w:lang w:val="uk-UA"/>
        </w:rPr>
        <w:t>]. Встановлено, що за умов використання різних польових та лабораторних методів оцінки складу тіла у здорових дорослих при використанні біоімпедансного методу значення помилки були найменшими [</w:t>
      </w:r>
      <w:r w:rsidR="008A7114" w:rsidRPr="002E6ECA">
        <w:rPr>
          <w:sz w:val="28"/>
          <w:szCs w:val="28"/>
          <w:lang w:val="uk-UA"/>
        </w:rPr>
        <w:t>419</w:t>
      </w:r>
      <w:r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Тканьовий склад тіла вивчено паралельно за двома методиками: біоімпендансометрії – за допомогою монітору складу тіла «Omron-BF511» та каліперометрії із визначенням товщини шкірно-жирової складки (ШЖС) у п’яти точках: під кутом лопатки (D1), у області трицепсу (D5), на животі (D3), гомілці (D8) та грудях (D2, тільки у хлопців) за допомогою механічного каліперметру за стандартними методиками. У цьому дослідженні прийняли участь 277 школярів (125 хлопців та 152 дівчини) віком від 10 до 14 років.</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Додатково визначались показники зросту, ваги тіла, окружності грудної клітки, а також розрахункові індекси: масо-ростовий індекс Кетле (ІМТ) та Вервека-Воронцова (шляхом ділення довжини тіла (см) на суму окружності грудної клітки на видиху (см) і подвоєної маси тіла (кг)).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Одним із критеріїв здоров’я постає харчовий статус – стан організму, що визначається харчуванням у конкретних умовах життєдіяльності. Саме такий </w:t>
      </w:r>
      <w:r w:rsidRPr="002E6ECA">
        <w:rPr>
          <w:sz w:val="28"/>
          <w:szCs w:val="28"/>
          <w:lang w:val="uk-UA"/>
        </w:rPr>
        <w:lastRenderedPageBreak/>
        <w:t xml:space="preserve">індикатор поєднує і стан здоров’я, і його харчову поведінку – один з чинників, що формує здоров’я. Крім того харчову поведінку розглядають як прогностичний чинник ризику формування неінфекційної патології у населення, а у поєднанні із оцінкою харчового статусу – як підґрунтя для проведення цілеспрямованих превентивних програм </w:t>
      </w:r>
      <w:r w:rsidR="007306D6" w:rsidRPr="002E6ECA">
        <w:rPr>
          <w:sz w:val="28"/>
          <w:szCs w:val="28"/>
          <w:lang w:val="uk-UA"/>
        </w:rPr>
        <w:t>[</w:t>
      </w:r>
      <w:r w:rsidR="008A7114" w:rsidRPr="002E6ECA">
        <w:rPr>
          <w:sz w:val="28"/>
          <w:szCs w:val="28"/>
          <w:lang w:val="uk-UA"/>
        </w:rPr>
        <w:t>143</w:t>
      </w:r>
      <w:r w:rsidR="007306D6" w:rsidRPr="002E6ECA">
        <w:rPr>
          <w:sz w:val="28"/>
          <w:szCs w:val="28"/>
          <w:lang w:val="uk-UA"/>
        </w:rPr>
        <w:t>].</w:t>
      </w:r>
    </w:p>
    <w:p w:rsidR="007306D6" w:rsidRPr="002E6ECA" w:rsidRDefault="007306D6" w:rsidP="007306D6">
      <w:pPr>
        <w:spacing w:line="360" w:lineRule="auto"/>
        <w:ind w:firstLine="709"/>
        <w:jc w:val="both"/>
        <w:rPr>
          <w:sz w:val="28"/>
          <w:szCs w:val="28"/>
          <w:lang w:val="uk-UA"/>
        </w:rPr>
      </w:pPr>
      <w:r w:rsidRPr="002E6ECA">
        <w:rPr>
          <w:sz w:val="28"/>
          <w:szCs w:val="28"/>
          <w:lang w:val="uk-UA"/>
        </w:rPr>
        <w:t>Всесвітньою організацією охорони здоров’я рекомендовано обов’язкове проведення широкомасштабних досліджень із визначенням харчового статусу, що включає розрахунок ІМТ та оцінку рівня фізичної активності [</w:t>
      </w:r>
      <w:r w:rsidR="008A7114" w:rsidRPr="002E6ECA">
        <w:rPr>
          <w:sz w:val="28"/>
          <w:szCs w:val="28"/>
          <w:lang w:val="uk-UA"/>
        </w:rPr>
        <w:t>25,  170, 171,  256</w:t>
      </w:r>
      <w:r w:rsidRPr="002E6ECA">
        <w:rPr>
          <w:sz w:val="28"/>
          <w:szCs w:val="28"/>
          <w:lang w:val="uk-UA"/>
        </w:rPr>
        <w:t>]. Згідно з рішенням Комітету експертів ВООЗ з медичної оцінки стану харчування вироблена методика вивчення і оцінки харчового статусу людини, що базується на визначенні та оцінці антропометричних показників, клінічних ознак нутрієнтної недостатності або надмірності, а також особливостей білкового, жирового, вуглеводного, вітамінного і мінерального обмінів [</w:t>
      </w:r>
      <w:r w:rsidR="008A7114" w:rsidRPr="002E6ECA">
        <w:rPr>
          <w:sz w:val="28"/>
          <w:szCs w:val="28"/>
          <w:lang w:val="uk-UA"/>
        </w:rPr>
        <w:t>170</w:t>
      </w:r>
      <w:r w:rsidRPr="002E6ECA">
        <w:rPr>
          <w:sz w:val="28"/>
          <w:szCs w:val="28"/>
          <w:lang w:val="uk-UA"/>
        </w:rPr>
        <w:t>].</w:t>
      </w:r>
    </w:p>
    <w:p w:rsidR="007306D6" w:rsidRPr="002E6ECA" w:rsidRDefault="007306D6" w:rsidP="007306D6">
      <w:pPr>
        <w:spacing w:line="360" w:lineRule="auto"/>
        <w:ind w:firstLine="709"/>
        <w:jc w:val="both"/>
        <w:rPr>
          <w:sz w:val="28"/>
          <w:szCs w:val="28"/>
          <w:lang w:val="uk-UA"/>
        </w:rPr>
      </w:pPr>
      <w:r w:rsidRPr="002E6ECA">
        <w:rPr>
          <w:sz w:val="28"/>
          <w:szCs w:val="28"/>
          <w:lang w:val="uk-UA"/>
        </w:rPr>
        <w:t>Норми фізіологічних потреб дозволяють не тільки оцінити відповідність споживання нутрієнтів статево-віковим параметрам та рівню фізичної активності, а й постають підґрунтям для корекції харчового статусу учнівської молоді [</w:t>
      </w:r>
      <w:r w:rsidR="008A7114" w:rsidRPr="002E6ECA">
        <w:rPr>
          <w:bCs/>
          <w:sz w:val="28"/>
          <w:szCs w:val="28"/>
          <w:lang w:val="uk-UA"/>
        </w:rPr>
        <w:t>121, 135</w:t>
      </w:r>
      <w:r w:rsidRPr="002E6ECA">
        <w:rPr>
          <w:sz w:val="28"/>
          <w:szCs w:val="28"/>
          <w:lang w:val="uk-UA"/>
        </w:rPr>
        <w:t xml:space="preserve">]. </w:t>
      </w:r>
    </w:p>
    <w:p w:rsidR="007306D6" w:rsidRPr="002E6ECA" w:rsidRDefault="007306D6" w:rsidP="007306D6">
      <w:pPr>
        <w:spacing w:line="360" w:lineRule="auto"/>
        <w:ind w:firstLine="709"/>
        <w:jc w:val="both"/>
        <w:rPr>
          <w:sz w:val="28"/>
          <w:szCs w:val="28"/>
          <w:lang w:val="uk-UA"/>
        </w:rPr>
      </w:pPr>
      <w:r w:rsidRPr="002E6ECA">
        <w:rPr>
          <w:sz w:val="28"/>
          <w:szCs w:val="28"/>
          <w:lang w:val="uk-UA"/>
        </w:rPr>
        <w:t>За авторською методикою було визначено харчовий статус 63 студентів на початку навчання у виші [</w:t>
      </w:r>
      <w:r w:rsidR="008A7114" w:rsidRPr="002E6ECA">
        <w:rPr>
          <w:sz w:val="28"/>
          <w:szCs w:val="28"/>
          <w:lang w:val="uk-UA"/>
        </w:rPr>
        <w:t>171</w:t>
      </w:r>
      <w:r w:rsidRPr="002E6ECA">
        <w:rPr>
          <w:sz w:val="28"/>
          <w:szCs w:val="28"/>
          <w:lang w:val="uk-UA"/>
        </w:rPr>
        <w:t>]. Оцінку було проведено за наступними напрямками: визначення рівня добової активності хронометражним способом із подальшим перерахунком фізіологічної потреби у поживних речовинах та порівнянням з фактичним хімічним складом тижневого меню-розкладки; оцінка фактичного харчового статусу за допомогою індексу маси тіла Кетле, що використовується і при експрес-оцінці фізичного розвитку згідно із рекомендацією експертів ВООЗ [</w:t>
      </w:r>
      <w:r w:rsidR="008A7114" w:rsidRPr="002E6ECA">
        <w:rPr>
          <w:sz w:val="28"/>
          <w:szCs w:val="28"/>
          <w:lang w:val="uk-UA"/>
        </w:rPr>
        <w:t>135</w:t>
      </w:r>
      <w:r w:rsidRPr="002E6ECA">
        <w:rPr>
          <w:sz w:val="28"/>
          <w:szCs w:val="28"/>
          <w:lang w:val="uk-UA"/>
        </w:rPr>
        <w:t>]. Оцінка харчового статусу серед 1894 учнів середнього шкільного віку проведена за допомогою індексу Кетле.</w:t>
      </w:r>
    </w:p>
    <w:p w:rsidR="007306D6" w:rsidRPr="002E6ECA" w:rsidRDefault="007306D6" w:rsidP="007306D6">
      <w:pPr>
        <w:spacing w:line="360" w:lineRule="auto"/>
        <w:ind w:firstLine="709"/>
        <w:jc w:val="both"/>
        <w:rPr>
          <w:sz w:val="28"/>
          <w:szCs w:val="28"/>
          <w:lang w:val="uk-UA"/>
        </w:rPr>
      </w:pPr>
      <w:r w:rsidRPr="002E6ECA">
        <w:rPr>
          <w:sz w:val="28"/>
          <w:szCs w:val="28"/>
          <w:lang w:val="uk-UA"/>
        </w:rPr>
        <w:t>Для виявлення патологічних станів використовувалась діагностична методика «Скринінг-опитування щодо стану здоров’я школярів» [</w:t>
      </w:r>
      <w:r w:rsidR="008A7114" w:rsidRPr="002E6ECA">
        <w:rPr>
          <w:sz w:val="28"/>
          <w:szCs w:val="28"/>
          <w:lang w:val="uk-UA"/>
        </w:rPr>
        <w:t>238</w:t>
      </w:r>
      <w:r w:rsidRPr="002E6ECA">
        <w:rPr>
          <w:bCs/>
          <w:sz w:val="28"/>
          <w:szCs w:val="28"/>
          <w:lang w:val="uk-UA"/>
        </w:rPr>
        <w:t xml:space="preserve">], що </w:t>
      </w:r>
      <w:r w:rsidRPr="002E6ECA">
        <w:rPr>
          <w:sz w:val="28"/>
          <w:szCs w:val="28"/>
          <w:lang w:val="uk-UA"/>
        </w:rPr>
        <w:t xml:space="preserve">включає запитання щодо наявності певних симптомів захворювань. Результати відповідей групуються за видами патологічних станів із наступним </w:t>
      </w:r>
      <w:r w:rsidRPr="002E6ECA">
        <w:rPr>
          <w:sz w:val="28"/>
          <w:szCs w:val="28"/>
          <w:lang w:val="uk-UA"/>
        </w:rPr>
        <w:lastRenderedPageBreak/>
        <w:t>розрахуванням рівня неблагополуччя здоров’я (РНЗ). На підставі розрахунку РНЗ та за допомогою множинного кореляційного аналізу визначено коефіцієнт детермінації, найбільше значення якого вказувало на провідну патологію з точки зору формування високого рівня захворюваності у навчальному колективі (табл. 2.2)</w:t>
      </w:r>
      <w:r w:rsidR="008A7114" w:rsidRPr="002E6ECA">
        <w:rPr>
          <w:sz w:val="28"/>
          <w:szCs w:val="28"/>
          <w:lang w:val="uk-UA"/>
        </w:rPr>
        <w:t xml:space="preserve"> </w:t>
      </w:r>
      <w:r w:rsidR="008A7114" w:rsidRPr="002E6ECA">
        <w:rPr>
          <w:sz w:val="28"/>
          <w:szCs w:val="28"/>
          <w:lang w:val="en-US"/>
        </w:rPr>
        <w:t>[</w:t>
      </w:r>
      <w:r w:rsidR="008A7114" w:rsidRPr="002E6ECA">
        <w:rPr>
          <w:sz w:val="28"/>
          <w:szCs w:val="28"/>
        </w:rPr>
        <w:t>66, 235</w:t>
      </w:r>
      <w:r w:rsidR="008A7114" w:rsidRPr="002E6ECA">
        <w:rPr>
          <w:sz w:val="28"/>
          <w:szCs w:val="28"/>
          <w:lang w:val="en-US"/>
        </w:rPr>
        <w:t>]</w:t>
      </w:r>
      <w:r w:rsidRPr="002E6ECA">
        <w:rPr>
          <w:sz w:val="28"/>
          <w:szCs w:val="28"/>
          <w:lang w:val="uk-UA"/>
        </w:rPr>
        <w:t xml:space="preserve">. </w:t>
      </w:r>
    </w:p>
    <w:p w:rsidR="00A13D67" w:rsidRPr="002E6ECA" w:rsidRDefault="00A13D67" w:rsidP="00A13D67">
      <w:pPr>
        <w:spacing w:line="360" w:lineRule="auto"/>
        <w:ind w:firstLine="709"/>
        <w:jc w:val="both"/>
        <w:rPr>
          <w:sz w:val="28"/>
          <w:szCs w:val="28"/>
          <w:lang w:val="uk-UA"/>
        </w:rPr>
      </w:pPr>
      <w:r w:rsidRPr="002E6ECA">
        <w:rPr>
          <w:sz w:val="28"/>
          <w:szCs w:val="28"/>
          <w:lang w:val="uk-UA"/>
        </w:rPr>
        <w:t xml:space="preserve">Розрахування нормалізованого коефіцієнту детермінації </w:t>
      </w:r>
      <w:r w:rsidR="00DA0230" w:rsidRPr="002E6ECA">
        <w:rPr>
          <w:rFonts w:eastAsiaTheme="minorEastAsia"/>
          <w:spacing w:val="-4"/>
          <w:sz w:val="28"/>
          <w:szCs w:val="28"/>
          <w:lang w:val="en-US"/>
        </w:rPr>
        <w:t>(C</w:t>
      </w:r>
      <w:r w:rsidRPr="002E6ECA">
        <w:rPr>
          <w:rFonts w:eastAsiaTheme="minorEastAsia"/>
          <w:spacing w:val="-4"/>
          <w:sz w:val="28"/>
          <w:szCs w:val="28"/>
          <w:lang w:val="en-US"/>
        </w:rPr>
        <w:t>DN)</w:t>
      </w:r>
      <w:r w:rsidRPr="002E6ECA">
        <w:rPr>
          <w:rFonts w:eastAsiaTheme="minorEastAsia"/>
          <w:spacing w:val="-4"/>
          <w:sz w:val="28"/>
          <w:szCs w:val="28"/>
          <w:lang w:val="uk-UA"/>
        </w:rPr>
        <w:t xml:space="preserve"> за формулою 2.1 </w:t>
      </w:r>
      <w:r w:rsidRPr="002E6ECA">
        <w:rPr>
          <w:sz w:val="28"/>
          <w:szCs w:val="28"/>
          <w:lang w:val="uk-UA"/>
        </w:rPr>
        <w:t>дозволяло встановити ступінь ризику розвитку цієї патології та, якщо його значення дорівнювало 0,49,</w:t>
      </w:r>
      <w:r w:rsidR="007306D6" w:rsidRPr="002E6ECA">
        <w:rPr>
          <w:sz w:val="28"/>
          <w:szCs w:val="28"/>
          <w:lang w:val="uk-UA"/>
        </w:rPr>
        <w:t xml:space="preserve"> це вказувало на значний ризик:</w:t>
      </w:r>
    </w:p>
    <w:p w:rsidR="00671012" w:rsidRPr="002E6ECA" w:rsidRDefault="00671012" w:rsidP="00671012">
      <w:pPr>
        <w:spacing w:line="360" w:lineRule="auto"/>
        <w:ind w:firstLine="709"/>
        <w:jc w:val="both"/>
        <w:rPr>
          <w:rFonts w:eastAsiaTheme="minorEastAsia"/>
          <w:sz w:val="28"/>
          <w:szCs w:val="28"/>
          <w:lang w:val="uk-UA"/>
        </w:rPr>
      </w:pPr>
    </w:p>
    <w:p w:rsidR="00671012" w:rsidRPr="002E6ECA" w:rsidRDefault="00DA0230" w:rsidP="00671012">
      <w:pPr>
        <w:spacing w:line="360" w:lineRule="auto"/>
        <w:ind w:left="2831" w:firstLine="709"/>
        <w:jc w:val="center"/>
        <w:rPr>
          <w:rFonts w:eastAsiaTheme="minorEastAsia"/>
          <w:sz w:val="28"/>
          <w:szCs w:val="28"/>
          <w:lang w:val="uk-UA"/>
        </w:rPr>
      </w:pPr>
      <m:oMath>
        <m:r>
          <m:rPr>
            <m:sty m:val="p"/>
          </m:rPr>
          <w:rPr>
            <w:rFonts w:ascii="Cambria Math" w:hAnsi="Cambria Math"/>
            <w:sz w:val="28"/>
            <w:szCs w:val="28"/>
          </w:rPr>
          <m:t>CDN=</m:t>
        </m:r>
        <m:f>
          <m:fPr>
            <m:ctrlPr>
              <w:rPr>
                <w:rFonts w:ascii="Cambria Math" w:hAnsi="Cambria Math"/>
                <w:sz w:val="28"/>
                <w:szCs w:val="28"/>
              </w:rPr>
            </m:ctrlPr>
          </m:fPr>
          <m:num>
            <m:r>
              <m:rPr>
                <m:sty m:val="p"/>
              </m:rPr>
              <w:rPr>
                <w:rFonts w:ascii="Cambria Math" w:hAnsi="Cambria Math"/>
                <w:sz w:val="28"/>
                <w:szCs w:val="28"/>
              </w:rPr>
              <m:t>CD-1</m:t>
            </m:r>
          </m:num>
          <m:den>
            <m:r>
              <m:rPr>
                <m:sty m:val="p"/>
              </m:rPr>
              <w:rPr>
                <w:rFonts w:ascii="Cambria Math" w:hAnsi="Cambria Math"/>
                <w:sz w:val="28"/>
                <w:szCs w:val="28"/>
              </w:rPr>
              <m:t>N-1</m:t>
            </m:r>
          </m:den>
        </m:f>
      </m:oMath>
      <w:r w:rsidR="00671012" w:rsidRPr="002E6ECA">
        <w:rPr>
          <w:rFonts w:eastAsiaTheme="minorEastAsia"/>
          <w:sz w:val="28"/>
          <w:szCs w:val="28"/>
        </w:rPr>
        <w:t>,</w:t>
      </w:r>
      <w:r w:rsidR="00671012" w:rsidRPr="002E6ECA">
        <w:rPr>
          <w:rFonts w:eastAsiaTheme="minorEastAsia"/>
          <w:sz w:val="28"/>
          <w:szCs w:val="28"/>
          <w:lang w:val="uk-UA"/>
        </w:rPr>
        <w:t xml:space="preserve">                                       </w:t>
      </w:r>
      <w:r w:rsidR="00A13D67" w:rsidRPr="002E6ECA">
        <w:rPr>
          <w:rFonts w:eastAsiaTheme="minorEastAsia"/>
          <w:sz w:val="28"/>
          <w:szCs w:val="28"/>
          <w:lang w:val="uk-UA"/>
        </w:rPr>
        <w:t>(</w:t>
      </w:r>
      <w:r w:rsidR="00671012" w:rsidRPr="002E6ECA">
        <w:rPr>
          <w:rFonts w:eastAsiaTheme="minorEastAsia"/>
          <w:sz w:val="28"/>
          <w:szCs w:val="28"/>
        </w:rPr>
        <w:t>2.1</w:t>
      </w:r>
      <w:r w:rsidR="00A13D67" w:rsidRPr="002E6ECA">
        <w:rPr>
          <w:rFonts w:eastAsiaTheme="minorEastAsia"/>
          <w:sz w:val="28"/>
          <w:szCs w:val="28"/>
          <w:lang w:val="uk-UA"/>
        </w:rPr>
        <w:t>)</w:t>
      </w:r>
    </w:p>
    <w:p w:rsidR="00671012" w:rsidRPr="002E6ECA" w:rsidRDefault="00671012" w:rsidP="00671012">
      <w:pPr>
        <w:spacing w:line="360" w:lineRule="auto"/>
        <w:ind w:firstLine="709"/>
        <w:jc w:val="both"/>
        <w:rPr>
          <w:rFonts w:eastAsiaTheme="minorEastAsia"/>
          <w:sz w:val="28"/>
          <w:szCs w:val="28"/>
        </w:rPr>
      </w:pPr>
      <w:r w:rsidRPr="002E6ECA">
        <w:rPr>
          <w:rFonts w:eastAsiaTheme="minorEastAsia"/>
          <w:sz w:val="28"/>
          <w:szCs w:val="28"/>
          <w:lang w:val="uk-UA"/>
        </w:rPr>
        <w:t>д</w:t>
      </w:r>
      <w:r w:rsidRPr="002E6ECA">
        <w:rPr>
          <w:rFonts w:eastAsiaTheme="minorEastAsia"/>
          <w:sz w:val="28"/>
          <w:szCs w:val="28"/>
        </w:rPr>
        <w:t>е</w:t>
      </w:r>
      <w:r w:rsidRPr="002E6ECA">
        <w:rPr>
          <w:rFonts w:eastAsiaTheme="minorEastAsia"/>
          <w:sz w:val="28"/>
          <w:szCs w:val="28"/>
          <w:lang w:val="uk-UA"/>
        </w:rPr>
        <w:t xml:space="preserve"> </w:t>
      </w:r>
      <w:r w:rsidR="00DA0230" w:rsidRPr="002E6ECA">
        <w:rPr>
          <w:rFonts w:eastAsiaTheme="minorEastAsia"/>
          <w:sz w:val="28"/>
          <w:szCs w:val="28"/>
          <w:lang w:val="en-US"/>
        </w:rPr>
        <w:t>C</w:t>
      </w:r>
      <w:r w:rsidRPr="002E6ECA">
        <w:rPr>
          <w:rFonts w:eastAsiaTheme="minorEastAsia"/>
          <w:sz w:val="28"/>
          <w:szCs w:val="28"/>
        </w:rPr>
        <w:t xml:space="preserve">D </w:t>
      </w:r>
      <w:r w:rsidR="007306D6" w:rsidRPr="002E6ECA">
        <w:rPr>
          <w:rFonts w:eastAsiaTheme="minorEastAsia"/>
          <w:sz w:val="28"/>
          <w:szCs w:val="28"/>
        </w:rPr>
        <w:t>–</w:t>
      </w:r>
      <w:r w:rsidRPr="002E6ECA">
        <w:rPr>
          <w:rFonts w:eastAsiaTheme="minorEastAsia"/>
          <w:sz w:val="28"/>
          <w:szCs w:val="28"/>
        </w:rPr>
        <w:t xml:space="preserve"> коефіцієнт детермінації; N – кількість груп захворювань. </w:t>
      </w:r>
    </w:p>
    <w:p w:rsidR="00671012" w:rsidRPr="002E6ECA" w:rsidRDefault="00671012" w:rsidP="00671012">
      <w:pPr>
        <w:spacing w:line="360" w:lineRule="auto"/>
        <w:ind w:firstLine="709"/>
        <w:jc w:val="right"/>
        <w:rPr>
          <w:i/>
          <w:sz w:val="28"/>
          <w:szCs w:val="28"/>
          <w:lang w:val="uk-UA"/>
        </w:rPr>
      </w:pPr>
      <w:r w:rsidRPr="002E6ECA">
        <w:rPr>
          <w:i/>
          <w:sz w:val="28"/>
          <w:szCs w:val="28"/>
        </w:rPr>
        <w:t>Таблиця 2.</w:t>
      </w:r>
      <w:r w:rsidRPr="002E6ECA">
        <w:rPr>
          <w:i/>
          <w:sz w:val="28"/>
          <w:szCs w:val="28"/>
          <w:lang w:val="uk-UA"/>
        </w:rPr>
        <w:t>2</w:t>
      </w:r>
    </w:p>
    <w:p w:rsidR="00671012" w:rsidRPr="002E6ECA" w:rsidRDefault="00671012" w:rsidP="00671012">
      <w:pPr>
        <w:spacing w:line="360" w:lineRule="auto"/>
        <w:ind w:firstLine="709"/>
        <w:jc w:val="center"/>
        <w:rPr>
          <w:rFonts w:eastAsiaTheme="minorEastAsia"/>
          <w:b/>
          <w:sz w:val="28"/>
          <w:szCs w:val="28"/>
        </w:rPr>
      </w:pPr>
      <w:r w:rsidRPr="002E6ECA">
        <w:rPr>
          <w:b/>
          <w:sz w:val="28"/>
          <w:szCs w:val="28"/>
        </w:rPr>
        <w:t>Визначення ПП та ризику її формування за допомогою КД та КДН</w:t>
      </w:r>
    </w:p>
    <w:tbl>
      <w:tblPr>
        <w:tblW w:w="960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Pr>
      <w:tblGrid>
        <w:gridCol w:w="1332"/>
        <w:gridCol w:w="598"/>
        <w:gridCol w:w="598"/>
        <w:gridCol w:w="598"/>
        <w:gridCol w:w="598"/>
        <w:gridCol w:w="598"/>
        <w:gridCol w:w="599"/>
        <w:gridCol w:w="599"/>
        <w:gridCol w:w="599"/>
        <w:gridCol w:w="599"/>
        <w:gridCol w:w="488"/>
        <w:gridCol w:w="599"/>
        <w:gridCol w:w="599"/>
        <w:gridCol w:w="599"/>
        <w:gridCol w:w="599"/>
      </w:tblGrid>
      <w:tr w:rsidR="00671012" w:rsidRPr="002E6ECA" w:rsidTr="00671012">
        <w:trPr>
          <w:cantSplit/>
          <w:trHeight w:val="541"/>
        </w:trPr>
        <w:tc>
          <w:tcPr>
            <w:tcW w:w="1215" w:type="dxa"/>
            <w:vMerge w:val="restart"/>
            <w:tcMar>
              <w:left w:w="28" w:type="dxa"/>
              <w:right w:w="28" w:type="dxa"/>
            </w:tcMar>
            <w:vAlign w:val="center"/>
          </w:tcPr>
          <w:p w:rsidR="00671012" w:rsidRPr="002E6ECA" w:rsidRDefault="00671012" w:rsidP="00671012">
            <w:pPr>
              <w:spacing w:line="360" w:lineRule="auto"/>
              <w:jc w:val="center"/>
              <w:rPr>
                <w:lang w:eastAsia="uk-UA"/>
              </w:rPr>
            </w:pPr>
            <w:r w:rsidRPr="002E6ECA">
              <w:rPr>
                <w:lang w:eastAsia="uk-UA"/>
              </w:rPr>
              <w:t>показник</w:t>
            </w:r>
          </w:p>
        </w:tc>
        <w:tc>
          <w:tcPr>
            <w:tcW w:w="8387" w:type="dxa"/>
            <w:gridSpan w:val="14"/>
            <w:shd w:val="clear" w:color="auto" w:fill="auto"/>
            <w:tcMar>
              <w:left w:w="28" w:type="dxa"/>
              <w:right w:w="28" w:type="dxa"/>
            </w:tcMar>
            <w:vAlign w:val="center"/>
          </w:tcPr>
          <w:p w:rsidR="00671012" w:rsidRPr="002E6ECA" w:rsidRDefault="00671012" w:rsidP="00671012">
            <w:pPr>
              <w:spacing w:line="360" w:lineRule="auto"/>
              <w:jc w:val="center"/>
              <w:rPr>
                <w:lang w:eastAsia="uk-UA"/>
              </w:rPr>
            </w:pPr>
            <w:r w:rsidRPr="002E6ECA">
              <w:rPr>
                <w:lang w:eastAsia="uk-UA"/>
              </w:rPr>
              <w:t>Група захворювань</w:t>
            </w:r>
          </w:p>
        </w:tc>
      </w:tr>
      <w:tr w:rsidR="00671012" w:rsidRPr="002E6ECA" w:rsidTr="00671012">
        <w:trPr>
          <w:cantSplit/>
          <w:trHeight w:val="2392"/>
        </w:trPr>
        <w:tc>
          <w:tcPr>
            <w:tcW w:w="1215" w:type="dxa"/>
            <w:vMerge/>
            <w:tcMar>
              <w:left w:w="28" w:type="dxa"/>
              <w:right w:w="28" w:type="dxa"/>
            </w:tcMar>
            <w:textDirection w:val="btLr"/>
            <w:vAlign w:val="center"/>
          </w:tcPr>
          <w:p w:rsidR="00671012" w:rsidRPr="002E6ECA" w:rsidRDefault="00671012" w:rsidP="00671012">
            <w:pPr>
              <w:spacing w:line="360" w:lineRule="auto"/>
              <w:ind w:left="113" w:right="113"/>
              <w:jc w:val="center"/>
              <w:rPr>
                <w:lang w:eastAsia="uk-UA"/>
              </w:rPr>
            </w:pPr>
          </w:p>
        </w:tc>
        <w:tc>
          <w:tcPr>
            <w:tcW w:w="610"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гастроентерологічні</w:t>
            </w:r>
          </w:p>
        </w:tc>
        <w:tc>
          <w:tcPr>
            <w:tcW w:w="610"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нефрологічні</w:t>
            </w:r>
          </w:p>
        </w:tc>
        <w:tc>
          <w:tcPr>
            <w:tcW w:w="610"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гіповітаміноз</w:t>
            </w:r>
          </w:p>
        </w:tc>
        <w:tc>
          <w:tcPr>
            <w:tcW w:w="610"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кардіоревматологічні</w:t>
            </w:r>
          </w:p>
        </w:tc>
        <w:tc>
          <w:tcPr>
            <w:tcW w:w="610"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ендокринологічні</w:t>
            </w:r>
          </w:p>
        </w:tc>
        <w:tc>
          <w:tcPr>
            <w:tcW w:w="611"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пульмонологічні</w:t>
            </w:r>
          </w:p>
        </w:tc>
        <w:tc>
          <w:tcPr>
            <w:tcW w:w="611"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ЛОР-захворювання</w:t>
            </w:r>
          </w:p>
        </w:tc>
        <w:tc>
          <w:tcPr>
            <w:tcW w:w="611" w:type="dxa"/>
            <w:shd w:val="clear" w:color="auto" w:fill="auto"/>
            <w:tcMar>
              <w:left w:w="28" w:type="dxa"/>
              <w:right w:w="28" w:type="dxa"/>
            </w:tcMar>
            <w:textDirection w:val="btLr"/>
            <w:vAlign w:val="center"/>
            <w:hideMark/>
          </w:tcPr>
          <w:p w:rsidR="00671012" w:rsidRPr="002E6ECA" w:rsidRDefault="003F4B69" w:rsidP="003F4B69">
            <w:pPr>
              <w:spacing w:line="360" w:lineRule="auto"/>
              <w:rPr>
                <w:lang w:eastAsia="uk-UA"/>
              </w:rPr>
            </w:pPr>
            <w:r w:rsidRPr="002E6ECA">
              <w:rPr>
                <w:lang w:val="uk-UA" w:eastAsia="uk-UA"/>
              </w:rPr>
              <w:t>с</w:t>
            </w:r>
            <w:r w:rsidR="00671012" w:rsidRPr="002E6ECA">
              <w:rPr>
                <w:lang w:eastAsia="uk-UA"/>
              </w:rPr>
              <w:t>томатологічні</w:t>
            </w:r>
          </w:p>
        </w:tc>
        <w:tc>
          <w:tcPr>
            <w:tcW w:w="611" w:type="dxa"/>
            <w:shd w:val="clear" w:color="auto" w:fill="auto"/>
            <w:tcMar>
              <w:left w:w="28" w:type="dxa"/>
              <w:right w:w="28" w:type="dxa"/>
            </w:tcMar>
            <w:textDirection w:val="btLr"/>
            <w:vAlign w:val="center"/>
            <w:hideMark/>
          </w:tcPr>
          <w:p w:rsidR="00671012" w:rsidRPr="002E6ECA" w:rsidRDefault="00671012" w:rsidP="003F4B69">
            <w:pPr>
              <w:spacing w:line="360" w:lineRule="auto"/>
              <w:ind w:left="113" w:right="113"/>
              <w:rPr>
                <w:lang w:eastAsia="uk-UA"/>
              </w:rPr>
            </w:pPr>
            <w:r w:rsidRPr="002E6ECA">
              <w:rPr>
                <w:lang w:eastAsia="uk-UA"/>
              </w:rPr>
              <w:t xml:space="preserve">психоневрологічні </w:t>
            </w:r>
          </w:p>
        </w:tc>
        <w:tc>
          <w:tcPr>
            <w:tcW w:w="449" w:type="dxa"/>
            <w:shd w:val="clear" w:color="auto" w:fill="auto"/>
            <w:tcMar>
              <w:left w:w="28" w:type="dxa"/>
              <w:right w:w="28" w:type="dxa"/>
            </w:tcMar>
            <w:textDirection w:val="btLr"/>
            <w:vAlign w:val="center"/>
            <w:hideMark/>
          </w:tcPr>
          <w:p w:rsidR="00671012" w:rsidRPr="002E6ECA" w:rsidRDefault="00671012" w:rsidP="003F4B69">
            <w:pPr>
              <w:spacing w:line="360" w:lineRule="auto"/>
              <w:ind w:left="113" w:right="113"/>
              <w:rPr>
                <w:lang w:eastAsia="uk-UA"/>
              </w:rPr>
            </w:pPr>
            <w:r w:rsidRPr="002E6ECA">
              <w:rPr>
                <w:lang w:eastAsia="uk-UA"/>
              </w:rPr>
              <w:t>гінекологічні</w:t>
            </w:r>
          </w:p>
        </w:tc>
        <w:tc>
          <w:tcPr>
            <w:tcW w:w="611" w:type="dxa"/>
            <w:shd w:val="clear" w:color="auto" w:fill="auto"/>
            <w:tcMar>
              <w:left w:w="28" w:type="dxa"/>
              <w:right w:w="28" w:type="dxa"/>
            </w:tcMar>
            <w:textDirection w:val="btLr"/>
            <w:vAlign w:val="center"/>
            <w:hideMark/>
          </w:tcPr>
          <w:p w:rsidR="00671012" w:rsidRPr="002E6ECA" w:rsidRDefault="003F4B69" w:rsidP="003F4B69">
            <w:pPr>
              <w:spacing w:line="360" w:lineRule="auto"/>
              <w:rPr>
                <w:lang w:eastAsia="uk-UA"/>
              </w:rPr>
            </w:pPr>
            <w:r w:rsidRPr="002E6ECA">
              <w:rPr>
                <w:lang w:val="uk-UA" w:eastAsia="uk-UA"/>
              </w:rPr>
              <w:t>о</w:t>
            </w:r>
            <w:r w:rsidR="00671012" w:rsidRPr="002E6ECA">
              <w:rPr>
                <w:lang w:eastAsia="uk-UA"/>
              </w:rPr>
              <w:t>фтальмологічні</w:t>
            </w:r>
          </w:p>
        </w:tc>
        <w:tc>
          <w:tcPr>
            <w:tcW w:w="611"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гематологічні</w:t>
            </w:r>
          </w:p>
        </w:tc>
        <w:tc>
          <w:tcPr>
            <w:tcW w:w="611"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астенізація</w:t>
            </w:r>
          </w:p>
        </w:tc>
        <w:tc>
          <w:tcPr>
            <w:tcW w:w="611" w:type="dxa"/>
            <w:shd w:val="clear" w:color="auto" w:fill="auto"/>
            <w:tcMar>
              <w:left w:w="28" w:type="dxa"/>
              <w:right w:w="28" w:type="dxa"/>
            </w:tcMar>
            <w:textDirection w:val="btLr"/>
            <w:vAlign w:val="center"/>
            <w:hideMark/>
          </w:tcPr>
          <w:p w:rsidR="00671012" w:rsidRPr="002E6ECA" w:rsidRDefault="00671012" w:rsidP="003F4B69">
            <w:pPr>
              <w:spacing w:line="360" w:lineRule="auto"/>
              <w:rPr>
                <w:lang w:eastAsia="uk-UA"/>
              </w:rPr>
            </w:pPr>
            <w:r w:rsidRPr="002E6ECA">
              <w:rPr>
                <w:lang w:eastAsia="uk-UA"/>
              </w:rPr>
              <w:t>алергія</w:t>
            </w:r>
          </w:p>
        </w:tc>
      </w:tr>
      <w:tr w:rsidR="00671012" w:rsidRPr="002E6ECA" w:rsidTr="00671012">
        <w:trPr>
          <w:cantSplit/>
          <w:trHeight w:val="821"/>
        </w:trPr>
        <w:tc>
          <w:tcPr>
            <w:tcW w:w="1215" w:type="dxa"/>
            <w:tcMar>
              <w:left w:w="28" w:type="dxa"/>
              <w:right w:w="28" w:type="dxa"/>
            </w:tcMar>
            <w:vAlign w:val="center"/>
          </w:tcPr>
          <w:p w:rsidR="00671012" w:rsidRPr="002E6ECA" w:rsidRDefault="00671012" w:rsidP="00C23DB8">
            <w:pPr>
              <w:jc w:val="center"/>
              <w:rPr>
                <w:lang w:eastAsia="uk-UA"/>
              </w:rPr>
            </w:pPr>
            <w:r w:rsidRPr="002E6ECA">
              <w:rPr>
                <w:lang w:eastAsia="uk-UA"/>
              </w:rPr>
              <w:t>Коефіцієнт детермінації (</w:t>
            </w:r>
            <w:r w:rsidR="00C23DB8" w:rsidRPr="002E6ECA">
              <w:rPr>
                <w:lang w:val="en-US" w:eastAsia="uk-UA"/>
              </w:rPr>
              <w:t>C</w:t>
            </w:r>
            <w:r w:rsidRPr="002E6ECA">
              <w:rPr>
                <w:lang w:eastAsia="uk-UA"/>
              </w:rPr>
              <w:t>D)</w:t>
            </w:r>
          </w:p>
        </w:tc>
        <w:tc>
          <w:tcPr>
            <w:tcW w:w="610" w:type="dxa"/>
            <w:shd w:val="clear" w:color="auto" w:fill="auto"/>
            <w:tcMar>
              <w:left w:w="28" w:type="dxa"/>
              <w:right w:w="28" w:type="dxa"/>
            </w:tcMar>
            <w:vAlign w:val="bottom"/>
          </w:tcPr>
          <w:p w:rsidR="00671012" w:rsidRPr="002E6ECA" w:rsidRDefault="00671012" w:rsidP="00671012">
            <w:pPr>
              <w:jc w:val="right"/>
            </w:pPr>
            <w:r w:rsidRPr="002E6ECA">
              <w:t>5,41</w:t>
            </w:r>
          </w:p>
        </w:tc>
        <w:tc>
          <w:tcPr>
            <w:tcW w:w="610" w:type="dxa"/>
            <w:shd w:val="clear" w:color="auto" w:fill="auto"/>
            <w:tcMar>
              <w:left w:w="28" w:type="dxa"/>
              <w:right w:w="28" w:type="dxa"/>
            </w:tcMar>
            <w:vAlign w:val="bottom"/>
          </w:tcPr>
          <w:p w:rsidR="00671012" w:rsidRPr="002E6ECA" w:rsidRDefault="00671012" w:rsidP="00671012">
            <w:pPr>
              <w:jc w:val="right"/>
            </w:pPr>
            <w:r w:rsidRPr="002E6ECA">
              <w:t>6,22</w:t>
            </w:r>
          </w:p>
        </w:tc>
        <w:tc>
          <w:tcPr>
            <w:tcW w:w="610" w:type="dxa"/>
            <w:shd w:val="clear" w:color="auto" w:fill="auto"/>
            <w:tcMar>
              <w:left w:w="28" w:type="dxa"/>
              <w:right w:w="28" w:type="dxa"/>
            </w:tcMar>
            <w:vAlign w:val="bottom"/>
          </w:tcPr>
          <w:p w:rsidR="00671012" w:rsidRPr="002E6ECA" w:rsidRDefault="00671012" w:rsidP="00671012">
            <w:pPr>
              <w:jc w:val="right"/>
            </w:pPr>
            <w:r w:rsidRPr="002E6ECA">
              <w:t>5,65</w:t>
            </w:r>
          </w:p>
        </w:tc>
        <w:tc>
          <w:tcPr>
            <w:tcW w:w="610" w:type="dxa"/>
            <w:shd w:val="clear" w:color="auto" w:fill="auto"/>
            <w:tcMar>
              <w:left w:w="28" w:type="dxa"/>
              <w:right w:w="28" w:type="dxa"/>
            </w:tcMar>
            <w:vAlign w:val="bottom"/>
          </w:tcPr>
          <w:p w:rsidR="00671012" w:rsidRPr="002E6ECA" w:rsidRDefault="00671012" w:rsidP="00671012">
            <w:pPr>
              <w:jc w:val="right"/>
            </w:pPr>
            <w:r w:rsidRPr="002E6ECA">
              <w:t>6,94</w:t>
            </w:r>
          </w:p>
        </w:tc>
        <w:tc>
          <w:tcPr>
            <w:tcW w:w="610" w:type="dxa"/>
            <w:shd w:val="clear" w:color="auto" w:fill="auto"/>
            <w:tcMar>
              <w:left w:w="28" w:type="dxa"/>
              <w:right w:w="28" w:type="dxa"/>
            </w:tcMar>
            <w:vAlign w:val="bottom"/>
          </w:tcPr>
          <w:p w:rsidR="00671012" w:rsidRPr="002E6ECA" w:rsidRDefault="00671012" w:rsidP="00671012">
            <w:pPr>
              <w:jc w:val="right"/>
            </w:pPr>
            <w:r w:rsidRPr="002E6ECA">
              <w:t>4,77</w:t>
            </w:r>
          </w:p>
        </w:tc>
        <w:tc>
          <w:tcPr>
            <w:tcW w:w="611" w:type="dxa"/>
            <w:shd w:val="clear" w:color="auto" w:fill="auto"/>
            <w:tcMar>
              <w:left w:w="28" w:type="dxa"/>
              <w:right w:w="28" w:type="dxa"/>
            </w:tcMar>
            <w:vAlign w:val="bottom"/>
          </w:tcPr>
          <w:p w:rsidR="00671012" w:rsidRPr="002E6ECA" w:rsidRDefault="00671012" w:rsidP="00671012">
            <w:pPr>
              <w:jc w:val="right"/>
            </w:pPr>
            <w:r w:rsidRPr="002E6ECA">
              <w:t>6,20</w:t>
            </w:r>
          </w:p>
        </w:tc>
        <w:tc>
          <w:tcPr>
            <w:tcW w:w="611" w:type="dxa"/>
            <w:shd w:val="clear" w:color="auto" w:fill="auto"/>
            <w:tcMar>
              <w:left w:w="28" w:type="dxa"/>
              <w:right w:w="28" w:type="dxa"/>
            </w:tcMar>
            <w:vAlign w:val="bottom"/>
          </w:tcPr>
          <w:p w:rsidR="00671012" w:rsidRPr="002E6ECA" w:rsidRDefault="00671012" w:rsidP="00671012">
            <w:pPr>
              <w:jc w:val="right"/>
            </w:pPr>
            <w:r w:rsidRPr="002E6ECA">
              <w:t>5,31</w:t>
            </w:r>
          </w:p>
        </w:tc>
        <w:tc>
          <w:tcPr>
            <w:tcW w:w="611" w:type="dxa"/>
            <w:shd w:val="clear" w:color="auto" w:fill="auto"/>
            <w:tcMar>
              <w:left w:w="28" w:type="dxa"/>
              <w:right w:w="28" w:type="dxa"/>
            </w:tcMar>
            <w:vAlign w:val="bottom"/>
          </w:tcPr>
          <w:p w:rsidR="00671012" w:rsidRPr="002E6ECA" w:rsidRDefault="00671012" w:rsidP="00671012">
            <w:pPr>
              <w:jc w:val="right"/>
            </w:pPr>
            <w:r w:rsidRPr="002E6ECA">
              <w:t>1,30</w:t>
            </w:r>
          </w:p>
        </w:tc>
        <w:tc>
          <w:tcPr>
            <w:tcW w:w="611" w:type="dxa"/>
            <w:shd w:val="clear" w:color="auto" w:fill="auto"/>
            <w:tcMar>
              <w:left w:w="28" w:type="dxa"/>
              <w:right w:w="28" w:type="dxa"/>
            </w:tcMar>
            <w:vAlign w:val="bottom"/>
          </w:tcPr>
          <w:p w:rsidR="00671012" w:rsidRPr="002E6ECA" w:rsidRDefault="00671012" w:rsidP="00671012">
            <w:pPr>
              <w:jc w:val="right"/>
            </w:pPr>
            <w:r w:rsidRPr="002E6ECA">
              <w:t>6,22</w:t>
            </w:r>
          </w:p>
        </w:tc>
        <w:tc>
          <w:tcPr>
            <w:tcW w:w="449" w:type="dxa"/>
            <w:shd w:val="clear" w:color="auto" w:fill="auto"/>
            <w:tcMar>
              <w:left w:w="28" w:type="dxa"/>
              <w:right w:w="28" w:type="dxa"/>
            </w:tcMar>
            <w:vAlign w:val="bottom"/>
          </w:tcPr>
          <w:p w:rsidR="00671012" w:rsidRPr="002E6ECA" w:rsidRDefault="00671012" w:rsidP="00671012">
            <w:r w:rsidRPr="002E6ECA">
              <w:t>0.00</w:t>
            </w:r>
          </w:p>
        </w:tc>
        <w:tc>
          <w:tcPr>
            <w:tcW w:w="611" w:type="dxa"/>
            <w:shd w:val="clear" w:color="auto" w:fill="auto"/>
            <w:tcMar>
              <w:left w:w="28" w:type="dxa"/>
              <w:right w:w="28" w:type="dxa"/>
            </w:tcMar>
            <w:vAlign w:val="bottom"/>
          </w:tcPr>
          <w:p w:rsidR="00671012" w:rsidRPr="002E6ECA" w:rsidRDefault="00671012" w:rsidP="00671012">
            <w:pPr>
              <w:jc w:val="right"/>
            </w:pPr>
            <w:r w:rsidRPr="002E6ECA">
              <w:t>4,63</w:t>
            </w:r>
          </w:p>
        </w:tc>
        <w:tc>
          <w:tcPr>
            <w:tcW w:w="611" w:type="dxa"/>
            <w:shd w:val="clear" w:color="auto" w:fill="auto"/>
            <w:tcMar>
              <w:left w:w="28" w:type="dxa"/>
              <w:right w:w="28" w:type="dxa"/>
            </w:tcMar>
            <w:vAlign w:val="bottom"/>
          </w:tcPr>
          <w:p w:rsidR="00671012" w:rsidRPr="002E6ECA" w:rsidRDefault="00671012" w:rsidP="00671012">
            <w:pPr>
              <w:jc w:val="right"/>
            </w:pPr>
            <w:r w:rsidRPr="002E6ECA">
              <w:t>6,67</w:t>
            </w:r>
          </w:p>
        </w:tc>
        <w:tc>
          <w:tcPr>
            <w:tcW w:w="611" w:type="dxa"/>
            <w:shd w:val="clear" w:color="auto" w:fill="auto"/>
            <w:tcMar>
              <w:left w:w="28" w:type="dxa"/>
              <w:right w:w="28" w:type="dxa"/>
            </w:tcMar>
            <w:vAlign w:val="bottom"/>
          </w:tcPr>
          <w:p w:rsidR="00671012" w:rsidRPr="002E6ECA" w:rsidRDefault="00671012" w:rsidP="00671012">
            <w:pPr>
              <w:jc w:val="right"/>
            </w:pPr>
            <w:r w:rsidRPr="002E6ECA">
              <w:t>6,20</w:t>
            </w:r>
          </w:p>
        </w:tc>
        <w:tc>
          <w:tcPr>
            <w:tcW w:w="611" w:type="dxa"/>
            <w:shd w:val="clear" w:color="auto" w:fill="auto"/>
            <w:tcMar>
              <w:left w:w="28" w:type="dxa"/>
              <w:right w:w="28" w:type="dxa"/>
            </w:tcMar>
            <w:vAlign w:val="bottom"/>
          </w:tcPr>
          <w:p w:rsidR="00671012" w:rsidRPr="002E6ECA" w:rsidRDefault="00671012" w:rsidP="00671012">
            <w:pPr>
              <w:jc w:val="right"/>
            </w:pPr>
            <w:r w:rsidRPr="002E6ECA">
              <w:t>5,59</w:t>
            </w:r>
          </w:p>
        </w:tc>
      </w:tr>
      <w:tr w:rsidR="00671012" w:rsidRPr="002E6ECA" w:rsidTr="00671012">
        <w:trPr>
          <w:cantSplit/>
          <w:trHeight w:val="691"/>
        </w:trPr>
        <w:tc>
          <w:tcPr>
            <w:tcW w:w="1215" w:type="dxa"/>
            <w:tcMar>
              <w:left w:w="28" w:type="dxa"/>
              <w:right w:w="28" w:type="dxa"/>
            </w:tcMar>
            <w:vAlign w:val="center"/>
          </w:tcPr>
          <w:p w:rsidR="00671012" w:rsidRPr="002E6ECA" w:rsidRDefault="00671012" w:rsidP="00671012">
            <w:pPr>
              <w:jc w:val="center"/>
              <w:rPr>
                <w:lang w:eastAsia="uk-UA"/>
              </w:rPr>
            </w:pPr>
            <w:r w:rsidRPr="002E6ECA">
              <w:rPr>
                <w:lang w:eastAsia="uk-UA"/>
              </w:rPr>
              <w:t>Провідна патологія (ПП)</w:t>
            </w:r>
          </w:p>
        </w:tc>
        <w:tc>
          <w:tcPr>
            <w:tcW w:w="610" w:type="dxa"/>
            <w:shd w:val="clear" w:color="auto" w:fill="auto"/>
            <w:tcMar>
              <w:left w:w="28" w:type="dxa"/>
              <w:right w:w="28" w:type="dxa"/>
            </w:tcMar>
            <w:vAlign w:val="center"/>
          </w:tcPr>
          <w:p w:rsidR="00671012" w:rsidRPr="002E6ECA" w:rsidRDefault="00671012" w:rsidP="00671012">
            <w:pPr>
              <w:jc w:val="center"/>
            </w:pPr>
          </w:p>
        </w:tc>
        <w:tc>
          <w:tcPr>
            <w:tcW w:w="610" w:type="dxa"/>
            <w:shd w:val="clear" w:color="auto" w:fill="auto"/>
            <w:tcMar>
              <w:left w:w="28" w:type="dxa"/>
              <w:right w:w="28" w:type="dxa"/>
            </w:tcMar>
            <w:vAlign w:val="center"/>
          </w:tcPr>
          <w:p w:rsidR="00671012" w:rsidRPr="002E6ECA" w:rsidRDefault="00671012" w:rsidP="00671012">
            <w:pPr>
              <w:jc w:val="center"/>
            </w:pPr>
          </w:p>
        </w:tc>
        <w:tc>
          <w:tcPr>
            <w:tcW w:w="610" w:type="dxa"/>
            <w:shd w:val="clear" w:color="auto" w:fill="auto"/>
            <w:tcMar>
              <w:left w:w="28" w:type="dxa"/>
              <w:right w:w="28" w:type="dxa"/>
            </w:tcMar>
            <w:vAlign w:val="center"/>
          </w:tcPr>
          <w:p w:rsidR="00671012" w:rsidRPr="002E6ECA" w:rsidRDefault="00671012" w:rsidP="00671012">
            <w:pPr>
              <w:jc w:val="center"/>
            </w:pPr>
          </w:p>
        </w:tc>
        <w:tc>
          <w:tcPr>
            <w:tcW w:w="610" w:type="dxa"/>
            <w:shd w:val="clear" w:color="auto" w:fill="auto"/>
            <w:tcMar>
              <w:left w:w="28" w:type="dxa"/>
              <w:right w:w="28" w:type="dxa"/>
            </w:tcMar>
            <w:vAlign w:val="center"/>
          </w:tcPr>
          <w:p w:rsidR="00671012" w:rsidRPr="002E6ECA" w:rsidRDefault="00671012" w:rsidP="00671012">
            <w:pPr>
              <w:jc w:val="center"/>
            </w:pPr>
            <w:r w:rsidRPr="002E6ECA">
              <w:t>6,94</w:t>
            </w:r>
          </w:p>
        </w:tc>
        <w:tc>
          <w:tcPr>
            <w:tcW w:w="610"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449"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c>
          <w:tcPr>
            <w:tcW w:w="611" w:type="dxa"/>
            <w:shd w:val="clear" w:color="auto" w:fill="auto"/>
            <w:tcMar>
              <w:left w:w="28" w:type="dxa"/>
              <w:right w:w="28" w:type="dxa"/>
            </w:tcMar>
            <w:vAlign w:val="center"/>
          </w:tcPr>
          <w:p w:rsidR="00671012" w:rsidRPr="002E6ECA" w:rsidRDefault="00671012" w:rsidP="00671012">
            <w:pPr>
              <w:jc w:val="center"/>
            </w:pPr>
          </w:p>
        </w:tc>
      </w:tr>
      <w:tr w:rsidR="00671012" w:rsidRPr="002E6ECA" w:rsidTr="00671012">
        <w:trPr>
          <w:cantSplit/>
          <w:trHeight w:val="691"/>
        </w:trPr>
        <w:tc>
          <w:tcPr>
            <w:tcW w:w="1215" w:type="dxa"/>
            <w:tcMar>
              <w:left w:w="28" w:type="dxa"/>
              <w:right w:w="28" w:type="dxa"/>
            </w:tcMar>
            <w:vAlign w:val="center"/>
          </w:tcPr>
          <w:p w:rsidR="00671012" w:rsidRPr="002E6ECA" w:rsidRDefault="00671012" w:rsidP="00C23DB8">
            <w:pPr>
              <w:jc w:val="center"/>
              <w:rPr>
                <w:lang w:eastAsia="uk-UA"/>
              </w:rPr>
            </w:pPr>
            <w:r w:rsidRPr="002E6ECA">
              <w:rPr>
                <w:lang w:eastAsia="uk-UA"/>
              </w:rPr>
              <w:t>Коефіцієнт детермінації нормований (</w:t>
            </w:r>
            <w:r w:rsidR="00C23DB8" w:rsidRPr="002E6ECA">
              <w:rPr>
                <w:lang w:val="en-US" w:eastAsia="uk-UA"/>
              </w:rPr>
              <w:t>C</w:t>
            </w:r>
            <w:r w:rsidRPr="002E6ECA">
              <w:rPr>
                <w:lang w:eastAsia="uk-UA"/>
              </w:rPr>
              <w:t>DN)</w:t>
            </w:r>
          </w:p>
        </w:tc>
        <w:tc>
          <w:tcPr>
            <w:tcW w:w="610" w:type="dxa"/>
            <w:shd w:val="clear" w:color="auto" w:fill="auto"/>
            <w:tcMar>
              <w:left w:w="28" w:type="dxa"/>
              <w:right w:w="28" w:type="dxa"/>
            </w:tcMar>
            <w:vAlign w:val="bottom"/>
          </w:tcPr>
          <w:p w:rsidR="00671012" w:rsidRPr="002E6ECA" w:rsidRDefault="00671012" w:rsidP="00671012">
            <w:pPr>
              <w:jc w:val="right"/>
            </w:pPr>
            <w:r w:rsidRPr="002E6ECA">
              <w:t>0,37</w:t>
            </w:r>
          </w:p>
        </w:tc>
        <w:tc>
          <w:tcPr>
            <w:tcW w:w="610" w:type="dxa"/>
            <w:shd w:val="clear" w:color="auto" w:fill="auto"/>
            <w:tcMar>
              <w:left w:w="28" w:type="dxa"/>
              <w:right w:w="28" w:type="dxa"/>
            </w:tcMar>
            <w:vAlign w:val="bottom"/>
          </w:tcPr>
          <w:p w:rsidR="00671012" w:rsidRPr="002E6ECA" w:rsidRDefault="00671012" w:rsidP="00671012">
            <w:pPr>
              <w:jc w:val="right"/>
            </w:pPr>
            <w:r w:rsidRPr="002E6ECA">
              <w:t>0,44</w:t>
            </w:r>
          </w:p>
        </w:tc>
        <w:tc>
          <w:tcPr>
            <w:tcW w:w="610" w:type="dxa"/>
            <w:shd w:val="clear" w:color="auto" w:fill="auto"/>
            <w:tcMar>
              <w:left w:w="28" w:type="dxa"/>
              <w:right w:w="28" w:type="dxa"/>
            </w:tcMar>
            <w:vAlign w:val="bottom"/>
          </w:tcPr>
          <w:p w:rsidR="00671012" w:rsidRPr="002E6ECA" w:rsidRDefault="00671012" w:rsidP="00671012">
            <w:pPr>
              <w:jc w:val="right"/>
            </w:pPr>
            <w:r w:rsidRPr="002E6ECA">
              <w:t>0,39</w:t>
            </w:r>
          </w:p>
        </w:tc>
        <w:tc>
          <w:tcPr>
            <w:tcW w:w="610" w:type="dxa"/>
            <w:shd w:val="clear" w:color="auto" w:fill="auto"/>
            <w:tcMar>
              <w:left w:w="28" w:type="dxa"/>
              <w:right w:w="28" w:type="dxa"/>
            </w:tcMar>
            <w:vAlign w:val="bottom"/>
          </w:tcPr>
          <w:p w:rsidR="00671012" w:rsidRPr="002E6ECA" w:rsidRDefault="00671012" w:rsidP="00671012">
            <w:pPr>
              <w:jc w:val="right"/>
              <w:rPr>
                <w:lang w:val="uk-UA"/>
              </w:rPr>
            </w:pPr>
            <w:r w:rsidRPr="002E6ECA">
              <w:t>0,50</w:t>
            </w:r>
          </w:p>
        </w:tc>
        <w:tc>
          <w:tcPr>
            <w:tcW w:w="610" w:type="dxa"/>
            <w:shd w:val="clear" w:color="auto" w:fill="auto"/>
            <w:tcMar>
              <w:left w:w="28" w:type="dxa"/>
              <w:right w:w="28" w:type="dxa"/>
            </w:tcMar>
            <w:vAlign w:val="bottom"/>
          </w:tcPr>
          <w:p w:rsidR="00671012" w:rsidRPr="002E6ECA" w:rsidRDefault="00671012" w:rsidP="00671012">
            <w:pPr>
              <w:jc w:val="right"/>
            </w:pPr>
            <w:r w:rsidRPr="002E6ECA">
              <w:t>0,31</w:t>
            </w:r>
          </w:p>
        </w:tc>
        <w:tc>
          <w:tcPr>
            <w:tcW w:w="611" w:type="dxa"/>
            <w:shd w:val="clear" w:color="auto" w:fill="auto"/>
            <w:tcMar>
              <w:left w:w="28" w:type="dxa"/>
              <w:right w:w="28" w:type="dxa"/>
            </w:tcMar>
            <w:vAlign w:val="bottom"/>
          </w:tcPr>
          <w:p w:rsidR="00671012" w:rsidRPr="002E6ECA" w:rsidRDefault="00671012" w:rsidP="00671012">
            <w:pPr>
              <w:jc w:val="right"/>
            </w:pPr>
            <w:r w:rsidRPr="002E6ECA">
              <w:t>0,43</w:t>
            </w:r>
          </w:p>
        </w:tc>
        <w:tc>
          <w:tcPr>
            <w:tcW w:w="611" w:type="dxa"/>
            <w:shd w:val="clear" w:color="auto" w:fill="auto"/>
            <w:tcMar>
              <w:left w:w="28" w:type="dxa"/>
              <w:right w:w="28" w:type="dxa"/>
            </w:tcMar>
            <w:vAlign w:val="bottom"/>
          </w:tcPr>
          <w:p w:rsidR="00671012" w:rsidRPr="002E6ECA" w:rsidRDefault="00671012" w:rsidP="00671012">
            <w:pPr>
              <w:jc w:val="right"/>
            </w:pPr>
            <w:r w:rsidRPr="002E6ECA">
              <w:t>0,36</w:t>
            </w:r>
          </w:p>
        </w:tc>
        <w:tc>
          <w:tcPr>
            <w:tcW w:w="611" w:type="dxa"/>
            <w:shd w:val="clear" w:color="auto" w:fill="auto"/>
            <w:tcMar>
              <w:left w:w="28" w:type="dxa"/>
              <w:right w:w="28" w:type="dxa"/>
            </w:tcMar>
            <w:vAlign w:val="bottom"/>
          </w:tcPr>
          <w:p w:rsidR="00671012" w:rsidRPr="002E6ECA" w:rsidRDefault="00671012" w:rsidP="00671012">
            <w:pPr>
              <w:jc w:val="right"/>
            </w:pPr>
            <w:r w:rsidRPr="002E6ECA">
              <w:t>0,03</w:t>
            </w:r>
          </w:p>
        </w:tc>
        <w:tc>
          <w:tcPr>
            <w:tcW w:w="611" w:type="dxa"/>
            <w:shd w:val="clear" w:color="auto" w:fill="auto"/>
            <w:tcMar>
              <w:left w:w="28" w:type="dxa"/>
              <w:right w:w="28" w:type="dxa"/>
            </w:tcMar>
            <w:vAlign w:val="bottom"/>
          </w:tcPr>
          <w:p w:rsidR="00671012" w:rsidRPr="002E6ECA" w:rsidRDefault="00671012" w:rsidP="00671012">
            <w:pPr>
              <w:jc w:val="right"/>
            </w:pPr>
            <w:r w:rsidRPr="002E6ECA">
              <w:t>0,44</w:t>
            </w:r>
          </w:p>
        </w:tc>
        <w:tc>
          <w:tcPr>
            <w:tcW w:w="449" w:type="dxa"/>
            <w:shd w:val="clear" w:color="auto" w:fill="auto"/>
            <w:tcMar>
              <w:left w:w="28" w:type="dxa"/>
              <w:right w:w="28" w:type="dxa"/>
            </w:tcMar>
            <w:vAlign w:val="bottom"/>
          </w:tcPr>
          <w:p w:rsidR="00671012" w:rsidRPr="002E6ECA" w:rsidRDefault="00671012" w:rsidP="00671012">
            <w:pPr>
              <w:jc w:val="right"/>
            </w:pPr>
            <w:r w:rsidRPr="002E6ECA">
              <w:t>0,0</w:t>
            </w:r>
          </w:p>
        </w:tc>
        <w:tc>
          <w:tcPr>
            <w:tcW w:w="611" w:type="dxa"/>
            <w:shd w:val="clear" w:color="auto" w:fill="auto"/>
            <w:tcMar>
              <w:left w:w="28" w:type="dxa"/>
              <w:right w:w="28" w:type="dxa"/>
            </w:tcMar>
            <w:vAlign w:val="bottom"/>
          </w:tcPr>
          <w:p w:rsidR="00671012" w:rsidRPr="002E6ECA" w:rsidRDefault="00671012" w:rsidP="00671012">
            <w:pPr>
              <w:jc w:val="right"/>
            </w:pPr>
            <w:r w:rsidRPr="002E6ECA">
              <w:t>0,30</w:t>
            </w:r>
          </w:p>
        </w:tc>
        <w:tc>
          <w:tcPr>
            <w:tcW w:w="611" w:type="dxa"/>
            <w:shd w:val="clear" w:color="auto" w:fill="auto"/>
            <w:tcMar>
              <w:left w:w="28" w:type="dxa"/>
              <w:right w:w="28" w:type="dxa"/>
            </w:tcMar>
            <w:vAlign w:val="bottom"/>
          </w:tcPr>
          <w:p w:rsidR="00671012" w:rsidRPr="002E6ECA" w:rsidRDefault="00671012" w:rsidP="00671012">
            <w:pPr>
              <w:jc w:val="right"/>
            </w:pPr>
            <w:r w:rsidRPr="002E6ECA">
              <w:t>0,47</w:t>
            </w:r>
          </w:p>
        </w:tc>
        <w:tc>
          <w:tcPr>
            <w:tcW w:w="611" w:type="dxa"/>
            <w:shd w:val="clear" w:color="auto" w:fill="auto"/>
            <w:tcMar>
              <w:left w:w="28" w:type="dxa"/>
              <w:right w:w="28" w:type="dxa"/>
            </w:tcMar>
            <w:vAlign w:val="bottom"/>
          </w:tcPr>
          <w:p w:rsidR="00671012" w:rsidRPr="002E6ECA" w:rsidRDefault="00671012" w:rsidP="00671012">
            <w:pPr>
              <w:jc w:val="right"/>
            </w:pPr>
            <w:r w:rsidRPr="002E6ECA">
              <w:t>0,43</w:t>
            </w:r>
          </w:p>
        </w:tc>
        <w:tc>
          <w:tcPr>
            <w:tcW w:w="611" w:type="dxa"/>
            <w:shd w:val="clear" w:color="auto" w:fill="auto"/>
            <w:tcMar>
              <w:left w:w="28" w:type="dxa"/>
              <w:right w:w="28" w:type="dxa"/>
            </w:tcMar>
            <w:vAlign w:val="bottom"/>
          </w:tcPr>
          <w:p w:rsidR="00671012" w:rsidRPr="002E6ECA" w:rsidRDefault="00671012" w:rsidP="00671012">
            <w:pPr>
              <w:jc w:val="right"/>
            </w:pPr>
            <w:r w:rsidRPr="002E6ECA">
              <w:t>0,38</w:t>
            </w:r>
          </w:p>
        </w:tc>
      </w:tr>
    </w:tbl>
    <w:p w:rsidR="00671012" w:rsidRPr="002E6ECA" w:rsidRDefault="00671012" w:rsidP="00671012">
      <w:pPr>
        <w:spacing w:line="360" w:lineRule="auto"/>
        <w:ind w:firstLine="709"/>
        <w:jc w:val="both"/>
        <w:rPr>
          <w:rFonts w:eastAsiaTheme="minorEastAsia"/>
          <w:sz w:val="28"/>
          <w:szCs w:val="28"/>
        </w:rPr>
      </w:pP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На </w:t>
      </w:r>
      <w:r w:rsidRPr="002E6ECA">
        <w:rPr>
          <w:i/>
          <w:sz w:val="28"/>
          <w:szCs w:val="28"/>
          <w:lang w:val="uk-UA"/>
        </w:rPr>
        <w:t>третьому етапі</w:t>
      </w:r>
      <w:r w:rsidRPr="002E6ECA">
        <w:rPr>
          <w:sz w:val="28"/>
          <w:szCs w:val="28"/>
          <w:lang w:val="uk-UA"/>
        </w:rPr>
        <w:t xml:space="preserve"> було проведено поглиблені санітарно-гігієнічні дослідження у 3-х закладах загальної середньої освіти (ЗЗСО), розташованих у крупному індустріальному місті у сельбищній зоні різних адміністративних районів м. Харкова. Ці заклади є типовими і узагальнюють умови навчання </w:t>
      </w:r>
      <w:r w:rsidRPr="002E6ECA">
        <w:rPr>
          <w:sz w:val="28"/>
          <w:szCs w:val="28"/>
          <w:lang w:val="uk-UA"/>
        </w:rPr>
        <w:lastRenderedPageBreak/>
        <w:t xml:space="preserve">українських школярів за архітектурно-планувальними характеристиками, відображують особливості освітнього процесу у 2-х різних типах ЗЗСО: ліцей </w:t>
      </w:r>
      <w:r w:rsidR="001C40BB" w:rsidRPr="002E6ECA">
        <w:rPr>
          <w:sz w:val="28"/>
          <w:szCs w:val="28"/>
          <w:lang w:val="uk-UA"/>
        </w:rPr>
        <w:t xml:space="preserve">(ЗЗСО 1) </w:t>
      </w:r>
      <w:r w:rsidRPr="002E6ECA">
        <w:rPr>
          <w:sz w:val="28"/>
          <w:szCs w:val="28"/>
          <w:lang w:val="uk-UA"/>
        </w:rPr>
        <w:t>– із навчанням лише за традиційною програмою та гімназі</w:t>
      </w:r>
      <w:r w:rsidR="001C40BB" w:rsidRPr="002E6ECA">
        <w:rPr>
          <w:sz w:val="28"/>
          <w:szCs w:val="28"/>
          <w:lang w:val="uk-UA"/>
        </w:rPr>
        <w:t>ї</w:t>
      </w:r>
      <w:r w:rsidRPr="002E6ECA">
        <w:rPr>
          <w:sz w:val="28"/>
          <w:szCs w:val="28"/>
          <w:lang w:val="uk-UA"/>
        </w:rPr>
        <w:t>, де було впроваджено меритократичну освіту (навчально-педагогічний проєкт «Інтелект України»</w:t>
      </w:r>
      <w:r w:rsidR="001C40BB" w:rsidRPr="002E6ECA">
        <w:rPr>
          <w:sz w:val="28"/>
          <w:szCs w:val="28"/>
          <w:lang w:val="uk-UA"/>
        </w:rPr>
        <w:t xml:space="preserve"> – ЗЗСО 1, ЗЗСО 3</w:t>
      </w:r>
      <w:r w:rsidRPr="002E6ECA">
        <w:rPr>
          <w:sz w:val="28"/>
          <w:szCs w:val="28"/>
          <w:lang w:val="uk-UA"/>
        </w:rPr>
        <w:t>) та педагогічну технологію «Росток»</w:t>
      </w:r>
      <w:r w:rsidR="001C40BB" w:rsidRPr="002E6ECA">
        <w:rPr>
          <w:sz w:val="28"/>
          <w:szCs w:val="28"/>
          <w:lang w:val="uk-UA"/>
        </w:rPr>
        <w:t xml:space="preserve"> (ЗЗСО 1)</w:t>
      </w:r>
      <w:r w:rsidRPr="002E6ECA">
        <w:rPr>
          <w:sz w:val="28"/>
          <w:szCs w:val="28"/>
          <w:lang w:val="uk-UA"/>
        </w:rPr>
        <w:t xml:space="preserve">. </w:t>
      </w:r>
    </w:p>
    <w:p w:rsidR="00671012" w:rsidRPr="002E6ECA" w:rsidRDefault="00671012" w:rsidP="00671012">
      <w:pPr>
        <w:widowControl w:val="0"/>
        <w:spacing w:line="360" w:lineRule="auto"/>
        <w:ind w:firstLine="709"/>
        <w:jc w:val="both"/>
        <w:rPr>
          <w:sz w:val="28"/>
          <w:szCs w:val="28"/>
          <w:lang w:val="uk-UA"/>
        </w:rPr>
      </w:pPr>
      <w:r w:rsidRPr="002E6ECA">
        <w:rPr>
          <w:sz w:val="28"/>
          <w:szCs w:val="28"/>
          <w:lang w:val="uk-UA"/>
        </w:rPr>
        <w:t xml:space="preserve">Оцінку санітарно-гігієнічних умов навчання у ЗЗСО надано згідно з вимогами Санітарного регламенту </w:t>
      </w:r>
      <w:r w:rsidR="007306D6" w:rsidRPr="002E6ECA">
        <w:rPr>
          <w:sz w:val="28"/>
          <w:szCs w:val="28"/>
          <w:lang w:val="uk-UA"/>
        </w:rPr>
        <w:t>[</w:t>
      </w:r>
      <w:r w:rsidR="008A7114" w:rsidRPr="002E6ECA">
        <w:rPr>
          <w:sz w:val="28"/>
          <w:szCs w:val="28"/>
          <w:lang w:val="uk-UA"/>
        </w:rPr>
        <w:t>137</w:t>
      </w:r>
      <w:r w:rsidR="007306D6" w:rsidRPr="002E6ECA">
        <w:rPr>
          <w:sz w:val="28"/>
          <w:szCs w:val="28"/>
          <w:lang w:val="uk-UA"/>
        </w:rPr>
        <w:t xml:space="preserve">], </w:t>
      </w:r>
      <w:r w:rsidRPr="002E6ECA">
        <w:rPr>
          <w:sz w:val="28"/>
          <w:szCs w:val="28"/>
          <w:lang w:val="uk-UA"/>
        </w:rPr>
        <w:t xml:space="preserve">яка включала інструментальні вимірювання параметрів мікроклімату (температури та відносної вологості повітря), рівнів природного та штучного освітлення навчальних та інших приміщень (світлотехнічний метод), визначення вмісту радону у приміщеннях, розташованих на 1-му поверсі будівель ЗЗСО та фенолформальдегіду у навчальних класах, а також санітарний опис приміщень.  </w:t>
      </w:r>
    </w:p>
    <w:p w:rsidR="007306D6" w:rsidRPr="002E6ECA" w:rsidRDefault="007306D6" w:rsidP="007306D6">
      <w:pPr>
        <w:spacing w:line="360" w:lineRule="auto"/>
        <w:ind w:firstLine="709"/>
        <w:jc w:val="both"/>
        <w:rPr>
          <w:sz w:val="28"/>
          <w:szCs w:val="28"/>
          <w:lang w:val="uk-UA"/>
        </w:rPr>
      </w:pPr>
      <w:r w:rsidRPr="002E6ECA">
        <w:rPr>
          <w:sz w:val="28"/>
          <w:szCs w:val="28"/>
          <w:lang w:val="uk-UA"/>
        </w:rPr>
        <w:t xml:space="preserve">Також дано комплексну гігієнічну оцінку організації навчально-виховного процесу з урахуванням навчального навантаження та умов навчально-виробничого середовища. Для оцінки розкладу навчальних занять було </w:t>
      </w:r>
      <w:r w:rsidRPr="002E6ECA">
        <w:rPr>
          <w:bCs/>
          <w:sz w:val="28"/>
          <w:szCs w:val="28"/>
          <w:lang w:val="uk-UA"/>
        </w:rPr>
        <w:t>використано</w:t>
      </w:r>
      <w:r w:rsidRPr="002E6ECA">
        <w:rPr>
          <w:b/>
          <w:bCs/>
          <w:sz w:val="28"/>
          <w:szCs w:val="28"/>
          <w:lang w:val="uk-UA"/>
        </w:rPr>
        <w:t xml:space="preserve"> </w:t>
      </w:r>
      <w:r w:rsidRPr="002E6ECA">
        <w:rPr>
          <w:sz w:val="28"/>
          <w:szCs w:val="28"/>
          <w:lang w:val="uk-UA"/>
        </w:rPr>
        <w:t>існуючі підходи щодо визначення динаміки сумарного денного і тижневого навчального навантаження підлітків в годинах та в балах, що передбачало побудову кривих навчального навантаження на основі бальної шкали складності навчальних предметів. У дослідженні було використано стандартну шкалу важкості предметів [</w:t>
      </w:r>
      <w:r w:rsidR="008A7114" w:rsidRPr="002E6ECA">
        <w:rPr>
          <w:sz w:val="28"/>
          <w:szCs w:val="28"/>
          <w:lang w:val="uk-UA"/>
        </w:rPr>
        <w:t>176</w:t>
      </w:r>
      <w:r w:rsidRPr="002E6ECA">
        <w:rPr>
          <w:sz w:val="28"/>
          <w:szCs w:val="28"/>
          <w:lang w:val="uk-UA"/>
        </w:rPr>
        <w:t>]. Режим добової діяльності школярів визначався за результатами анкетування старшокласників [</w:t>
      </w:r>
      <w:r w:rsidR="008A7114" w:rsidRPr="002E6ECA">
        <w:rPr>
          <w:sz w:val="28"/>
          <w:szCs w:val="28"/>
          <w:lang w:val="uk-UA"/>
        </w:rPr>
        <w:t>215</w:t>
      </w:r>
      <w:r w:rsidRPr="002E6ECA">
        <w:rPr>
          <w:sz w:val="28"/>
          <w:szCs w:val="28"/>
          <w:lang w:val="uk-UA"/>
        </w:rPr>
        <w:t xml:space="preserve">]. </w:t>
      </w:r>
    </w:p>
    <w:p w:rsidR="007306D6" w:rsidRPr="002E6ECA" w:rsidRDefault="007306D6" w:rsidP="007306D6">
      <w:pPr>
        <w:spacing w:line="360" w:lineRule="auto"/>
        <w:ind w:firstLine="709"/>
        <w:jc w:val="both"/>
        <w:rPr>
          <w:sz w:val="28"/>
          <w:szCs w:val="28"/>
          <w:lang w:val="uk-UA"/>
        </w:rPr>
      </w:pPr>
      <w:r w:rsidRPr="002E6ECA">
        <w:rPr>
          <w:sz w:val="28"/>
          <w:szCs w:val="28"/>
          <w:lang w:val="uk-UA"/>
        </w:rPr>
        <w:t>З метою вивчення соціально-гігієнічних умов, рівня сформованості навичок здорового способу життя, самооцінки здоров'я проводилося анкетування за розробленим в ДУ «ІОЗДП НАМН» опитувальником, який містив як альтернативні, так і ранжовані за ступенем проявів ознаки питання відносно навчальної діяльності, вільного часу, стосунків в родині школярів та характеру поширеності шкідливих звичок [</w:t>
      </w:r>
      <w:r w:rsidR="008A7114" w:rsidRPr="002E6ECA">
        <w:rPr>
          <w:sz w:val="28"/>
          <w:szCs w:val="28"/>
          <w:lang w:val="uk-UA"/>
        </w:rPr>
        <w:t>238</w:t>
      </w:r>
      <w:r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За спеціальною анкетою, розробленою ДУ «ІОЗДП НАМН» </w:t>
      </w:r>
      <w:r w:rsidR="007306D6" w:rsidRPr="002E6ECA">
        <w:rPr>
          <w:sz w:val="28"/>
          <w:szCs w:val="28"/>
          <w:lang w:val="uk-UA"/>
        </w:rPr>
        <w:t>[</w:t>
      </w:r>
      <w:r w:rsidR="008A7114" w:rsidRPr="002E6ECA">
        <w:rPr>
          <w:sz w:val="28"/>
          <w:szCs w:val="28"/>
          <w:lang w:val="uk-UA"/>
        </w:rPr>
        <w:t>215</w:t>
      </w:r>
      <w:r w:rsidR="007306D6" w:rsidRPr="002E6ECA">
        <w:rPr>
          <w:sz w:val="28"/>
          <w:szCs w:val="28"/>
          <w:lang w:val="uk-UA"/>
        </w:rPr>
        <w:t xml:space="preserve">], </w:t>
      </w:r>
      <w:r w:rsidRPr="002E6ECA">
        <w:rPr>
          <w:sz w:val="28"/>
          <w:szCs w:val="28"/>
          <w:lang w:val="uk-UA"/>
        </w:rPr>
        <w:t xml:space="preserve">яка містила блоки питань стосовно відношення до школи, відносин із батьками, друзями, вчителями, режимних моментів, частоти споживання харчових </w:t>
      </w:r>
      <w:r w:rsidRPr="002E6ECA">
        <w:rPr>
          <w:sz w:val="28"/>
          <w:szCs w:val="28"/>
          <w:lang w:val="uk-UA"/>
        </w:rPr>
        <w:lastRenderedPageBreak/>
        <w:t>продуктів, наявності шкідливих звичок, школярів за відповіддю на запитання щодо свого відношення до школи бу</w:t>
      </w:r>
      <w:r w:rsidR="00743E22" w:rsidRPr="002E6ECA">
        <w:rPr>
          <w:sz w:val="28"/>
          <w:szCs w:val="28"/>
          <w:lang w:val="uk-UA"/>
        </w:rPr>
        <w:t>л</w:t>
      </w:r>
      <w:r w:rsidRPr="002E6ECA">
        <w:rPr>
          <w:sz w:val="28"/>
          <w:szCs w:val="28"/>
          <w:lang w:val="uk-UA"/>
        </w:rPr>
        <w:t xml:space="preserve">о розподілено на 6 груп, а саме: група 1 </w:t>
      </w:r>
      <w:r w:rsidR="001C40BB" w:rsidRPr="002E6ECA">
        <w:rPr>
          <w:sz w:val="28"/>
          <w:szCs w:val="28"/>
          <w:lang w:val="uk-UA"/>
        </w:rPr>
        <w:t>–</w:t>
      </w:r>
      <w:r w:rsidRPr="002E6ECA">
        <w:rPr>
          <w:sz w:val="28"/>
          <w:szCs w:val="28"/>
          <w:lang w:val="uk-UA"/>
        </w:rPr>
        <w:t xml:space="preserve"> учні, що відвідували освітній заклад із задоволенням </w:t>
      </w:r>
      <w:r w:rsidR="009D364F" w:rsidRPr="002E6ECA">
        <w:rPr>
          <w:sz w:val="28"/>
          <w:szCs w:val="28"/>
          <w:lang w:val="uk-UA"/>
        </w:rPr>
        <w:t xml:space="preserve">– </w:t>
      </w:r>
      <w:r w:rsidRPr="002E6ECA">
        <w:rPr>
          <w:sz w:val="28"/>
          <w:szCs w:val="28"/>
          <w:lang w:val="uk-UA"/>
        </w:rPr>
        <w:t xml:space="preserve">15,6% (n=159); група 2 </w:t>
      </w:r>
      <w:r w:rsidR="001C40BB" w:rsidRPr="002E6ECA">
        <w:rPr>
          <w:sz w:val="28"/>
          <w:szCs w:val="28"/>
          <w:lang w:val="uk-UA"/>
        </w:rPr>
        <w:t>–</w:t>
      </w:r>
      <w:r w:rsidRPr="002E6ECA">
        <w:rPr>
          <w:sz w:val="28"/>
          <w:szCs w:val="28"/>
          <w:lang w:val="uk-UA"/>
        </w:rPr>
        <w:t xml:space="preserve"> учні, що сприймали навчання у освітньому закладі  як свій обов’язок </w:t>
      </w:r>
      <w:r w:rsidR="001C40BB" w:rsidRPr="002E6ECA">
        <w:rPr>
          <w:sz w:val="28"/>
          <w:szCs w:val="28"/>
          <w:lang w:val="uk-UA"/>
        </w:rPr>
        <w:t>–</w:t>
      </w:r>
      <w:r w:rsidRPr="002E6ECA">
        <w:rPr>
          <w:sz w:val="28"/>
          <w:szCs w:val="28"/>
          <w:lang w:val="uk-UA"/>
        </w:rPr>
        <w:t xml:space="preserve"> 69,9% (n=701); група 3 </w:t>
      </w:r>
      <w:r w:rsidR="001C40BB" w:rsidRPr="002E6ECA">
        <w:rPr>
          <w:sz w:val="28"/>
          <w:szCs w:val="28"/>
          <w:lang w:val="uk-UA"/>
        </w:rPr>
        <w:t>–</w:t>
      </w:r>
      <w:r w:rsidRPr="002E6ECA">
        <w:rPr>
          <w:sz w:val="28"/>
          <w:szCs w:val="28"/>
          <w:lang w:val="uk-UA"/>
        </w:rPr>
        <w:t xml:space="preserve"> учні, яких відвідування школи пригнічувало </w:t>
      </w:r>
      <w:r w:rsidR="001C40BB" w:rsidRPr="002E6ECA">
        <w:rPr>
          <w:sz w:val="28"/>
          <w:szCs w:val="28"/>
          <w:lang w:val="uk-UA"/>
        </w:rPr>
        <w:t>–</w:t>
      </w:r>
      <w:r w:rsidRPr="002E6ECA">
        <w:rPr>
          <w:sz w:val="28"/>
          <w:szCs w:val="28"/>
          <w:lang w:val="uk-UA"/>
        </w:rPr>
        <w:t xml:space="preserve"> 4,92% (n=50); група 4 </w:t>
      </w:r>
      <w:r w:rsidR="001C40BB" w:rsidRPr="002E6ECA">
        <w:rPr>
          <w:sz w:val="28"/>
          <w:szCs w:val="28"/>
          <w:lang w:val="uk-UA"/>
        </w:rPr>
        <w:t>–</w:t>
      </w:r>
      <w:r w:rsidRPr="002E6ECA">
        <w:rPr>
          <w:sz w:val="28"/>
          <w:szCs w:val="28"/>
          <w:lang w:val="uk-UA"/>
        </w:rPr>
        <w:t xml:space="preserve"> учні із байдужим ставленням до будь-якого зайняття </w:t>
      </w:r>
      <w:r w:rsidR="009D364F" w:rsidRPr="002E6ECA">
        <w:rPr>
          <w:sz w:val="28"/>
          <w:szCs w:val="28"/>
          <w:lang w:val="uk-UA"/>
        </w:rPr>
        <w:t>–</w:t>
      </w:r>
      <w:r w:rsidRPr="002E6ECA">
        <w:rPr>
          <w:sz w:val="28"/>
          <w:szCs w:val="28"/>
          <w:lang w:val="uk-UA"/>
        </w:rPr>
        <w:t xml:space="preserve"> 1,2% (n=13); група 5 </w:t>
      </w:r>
      <w:r w:rsidR="001C40BB" w:rsidRPr="002E6ECA">
        <w:rPr>
          <w:sz w:val="28"/>
          <w:szCs w:val="28"/>
          <w:lang w:val="uk-UA"/>
        </w:rPr>
        <w:t>–</w:t>
      </w:r>
      <w:r w:rsidRPr="002E6ECA">
        <w:rPr>
          <w:sz w:val="28"/>
          <w:szCs w:val="28"/>
          <w:lang w:val="uk-UA"/>
        </w:rPr>
        <w:t xml:space="preserve"> учні, які не визначились зі своїм ставленням до школи </w:t>
      </w:r>
      <w:r w:rsidR="009D364F" w:rsidRPr="002E6ECA">
        <w:rPr>
          <w:sz w:val="28"/>
          <w:szCs w:val="28"/>
          <w:lang w:val="uk-UA"/>
        </w:rPr>
        <w:t>–</w:t>
      </w:r>
      <w:r w:rsidRPr="002E6ECA">
        <w:rPr>
          <w:sz w:val="28"/>
          <w:szCs w:val="28"/>
          <w:lang w:val="uk-UA"/>
        </w:rPr>
        <w:t xml:space="preserve"> 6,89% (n=70); група 6 </w:t>
      </w:r>
      <w:r w:rsidR="001C40BB" w:rsidRPr="002E6ECA">
        <w:rPr>
          <w:sz w:val="28"/>
          <w:szCs w:val="28"/>
          <w:lang w:val="uk-UA"/>
        </w:rPr>
        <w:t>–</w:t>
      </w:r>
      <w:r w:rsidRPr="002E6ECA">
        <w:rPr>
          <w:sz w:val="28"/>
          <w:szCs w:val="28"/>
          <w:lang w:val="uk-UA"/>
        </w:rPr>
        <w:t xml:space="preserve"> учні, які мають особистісно забарвлене ставлення до школи </w:t>
      </w:r>
      <w:r w:rsidR="009D364F" w:rsidRPr="002E6ECA">
        <w:rPr>
          <w:sz w:val="28"/>
          <w:szCs w:val="28"/>
          <w:lang w:val="uk-UA"/>
        </w:rPr>
        <w:t>–</w:t>
      </w:r>
      <w:r w:rsidRPr="002E6ECA">
        <w:rPr>
          <w:sz w:val="28"/>
          <w:szCs w:val="28"/>
          <w:lang w:val="uk-UA"/>
        </w:rPr>
        <w:t xml:space="preserve"> 2,1% (n=22).</w:t>
      </w:r>
      <w:r w:rsidR="009D364F" w:rsidRPr="002E6ECA">
        <w:rPr>
          <w:sz w:val="28"/>
          <w:szCs w:val="28"/>
          <w:lang w:val="uk-UA"/>
        </w:rPr>
        <w:t xml:space="preserve"> </w:t>
      </w:r>
    </w:p>
    <w:p w:rsidR="00671012" w:rsidRPr="002E6ECA" w:rsidRDefault="00671012" w:rsidP="00671012">
      <w:pPr>
        <w:widowControl w:val="0"/>
        <w:spacing w:line="360" w:lineRule="auto"/>
        <w:ind w:firstLine="709"/>
        <w:jc w:val="both"/>
        <w:rPr>
          <w:bCs/>
          <w:sz w:val="28"/>
          <w:szCs w:val="28"/>
          <w:lang w:val="uk-UA"/>
        </w:rPr>
      </w:pPr>
      <w:r w:rsidRPr="002E6ECA">
        <w:rPr>
          <w:sz w:val="28"/>
          <w:szCs w:val="28"/>
          <w:lang w:val="uk-UA"/>
        </w:rPr>
        <w:t xml:space="preserve">На </w:t>
      </w:r>
      <w:r w:rsidRPr="002E6ECA">
        <w:rPr>
          <w:i/>
          <w:sz w:val="28"/>
          <w:szCs w:val="28"/>
          <w:lang w:val="uk-UA"/>
        </w:rPr>
        <w:t>четвертому етапі</w:t>
      </w:r>
      <w:r w:rsidRPr="002E6ECA">
        <w:rPr>
          <w:sz w:val="28"/>
          <w:szCs w:val="28"/>
          <w:lang w:val="uk-UA"/>
        </w:rPr>
        <w:t xml:space="preserve"> надано психофізіологічну характеристику учнів за умов різних систем навчання з розподілом на вікові та гендерні групи. Вивчення особливостей функціонального стану та розумової працездатності учнів під час навчальних занять проводилось в динаміці дня, тижня, навчального року. Функціональний стан уваги оцінювався на підставі досліджень показників її стійкості з використанням коректурних таблиць Анфімова. Проводились підрахунок та аналіз загального числа знаків, які були переглянуті протягом періоду виконання тестового завдання, кількості помилок у перерахунку на 500 знаків з подальшою комплексною оцінкою розумової працездатності </w:t>
      </w:r>
      <w:r w:rsidR="007306D6" w:rsidRPr="002E6ECA">
        <w:rPr>
          <w:sz w:val="28"/>
          <w:szCs w:val="28"/>
          <w:lang w:val="uk-UA"/>
        </w:rPr>
        <w:t>[</w:t>
      </w:r>
      <w:r w:rsidR="008A7114" w:rsidRPr="002E6ECA">
        <w:rPr>
          <w:sz w:val="28"/>
          <w:szCs w:val="28"/>
          <w:lang w:val="uk-UA"/>
        </w:rPr>
        <w:t xml:space="preserve">64, </w:t>
      </w:r>
      <w:r w:rsidR="008A7114" w:rsidRPr="002E6ECA">
        <w:rPr>
          <w:bCs/>
          <w:sz w:val="28"/>
          <w:szCs w:val="28"/>
          <w:lang w:val="uk-UA"/>
        </w:rPr>
        <w:t>176</w:t>
      </w:r>
      <w:r w:rsidR="007306D6" w:rsidRPr="002E6ECA">
        <w:rPr>
          <w:sz w:val="28"/>
          <w:szCs w:val="28"/>
          <w:lang w:val="uk-UA"/>
        </w:rPr>
        <w:t xml:space="preserve">], </w:t>
      </w:r>
      <w:r w:rsidRPr="002E6ECA">
        <w:rPr>
          <w:sz w:val="28"/>
          <w:szCs w:val="28"/>
          <w:lang w:val="uk-UA"/>
        </w:rPr>
        <w:t>яка включала визначення швидкості, точності</w:t>
      </w:r>
      <w:r w:rsidR="009D364F" w:rsidRPr="002E6ECA">
        <w:rPr>
          <w:sz w:val="28"/>
          <w:szCs w:val="28"/>
          <w:lang w:val="uk-UA"/>
        </w:rPr>
        <w:t xml:space="preserve"> </w:t>
      </w:r>
      <w:r w:rsidRPr="002E6ECA">
        <w:rPr>
          <w:sz w:val="28"/>
          <w:szCs w:val="28"/>
          <w:lang w:val="uk-UA"/>
        </w:rPr>
        <w:t xml:space="preserve">та загального рівня розумової працездатності. </w:t>
      </w:r>
      <w:r w:rsidR="009D364F" w:rsidRPr="002E6ECA">
        <w:rPr>
          <w:sz w:val="28"/>
          <w:szCs w:val="28"/>
          <w:lang w:val="uk-UA"/>
        </w:rPr>
        <w:t xml:space="preserve"> </w:t>
      </w:r>
    </w:p>
    <w:p w:rsidR="00671012" w:rsidRPr="002E6ECA" w:rsidRDefault="009D364F" w:rsidP="00671012">
      <w:pPr>
        <w:spacing w:line="360" w:lineRule="auto"/>
        <w:ind w:firstLine="709"/>
        <w:jc w:val="both"/>
        <w:rPr>
          <w:sz w:val="28"/>
          <w:szCs w:val="28"/>
          <w:lang w:val="uk-UA" w:eastAsia="en-US"/>
        </w:rPr>
      </w:pPr>
      <w:r w:rsidRPr="002E6ECA">
        <w:rPr>
          <w:sz w:val="28"/>
          <w:szCs w:val="28"/>
          <w:lang w:val="uk-UA" w:eastAsia="en-US"/>
        </w:rPr>
        <w:t>Х</w:t>
      </w:r>
      <w:r w:rsidR="00671012" w:rsidRPr="002E6ECA">
        <w:rPr>
          <w:sz w:val="28"/>
          <w:szCs w:val="28"/>
          <w:lang w:val="uk-UA" w:eastAsia="en-US"/>
        </w:rPr>
        <w:t>арактеристику</w:t>
      </w:r>
      <w:r w:rsidRPr="002E6ECA">
        <w:rPr>
          <w:sz w:val="28"/>
          <w:szCs w:val="28"/>
          <w:lang w:val="uk-UA" w:eastAsia="en-US"/>
        </w:rPr>
        <w:t xml:space="preserve"> </w:t>
      </w:r>
      <w:r w:rsidR="00671012" w:rsidRPr="002E6ECA">
        <w:rPr>
          <w:sz w:val="28"/>
          <w:szCs w:val="28"/>
          <w:lang w:val="uk-UA" w:eastAsia="en-US"/>
        </w:rPr>
        <w:t xml:space="preserve">розумової працездатності </w:t>
      </w:r>
      <w:r w:rsidRPr="002E6ECA">
        <w:rPr>
          <w:sz w:val="28"/>
          <w:szCs w:val="28"/>
          <w:lang w:val="uk-UA" w:eastAsia="en-US"/>
        </w:rPr>
        <w:t xml:space="preserve">визначено </w:t>
      </w:r>
      <w:r w:rsidR="00671012" w:rsidRPr="002E6ECA">
        <w:rPr>
          <w:sz w:val="28"/>
          <w:szCs w:val="28"/>
          <w:lang w:val="uk-UA" w:eastAsia="en-US"/>
        </w:rPr>
        <w:t>у циклі вивчення 3-х предметів: математика, українська мова (основні предмети, що використовуються у будь-яких навчальних проєктах та не інтегруються у інші дисципліни) та історія (відрізняється від математики рівнем важкості, а від української мови – характером робочих операцій на уроці). Цикл вивчення навчальної дисципліни включав по 10 уроків з математики та української мови та 6 уроків – з історії. Додатково застосовано аналіз розумової працездатності (РП) за типом змін:</w:t>
      </w:r>
    </w:p>
    <w:p w:rsidR="00671012" w:rsidRPr="002E6ECA" w:rsidRDefault="00671012" w:rsidP="00671012">
      <w:pPr>
        <w:spacing w:line="360" w:lineRule="auto"/>
        <w:ind w:firstLine="709"/>
        <w:jc w:val="both"/>
        <w:rPr>
          <w:sz w:val="28"/>
          <w:szCs w:val="28"/>
          <w:lang w:val="uk-UA" w:eastAsia="uk-UA"/>
        </w:rPr>
      </w:pPr>
      <w:r w:rsidRPr="002E6ECA">
        <w:rPr>
          <w:sz w:val="28"/>
          <w:szCs w:val="28"/>
          <w:lang w:val="uk-UA" w:eastAsia="uk-UA"/>
        </w:rPr>
        <w:t>1-й тип РП: покращення РП за кількісним (збільшення кількості простежених знаків) та якісним показником (зменшення кількості помилок).</w:t>
      </w:r>
    </w:p>
    <w:p w:rsidR="00671012" w:rsidRPr="002E6ECA" w:rsidRDefault="00671012" w:rsidP="00671012">
      <w:pPr>
        <w:spacing w:line="360" w:lineRule="auto"/>
        <w:ind w:firstLine="709"/>
        <w:jc w:val="both"/>
        <w:rPr>
          <w:sz w:val="28"/>
          <w:szCs w:val="28"/>
          <w:lang w:val="uk-UA" w:eastAsia="uk-UA"/>
        </w:rPr>
      </w:pPr>
      <w:r w:rsidRPr="002E6ECA">
        <w:rPr>
          <w:sz w:val="28"/>
          <w:szCs w:val="28"/>
          <w:lang w:val="uk-UA" w:eastAsia="uk-UA"/>
        </w:rPr>
        <w:lastRenderedPageBreak/>
        <w:t>2-й тип РП: якісне зниження (покращення або збереження фонового значення кількісного та погіршення якісного показника)</w:t>
      </w:r>
    </w:p>
    <w:p w:rsidR="00671012" w:rsidRPr="002E6ECA" w:rsidRDefault="00671012" w:rsidP="00671012">
      <w:pPr>
        <w:spacing w:line="360" w:lineRule="auto"/>
        <w:ind w:firstLine="709"/>
        <w:jc w:val="both"/>
        <w:rPr>
          <w:sz w:val="28"/>
          <w:szCs w:val="28"/>
          <w:lang w:val="uk-UA" w:eastAsia="uk-UA"/>
        </w:rPr>
      </w:pPr>
      <w:r w:rsidRPr="002E6ECA">
        <w:rPr>
          <w:sz w:val="28"/>
          <w:szCs w:val="28"/>
          <w:lang w:val="uk-UA" w:eastAsia="uk-UA"/>
        </w:rPr>
        <w:t>3-й тип РП: зниження РП за обома показниками</w:t>
      </w:r>
    </w:p>
    <w:p w:rsidR="00671012" w:rsidRPr="002E6ECA" w:rsidRDefault="00671012" w:rsidP="00671012">
      <w:pPr>
        <w:spacing w:line="360" w:lineRule="auto"/>
        <w:ind w:firstLine="709"/>
        <w:jc w:val="both"/>
        <w:rPr>
          <w:sz w:val="28"/>
          <w:szCs w:val="28"/>
          <w:lang w:val="uk-UA" w:eastAsia="uk-UA"/>
        </w:rPr>
      </w:pPr>
      <w:r w:rsidRPr="002E6ECA">
        <w:rPr>
          <w:sz w:val="28"/>
          <w:szCs w:val="28"/>
          <w:lang w:val="uk-UA" w:eastAsia="uk-UA"/>
        </w:rPr>
        <w:t>4-й тип РП: кількісне зниження (покращення або збереження вихідного рівня якісного та погіршення кількісного показника).</w:t>
      </w:r>
    </w:p>
    <w:p w:rsidR="009D364F" w:rsidRPr="002E6ECA" w:rsidRDefault="009D364F" w:rsidP="00671012">
      <w:pPr>
        <w:spacing w:line="360" w:lineRule="auto"/>
        <w:ind w:firstLine="709"/>
        <w:jc w:val="both"/>
        <w:rPr>
          <w:sz w:val="28"/>
          <w:szCs w:val="28"/>
          <w:lang w:val="uk-UA" w:eastAsia="uk-UA"/>
        </w:rPr>
      </w:pPr>
      <w:r w:rsidRPr="002E6ECA">
        <w:rPr>
          <w:sz w:val="28"/>
          <w:szCs w:val="28"/>
          <w:lang w:val="uk-UA" w:eastAsia="uk-UA"/>
        </w:rPr>
        <w:t>Паралельно проводилась самооцінка психоемоційного стану за методикою САН та вимірювання пульсу</w:t>
      </w:r>
      <w:r w:rsidR="00A75DC4" w:rsidRPr="002E6ECA">
        <w:rPr>
          <w:sz w:val="28"/>
          <w:szCs w:val="28"/>
          <w:lang w:val="uk-UA" w:eastAsia="uk-UA"/>
        </w:rPr>
        <w:t>, що на сьогодні постає як одна зі складових стандартних методик оцінювання здоров’я підлітків у гігієнічних дослідженнях [1</w:t>
      </w:r>
      <w:r w:rsidR="008A7114" w:rsidRPr="002E6ECA">
        <w:rPr>
          <w:sz w:val="28"/>
          <w:szCs w:val="28"/>
          <w:lang w:val="uk-UA" w:eastAsia="uk-UA"/>
        </w:rPr>
        <w:t>77</w:t>
      </w:r>
      <w:r w:rsidR="00A75DC4" w:rsidRPr="002E6ECA">
        <w:rPr>
          <w:sz w:val="28"/>
          <w:szCs w:val="28"/>
          <w:lang w:val="uk-UA" w:eastAsia="uk-UA"/>
        </w:rPr>
        <w:t>]</w:t>
      </w:r>
      <w:r w:rsidRPr="002E6ECA">
        <w:rPr>
          <w:sz w:val="28"/>
          <w:szCs w:val="28"/>
          <w:lang w:val="uk-UA" w:eastAsia="uk-UA"/>
        </w:rPr>
        <w:t>.</w:t>
      </w:r>
    </w:p>
    <w:p w:rsidR="009D364F" w:rsidRPr="002E6ECA" w:rsidRDefault="009D364F" w:rsidP="00671012">
      <w:pPr>
        <w:spacing w:line="360" w:lineRule="auto"/>
        <w:ind w:firstLine="709"/>
        <w:jc w:val="both"/>
        <w:rPr>
          <w:sz w:val="28"/>
          <w:szCs w:val="28"/>
          <w:lang w:val="uk-UA" w:eastAsia="en-US"/>
        </w:rPr>
      </w:pPr>
      <w:r w:rsidRPr="002E6ECA">
        <w:rPr>
          <w:sz w:val="28"/>
          <w:szCs w:val="28"/>
          <w:lang w:val="uk-UA" w:eastAsia="en-US"/>
        </w:rPr>
        <w:t xml:space="preserve">При аналізі психофізіологічних критеріїв навчальної діяльності у залежності від програми навчання школярів було розподілено на 3 групи: НК-1 та НК-2 – учні, які здобувають середню освіту за проєктом «Інтелект України», НК-3 – за традиційною освітньою програмою. </w:t>
      </w:r>
    </w:p>
    <w:p w:rsidR="007306D6" w:rsidRPr="002E6ECA" w:rsidRDefault="007306D6" w:rsidP="007306D6">
      <w:pPr>
        <w:spacing w:line="360" w:lineRule="auto"/>
        <w:ind w:firstLine="709"/>
        <w:jc w:val="both"/>
        <w:rPr>
          <w:sz w:val="28"/>
          <w:szCs w:val="28"/>
          <w:lang w:val="uk-UA"/>
        </w:rPr>
      </w:pPr>
      <w:r w:rsidRPr="002E6ECA">
        <w:rPr>
          <w:sz w:val="28"/>
          <w:szCs w:val="28"/>
          <w:lang w:val="uk-UA"/>
        </w:rPr>
        <w:t>Адаптація підлітків до шкільного стресу та академічного навантаження висуває підвищені вимоги до регулюючих систем, які й так є напруженими внаслідок статевого дозрівання учнів. Такий дисбаланс між навантаженням на систему та її можливостями досить часто стає причиною розвитку вегетативних дисфункцій та психічних розладів у підлітковому віці [</w:t>
      </w:r>
      <w:r w:rsidR="008A7114" w:rsidRPr="002E6ECA">
        <w:rPr>
          <w:sz w:val="28"/>
          <w:szCs w:val="28"/>
          <w:shd w:val="clear" w:color="auto" w:fill="FFFFFF"/>
        </w:rPr>
        <w:t>320, 342</w:t>
      </w:r>
      <w:r w:rsidR="008A7114" w:rsidRPr="002E6ECA">
        <w:rPr>
          <w:sz w:val="28"/>
          <w:szCs w:val="28"/>
          <w:shd w:val="clear" w:color="auto" w:fill="FFFFFF"/>
          <w:lang w:val="uk-UA"/>
        </w:rPr>
        <w:t xml:space="preserve">, </w:t>
      </w:r>
      <w:r w:rsidR="001D68D5" w:rsidRPr="002E6ECA">
        <w:rPr>
          <w:sz w:val="28"/>
          <w:szCs w:val="28"/>
          <w:shd w:val="clear" w:color="auto" w:fill="FFFFFF"/>
          <w:lang w:val="uk-UA"/>
        </w:rPr>
        <w:t xml:space="preserve">374, 379, </w:t>
      </w:r>
      <w:r w:rsidR="008A7114" w:rsidRPr="002E6ECA">
        <w:rPr>
          <w:sz w:val="28"/>
          <w:szCs w:val="28"/>
          <w:shd w:val="clear" w:color="auto" w:fill="FFFFFF"/>
        </w:rPr>
        <w:t>409</w:t>
      </w:r>
      <w:r w:rsidRPr="002E6ECA">
        <w:rPr>
          <w:sz w:val="28"/>
          <w:szCs w:val="28"/>
          <w:lang w:val="uk-UA"/>
        </w:rPr>
        <w:t>].</w:t>
      </w:r>
    </w:p>
    <w:p w:rsidR="007306D6" w:rsidRPr="002E6ECA" w:rsidRDefault="007306D6" w:rsidP="007306D6">
      <w:pPr>
        <w:spacing w:line="360" w:lineRule="auto"/>
        <w:ind w:firstLine="567"/>
        <w:jc w:val="both"/>
        <w:rPr>
          <w:sz w:val="28"/>
          <w:szCs w:val="28"/>
          <w:lang w:val="uk-UA"/>
        </w:rPr>
      </w:pPr>
      <w:r w:rsidRPr="002E6ECA">
        <w:rPr>
          <w:sz w:val="28"/>
          <w:szCs w:val="28"/>
          <w:lang w:val="uk-UA"/>
        </w:rPr>
        <w:t>При дослідженні стресу серед учнівської молоді традиційно використовують оцінку стану вегетативної нервової системи або гіпоталамо-гіпофізарно-наднирникової системи [</w:t>
      </w:r>
      <w:r w:rsidR="008A7114" w:rsidRPr="002E6ECA">
        <w:rPr>
          <w:sz w:val="28"/>
          <w:szCs w:val="28"/>
          <w:shd w:val="clear" w:color="auto" w:fill="FFFFFF"/>
          <w:lang w:val="uk-UA"/>
        </w:rPr>
        <w:t>448</w:t>
      </w:r>
      <w:r w:rsidRPr="002E6ECA">
        <w:rPr>
          <w:sz w:val="28"/>
          <w:szCs w:val="28"/>
          <w:lang w:val="uk-UA"/>
        </w:rPr>
        <w:t>]. У поточному дослідженні ми зупинили свій вибір на оцінці стану вегетативної нервової системи за параметрами варіабельності серцевого ритму (ВСР), оскільки ВСР вважається стандартним, надійним і неінвазивним засобом для забезпечення всебічної, кількісної та якісної оцінки вегетативної нервової системи [</w:t>
      </w:r>
      <w:r w:rsidR="008A7114" w:rsidRPr="002E6ECA">
        <w:rPr>
          <w:sz w:val="28"/>
          <w:szCs w:val="28"/>
          <w:shd w:val="clear" w:color="auto" w:fill="FFFFFF"/>
          <w:lang w:val="uk-UA"/>
        </w:rPr>
        <w:t>462</w:t>
      </w:r>
      <w:r w:rsidRPr="002E6ECA">
        <w:rPr>
          <w:sz w:val="28"/>
          <w:szCs w:val="28"/>
          <w:lang w:val="uk-UA"/>
        </w:rPr>
        <w:t xml:space="preserve">]. Крім того, параметри ВСР визнаються надійним і чутливим маркером як фізичного, так і психологічного стресу </w:t>
      </w:r>
      <w:r w:rsidRPr="002E6ECA">
        <w:rPr>
          <w:sz w:val="28"/>
          <w:szCs w:val="28"/>
          <w:shd w:val="clear" w:color="auto" w:fill="FFFFFF"/>
          <w:lang w:val="uk-UA"/>
        </w:rPr>
        <w:t>[</w:t>
      </w:r>
      <w:r w:rsidR="008A7114" w:rsidRPr="002E6ECA">
        <w:rPr>
          <w:sz w:val="28"/>
          <w:szCs w:val="28"/>
          <w:shd w:val="clear" w:color="auto" w:fill="FFFFFF"/>
        </w:rPr>
        <w:t xml:space="preserve">292, </w:t>
      </w:r>
      <w:r w:rsidR="008A7114" w:rsidRPr="002E6ECA">
        <w:rPr>
          <w:sz w:val="28"/>
          <w:szCs w:val="28"/>
          <w:shd w:val="clear" w:color="auto" w:fill="FFFFFF"/>
          <w:lang w:val="uk-UA"/>
        </w:rPr>
        <w:t xml:space="preserve"> </w:t>
      </w:r>
      <w:r w:rsidR="008A7114" w:rsidRPr="002E6ECA">
        <w:rPr>
          <w:sz w:val="28"/>
          <w:szCs w:val="28"/>
          <w:shd w:val="clear" w:color="auto" w:fill="FFFFFF"/>
        </w:rPr>
        <w:t>333,</w:t>
      </w:r>
      <w:r w:rsidR="008A7114" w:rsidRPr="002E6ECA">
        <w:rPr>
          <w:sz w:val="28"/>
          <w:szCs w:val="28"/>
        </w:rPr>
        <w:t xml:space="preserve"> </w:t>
      </w:r>
      <w:r w:rsidR="008A7114" w:rsidRPr="002E6ECA">
        <w:rPr>
          <w:sz w:val="28"/>
          <w:szCs w:val="28"/>
          <w:shd w:val="clear" w:color="auto" w:fill="FFFFFF"/>
        </w:rPr>
        <w:t>482</w:t>
      </w:r>
      <w:r w:rsidRPr="002E6ECA">
        <w:rPr>
          <w:sz w:val="28"/>
          <w:szCs w:val="28"/>
          <w:lang w:val="uk-UA"/>
        </w:rPr>
        <w:t>]</w:t>
      </w:r>
      <w:r w:rsidR="003F4B69" w:rsidRPr="002E6ECA">
        <w:rPr>
          <w:sz w:val="28"/>
          <w:szCs w:val="28"/>
          <w:lang w:val="uk-UA"/>
        </w:rPr>
        <w:t xml:space="preserve">, </w:t>
      </w:r>
      <w:r w:rsidRPr="002E6ECA">
        <w:rPr>
          <w:sz w:val="28"/>
          <w:szCs w:val="28"/>
          <w:lang w:val="uk-UA"/>
        </w:rPr>
        <w:t>зокрема шкільного стресу [</w:t>
      </w:r>
      <w:r w:rsidR="008A7114" w:rsidRPr="002E6ECA">
        <w:rPr>
          <w:sz w:val="28"/>
          <w:szCs w:val="28"/>
          <w:shd w:val="clear" w:color="auto" w:fill="FFFFFF"/>
        </w:rPr>
        <w:t>406, 461</w:t>
      </w:r>
      <w:r w:rsidRPr="002E6ECA">
        <w:rPr>
          <w:sz w:val="28"/>
          <w:szCs w:val="28"/>
          <w:lang w:val="uk-UA"/>
        </w:rPr>
        <w:t>], або стресосійкості [</w:t>
      </w:r>
      <w:r w:rsidR="008A7114" w:rsidRPr="002E6ECA">
        <w:rPr>
          <w:sz w:val="28"/>
          <w:szCs w:val="28"/>
          <w:shd w:val="clear" w:color="auto" w:fill="FFFFFF"/>
        </w:rPr>
        <w:t>30</w:t>
      </w:r>
      <w:r w:rsidR="009A04FD" w:rsidRPr="002E6ECA">
        <w:rPr>
          <w:sz w:val="28"/>
          <w:szCs w:val="28"/>
          <w:shd w:val="clear" w:color="auto" w:fill="FFFFFF"/>
          <w:lang w:val="uk-UA"/>
        </w:rPr>
        <w:t>3</w:t>
      </w:r>
      <w:r w:rsidRPr="002E6ECA">
        <w:rPr>
          <w:sz w:val="28"/>
          <w:szCs w:val="28"/>
          <w:lang w:val="uk-UA"/>
        </w:rPr>
        <w:t>].</w:t>
      </w:r>
    </w:p>
    <w:p w:rsidR="007306D6" w:rsidRPr="002E6ECA" w:rsidRDefault="007306D6" w:rsidP="007306D6">
      <w:pPr>
        <w:spacing w:line="360" w:lineRule="auto"/>
        <w:ind w:firstLine="567"/>
        <w:jc w:val="both"/>
        <w:rPr>
          <w:sz w:val="28"/>
          <w:szCs w:val="28"/>
          <w:lang w:val="uk-UA"/>
        </w:rPr>
      </w:pPr>
      <w:r w:rsidRPr="002E6ECA">
        <w:rPr>
          <w:sz w:val="28"/>
          <w:szCs w:val="28"/>
          <w:lang w:val="uk-UA"/>
        </w:rPr>
        <w:t>ВСР на різних етапах онтогенезу розглядається як надійний біомаркер низхідної регуляції емоційни</w:t>
      </w:r>
      <w:r w:rsidR="003F4B69" w:rsidRPr="002E6ECA">
        <w:rPr>
          <w:sz w:val="28"/>
          <w:szCs w:val="28"/>
          <w:lang w:val="uk-UA"/>
        </w:rPr>
        <w:t>х</w:t>
      </w:r>
      <w:r w:rsidRPr="002E6ECA">
        <w:rPr>
          <w:sz w:val="28"/>
          <w:szCs w:val="28"/>
          <w:lang w:val="uk-UA"/>
        </w:rPr>
        <w:t>, когнітивних і поведінкових процесів [</w:t>
      </w:r>
      <w:r w:rsidR="008A7114" w:rsidRPr="002E6ECA">
        <w:rPr>
          <w:sz w:val="28"/>
          <w:szCs w:val="28"/>
          <w:shd w:val="clear" w:color="auto" w:fill="FFFFFF"/>
          <w:lang w:val="uk-UA"/>
        </w:rPr>
        <w:t>356</w:t>
      </w:r>
      <w:r w:rsidRPr="002E6ECA">
        <w:rPr>
          <w:sz w:val="28"/>
          <w:szCs w:val="28"/>
          <w:lang w:val="uk-UA"/>
        </w:rPr>
        <w:t xml:space="preserve">]. </w:t>
      </w:r>
      <w:r w:rsidRPr="002E6ECA">
        <w:rPr>
          <w:sz w:val="28"/>
          <w:szCs w:val="28"/>
          <w:lang w:val="uk-UA"/>
        </w:rPr>
        <w:lastRenderedPageBreak/>
        <w:t>Оптимальний рівень ВСР пов'язаний з станом здоров’я та здатністю до саморегуляції, а також здатністю до адаптації та резистентності. Вища ВСР у стані спокою є ознакою більш досконалого управління емоціями та стресом, вищої виконавчої продуктивності та кращого соціального функціонування [</w:t>
      </w:r>
      <w:r w:rsidR="008A7114" w:rsidRPr="002E6ECA">
        <w:rPr>
          <w:sz w:val="28"/>
          <w:szCs w:val="28"/>
          <w:shd w:val="clear" w:color="auto" w:fill="FFFFFF"/>
        </w:rPr>
        <w:t>387</w:t>
      </w:r>
      <w:r w:rsidRPr="002E6ECA">
        <w:rPr>
          <w:sz w:val="28"/>
          <w:szCs w:val="28"/>
          <w:lang w:val="uk-UA"/>
        </w:rPr>
        <w:t>].</w:t>
      </w:r>
    </w:p>
    <w:p w:rsidR="007306D6" w:rsidRPr="002E6ECA" w:rsidRDefault="007306D6" w:rsidP="007306D6">
      <w:pPr>
        <w:spacing w:line="360" w:lineRule="auto"/>
        <w:ind w:firstLine="567"/>
        <w:jc w:val="both"/>
        <w:rPr>
          <w:sz w:val="28"/>
          <w:szCs w:val="28"/>
          <w:shd w:val="clear" w:color="auto" w:fill="FFFFFF"/>
          <w:lang w:val="uk-UA"/>
        </w:rPr>
      </w:pPr>
      <w:r w:rsidRPr="002E6ECA">
        <w:rPr>
          <w:sz w:val="28"/>
          <w:szCs w:val="28"/>
          <w:lang w:val="uk-UA"/>
        </w:rPr>
        <w:t>Висока ВСР вказує на здорову і адаптивну систему вегетативного забезпечення, в той час як низька ВСР може бути раннім індикатором аномального функціонування вегетативної нервової системи [</w:t>
      </w:r>
      <w:r w:rsidR="008A7114" w:rsidRPr="002E6ECA">
        <w:rPr>
          <w:sz w:val="28"/>
          <w:szCs w:val="28"/>
          <w:shd w:val="clear" w:color="auto" w:fill="FFFFFF"/>
        </w:rPr>
        <w:t>312, 407</w:t>
      </w:r>
      <w:r w:rsidRPr="002E6ECA">
        <w:rPr>
          <w:sz w:val="28"/>
          <w:szCs w:val="28"/>
          <w:lang w:val="uk-UA"/>
        </w:rPr>
        <w:t>]. Висока симпатовагальна модуляція (LF, LF/HF), зниження активності вагусу (HF) є типовими маркерами стресу [</w:t>
      </w:r>
      <w:r w:rsidR="008A7114" w:rsidRPr="002E6ECA">
        <w:rPr>
          <w:sz w:val="28"/>
          <w:szCs w:val="28"/>
          <w:shd w:val="clear" w:color="auto" w:fill="FFFFFF"/>
          <w:lang w:val="uk-UA"/>
        </w:rPr>
        <w:t>453</w:t>
      </w:r>
      <w:r w:rsidRPr="002E6ECA">
        <w:rPr>
          <w:sz w:val="28"/>
          <w:szCs w:val="28"/>
          <w:lang w:val="uk-UA"/>
        </w:rPr>
        <w:t>] та суб’єктивного сприйняття стресової ситуації як більш сильної [</w:t>
      </w:r>
      <w:r w:rsidR="008A7114" w:rsidRPr="002E6ECA">
        <w:rPr>
          <w:sz w:val="28"/>
          <w:szCs w:val="28"/>
          <w:shd w:val="clear" w:color="auto" w:fill="FFFFFF"/>
          <w:lang w:val="uk-UA"/>
        </w:rPr>
        <w:t>448</w:t>
      </w:r>
      <w:r w:rsidRPr="002E6ECA">
        <w:rPr>
          <w:sz w:val="28"/>
          <w:szCs w:val="28"/>
          <w:shd w:val="clear" w:color="auto" w:fill="FFFFFF"/>
          <w:lang w:val="uk-UA"/>
        </w:rPr>
        <w:t>].</w:t>
      </w:r>
    </w:p>
    <w:p w:rsidR="007306D6" w:rsidRPr="002E6ECA" w:rsidRDefault="007306D6" w:rsidP="007306D6">
      <w:pPr>
        <w:spacing w:line="360" w:lineRule="auto"/>
        <w:ind w:firstLine="709"/>
        <w:jc w:val="both"/>
        <w:rPr>
          <w:sz w:val="28"/>
          <w:szCs w:val="28"/>
          <w:lang w:val="uk-UA"/>
        </w:rPr>
      </w:pPr>
      <w:r w:rsidRPr="002E6ECA">
        <w:rPr>
          <w:sz w:val="28"/>
          <w:szCs w:val="28"/>
          <w:lang w:val="uk-UA"/>
        </w:rPr>
        <w:t>Оцінку ВСР проведено упродовж трьох років навчання (у 5-му, 6-му та 7-му класах)  серед 60 учнів, з яких 42 навчалося за меритократичною системою  у двох навчальних колективах (НК-1 (n=19) і НК-2 (</w:t>
      </w:r>
      <w:r w:rsidRPr="002E6ECA">
        <w:rPr>
          <w:sz w:val="28"/>
          <w:szCs w:val="28"/>
          <w:shd w:val="clear" w:color="auto" w:fill="FFFFFF"/>
          <w:lang w:val="uk-UA"/>
        </w:rPr>
        <w:t>n=23)</w:t>
      </w:r>
      <w:r w:rsidRPr="002E6ECA">
        <w:rPr>
          <w:sz w:val="28"/>
          <w:szCs w:val="28"/>
          <w:lang w:val="uk-UA"/>
        </w:rPr>
        <w:t xml:space="preserve">), а 18 – за традиційною системою (контрольна група, НК-3). </w:t>
      </w:r>
    </w:p>
    <w:p w:rsidR="007306D6" w:rsidRPr="002E6ECA" w:rsidRDefault="007306D6" w:rsidP="007306D6">
      <w:pPr>
        <w:spacing w:line="360" w:lineRule="auto"/>
        <w:ind w:firstLine="709"/>
        <w:jc w:val="both"/>
        <w:rPr>
          <w:sz w:val="28"/>
          <w:szCs w:val="28"/>
          <w:lang w:val="uk-UA"/>
        </w:rPr>
      </w:pPr>
      <w:r w:rsidRPr="002E6ECA">
        <w:rPr>
          <w:sz w:val="28"/>
          <w:szCs w:val="28"/>
          <w:lang w:val="uk-UA"/>
        </w:rPr>
        <w:t>5-хвилинна реєстрація електрокардіограми (ІІ стандартне відведення) проводилася в затемненій кімнаті  в стані спокійного неспання з закритими очима в положенні сидячи з використанням апаратно-програмного комплексу  «</w:t>
      </w:r>
      <w:r w:rsidR="00C23DB8" w:rsidRPr="002E6ECA">
        <w:rPr>
          <w:sz w:val="28"/>
          <w:szCs w:val="28"/>
          <w:lang w:val="en-US"/>
        </w:rPr>
        <w:t>B</w:t>
      </w:r>
      <w:r w:rsidRPr="002E6ECA">
        <w:rPr>
          <w:sz w:val="28"/>
          <w:szCs w:val="28"/>
          <w:lang w:val="uk-UA"/>
        </w:rPr>
        <w:t xml:space="preserve">rainTest» (НВП “DX-системи”, </w:t>
      </w:r>
      <w:r w:rsidRPr="002E6ECA">
        <w:rPr>
          <w:spacing w:val="-2"/>
          <w:sz w:val="28"/>
          <w:szCs w:val="28"/>
          <w:lang w:val="uk-UA"/>
        </w:rPr>
        <w:t>Харків, Україна)</w:t>
      </w:r>
      <w:r w:rsidRPr="002E6ECA">
        <w:rPr>
          <w:sz w:val="28"/>
          <w:szCs w:val="28"/>
          <w:lang w:val="uk-UA"/>
        </w:rPr>
        <w:t>. Математичний аналіз кардіосигналів здійснювався за допомогою модулю «</w:t>
      </w:r>
      <w:r w:rsidRPr="002E6ECA">
        <w:rPr>
          <w:i/>
          <w:iCs/>
          <w:sz w:val="28"/>
          <w:szCs w:val="28"/>
          <w:lang w:val="uk-UA"/>
        </w:rPr>
        <w:t>Cardio Tension Test»</w:t>
      </w:r>
      <w:r w:rsidRPr="002E6ECA">
        <w:rPr>
          <w:sz w:val="28"/>
          <w:szCs w:val="28"/>
          <w:lang w:val="uk-UA"/>
        </w:rPr>
        <w:t xml:space="preserve"> пакету прикладних програм «</w:t>
      </w:r>
      <w:r w:rsidRPr="002E6ECA">
        <w:rPr>
          <w:i/>
          <w:spacing w:val="-2"/>
          <w:sz w:val="28"/>
          <w:szCs w:val="28"/>
          <w:lang w:val="uk-UA"/>
        </w:rPr>
        <w:t>NeuroResearcher</w:t>
      </w:r>
      <w:r w:rsidRPr="002E6ECA">
        <w:rPr>
          <w:i/>
          <w:spacing w:val="-2"/>
          <w:sz w:val="28"/>
          <w:szCs w:val="28"/>
          <w:vertAlign w:val="superscript"/>
          <w:lang w:val="uk-UA"/>
        </w:rPr>
        <w:t>®</w:t>
      </w:r>
      <w:r w:rsidRPr="002E6ECA">
        <w:rPr>
          <w:i/>
          <w:sz w:val="28"/>
          <w:szCs w:val="28"/>
          <w:lang w:val="uk-UA"/>
        </w:rPr>
        <w:t xml:space="preserve"> Innovation Suite, V. 17.5</w:t>
      </w:r>
      <w:r w:rsidRPr="002E6ECA">
        <w:rPr>
          <w:spacing w:val="-2"/>
          <w:sz w:val="28"/>
          <w:szCs w:val="28"/>
          <w:lang w:val="uk-UA"/>
        </w:rPr>
        <w:t>»</w:t>
      </w:r>
      <w:r w:rsidRPr="002E6ECA">
        <w:rPr>
          <w:i/>
          <w:iCs/>
          <w:sz w:val="28"/>
          <w:szCs w:val="28"/>
          <w:lang w:val="uk-UA"/>
        </w:rPr>
        <w:t xml:space="preserve"> </w:t>
      </w:r>
      <w:r w:rsidRPr="002E6ECA">
        <w:rPr>
          <w:spacing w:val="-2"/>
          <w:sz w:val="28"/>
          <w:szCs w:val="28"/>
          <w:lang w:val="uk-UA"/>
        </w:rPr>
        <w:t>(</w:t>
      </w:r>
      <w:r w:rsidRPr="002E6ECA">
        <w:rPr>
          <w:sz w:val="28"/>
          <w:szCs w:val="28"/>
          <w:lang w:val="uk-UA"/>
        </w:rPr>
        <w:t xml:space="preserve">ТОВ «Інститут медичної інформатики і телемедицини», </w:t>
      </w:r>
      <w:r w:rsidRPr="002E6ECA">
        <w:rPr>
          <w:spacing w:val="-2"/>
          <w:sz w:val="28"/>
          <w:szCs w:val="28"/>
          <w:lang w:val="uk-UA"/>
        </w:rPr>
        <w:t>Харків, Україна)</w:t>
      </w:r>
      <w:r w:rsidRPr="002E6ECA">
        <w:rPr>
          <w:sz w:val="28"/>
          <w:szCs w:val="28"/>
          <w:lang w:val="uk-UA"/>
        </w:rPr>
        <w:t>.</w:t>
      </w:r>
    </w:p>
    <w:p w:rsidR="007306D6" w:rsidRPr="002E6ECA" w:rsidRDefault="007306D6" w:rsidP="007306D6">
      <w:pPr>
        <w:spacing w:line="360" w:lineRule="auto"/>
        <w:ind w:firstLine="709"/>
        <w:jc w:val="both"/>
        <w:rPr>
          <w:sz w:val="28"/>
          <w:szCs w:val="28"/>
          <w:lang w:val="uk-UA"/>
        </w:rPr>
      </w:pPr>
      <w:r w:rsidRPr="002E6ECA">
        <w:rPr>
          <w:spacing w:val="-2"/>
          <w:sz w:val="28"/>
          <w:szCs w:val="28"/>
          <w:lang w:val="uk-UA"/>
        </w:rPr>
        <w:t>Аналізувалися наступні групи показників  ВСР [</w:t>
      </w:r>
      <w:r w:rsidR="008A7114" w:rsidRPr="002E6ECA">
        <w:rPr>
          <w:sz w:val="28"/>
          <w:szCs w:val="28"/>
        </w:rPr>
        <w:t xml:space="preserve">10, </w:t>
      </w:r>
      <w:r w:rsidR="008A7114" w:rsidRPr="002E6ECA">
        <w:rPr>
          <w:sz w:val="28"/>
          <w:szCs w:val="28"/>
          <w:shd w:val="clear" w:color="auto" w:fill="FFFFFF"/>
        </w:rPr>
        <w:t>392</w:t>
      </w:r>
      <w:r w:rsidRPr="002E6ECA">
        <w:rPr>
          <w:spacing w:val="-2"/>
          <w:sz w:val="28"/>
          <w:szCs w:val="28"/>
          <w:lang w:val="uk-UA"/>
        </w:rPr>
        <w:t xml:space="preserve">]: </w:t>
      </w:r>
    </w:p>
    <w:p w:rsidR="00671012" w:rsidRPr="002E6ECA" w:rsidRDefault="00671012" w:rsidP="007306D6">
      <w:pPr>
        <w:numPr>
          <w:ilvl w:val="0"/>
          <w:numId w:val="2"/>
        </w:numPr>
        <w:tabs>
          <w:tab w:val="left" w:pos="993"/>
        </w:tabs>
        <w:spacing w:line="360" w:lineRule="auto"/>
        <w:ind w:left="0" w:firstLine="709"/>
        <w:jc w:val="both"/>
        <w:rPr>
          <w:bCs/>
          <w:sz w:val="28"/>
          <w:szCs w:val="28"/>
          <w:lang w:val="uk-UA"/>
        </w:rPr>
      </w:pPr>
      <w:r w:rsidRPr="002E6ECA">
        <w:rPr>
          <w:i/>
          <w:spacing w:val="-2"/>
          <w:sz w:val="28"/>
          <w:szCs w:val="28"/>
          <w:lang w:val="uk-UA"/>
        </w:rPr>
        <w:t>статистичні</w:t>
      </w:r>
      <w:r w:rsidRPr="002E6ECA">
        <w:rPr>
          <w:spacing w:val="-2"/>
          <w:sz w:val="28"/>
          <w:szCs w:val="28"/>
          <w:lang w:val="uk-UA"/>
        </w:rPr>
        <w:t xml:space="preserve">: середня тривалість кардіоциклу (Mean), мода (Мо), </w:t>
      </w:r>
      <w:r w:rsidRPr="002E6ECA">
        <w:rPr>
          <w:sz w:val="28"/>
          <w:szCs w:val="28"/>
          <w:lang w:val="uk-UA"/>
        </w:rPr>
        <w:t>стандартне відхилення (SDNN)</w:t>
      </w:r>
      <w:r w:rsidRPr="002E6ECA">
        <w:rPr>
          <w:i/>
          <w:sz w:val="28"/>
          <w:szCs w:val="28"/>
          <w:lang w:val="uk-UA"/>
        </w:rPr>
        <w:t xml:space="preserve">, </w:t>
      </w:r>
      <w:r w:rsidRPr="002E6ECA">
        <w:rPr>
          <w:spacing w:val="-2"/>
          <w:sz w:val="28"/>
          <w:szCs w:val="28"/>
          <w:lang w:val="uk-UA"/>
        </w:rPr>
        <w:t>варіаційний розкид (</w:t>
      </w:r>
      <w:r w:rsidRPr="002E6ECA">
        <w:rPr>
          <w:bCs/>
          <w:sz w:val="28"/>
          <w:szCs w:val="28"/>
          <w:lang w:val="uk-UA"/>
        </w:rPr>
        <w:t>Δ</w:t>
      </w:r>
      <w:r w:rsidR="00C23DB8" w:rsidRPr="002E6ECA">
        <w:rPr>
          <w:bCs/>
          <w:sz w:val="28"/>
          <w:szCs w:val="28"/>
          <w:lang w:val="en-US"/>
        </w:rPr>
        <w:t>X</w:t>
      </w:r>
      <w:r w:rsidRPr="002E6ECA">
        <w:rPr>
          <w:bCs/>
          <w:sz w:val="28"/>
          <w:szCs w:val="28"/>
          <w:lang w:val="uk-UA"/>
        </w:rPr>
        <w:t xml:space="preserve">), </w:t>
      </w:r>
      <w:r w:rsidRPr="002E6ECA">
        <w:rPr>
          <w:spacing w:val="-2"/>
          <w:sz w:val="28"/>
          <w:szCs w:val="28"/>
          <w:lang w:val="uk-UA"/>
        </w:rPr>
        <w:t xml:space="preserve">амплітуда моди (АМо), </w:t>
      </w:r>
      <w:r w:rsidRPr="002E6ECA">
        <w:rPr>
          <w:bCs/>
          <w:sz w:val="28"/>
          <w:szCs w:val="28"/>
          <w:lang w:val="uk-UA"/>
        </w:rPr>
        <w:t>коефіцієнт варіації (</w:t>
      </w:r>
      <w:r w:rsidR="00C23DB8" w:rsidRPr="002E6ECA">
        <w:rPr>
          <w:bCs/>
          <w:sz w:val="28"/>
          <w:szCs w:val="28"/>
          <w:lang w:val="en-US"/>
        </w:rPr>
        <w:t>C</w:t>
      </w:r>
      <w:r w:rsidRPr="002E6ECA">
        <w:rPr>
          <w:bCs/>
          <w:sz w:val="28"/>
          <w:szCs w:val="28"/>
          <w:lang w:val="uk-UA"/>
        </w:rPr>
        <w:t>Vr), відсоток пар кардіоінтервалів з різницею тривалості понад 50 мс (pNN50);</w:t>
      </w:r>
    </w:p>
    <w:p w:rsidR="00671012" w:rsidRPr="002E6ECA" w:rsidRDefault="00671012" w:rsidP="007306D6">
      <w:pPr>
        <w:numPr>
          <w:ilvl w:val="0"/>
          <w:numId w:val="2"/>
        </w:numPr>
        <w:tabs>
          <w:tab w:val="left" w:pos="993"/>
        </w:tabs>
        <w:spacing w:line="360" w:lineRule="auto"/>
        <w:ind w:left="0" w:firstLine="709"/>
        <w:jc w:val="both"/>
        <w:rPr>
          <w:bCs/>
          <w:sz w:val="28"/>
          <w:szCs w:val="28"/>
          <w:lang w:val="uk-UA"/>
        </w:rPr>
      </w:pPr>
      <w:r w:rsidRPr="002E6ECA">
        <w:rPr>
          <w:bCs/>
          <w:i/>
          <w:sz w:val="28"/>
          <w:szCs w:val="28"/>
          <w:lang w:val="uk-UA"/>
        </w:rPr>
        <w:t>спектральні:</w:t>
      </w:r>
      <w:r w:rsidRPr="002E6ECA">
        <w:rPr>
          <w:bCs/>
          <w:sz w:val="28"/>
          <w:szCs w:val="28"/>
          <w:lang w:val="uk-UA"/>
        </w:rPr>
        <w:t xml:space="preserve"> сумарна потужність спектру (ТР), абсолютна потужність наднизькочастотної (VLF), низькочастотної (LF) та високочастотної (</w:t>
      </w:r>
      <w:r w:rsidR="00C23DB8" w:rsidRPr="002E6ECA">
        <w:rPr>
          <w:bCs/>
          <w:sz w:val="28"/>
          <w:szCs w:val="28"/>
          <w:lang w:val="en-US"/>
        </w:rPr>
        <w:t>H</w:t>
      </w:r>
      <w:r w:rsidRPr="002E6ECA">
        <w:rPr>
          <w:bCs/>
          <w:sz w:val="28"/>
          <w:szCs w:val="28"/>
          <w:lang w:val="uk-UA"/>
        </w:rPr>
        <w:t xml:space="preserve">F) складових спектру, відносна потужність цих складових (відповідно VLF%, </w:t>
      </w:r>
      <w:r w:rsidRPr="002E6ECA">
        <w:rPr>
          <w:bCs/>
          <w:sz w:val="28"/>
          <w:szCs w:val="28"/>
          <w:lang w:val="uk-UA"/>
        </w:rPr>
        <w:lastRenderedPageBreak/>
        <w:t xml:space="preserve">LF%, </w:t>
      </w:r>
      <w:r w:rsidR="00C23DB8" w:rsidRPr="002E6ECA">
        <w:rPr>
          <w:bCs/>
          <w:sz w:val="28"/>
          <w:szCs w:val="28"/>
          <w:lang w:val="en-US"/>
        </w:rPr>
        <w:t>H</w:t>
      </w:r>
      <w:r w:rsidRPr="002E6ECA">
        <w:rPr>
          <w:bCs/>
          <w:sz w:val="28"/>
          <w:szCs w:val="28"/>
          <w:lang w:val="uk-UA"/>
        </w:rPr>
        <w:t xml:space="preserve">F%), нормалізована потужність цих складових (LFn, </w:t>
      </w:r>
      <w:r w:rsidR="00C23DB8" w:rsidRPr="002E6ECA">
        <w:rPr>
          <w:bCs/>
          <w:sz w:val="28"/>
          <w:szCs w:val="28"/>
          <w:lang w:val="en-US"/>
        </w:rPr>
        <w:t>H</w:t>
      </w:r>
      <w:r w:rsidRPr="002E6ECA">
        <w:rPr>
          <w:bCs/>
          <w:sz w:val="28"/>
          <w:szCs w:val="28"/>
          <w:lang w:val="uk-UA"/>
        </w:rPr>
        <w:t>Fn), індекс симпато-вагального балансу (LF/</w:t>
      </w:r>
      <w:r w:rsidR="00C23DB8" w:rsidRPr="002E6ECA">
        <w:rPr>
          <w:bCs/>
          <w:sz w:val="28"/>
          <w:szCs w:val="28"/>
          <w:lang w:val="en-US"/>
        </w:rPr>
        <w:t>H</w:t>
      </w:r>
      <w:r w:rsidRPr="002E6ECA">
        <w:rPr>
          <w:bCs/>
          <w:sz w:val="28"/>
          <w:szCs w:val="28"/>
          <w:lang w:val="uk-UA"/>
        </w:rPr>
        <w:t>F), індекс централізації (IC</w:t>
      </w:r>
      <w:r w:rsidR="00C23DB8" w:rsidRPr="002E6ECA">
        <w:rPr>
          <w:sz w:val="28"/>
          <w:szCs w:val="28"/>
          <w:lang w:val="uk-UA"/>
        </w:rPr>
        <w:t> </w:t>
      </w:r>
      <w:r w:rsidRPr="002E6ECA">
        <w:rPr>
          <w:bCs/>
          <w:sz w:val="28"/>
          <w:szCs w:val="28"/>
          <w:lang w:val="uk-UA"/>
        </w:rPr>
        <w:t>=</w:t>
      </w:r>
      <w:r w:rsidR="00C23DB8" w:rsidRPr="002E6ECA">
        <w:rPr>
          <w:sz w:val="28"/>
          <w:szCs w:val="28"/>
          <w:lang w:val="uk-UA"/>
        </w:rPr>
        <w:t> </w:t>
      </w:r>
      <w:r w:rsidRPr="002E6ECA">
        <w:rPr>
          <w:bCs/>
          <w:sz w:val="28"/>
          <w:szCs w:val="28"/>
          <w:lang w:val="uk-UA"/>
        </w:rPr>
        <w:t>(LF</w:t>
      </w:r>
      <w:r w:rsidR="00C23DB8" w:rsidRPr="002E6ECA">
        <w:rPr>
          <w:sz w:val="28"/>
          <w:szCs w:val="28"/>
          <w:lang w:val="uk-UA"/>
        </w:rPr>
        <w:t> </w:t>
      </w:r>
      <w:r w:rsidRPr="002E6ECA">
        <w:rPr>
          <w:bCs/>
          <w:sz w:val="28"/>
          <w:szCs w:val="28"/>
          <w:lang w:val="uk-UA"/>
        </w:rPr>
        <w:t>+</w:t>
      </w:r>
      <w:r w:rsidR="00C23DB8" w:rsidRPr="002E6ECA">
        <w:rPr>
          <w:sz w:val="28"/>
          <w:szCs w:val="28"/>
          <w:lang w:val="uk-UA"/>
        </w:rPr>
        <w:t> </w:t>
      </w:r>
      <w:r w:rsidRPr="002E6ECA">
        <w:rPr>
          <w:bCs/>
          <w:sz w:val="28"/>
          <w:szCs w:val="28"/>
          <w:lang w:val="uk-UA"/>
        </w:rPr>
        <w:t>VLF)</w:t>
      </w:r>
      <w:r w:rsidR="00C23DB8" w:rsidRPr="002E6ECA">
        <w:rPr>
          <w:sz w:val="28"/>
          <w:szCs w:val="28"/>
          <w:lang w:val="uk-UA"/>
        </w:rPr>
        <w:t> </w:t>
      </w:r>
      <w:r w:rsidRPr="002E6ECA">
        <w:rPr>
          <w:bCs/>
          <w:sz w:val="28"/>
          <w:szCs w:val="28"/>
          <w:lang w:val="uk-UA"/>
        </w:rPr>
        <w:t>/</w:t>
      </w:r>
      <w:r w:rsidR="00C23DB8" w:rsidRPr="002E6ECA">
        <w:rPr>
          <w:sz w:val="28"/>
          <w:szCs w:val="28"/>
          <w:lang w:val="uk-UA"/>
        </w:rPr>
        <w:t> </w:t>
      </w:r>
      <w:r w:rsidR="00C23DB8" w:rsidRPr="002E6ECA">
        <w:rPr>
          <w:bCs/>
          <w:sz w:val="28"/>
          <w:szCs w:val="28"/>
          <w:lang w:val="en-US"/>
        </w:rPr>
        <w:t>H</w:t>
      </w:r>
      <w:r w:rsidRPr="002E6ECA">
        <w:rPr>
          <w:bCs/>
          <w:sz w:val="28"/>
          <w:szCs w:val="28"/>
          <w:lang w:val="uk-UA"/>
        </w:rPr>
        <w:t>F);</w:t>
      </w:r>
    </w:p>
    <w:p w:rsidR="00671012" w:rsidRPr="002E6ECA" w:rsidRDefault="00671012" w:rsidP="007306D6">
      <w:pPr>
        <w:numPr>
          <w:ilvl w:val="0"/>
          <w:numId w:val="2"/>
        </w:numPr>
        <w:tabs>
          <w:tab w:val="left" w:pos="993"/>
        </w:tabs>
        <w:spacing w:line="360" w:lineRule="auto"/>
        <w:ind w:left="0" w:firstLine="709"/>
        <w:jc w:val="both"/>
        <w:rPr>
          <w:bCs/>
          <w:sz w:val="28"/>
          <w:szCs w:val="28"/>
          <w:lang w:val="uk-UA"/>
        </w:rPr>
      </w:pPr>
      <w:r w:rsidRPr="002E6ECA">
        <w:rPr>
          <w:bCs/>
          <w:i/>
          <w:sz w:val="28"/>
          <w:szCs w:val="28"/>
          <w:lang w:val="uk-UA"/>
        </w:rPr>
        <w:t>автокореляційні</w:t>
      </w:r>
      <w:r w:rsidRPr="002E6ECA">
        <w:rPr>
          <w:bCs/>
          <w:sz w:val="28"/>
          <w:szCs w:val="28"/>
          <w:lang w:val="uk-UA"/>
        </w:rPr>
        <w:t>: величина коефіцієнту кореляції після першого зсуву (СС1), число зсувів автокореляційної функції до досягнення значення коефіцієнту кореляції рівного 0 (СС0).</w:t>
      </w:r>
    </w:p>
    <w:p w:rsidR="00671012" w:rsidRPr="002E6ECA" w:rsidRDefault="00671012" w:rsidP="00671012">
      <w:pPr>
        <w:spacing w:line="360" w:lineRule="auto"/>
        <w:ind w:firstLine="709"/>
        <w:jc w:val="both"/>
        <w:rPr>
          <w:sz w:val="28"/>
          <w:szCs w:val="28"/>
          <w:lang w:val="uk-UA"/>
        </w:rPr>
      </w:pPr>
      <w:r w:rsidRPr="002E6ECA">
        <w:rPr>
          <w:sz w:val="28"/>
          <w:szCs w:val="28"/>
          <w:lang w:val="uk-UA"/>
        </w:rPr>
        <w:t>На основі комплексу кількісних показників ВСР розраховувався інтегральний показник активності регуляторних систем (ПАРС) [</w:t>
      </w:r>
      <w:r w:rsidR="008A7114" w:rsidRPr="002E6ECA">
        <w:rPr>
          <w:sz w:val="28"/>
          <w:szCs w:val="28"/>
          <w:lang w:val="uk-UA"/>
        </w:rPr>
        <w:t>10</w:t>
      </w:r>
      <w:r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З метою визначення особливостей нейрокогнітивних процесів проаналізовано спектральні показники електроенцефалограми у двох функціональних станах з закритими очима: 1) стан спокійного неспання; </w:t>
      </w:r>
      <w:r w:rsidR="00A13D67" w:rsidRPr="002E6ECA">
        <w:rPr>
          <w:sz w:val="28"/>
          <w:szCs w:val="28"/>
          <w:lang w:val="uk-UA"/>
        </w:rPr>
        <w:t xml:space="preserve">         </w:t>
      </w:r>
      <w:r w:rsidRPr="002E6ECA">
        <w:rPr>
          <w:sz w:val="28"/>
          <w:szCs w:val="28"/>
          <w:lang w:val="uk-UA"/>
        </w:rPr>
        <w:t xml:space="preserve">2) </w:t>
      </w:r>
      <w:r w:rsidRPr="002E6ECA">
        <w:rPr>
          <w:spacing w:val="-4"/>
          <w:sz w:val="28"/>
          <w:szCs w:val="28"/>
          <w:lang w:val="uk-UA"/>
        </w:rPr>
        <w:t>ментальний стан (арифметичний рахунок в зворотному напрямі «1000– 3»).</w:t>
      </w:r>
    </w:p>
    <w:p w:rsidR="00671012" w:rsidRPr="002E6ECA" w:rsidRDefault="00671012" w:rsidP="00671012">
      <w:pPr>
        <w:spacing w:line="360" w:lineRule="auto"/>
        <w:ind w:firstLine="709"/>
        <w:jc w:val="both"/>
        <w:rPr>
          <w:sz w:val="28"/>
          <w:szCs w:val="28"/>
          <w:lang w:val="uk-UA"/>
        </w:rPr>
      </w:pPr>
      <w:r w:rsidRPr="002E6ECA">
        <w:rPr>
          <w:sz w:val="28"/>
          <w:szCs w:val="28"/>
          <w:lang w:val="uk-UA"/>
        </w:rPr>
        <w:t>Реєстрація сумарної електричної активності головного мозку здійснювалася методом електроенцефалографії на 24-канальному комп’ютерному електроенцефалографі (ТОВ НВФ «DX-системи», Харків, Україна) з частотою дискретизації 1000 Гц.</w:t>
      </w:r>
    </w:p>
    <w:p w:rsidR="00671012" w:rsidRPr="002E6ECA" w:rsidRDefault="00671012" w:rsidP="00671012">
      <w:pPr>
        <w:spacing w:line="360" w:lineRule="auto"/>
        <w:ind w:firstLine="709"/>
        <w:jc w:val="both"/>
        <w:rPr>
          <w:sz w:val="28"/>
          <w:szCs w:val="28"/>
          <w:lang w:val="uk-UA"/>
        </w:rPr>
      </w:pPr>
      <w:r w:rsidRPr="002E6ECA">
        <w:rPr>
          <w:sz w:val="28"/>
          <w:szCs w:val="28"/>
          <w:lang w:val="uk-UA"/>
        </w:rPr>
        <w:t>ЕЕГ-потенціали відводили монополярно від 21 локусу (Fp1, Fpz, Fp2, F3, Fz, F4, F7, F8, C3, Cz, C4, T3, T4, T5, T6, P3, Pz, P4, O1, Oz, O2) відповідно до міжнародної системи «10–20» із використанням усередненого референтного електрода. Виявлення артефактів у складі ЕЕГ, зумовлених рухами очей, здійснювали згідно з паралельно записаною окулограмою (відведення OGL, OGR).</w:t>
      </w:r>
    </w:p>
    <w:p w:rsidR="00671012" w:rsidRPr="002E6ECA" w:rsidRDefault="00671012" w:rsidP="00671012">
      <w:pPr>
        <w:spacing w:line="360" w:lineRule="auto"/>
        <w:ind w:firstLine="709"/>
        <w:jc w:val="both"/>
        <w:rPr>
          <w:sz w:val="28"/>
          <w:szCs w:val="28"/>
          <w:lang w:val="uk-UA"/>
        </w:rPr>
      </w:pPr>
      <w:r w:rsidRPr="002E6ECA">
        <w:rPr>
          <w:sz w:val="28"/>
          <w:szCs w:val="28"/>
          <w:lang w:val="uk-UA"/>
        </w:rPr>
        <w:t>Зареєстровані ЕЕГ-сигнали піддавалися візуальному аналізу на підставі якого визначалися специфічні ЕЕГ-патерни та відбиралися безартефактні фрагменти запису тривалістю 35</w:t>
      </w:r>
      <w:r w:rsidR="008E0186" w:rsidRPr="002E6ECA">
        <w:rPr>
          <w:sz w:val="28"/>
          <w:szCs w:val="28"/>
          <w:lang w:val="uk-UA"/>
        </w:rPr>
        <w:t>-</w:t>
      </w:r>
      <w:r w:rsidRPr="002E6ECA">
        <w:rPr>
          <w:sz w:val="28"/>
          <w:szCs w:val="28"/>
          <w:lang w:val="uk-UA"/>
        </w:rPr>
        <w:t>45 с для подальшого кількісного аналізу.</w:t>
      </w:r>
    </w:p>
    <w:p w:rsidR="00671012" w:rsidRPr="002E6ECA" w:rsidRDefault="00671012" w:rsidP="00671012">
      <w:pPr>
        <w:spacing w:line="360" w:lineRule="auto"/>
        <w:ind w:firstLine="709"/>
        <w:jc w:val="both"/>
        <w:rPr>
          <w:sz w:val="28"/>
          <w:szCs w:val="28"/>
          <w:lang w:val="uk-UA"/>
        </w:rPr>
      </w:pPr>
      <w:r w:rsidRPr="002E6ECA">
        <w:rPr>
          <w:sz w:val="28"/>
          <w:szCs w:val="28"/>
          <w:lang w:val="uk-UA"/>
        </w:rPr>
        <w:t>Спектрограми ЕЕГ-реалізацій отримували на підставі швидкого перетворення Фур’є. Межі частотних діапазонів відповідали найбільш широкоприйнятим значенням: дельта – 0,5–4 Гц, тета – 4</w:t>
      </w:r>
      <w:r w:rsidR="008E0186" w:rsidRPr="002E6ECA">
        <w:rPr>
          <w:sz w:val="28"/>
          <w:szCs w:val="28"/>
          <w:lang w:val="uk-UA"/>
        </w:rPr>
        <w:t>-</w:t>
      </w:r>
      <w:r w:rsidRPr="002E6ECA">
        <w:rPr>
          <w:sz w:val="28"/>
          <w:szCs w:val="28"/>
          <w:lang w:val="uk-UA"/>
        </w:rPr>
        <w:t>8 Гц, альфа – 8</w:t>
      </w:r>
      <w:r w:rsidR="008E0186" w:rsidRPr="002E6ECA">
        <w:rPr>
          <w:sz w:val="28"/>
          <w:szCs w:val="28"/>
          <w:lang w:val="uk-UA"/>
        </w:rPr>
        <w:t>-</w:t>
      </w:r>
      <w:r w:rsidRPr="002E6ECA">
        <w:rPr>
          <w:sz w:val="28"/>
          <w:szCs w:val="28"/>
          <w:lang w:val="uk-UA"/>
        </w:rPr>
        <w:t>12 Гц, бета1 – 12</w:t>
      </w:r>
      <w:r w:rsidR="008E0186" w:rsidRPr="002E6ECA">
        <w:rPr>
          <w:sz w:val="28"/>
          <w:szCs w:val="28"/>
          <w:lang w:val="uk-UA"/>
        </w:rPr>
        <w:t>-</w:t>
      </w:r>
      <w:r w:rsidRPr="002E6ECA">
        <w:rPr>
          <w:sz w:val="28"/>
          <w:szCs w:val="28"/>
          <w:lang w:val="uk-UA"/>
        </w:rPr>
        <w:t>20 Гц та бета2 – 20</w:t>
      </w:r>
      <w:r w:rsidR="008E0186" w:rsidRPr="002E6ECA">
        <w:rPr>
          <w:sz w:val="28"/>
          <w:szCs w:val="28"/>
          <w:lang w:val="uk-UA"/>
        </w:rPr>
        <w:t>-</w:t>
      </w:r>
      <w:r w:rsidRPr="002E6ECA">
        <w:rPr>
          <w:sz w:val="28"/>
          <w:szCs w:val="28"/>
          <w:lang w:val="uk-UA"/>
        </w:rPr>
        <w:t>30 Гц. У подальшому аналізували показники відносної спектральної потужності (ВСП) в зазначених частотних діапазонах.</w:t>
      </w:r>
    </w:p>
    <w:p w:rsidR="00671012" w:rsidRPr="002E6ECA" w:rsidRDefault="00671012" w:rsidP="00671012">
      <w:pPr>
        <w:tabs>
          <w:tab w:val="left" w:pos="1134"/>
        </w:tabs>
        <w:spacing w:line="360" w:lineRule="auto"/>
        <w:ind w:firstLine="709"/>
        <w:jc w:val="both"/>
        <w:rPr>
          <w:sz w:val="28"/>
          <w:szCs w:val="28"/>
          <w:lang w:val="uk-UA"/>
        </w:rPr>
      </w:pPr>
      <w:r w:rsidRPr="002E6ECA">
        <w:rPr>
          <w:sz w:val="28"/>
          <w:szCs w:val="28"/>
          <w:lang w:val="uk-UA"/>
        </w:rPr>
        <w:lastRenderedPageBreak/>
        <w:t xml:space="preserve">Алгоритм моніторингу передбачає прогноз і моделювання на підставі аналізу  стану здоров’я населення. У свою чергу, основним шляхом отримання інформації для моніторингу є оцінка статусу певної категорії, а також, виявлення взаємозв'язків і залежностей між показниками. Істотне місце в даному процесі займає вивчення працездатності і оцінка адаптаційних можливостей. У якості інструментів моніторування стану здоров’я постає діяльність серцево-судинної системи, в першу чергу – спортсменів. Широко застосовується показник ЧСС і в гігієнічних дослідженнях для визначення адаптаційних можливостей і резервів, а також вивчення показника розумової працездатності в сукупності донозологічних діагностичних методик виявлення порушень здоров’я школярів. Використання функціональних проб, у т.ч. ментальних у поєднанні з аналізом стану серцево-судинної системи є інформативним дослідженням у підлітковому віці </w:t>
      </w:r>
      <w:r w:rsidR="007306D6" w:rsidRPr="002E6ECA">
        <w:rPr>
          <w:sz w:val="28"/>
          <w:szCs w:val="28"/>
          <w:lang w:val="uk-UA"/>
        </w:rPr>
        <w:t>[</w:t>
      </w:r>
      <w:r w:rsidR="008A7114" w:rsidRPr="002E6ECA">
        <w:rPr>
          <w:sz w:val="28"/>
          <w:szCs w:val="28"/>
          <w:lang w:val="uk-UA"/>
        </w:rPr>
        <w:t>69</w:t>
      </w:r>
      <w:r w:rsidR="008E0186" w:rsidRPr="002E6ECA">
        <w:rPr>
          <w:sz w:val="28"/>
          <w:szCs w:val="28"/>
          <w:lang w:val="uk-UA"/>
        </w:rPr>
        <w:t>,</w:t>
      </w:r>
      <w:r w:rsidR="008A7114" w:rsidRPr="002E6ECA">
        <w:rPr>
          <w:sz w:val="28"/>
          <w:szCs w:val="28"/>
          <w:lang w:val="uk-UA"/>
        </w:rPr>
        <w:t xml:space="preserve"> 18, 169, 401, 418, 431</w:t>
      </w:r>
      <w:r w:rsidR="008E0186" w:rsidRPr="002E6ECA">
        <w:rPr>
          <w:sz w:val="28"/>
          <w:szCs w:val="28"/>
          <w:lang w:val="uk-UA"/>
        </w:rPr>
        <w:t>, 445</w:t>
      </w:r>
      <w:r w:rsidR="007306D6" w:rsidRPr="002E6ECA">
        <w:rPr>
          <w:sz w:val="28"/>
          <w:szCs w:val="28"/>
          <w:lang w:val="uk-UA"/>
        </w:rPr>
        <w:t xml:space="preserve">]. </w:t>
      </w:r>
      <w:r w:rsidRPr="002E6ECA">
        <w:rPr>
          <w:sz w:val="28"/>
          <w:szCs w:val="28"/>
          <w:lang w:val="uk-UA"/>
        </w:rPr>
        <w:t xml:space="preserve">В нашому дослідженні було використано 3 методики: </w:t>
      </w:r>
    </w:p>
    <w:p w:rsidR="00671012" w:rsidRPr="002E6ECA" w:rsidRDefault="00671012" w:rsidP="009A2CF7">
      <w:pPr>
        <w:numPr>
          <w:ilvl w:val="0"/>
          <w:numId w:val="33"/>
        </w:numPr>
        <w:tabs>
          <w:tab w:val="left" w:pos="1134"/>
        </w:tabs>
        <w:spacing w:line="360" w:lineRule="auto"/>
        <w:ind w:left="0" w:firstLine="709"/>
        <w:contextualSpacing/>
        <w:jc w:val="both"/>
        <w:rPr>
          <w:sz w:val="28"/>
          <w:szCs w:val="28"/>
          <w:lang w:val="uk-UA"/>
        </w:rPr>
      </w:pPr>
      <w:r w:rsidRPr="002E6ECA">
        <w:rPr>
          <w:sz w:val="28"/>
          <w:szCs w:val="28"/>
          <w:lang w:val="uk-UA"/>
        </w:rPr>
        <w:t>із використанням спеціальних комп'ютерних програм для пристроїв з операційною системою iOS авторського програмного забезпечення. В якості пристрою був використаний планшет компанії Apple – iPad, четвертого покоління, з 9,7-дюймовим екраном. Для реєстрації ЧСС використовували монітор серцевого ритму. Учасники провели вибірку: зреагувати на один поданий сигнал із п'яти запропонованих. Тривалість спроби коливалась у випадковому порядку від 3 до 10 секунд. Учасник виконував 3 серії з 10 спроб. Середня тривалість тесту становила (168,02 ± 1,27) секунди. Реєстрація часу реакції синхронізувалась із записом частоти серцевих скорочень;</w:t>
      </w:r>
    </w:p>
    <w:p w:rsidR="00671012" w:rsidRPr="002E6ECA" w:rsidRDefault="00671012" w:rsidP="009A2CF7">
      <w:pPr>
        <w:numPr>
          <w:ilvl w:val="0"/>
          <w:numId w:val="33"/>
        </w:numPr>
        <w:tabs>
          <w:tab w:val="left" w:pos="1134"/>
        </w:tabs>
        <w:spacing w:line="360" w:lineRule="auto"/>
        <w:ind w:left="0" w:firstLine="709"/>
        <w:contextualSpacing/>
        <w:jc w:val="both"/>
        <w:rPr>
          <w:sz w:val="28"/>
          <w:szCs w:val="28"/>
          <w:lang w:val="uk-UA"/>
        </w:rPr>
      </w:pPr>
      <w:r w:rsidRPr="002E6ECA">
        <w:rPr>
          <w:sz w:val="28"/>
          <w:szCs w:val="28"/>
          <w:lang w:val="uk-UA"/>
        </w:rPr>
        <w:t>із ментальною арифметикою (арифметичний рахунок в зворотному напрямі «1000 – 3») з одночасною реєстрацією ЕЕГ-сигналів;</w:t>
      </w:r>
    </w:p>
    <w:p w:rsidR="00671012" w:rsidRPr="002E6ECA" w:rsidRDefault="00671012" w:rsidP="009A2CF7">
      <w:pPr>
        <w:numPr>
          <w:ilvl w:val="0"/>
          <w:numId w:val="33"/>
        </w:numPr>
        <w:tabs>
          <w:tab w:val="left" w:pos="1134"/>
        </w:tabs>
        <w:spacing w:line="360" w:lineRule="auto"/>
        <w:ind w:left="0" w:firstLine="709"/>
        <w:contextualSpacing/>
        <w:jc w:val="both"/>
        <w:rPr>
          <w:sz w:val="28"/>
          <w:szCs w:val="28"/>
          <w:lang w:val="uk-UA"/>
        </w:rPr>
      </w:pPr>
      <w:r w:rsidRPr="002E6ECA">
        <w:rPr>
          <w:sz w:val="28"/>
          <w:szCs w:val="28"/>
          <w:lang w:val="uk-UA"/>
        </w:rPr>
        <w:t>із заповненням коректурних проб Анфімова упродовж 2-х хвилин із подальшою реєстрацією ЧСС.</w:t>
      </w:r>
    </w:p>
    <w:p w:rsidR="00671012" w:rsidRPr="002E6ECA" w:rsidRDefault="00671012" w:rsidP="00671012">
      <w:pPr>
        <w:shd w:val="clear" w:color="auto" w:fill="FFFFFF"/>
        <w:spacing w:line="360" w:lineRule="auto"/>
        <w:ind w:firstLine="709"/>
        <w:jc w:val="both"/>
        <w:rPr>
          <w:sz w:val="28"/>
          <w:szCs w:val="28"/>
          <w:lang w:val="uk-UA"/>
        </w:rPr>
      </w:pPr>
      <w:r w:rsidRPr="002E6ECA">
        <w:rPr>
          <w:sz w:val="28"/>
          <w:szCs w:val="28"/>
          <w:lang w:val="uk-UA"/>
        </w:rPr>
        <w:t xml:space="preserve">Визначення рівня навчальної успішності як інтегрального критерію ступеня соціальної адаптованості старшокласників передбачало викопіювання даних річної навчальної успішності з восьми базисних предметів (українська </w:t>
      </w:r>
      <w:r w:rsidRPr="002E6ECA">
        <w:rPr>
          <w:sz w:val="28"/>
          <w:szCs w:val="28"/>
          <w:lang w:val="uk-UA"/>
        </w:rPr>
        <w:lastRenderedPageBreak/>
        <w:t>мова, українська література, алгебра, всесвітня історія, біологія, фізика, хімія, іноземна мова), на основі яких розраховувався середній бал навчальної успішності, з його наступним аналізом.</w:t>
      </w:r>
    </w:p>
    <w:p w:rsidR="00671012" w:rsidRPr="002E6ECA" w:rsidRDefault="00671012" w:rsidP="00671012">
      <w:pPr>
        <w:spacing w:line="360" w:lineRule="auto"/>
        <w:ind w:firstLine="709"/>
        <w:jc w:val="both"/>
        <w:rPr>
          <w:sz w:val="28"/>
          <w:szCs w:val="28"/>
          <w:lang w:val="uk-UA"/>
        </w:rPr>
      </w:pPr>
      <w:r w:rsidRPr="002E6ECA">
        <w:rPr>
          <w:i/>
          <w:sz w:val="28"/>
          <w:szCs w:val="28"/>
          <w:lang w:val="uk-UA"/>
        </w:rPr>
        <w:t>П’ятий етап</w:t>
      </w:r>
      <w:r w:rsidRPr="002E6ECA">
        <w:rPr>
          <w:sz w:val="28"/>
          <w:szCs w:val="28"/>
          <w:lang w:val="uk-UA"/>
        </w:rPr>
        <w:t xml:space="preserve"> передбачав оцінку психосоціального благополуччя учнів упродовж здобуття загальної середньої освіти. Згідно з концепцією ВООЗ якість життя, що пов’язана зі здоров’ям, визначається як інтегральне поняття, що характеризує співвідношення власного положення в житті суспільства і цілей, планів, можливостей індивідуума. Ця методика дозволяє визначити шляхом самооцінки фізичне, емоційне, психологічне та соціальне функціонування респондента і використовується у сучасній медицині як надійний інструмент популяційних досліджень стану здоров’я та впливу на нього екологічних, демографічних, психологічних, соціальних та інших чинників. Особливо уразливою категорією населення виступають діти шкільного віку, що зазнають впливу новітніх освітніх технологій на тлі збереження негативної динаміки щодо рівня захворюваності. Тому дослідження якості життя, що пов’язана зі здоров’ям дитячого населення, набувають у суспільстві все більшої ваги і потребують науково обґрунтованого розв’язання.</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Аналіз сучасних світових та вітчизняних публікацій констатує наявність чисельних досліджень щодо визначення якості життя, пов’язаної зі здоров’ям (ЯЖПЗ) у дітей із хронічними захворюваннями, зайвою вагою, малорухливим способом життя </w:t>
      </w:r>
      <w:r w:rsidR="007306D6" w:rsidRPr="002E6ECA">
        <w:rPr>
          <w:sz w:val="28"/>
          <w:szCs w:val="28"/>
          <w:lang w:val="uk-UA"/>
        </w:rPr>
        <w:t>[</w:t>
      </w:r>
      <w:r w:rsidR="008E0186" w:rsidRPr="002E6ECA">
        <w:rPr>
          <w:sz w:val="28"/>
          <w:szCs w:val="28"/>
          <w:lang w:val="uk-UA"/>
        </w:rPr>
        <w:t>105</w:t>
      </w:r>
      <w:r w:rsidR="007306D6" w:rsidRPr="002E6ECA">
        <w:rPr>
          <w:sz w:val="28"/>
          <w:szCs w:val="28"/>
          <w:lang w:val="uk-UA"/>
        </w:rPr>
        <w:t xml:space="preserve">, </w:t>
      </w:r>
      <w:r w:rsidR="008E0186" w:rsidRPr="002E6ECA">
        <w:rPr>
          <w:sz w:val="28"/>
          <w:szCs w:val="28"/>
          <w:lang w:val="uk-UA"/>
        </w:rPr>
        <w:t>14</w:t>
      </w:r>
      <w:r w:rsidR="000657BF" w:rsidRPr="002E6ECA">
        <w:rPr>
          <w:sz w:val="28"/>
          <w:szCs w:val="28"/>
          <w:lang w:val="uk-UA"/>
        </w:rPr>
        <w:t>9</w:t>
      </w:r>
      <w:r w:rsidR="007306D6" w:rsidRPr="002E6ECA">
        <w:rPr>
          <w:sz w:val="28"/>
          <w:szCs w:val="28"/>
          <w:lang w:val="uk-UA"/>
        </w:rPr>
        <w:t xml:space="preserve">, </w:t>
      </w:r>
      <w:r w:rsidR="004502D6" w:rsidRPr="002E6ECA">
        <w:rPr>
          <w:sz w:val="28"/>
          <w:szCs w:val="28"/>
          <w:lang w:val="uk-UA"/>
        </w:rPr>
        <w:t xml:space="preserve">296, </w:t>
      </w:r>
      <w:r w:rsidR="008E0186" w:rsidRPr="002E6ECA">
        <w:rPr>
          <w:sz w:val="28"/>
          <w:szCs w:val="28"/>
          <w:lang w:val="uk-UA"/>
        </w:rPr>
        <w:t>324</w:t>
      </w:r>
      <w:r w:rsidR="007306D6" w:rsidRPr="002E6ECA">
        <w:rPr>
          <w:sz w:val="28"/>
          <w:szCs w:val="28"/>
          <w:lang w:val="uk-UA"/>
        </w:rPr>
        <w:t xml:space="preserve">, </w:t>
      </w:r>
      <w:r w:rsidR="008E0186" w:rsidRPr="002E6ECA">
        <w:rPr>
          <w:sz w:val="28"/>
          <w:szCs w:val="28"/>
          <w:lang w:val="uk-UA"/>
        </w:rPr>
        <w:t>376, 434</w:t>
      </w:r>
      <w:r w:rsidR="007306D6" w:rsidRPr="002E6ECA">
        <w:rPr>
          <w:sz w:val="28"/>
          <w:szCs w:val="28"/>
          <w:lang w:val="uk-UA"/>
        </w:rPr>
        <w:t xml:space="preserve">, </w:t>
      </w:r>
      <w:r w:rsidR="008E0186" w:rsidRPr="002E6ECA">
        <w:rPr>
          <w:sz w:val="28"/>
          <w:szCs w:val="28"/>
          <w:lang w:val="uk-UA"/>
        </w:rPr>
        <w:t>505</w:t>
      </w:r>
      <w:r w:rsidR="007306D6" w:rsidRPr="002E6ECA">
        <w:rPr>
          <w:sz w:val="28"/>
          <w:szCs w:val="28"/>
          <w:lang w:val="uk-UA"/>
        </w:rPr>
        <w:t xml:space="preserve">]. </w:t>
      </w:r>
      <w:r w:rsidRPr="002E6ECA">
        <w:rPr>
          <w:sz w:val="28"/>
          <w:szCs w:val="28"/>
          <w:lang w:val="uk-UA"/>
        </w:rPr>
        <w:t>Більшість опитувальників розрахована на дітей з патологічними станами. Для оцінки ЯЖПЗ умовно здорових дітей використовуються анкети PedsQl 4.0, KIDSCREEN-27, -52, QoL, у тому числі для дослідження серед школярів (QoLS) [</w:t>
      </w:r>
      <w:r w:rsidR="008E0186" w:rsidRPr="002E6ECA">
        <w:rPr>
          <w:sz w:val="28"/>
          <w:szCs w:val="28"/>
          <w:lang w:val="uk-UA"/>
        </w:rPr>
        <w:t xml:space="preserve">38, 420, </w:t>
      </w:r>
      <w:r w:rsidR="008E0186" w:rsidRPr="002E6ECA">
        <w:rPr>
          <w:rFonts w:eastAsia="Calibri"/>
          <w:sz w:val="28"/>
          <w:szCs w:val="28"/>
          <w:lang w:val="uk-UA" w:eastAsia="en-US"/>
        </w:rPr>
        <w:t>489</w:t>
      </w:r>
      <w:r w:rsidR="008E0186" w:rsidRPr="002E6ECA">
        <w:rPr>
          <w:rFonts w:eastAsia="Calibri"/>
          <w:sz w:val="28"/>
          <w:szCs w:val="28"/>
          <w:lang w:val="uk-UA"/>
        </w:rPr>
        <w:t>, 499</w:t>
      </w:r>
      <w:r w:rsidRPr="002E6ECA">
        <w:rPr>
          <w:sz w:val="28"/>
          <w:szCs w:val="28"/>
          <w:lang w:val="uk-UA"/>
        </w:rPr>
        <w:t xml:space="preserve">]. </w:t>
      </w:r>
    </w:p>
    <w:p w:rsidR="007306D6" w:rsidRPr="002E6ECA" w:rsidRDefault="007306D6" w:rsidP="007306D6">
      <w:pPr>
        <w:spacing w:line="360" w:lineRule="auto"/>
        <w:ind w:firstLine="709"/>
        <w:jc w:val="both"/>
        <w:rPr>
          <w:sz w:val="28"/>
          <w:szCs w:val="28"/>
          <w:lang w:val="uk-UA"/>
        </w:rPr>
      </w:pPr>
      <w:r w:rsidRPr="002E6ECA">
        <w:rPr>
          <w:sz w:val="28"/>
          <w:szCs w:val="28"/>
          <w:lang w:val="uk-UA"/>
        </w:rPr>
        <w:t>Проте невирішеною залишається проблема створення та адаптації крос-культурних та національних версій, не розроблено опитувальники для школярів із градацією за різними віковими групами. Так, на теперішній час в Україні розроблено анкету для дітей молодшого [</w:t>
      </w:r>
      <w:r w:rsidR="008E0186" w:rsidRPr="002E6ECA">
        <w:rPr>
          <w:sz w:val="28"/>
          <w:szCs w:val="28"/>
        </w:rPr>
        <w:t>157</w:t>
      </w:r>
      <w:r w:rsidR="000657BF" w:rsidRPr="002E6ECA">
        <w:rPr>
          <w:sz w:val="28"/>
          <w:szCs w:val="28"/>
          <w:lang w:val="uk-UA"/>
        </w:rPr>
        <w:t>, 239</w:t>
      </w:r>
      <w:r w:rsidRPr="002E6ECA">
        <w:rPr>
          <w:sz w:val="28"/>
          <w:szCs w:val="28"/>
          <w:lang w:val="uk-UA"/>
        </w:rPr>
        <w:t>] та старшого шкільного віку [</w:t>
      </w:r>
      <w:r w:rsidR="008E0186" w:rsidRPr="002E6ECA">
        <w:rPr>
          <w:sz w:val="28"/>
          <w:szCs w:val="28"/>
          <w:lang w:val="uk-UA"/>
        </w:rPr>
        <w:t xml:space="preserve">244, </w:t>
      </w:r>
      <w:r w:rsidR="008E0186" w:rsidRPr="002E6ECA">
        <w:rPr>
          <w:sz w:val="28"/>
          <w:szCs w:val="28"/>
        </w:rPr>
        <w:t>251</w:t>
      </w:r>
      <w:r w:rsidRPr="002E6ECA">
        <w:rPr>
          <w:sz w:val="28"/>
          <w:szCs w:val="28"/>
          <w:lang w:val="uk-UA"/>
        </w:rPr>
        <w:t xml:space="preserve">]. Визначення якості життя, у тому числі її складових у ракурсі оцінки </w:t>
      </w:r>
      <w:r w:rsidRPr="002E6ECA">
        <w:rPr>
          <w:bCs/>
          <w:sz w:val="28"/>
          <w:szCs w:val="28"/>
          <w:lang w:val="uk-UA"/>
        </w:rPr>
        <w:t xml:space="preserve">ефективності та рівню впливу освітніх програм на стан здоров’я дітей, що </w:t>
      </w:r>
      <w:r w:rsidRPr="002E6ECA">
        <w:rPr>
          <w:bCs/>
          <w:sz w:val="28"/>
          <w:szCs w:val="28"/>
          <w:lang w:val="uk-UA"/>
        </w:rPr>
        <w:lastRenderedPageBreak/>
        <w:t xml:space="preserve">навчаються у базовій школі (5-9 класи) за допомогою адаптованої та валідизованої методики не проводилось. Якість життя вивчалась за різними методиками у залежності від етапу навчання: окремо для початкової школи </w:t>
      </w:r>
      <w:r w:rsidRPr="002E6ECA">
        <w:rPr>
          <w:sz w:val="28"/>
          <w:szCs w:val="28"/>
          <w:lang w:val="uk-UA"/>
        </w:rPr>
        <w:t>[</w:t>
      </w:r>
      <w:r w:rsidR="008E0186" w:rsidRPr="002E6ECA">
        <w:rPr>
          <w:sz w:val="28"/>
          <w:szCs w:val="28"/>
          <w:lang w:val="uk-UA"/>
        </w:rPr>
        <w:t>157</w:t>
      </w:r>
      <w:r w:rsidRPr="002E6ECA">
        <w:rPr>
          <w:sz w:val="28"/>
          <w:szCs w:val="28"/>
          <w:lang w:val="uk-UA"/>
        </w:rPr>
        <w:t>], яка передбачала визначення конкордантності результатів опитування учнів та їх батьків, що використовується у клінічній та соціологічній практиці при опитуванні дітей дошкільного та молодшого шкільного віку [</w:t>
      </w:r>
      <w:r w:rsidR="008E0186" w:rsidRPr="002E6ECA">
        <w:rPr>
          <w:bCs/>
          <w:sz w:val="28"/>
          <w:szCs w:val="28"/>
          <w:lang w:val="uk-UA"/>
        </w:rPr>
        <w:t>122, 30</w:t>
      </w:r>
      <w:r w:rsidR="009A04FD" w:rsidRPr="002E6ECA">
        <w:rPr>
          <w:bCs/>
          <w:sz w:val="28"/>
          <w:szCs w:val="28"/>
          <w:lang w:val="uk-UA"/>
        </w:rPr>
        <w:t>5</w:t>
      </w:r>
      <w:r w:rsidR="008E0186" w:rsidRPr="002E6ECA">
        <w:rPr>
          <w:bCs/>
          <w:sz w:val="28"/>
          <w:szCs w:val="28"/>
          <w:lang w:val="uk-UA"/>
        </w:rPr>
        <w:t>, 355, 403</w:t>
      </w:r>
      <w:r w:rsidRPr="002E6ECA">
        <w:rPr>
          <w:sz w:val="28"/>
          <w:szCs w:val="28"/>
          <w:lang w:val="uk-UA"/>
        </w:rPr>
        <w:t xml:space="preserve">], а також для середньої та старшої – </w:t>
      </w:r>
      <w:r w:rsidRPr="002E6ECA">
        <w:rPr>
          <w:sz w:val="28"/>
          <w:szCs w:val="28"/>
        </w:rPr>
        <w:t>MOS</w:t>
      </w:r>
      <w:r w:rsidRPr="002E6ECA">
        <w:rPr>
          <w:sz w:val="28"/>
          <w:szCs w:val="28"/>
          <w:lang w:val="uk-UA"/>
        </w:rPr>
        <w:t xml:space="preserve"> </w:t>
      </w:r>
      <w:r w:rsidRPr="002E6ECA">
        <w:rPr>
          <w:sz w:val="28"/>
          <w:szCs w:val="28"/>
        </w:rPr>
        <w:t>SF</w:t>
      </w:r>
      <w:r w:rsidRPr="002E6ECA">
        <w:rPr>
          <w:sz w:val="28"/>
          <w:szCs w:val="28"/>
          <w:lang w:val="uk-UA"/>
        </w:rPr>
        <w:t>-36 [</w:t>
      </w:r>
      <w:r w:rsidR="008E0186" w:rsidRPr="002E6ECA">
        <w:rPr>
          <w:sz w:val="28"/>
          <w:szCs w:val="28"/>
          <w:lang w:val="uk-UA"/>
        </w:rPr>
        <w:t xml:space="preserve">244, 251, </w:t>
      </w:r>
      <w:r w:rsidR="00232FBF" w:rsidRPr="002E6ECA">
        <w:rPr>
          <w:sz w:val="28"/>
          <w:szCs w:val="28"/>
          <w:lang w:val="uk-UA"/>
        </w:rPr>
        <w:t>497</w:t>
      </w:r>
      <w:r w:rsidRPr="002E6ECA">
        <w:rPr>
          <w:sz w:val="28"/>
          <w:szCs w:val="28"/>
          <w:lang w:val="uk-UA"/>
        </w:rPr>
        <w:t xml:space="preserve">]. </w:t>
      </w:r>
    </w:p>
    <w:p w:rsidR="007306D6" w:rsidRPr="002E6ECA" w:rsidRDefault="007306D6" w:rsidP="007306D6">
      <w:pPr>
        <w:spacing w:line="360" w:lineRule="auto"/>
        <w:ind w:firstLine="709"/>
        <w:jc w:val="both"/>
        <w:rPr>
          <w:bCs/>
          <w:sz w:val="28"/>
          <w:szCs w:val="28"/>
          <w:lang w:val="uk-UA"/>
        </w:rPr>
      </w:pPr>
      <w:r w:rsidRPr="002E6ECA">
        <w:rPr>
          <w:bCs/>
          <w:sz w:val="28"/>
          <w:szCs w:val="28"/>
          <w:lang w:val="uk-UA"/>
        </w:rPr>
        <w:t>Для перевірки валідності «Методики оцінки якості життя, пов'язаної зі здоров'ям у дітей середнього шкільного віку» використовувався</w:t>
      </w:r>
      <w:r w:rsidRPr="002E6ECA">
        <w:rPr>
          <w:rFonts w:ascii="TimesNewRoman" w:hAnsi="TimesNewRoman"/>
          <w:bCs/>
          <w:sz w:val="28"/>
          <w:szCs w:val="28"/>
          <w:lang w:val="uk-UA"/>
        </w:rPr>
        <w:t xml:space="preserve"> </w:t>
      </w:r>
      <w:r w:rsidRPr="002E6ECA">
        <w:rPr>
          <w:sz w:val="28"/>
          <w:szCs w:val="28"/>
          <w:lang w:val="uk-UA"/>
        </w:rPr>
        <w:t xml:space="preserve">адаптований варіант </w:t>
      </w:r>
      <w:r w:rsidR="00EE44CA" w:rsidRPr="002E6ECA">
        <w:rPr>
          <w:sz w:val="28"/>
          <w:szCs w:val="28"/>
          <w:lang w:val="uk-UA"/>
        </w:rPr>
        <w:t>опитувальника «Перелік дитячих симптомів» – PSC, що використовується для оцінки психосоціального функціонування дітей та підлітків [</w:t>
      </w:r>
      <w:r w:rsidR="00232FBF" w:rsidRPr="002E6ECA">
        <w:rPr>
          <w:bCs/>
          <w:sz w:val="28"/>
          <w:szCs w:val="28"/>
          <w:lang w:val="uk-UA" w:eastAsia="uk-UA"/>
        </w:rPr>
        <w:t>122, 277</w:t>
      </w:r>
      <w:r w:rsidR="00EE44CA" w:rsidRPr="002E6ECA">
        <w:rPr>
          <w:bCs/>
          <w:sz w:val="28"/>
          <w:szCs w:val="28"/>
          <w:lang w:val="uk-UA" w:eastAsia="uk-UA"/>
        </w:rPr>
        <w:t xml:space="preserve">, </w:t>
      </w:r>
      <w:r w:rsidR="00232FBF" w:rsidRPr="002E6ECA">
        <w:rPr>
          <w:bCs/>
          <w:sz w:val="28"/>
          <w:szCs w:val="28"/>
          <w:lang w:val="uk-UA" w:eastAsia="uk-UA"/>
        </w:rPr>
        <w:t>405</w:t>
      </w:r>
      <w:r w:rsidR="00EE44CA" w:rsidRPr="002E6ECA">
        <w:rPr>
          <w:bCs/>
          <w:sz w:val="28"/>
          <w:szCs w:val="28"/>
          <w:lang w:val="uk-UA" w:eastAsia="uk-UA"/>
        </w:rPr>
        <w:t>,</w:t>
      </w:r>
      <w:r w:rsidR="00232FBF" w:rsidRPr="002E6ECA">
        <w:rPr>
          <w:bCs/>
          <w:sz w:val="28"/>
          <w:szCs w:val="28"/>
          <w:lang w:val="uk-UA" w:eastAsia="uk-UA"/>
        </w:rPr>
        <w:t xml:space="preserve"> 422</w:t>
      </w:r>
      <w:r w:rsidR="00EE44CA" w:rsidRPr="002E6ECA">
        <w:rPr>
          <w:bCs/>
          <w:sz w:val="28"/>
          <w:szCs w:val="28"/>
          <w:lang w:val="uk-UA" w:eastAsia="uk-UA"/>
        </w:rPr>
        <w:t xml:space="preserve">, </w:t>
      </w:r>
      <w:r w:rsidR="00232FBF" w:rsidRPr="002E6ECA">
        <w:rPr>
          <w:bCs/>
          <w:sz w:val="28"/>
          <w:szCs w:val="28"/>
          <w:lang w:val="uk-UA" w:eastAsia="uk-UA"/>
        </w:rPr>
        <w:t>437</w:t>
      </w:r>
      <w:r w:rsidR="00EE44CA" w:rsidRPr="002E6ECA">
        <w:rPr>
          <w:sz w:val="28"/>
          <w:szCs w:val="28"/>
          <w:lang w:val="uk-UA"/>
        </w:rPr>
        <w:t>]. Ця скринінгова методика була розроблена у 1988 році Майклом Джеллінеком та Майклом Мерфі з колегами [</w:t>
      </w:r>
      <w:r w:rsidR="001D68D5" w:rsidRPr="002E6ECA">
        <w:rPr>
          <w:sz w:val="28"/>
          <w:szCs w:val="28"/>
          <w:lang w:val="uk-UA"/>
        </w:rPr>
        <w:t xml:space="preserve">367, </w:t>
      </w:r>
      <w:r w:rsidR="00232FBF" w:rsidRPr="002E6ECA">
        <w:rPr>
          <w:sz w:val="28"/>
          <w:szCs w:val="28"/>
          <w:lang w:val="uk-UA"/>
        </w:rPr>
        <w:t>417</w:t>
      </w:r>
      <w:r w:rsidR="00EE44CA" w:rsidRPr="002E6ECA">
        <w:rPr>
          <w:sz w:val="28"/>
          <w:szCs w:val="28"/>
          <w:lang w:val="uk-UA"/>
        </w:rPr>
        <w:t>] та адаптована в Україні колективом авторів (процедуру адаптації викладено</w:t>
      </w:r>
      <w:bookmarkStart w:id="14" w:name="_Hlk535492769"/>
      <w:r w:rsidR="00EE44CA" w:rsidRPr="002E6ECA">
        <w:rPr>
          <w:sz w:val="28"/>
          <w:szCs w:val="28"/>
          <w:lang w:val="uk-UA"/>
        </w:rPr>
        <w:t xml:space="preserve"> у методичному посібнику </w:t>
      </w:r>
      <w:bookmarkEnd w:id="14"/>
      <w:r w:rsidR="00EE44CA" w:rsidRPr="002E6ECA">
        <w:rPr>
          <w:sz w:val="28"/>
          <w:szCs w:val="28"/>
          <w:lang w:val="uk-UA"/>
        </w:rPr>
        <w:t>«</w:t>
      </w:r>
      <w:r w:rsidR="00EE44CA" w:rsidRPr="002E6ECA">
        <w:rPr>
          <w:bCs/>
          <w:sz w:val="28"/>
          <w:szCs w:val="28"/>
          <w:lang w:val="uk-UA"/>
        </w:rPr>
        <w:t xml:space="preserve">Психодіагностичний комплекс для оцінки наслідків домашнього насильства у дітей» </w:t>
      </w:r>
      <w:r w:rsidR="00EE44CA" w:rsidRPr="002E6ECA">
        <w:rPr>
          <w:sz w:val="28"/>
          <w:szCs w:val="28"/>
          <w:lang w:val="uk-UA"/>
        </w:rPr>
        <w:t>Міхановською Н.Г., Штриголь Д.В., Луценко О.Л., Куратченко І.Є.) [</w:t>
      </w:r>
      <w:r w:rsidR="00232FBF" w:rsidRPr="002E6ECA">
        <w:rPr>
          <w:sz w:val="28"/>
          <w:szCs w:val="28"/>
          <w:lang w:val="uk-UA"/>
        </w:rPr>
        <w:t>128</w:t>
      </w:r>
      <w:r w:rsidR="00EE44CA" w:rsidRPr="002E6ECA">
        <w:rPr>
          <w:sz w:val="28"/>
          <w:szCs w:val="28"/>
          <w:lang w:val="uk-UA"/>
        </w:rPr>
        <w:t>]. Її дитяча (</w:t>
      </w:r>
      <w:r w:rsidR="00EE44CA" w:rsidRPr="002E6ECA">
        <w:rPr>
          <w:bCs/>
          <w:sz w:val="28"/>
          <w:szCs w:val="28"/>
          <w:lang w:val="uk-UA"/>
        </w:rPr>
        <w:t xml:space="preserve">Y-PSC) та батьківська (PSC) версії </w:t>
      </w:r>
      <w:r w:rsidR="00EE44CA" w:rsidRPr="002E6ECA">
        <w:rPr>
          <w:sz w:val="28"/>
          <w:szCs w:val="28"/>
          <w:lang w:val="uk-UA"/>
        </w:rPr>
        <w:t>призначені для виявлення психосоціальної дисфункції дітей. Анкета для оцінки ЯЖПЗ складається</w:t>
      </w:r>
      <w:r w:rsidRPr="002E6ECA">
        <w:rPr>
          <w:sz w:val="28"/>
          <w:szCs w:val="28"/>
          <w:lang w:val="uk-UA"/>
        </w:rPr>
        <w:t xml:space="preserve"> з 35 питань, які групуються </w:t>
      </w:r>
      <w:r w:rsidRPr="002E6ECA">
        <w:rPr>
          <w:bCs/>
          <w:sz w:val="28"/>
          <w:szCs w:val="28"/>
          <w:lang w:val="uk-UA"/>
        </w:rPr>
        <w:t xml:space="preserve">у 2 субшкали (інтерналізація та екстерналізація для середнього та старшого шкільного віку) та загальну шкалу рівня психосоціальної дисфункції. </w:t>
      </w:r>
    </w:p>
    <w:p w:rsidR="00671012" w:rsidRPr="002E6ECA" w:rsidRDefault="007306D6" w:rsidP="007306D6">
      <w:pPr>
        <w:spacing w:line="360" w:lineRule="auto"/>
        <w:ind w:firstLine="709"/>
        <w:jc w:val="both"/>
        <w:rPr>
          <w:bCs/>
          <w:sz w:val="28"/>
          <w:szCs w:val="28"/>
          <w:lang w:val="uk-UA"/>
        </w:rPr>
      </w:pPr>
      <w:r w:rsidRPr="002E6ECA">
        <w:rPr>
          <w:bCs/>
          <w:sz w:val="28"/>
          <w:szCs w:val="28"/>
          <w:lang w:val="uk-UA"/>
        </w:rPr>
        <w:t xml:space="preserve"> </w:t>
      </w:r>
      <w:r w:rsidR="00671012" w:rsidRPr="002E6ECA">
        <w:rPr>
          <w:bCs/>
          <w:sz w:val="28"/>
          <w:szCs w:val="28"/>
          <w:lang w:val="uk-UA"/>
        </w:rPr>
        <w:t>«Методика оцінки якості життя, пов'язаної зі здоров'ям у дітей середнього шкільного віку»</w:t>
      </w:r>
      <w:r w:rsidR="00671012" w:rsidRPr="002E6ECA">
        <w:rPr>
          <w:rFonts w:ascii="TimesNewRoman" w:hAnsi="TimesNewRoman"/>
          <w:bCs/>
          <w:sz w:val="28"/>
          <w:szCs w:val="28"/>
          <w:lang w:val="uk-UA"/>
        </w:rPr>
        <w:t xml:space="preserve"> </w:t>
      </w:r>
      <w:r w:rsidR="00671012" w:rsidRPr="002E6ECA">
        <w:rPr>
          <w:sz w:val="28"/>
          <w:szCs w:val="28"/>
          <w:lang w:val="uk-UA"/>
        </w:rPr>
        <w:t xml:space="preserve">(дод. Е) </w:t>
      </w:r>
      <w:r w:rsidR="00671012" w:rsidRPr="002E6ECA">
        <w:rPr>
          <w:bCs/>
          <w:sz w:val="28"/>
          <w:szCs w:val="28"/>
          <w:lang w:val="uk-UA"/>
        </w:rPr>
        <w:t>складається з 41 питання, які групуються у 8 основних шкал</w:t>
      </w:r>
      <w:r w:rsidR="00A13D67" w:rsidRPr="002E6ECA">
        <w:rPr>
          <w:bCs/>
          <w:sz w:val="28"/>
          <w:szCs w:val="28"/>
          <w:lang w:val="uk-UA"/>
        </w:rPr>
        <w:t xml:space="preserve"> та </w:t>
      </w:r>
      <w:r w:rsidR="00A13D67" w:rsidRPr="002E6ECA">
        <w:rPr>
          <w:sz w:val="28"/>
          <w:szCs w:val="28"/>
          <w:lang w:val="uk-UA"/>
        </w:rPr>
        <w:t>2 похідних</w:t>
      </w:r>
      <w:r w:rsidR="00671012" w:rsidRPr="002E6ECA">
        <w:rPr>
          <w:bCs/>
          <w:sz w:val="28"/>
          <w:szCs w:val="28"/>
          <w:lang w:val="uk-UA"/>
        </w:rPr>
        <w:t xml:space="preserve">: </w:t>
      </w:r>
    </w:p>
    <w:p w:rsidR="00A13D67" w:rsidRPr="002E6ECA" w:rsidRDefault="00A13D67" w:rsidP="00A13D67">
      <w:pPr>
        <w:spacing w:line="360" w:lineRule="auto"/>
        <w:ind w:firstLine="709"/>
        <w:jc w:val="center"/>
        <w:rPr>
          <w:bCs/>
          <w:sz w:val="28"/>
          <w:szCs w:val="28"/>
          <w:lang w:val="uk-UA"/>
        </w:rPr>
      </w:pPr>
      <w:r w:rsidRPr="002E6ECA">
        <w:rPr>
          <w:bCs/>
          <w:sz w:val="28"/>
          <w:szCs w:val="28"/>
          <w:lang w:val="uk-UA"/>
        </w:rPr>
        <w:t>Основні шкали:</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ЗЗ (загальне здоров’я) – питання №№ 1-4</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ВБ (відчуття болю) – питання №№ 5-7</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ФФ (фізичне функціонування) – питання №№ 8-14</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РФФ (рольове фізичне функціонування) – питання №№ 19-24</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ЖЗ (життєздатність) – питання №№ 15-18</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lastRenderedPageBreak/>
        <w:t>СФ (соціальне функціонування) – питання №№ 26-30</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РЕФ (рольове емоційне функціонування) – питання №№ 25, 31-35</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ПЗ (психічне здоров’я) – питання №№ 36-41</w:t>
      </w:r>
    </w:p>
    <w:p w:rsidR="00671012" w:rsidRPr="002E6ECA" w:rsidRDefault="00A13D67" w:rsidP="00671012">
      <w:pPr>
        <w:spacing w:line="360" w:lineRule="auto"/>
        <w:ind w:left="720" w:hanging="436"/>
        <w:contextualSpacing/>
        <w:jc w:val="center"/>
        <w:rPr>
          <w:sz w:val="28"/>
          <w:szCs w:val="28"/>
          <w:lang w:val="uk-UA"/>
        </w:rPr>
      </w:pPr>
      <w:r w:rsidRPr="002E6ECA">
        <w:rPr>
          <w:sz w:val="28"/>
          <w:szCs w:val="28"/>
          <w:lang w:val="uk-UA"/>
        </w:rPr>
        <w:t>Похідні шкали:</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ШФ (шкільне функціонування) – питання №№ 22, 25, 28, 31, 32, 34</w:t>
      </w:r>
    </w:p>
    <w:p w:rsidR="00671012" w:rsidRPr="002E6ECA" w:rsidRDefault="00671012" w:rsidP="00671012">
      <w:pPr>
        <w:numPr>
          <w:ilvl w:val="0"/>
          <w:numId w:val="13"/>
        </w:numPr>
        <w:spacing w:line="360" w:lineRule="auto"/>
        <w:ind w:hanging="436"/>
        <w:contextualSpacing/>
        <w:jc w:val="both"/>
        <w:rPr>
          <w:sz w:val="28"/>
          <w:szCs w:val="28"/>
          <w:lang w:val="uk-UA"/>
        </w:rPr>
      </w:pPr>
      <w:r w:rsidRPr="002E6ECA">
        <w:rPr>
          <w:sz w:val="28"/>
          <w:szCs w:val="28"/>
          <w:lang w:val="uk-UA"/>
        </w:rPr>
        <w:t>РФ (родинне функціонування) – питання №№ 9, 13, 20, 27</w:t>
      </w:r>
    </w:p>
    <w:p w:rsidR="00671012" w:rsidRPr="002E6ECA" w:rsidRDefault="00671012" w:rsidP="00671012">
      <w:pPr>
        <w:spacing w:line="360" w:lineRule="auto"/>
        <w:ind w:firstLine="709"/>
        <w:jc w:val="both"/>
        <w:rPr>
          <w:sz w:val="28"/>
          <w:szCs w:val="28"/>
          <w:lang w:val="uk-UA"/>
        </w:rPr>
      </w:pPr>
      <w:r w:rsidRPr="002E6ECA">
        <w:rPr>
          <w:sz w:val="28"/>
          <w:szCs w:val="28"/>
          <w:lang w:val="uk-UA"/>
        </w:rPr>
        <w:t>За кожною із шкал за результатами аналізу бази досліджень визначається чотирирівневий результат (табл.</w:t>
      </w:r>
      <w:r w:rsidR="009D364F" w:rsidRPr="002E6ECA">
        <w:rPr>
          <w:sz w:val="28"/>
          <w:szCs w:val="28"/>
          <w:lang w:val="uk-UA"/>
        </w:rPr>
        <w:t xml:space="preserve"> </w:t>
      </w:r>
      <w:r w:rsidRPr="002E6ECA">
        <w:rPr>
          <w:sz w:val="28"/>
          <w:szCs w:val="28"/>
          <w:lang w:val="uk-UA"/>
        </w:rPr>
        <w:t>2.</w:t>
      </w:r>
      <w:r w:rsidR="009D364F" w:rsidRPr="002E6ECA">
        <w:rPr>
          <w:sz w:val="28"/>
          <w:szCs w:val="28"/>
          <w:lang w:val="uk-UA"/>
        </w:rPr>
        <w:t>3</w:t>
      </w:r>
      <w:r w:rsidRPr="002E6ECA">
        <w:rPr>
          <w:sz w:val="28"/>
          <w:szCs w:val="28"/>
          <w:lang w:val="uk-UA"/>
        </w:rPr>
        <w:t>), що конкретизується за кожною шкалою окремо. Оцінка ЯЖПЗ за кожною шкалою окремо дозволяє визначити за рахунок якої компоненти здоров’я знижується загальний рівень якості життя, що розцінюється як один з критеріїв шкільної дезадаптації. Загальний показник ЯЖПЗ визначається як середнє арифметичне значень за основними (8) шкалами. Рівень за кожною шкалою та загальний рівень ЯЖПЗ визначається за допомогою центильного методу.</w:t>
      </w:r>
    </w:p>
    <w:p w:rsidR="00EE44CA" w:rsidRPr="002E6ECA" w:rsidRDefault="00EE44CA" w:rsidP="00EE44CA">
      <w:pPr>
        <w:spacing w:line="360" w:lineRule="auto"/>
        <w:ind w:firstLine="709"/>
        <w:jc w:val="both"/>
        <w:rPr>
          <w:sz w:val="28"/>
          <w:szCs w:val="28"/>
          <w:lang w:val="uk-UA"/>
        </w:rPr>
      </w:pPr>
      <w:r w:rsidRPr="002E6ECA">
        <w:rPr>
          <w:sz w:val="28"/>
          <w:szCs w:val="28"/>
          <w:lang w:val="uk-UA"/>
        </w:rPr>
        <w:t>На підставі дискримінантного аналізу побудовано прогностичні моделі (описова здатність 89,1%), за якими діти відносяться до тієї чи іншої групи (формули 2.2-2.5). Розрахунок проводиться за кожним з рівнянь. Розподіл за групами відбувається відповідно до максимального з отриманих результатів розрахунку.</w:t>
      </w:r>
    </w:p>
    <w:p w:rsidR="00EE44CA" w:rsidRPr="002E6ECA" w:rsidRDefault="00EE44CA" w:rsidP="00EE44CA">
      <w:pPr>
        <w:spacing w:line="360" w:lineRule="auto"/>
        <w:ind w:firstLine="709"/>
        <w:jc w:val="both"/>
        <w:rPr>
          <w:sz w:val="28"/>
          <w:szCs w:val="28"/>
          <w:lang w:val="uk-UA"/>
        </w:rPr>
      </w:pPr>
      <w:r w:rsidRPr="002E6ECA">
        <w:rPr>
          <w:sz w:val="28"/>
          <w:szCs w:val="28"/>
          <w:lang w:val="uk-UA"/>
        </w:rPr>
        <w:t>Найбільш значущими показниками для визначення ЯЖПЗ були рольове фізичне, емоційне, соціальне функціонування та психічне благополуччя, за якими будо дано характеристику кожної групи.</w:t>
      </w:r>
    </w:p>
    <w:p w:rsidR="00EE44CA" w:rsidRPr="002E6ECA" w:rsidRDefault="00EE44CA" w:rsidP="00EE44CA">
      <w:pPr>
        <w:spacing w:line="360" w:lineRule="auto"/>
        <w:ind w:firstLine="709"/>
        <w:jc w:val="both"/>
        <w:rPr>
          <w:sz w:val="28"/>
          <w:szCs w:val="28"/>
          <w:lang w:val="uk-UA"/>
        </w:rPr>
      </w:pPr>
      <w:r w:rsidRPr="002E6ECA">
        <w:rPr>
          <w:sz w:val="28"/>
          <w:szCs w:val="28"/>
          <w:lang w:val="uk-UA"/>
        </w:rPr>
        <w:t xml:space="preserve"> Характеристика учня 1 групи ЯЖПЗ (формула 2.2): учень добре адаптований у школі та у родині; має середній рівень рольового фізичного та соціального функціонування і нижче середнього – за шкалою рольового емоційного функціонування.</w:t>
      </w:r>
    </w:p>
    <w:p w:rsidR="00EE44CA" w:rsidRPr="002E6ECA" w:rsidRDefault="00EE44CA" w:rsidP="00EE44CA">
      <w:pPr>
        <w:spacing w:line="360" w:lineRule="auto"/>
        <w:ind w:firstLine="709"/>
        <w:jc w:val="both"/>
        <w:rPr>
          <w:sz w:val="28"/>
          <w:szCs w:val="28"/>
          <w:lang w:val="uk-UA"/>
        </w:rPr>
      </w:pPr>
    </w:p>
    <w:p w:rsidR="00EE44CA" w:rsidRPr="002E6ECA" w:rsidRDefault="00EE44CA" w:rsidP="00EE44CA">
      <w:pPr>
        <w:spacing w:line="360" w:lineRule="auto"/>
        <w:jc w:val="center"/>
        <w:rPr>
          <w:sz w:val="28"/>
          <w:szCs w:val="28"/>
          <w:lang w:val="uk-UA"/>
        </w:rPr>
      </w:pPr>
      <m:oMath>
        <m:r>
          <w:rPr>
            <w:rFonts w:ascii="Cambria Math" w:hAnsi="Cambria Math"/>
            <w:sz w:val="28"/>
            <w:szCs w:val="28"/>
            <w:lang w:val="uk-UA"/>
          </w:rPr>
          <m:t xml:space="preserve">1 група ЯЖПЗ=0,092×ЗЗ+0,137×ВБ+0,098×ФФ+0,215×РФФ+0,017×ЖЗ+0,179×СФ+0,153×РЕФ+0,076×ПБ–41,286 </m:t>
        </m:r>
      </m:oMath>
      <w:r w:rsidRPr="002E6ECA">
        <w:rPr>
          <w:sz w:val="28"/>
          <w:szCs w:val="28"/>
          <w:lang w:val="uk-UA"/>
        </w:rPr>
        <w:t xml:space="preserve">             (2.2)</w:t>
      </w:r>
    </w:p>
    <w:p w:rsidR="00EE44CA" w:rsidRPr="002E6ECA" w:rsidRDefault="00EE44CA" w:rsidP="00EE44CA">
      <w:pPr>
        <w:spacing w:line="360" w:lineRule="auto"/>
        <w:ind w:firstLine="709"/>
        <w:jc w:val="both"/>
        <w:rPr>
          <w:sz w:val="28"/>
          <w:szCs w:val="28"/>
          <w:lang w:val="uk-UA"/>
        </w:rPr>
      </w:pPr>
      <w:r w:rsidRPr="002E6ECA">
        <w:rPr>
          <w:sz w:val="28"/>
          <w:szCs w:val="28"/>
          <w:lang w:val="uk-UA"/>
        </w:rPr>
        <w:lastRenderedPageBreak/>
        <w:t>Характеристика учня 2 групи ЯЖПЗ (формула 2.3): учень недостатньо адаптований у школі та у родині; має нижче середнього рівень рольового фізичного, рольового емоційного, соціального функціонування та психічного благополуччя.</w:t>
      </w:r>
    </w:p>
    <w:p w:rsidR="00EE44CA" w:rsidRPr="002E6ECA" w:rsidRDefault="00EE44CA" w:rsidP="00EE44CA">
      <w:pPr>
        <w:spacing w:line="360" w:lineRule="auto"/>
        <w:ind w:firstLine="709"/>
        <w:jc w:val="both"/>
        <w:rPr>
          <w:sz w:val="28"/>
          <w:szCs w:val="28"/>
          <w:lang w:val="uk-UA"/>
        </w:rPr>
      </w:pPr>
    </w:p>
    <w:p w:rsidR="00EE44CA" w:rsidRPr="002E6ECA" w:rsidRDefault="00EE44CA" w:rsidP="00EE44CA">
      <w:pPr>
        <w:spacing w:line="360" w:lineRule="auto"/>
        <w:jc w:val="center"/>
        <w:rPr>
          <w:sz w:val="28"/>
          <w:szCs w:val="28"/>
          <w:lang w:val="uk-UA"/>
        </w:rPr>
      </w:pPr>
      <m:oMath>
        <m:r>
          <w:rPr>
            <w:rFonts w:ascii="Cambria Math" w:hAnsi="Cambria Math"/>
            <w:sz w:val="28"/>
            <w:szCs w:val="28"/>
            <w:lang w:val="uk-UA"/>
          </w:rPr>
          <m:t>2 група ЯЖПЗ=</m:t>
        </m:r>
        <m:r>
          <m:rPr>
            <m:sty m:val="p"/>
          </m:rPr>
          <w:rPr>
            <w:rFonts w:ascii="Cambria Math" w:hAnsi="Cambria Math"/>
            <w:sz w:val="28"/>
            <w:szCs w:val="28"/>
            <w:lang w:val="uk-UA"/>
          </w:rPr>
          <m:t>0,099×ЗЗ+0,095×ВБ+0,092×ФФ+0,123×РФФ+0,021×ЖЗ+0,115×СФ+0,080×РЕФ+0,020× ПБ – 19,332</m:t>
        </m:r>
        <m:r>
          <w:rPr>
            <w:rFonts w:ascii="Cambria Math" w:hAnsi="Cambria Math"/>
            <w:sz w:val="28"/>
            <w:szCs w:val="28"/>
            <w:lang w:val="uk-UA"/>
          </w:rPr>
          <m:t xml:space="preserve"> </m:t>
        </m:r>
      </m:oMath>
      <w:r w:rsidRPr="002E6ECA">
        <w:rPr>
          <w:sz w:val="28"/>
          <w:szCs w:val="28"/>
          <w:lang w:val="uk-UA"/>
        </w:rPr>
        <w:t xml:space="preserve">            (2.3)</w:t>
      </w:r>
    </w:p>
    <w:p w:rsidR="00EE44CA" w:rsidRPr="002E6ECA" w:rsidRDefault="00EE44CA" w:rsidP="00671012">
      <w:pPr>
        <w:spacing w:line="360" w:lineRule="auto"/>
        <w:ind w:firstLine="709"/>
        <w:jc w:val="both"/>
        <w:rPr>
          <w:sz w:val="28"/>
          <w:szCs w:val="28"/>
          <w:lang w:val="uk-UA"/>
        </w:rPr>
      </w:pPr>
    </w:p>
    <w:p w:rsidR="00671012" w:rsidRPr="002E6ECA" w:rsidRDefault="00671012" w:rsidP="00671012">
      <w:pPr>
        <w:spacing w:line="360" w:lineRule="auto"/>
        <w:ind w:firstLine="709"/>
        <w:jc w:val="right"/>
        <w:rPr>
          <w:i/>
          <w:sz w:val="28"/>
          <w:szCs w:val="28"/>
          <w:lang w:val="uk-UA"/>
        </w:rPr>
      </w:pPr>
      <w:r w:rsidRPr="002E6ECA">
        <w:rPr>
          <w:i/>
          <w:sz w:val="28"/>
          <w:szCs w:val="28"/>
          <w:lang w:val="uk-UA"/>
        </w:rPr>
        <w:t>Таблиця 2.3</w:t>
      </w:r>
    </w:p>
    <w:p w:rsidR="00671012" w:rsidRPr="002E6ECA" w:rsidRDefault="00671012" w:rsidP="00671012">
      <w:pPr>
        <w:spacing w:line="360" w:lineRule="auto"/>
        <w:ind w:firstLine="709"/>
        <w:jc w:val="center"/>
        <w:rPr>
          <w:b/>
          <w:sz w:val="28"/>
          <w:szCs w:val="28"/>
          <w:lang w:val="uk-UA"/>
        </w:rPr>
      </w:pPr>
      <w:r w:rsidRPr="002E6ECA">
        <w:rPr>
          <w:b/>
          <w:sz w:val="28"/>
          <w:szCs w:val="28"/>
          <w:lang w:val="uk-UA"/>
        </w:rPr>
        <w:t>Рівні показників якості життя, що пов’язана зі здоров’ям учнів середнього шкільного віку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51"/>
        <w:gridCol w:w="2551"/>
        <w:gridCol w:w="992"/>
        <w:gridCol w:w="1590"/>
        <w:gridCol w:w="1645"/>
        <w:gridCol w:w="1301"/>
      </w:tblGrid>
      <w:tr w:rsidR="00671012" w:rsidRPr="002E6ECA" w:rsidTr="00671012">
        <w:tc>
          <w:tcPr>
            <w:tcW w:w="534" w:type="dxa"/>
            <w:shd w:val="clear" w:color="auto" w:fill="auto"/>
          </w:tcPr>
          <w:p w:rsidR="00671012" w:rsidRPr="002E6ECA" w:rsidRDefault="00671012" w:rsidP="00671012">
            <w:pPr>
              <w:spacing w:line="360" w:lineRule="auto"/>
              <w:jc w:val="both"/>
              <w:rPr>
                <w:sz w:val="28"/>
                <w:szCs w:val="28"/>
                <w:lang w:val="uk-UA"/>
              </w:rPr>
            </w:pPr>
          </w:p>
        </w:tc>
        <w:tc>
          <w:tcPr>
            <w:tcW w:w="3402" w:type="dxa"/>
            <w:gridSpan w:val="2"/>
            <w:shd w:val="clear" w:color="auto" w:fill="auto"/>
            <w:vAlign w:val="center"/>
          </w:tcPr>
          <w:p w:rsidR="00671012" w:rsidRPr="002E6ECA" w:rsidRDefault="00671012" w:rsidP="00671012">
            <w:pPr>
              <w:spacing w:line="360" w:lineRule="auto"/>
              <w:jc w:val="center"/>
              <w:rPr>
                <w:sz w:val="28"/>
                <w:szCs w:val="28"/>
                <w:lang w:val="uk-UA"/>
              </w:rPr>
            </w:pPr>
            <w:r w:rsidRPr="002E6ECA">
              <w:rPr>
                <w:sz w:val="28"/>
                <w:szCs w:val="28"/>
                <w:lang w:val="uk-UA"/>
              </w:rPr>
              <w:t>Шкала</w:t>
            </w:r>
          </w:p>
        </w:tc>
        <w:tc>
          <w:tcPr>
            <w:tcW w:w="992" w:type="dxa"/>
            <w:shd w:val="clear" w:color="auto" w:fill="auto"/>
            <w:vAlign w:val="center"/>
          </w:tcPr>
          <w:p w:rsidR="00671012" w:rsidRPr="002E6ECA" w:rsidRDefault="00671012" w:rsidP="00671012">
            <w:pPr>
              <w:spacing w:line="360" w:lineRule="auto"/>
              <w:jc w:val="center"/>
              <w:rPr>
                <w:sz w:val="28"/>
                <w:szCs w:val="28"/>
                <w:lang w:val="uk-UA"/>
              </w:rPr>
            </w:pPr>
            <w:r w:rsidRPr="002E6ECA">
              <w:rPr>
                <w:sz w:val="28"/>
                <w:szCs w:val="28"/>
                <w:lang w:val="uk-UA"/>
              </w:rPr>
              <w:t>Низь кий</w:t>
            </w:r>
          </w:p>
        </w:tc>
        <w:tc>
          <w:tcPr>
            <w:tcW w:w="1590" w:type="dxa"/>
            <w:shd w:val="clear" w:color="auto" w:fill="auto"/>
            <w:vAlign w:val="center"/>
          </w:tcPr>
          <w:p w:rsidR="00671012" w:rsidRPr="002E6ECA" w:rsidRDefault="00671012" w:rsidP="00671012">
            <w:pPr>
              <w:spacing w:line="360" w:lineRule="auto"/>
              <w:jc w:val="center"/>
              <w:rPr>
                <w:sz w:val="28"/>
                <w:szCs w:val="28"/>
                <w:lang w:val="uk-UA"/>
              </w:rPr>
            </w:pPr>
            <w:r w:rsidRPr="002E6ECA">
              <w:rPr>
                <w:sz w:val="28"/>
                <w:szCs w:val="28"/>
                <w:lang w:val="uk-UA"/>
              </w:rPr>
              <w:t>Нижче середнього</w:t>
            </w:r>
          </w:p>
        </w:tc>
        <w:tc>
          <w:tcPr>
            <w:tcW w:w="1645" w:type="dxa"/>
            <w:shd w:val="clear" w:color="auto" w:fill="auto"/>
            <w:vAlign w:val="center"/>
          </w:tcPr>
          <w:p w:rsidR="00671012" w:rsidRPr="002E6ECA" w:rsidRDefault="00671012" w:rsidP="00671012">
            <w:pPr>
              <w:spacing w:line="360" w:lineRule="auto"/>
              <w:jc w:val="center"/>
              <w:rPr>
                <w:sz w:val="28"/>
                <w:szCs w:val="28"/>
                <w:lang w:val="uk-UA"/>
              </w:rPr>
            </w:pPr>
            <w:r w:rsidRPr="002E6ECA">
              <w:rPr>
                <w:sz w:val="28"/>
                <w:szCs w:val="28"/>
                <w:lang w:val="uk-UA"/>
              </w:rPr>
              <w:t>Середній</w:t>
            </w:r>
          </w:p>
        </w:tc>
        <w:tc>
          <w:tcPr>
            <w:tcW w:w="1301" w:type="dxa"/>
            <w:shd w:val="clear" w:color="auto" w:fill="auto"/>
            <w:vAlign w:val="center"/>
          </w:tcPr>
          <w:p w:rsidR="00671012" w:rsidRPr="002E6ECA" w:rsidRDefault="00671012" w:rsidP="00671012">
            <w:pPr>
              <w:spacing w:line="360" w:lineRule="auto"/>
              <w:jc w:val="center"/>
              <w:rPr>
                <w:sz w:val="28"/>
                <w:szCs w:val="28"/>
                <w:lang w:val="uk-UA"/>
              </w:rPr>
            </w:pPr>
            <w:r w:rsidRPr="002E6ECA">
              <w:rPr>
                <w:sz w:val="28"/>
                <w:szCs w:val="28"/>
                <w:lang w:val="uk-UA"/>
              </w:rPr>
              <w:t>Вище середнього</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ЗЗ</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Загальне здоров’я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&lt;28,0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28,0-45,45</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45,46-72,72</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≥72,73</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ВБ</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Відчуття  болю</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&lt;34,0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34,0-66,66</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66,67-98,99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≥99,0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ФФ</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Фізичне  функціонування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&lt;21,0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21,0-78,12</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78,13-98,99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≥99,0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РФФ</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Рольове  фізичне функціонування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&lt;37,0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37,0-81,81</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81,82-98,99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≥99,0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ЖЗ</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 xml:space="preserve">Життєздатність </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&lt;34,0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34,0-53,32</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53,33-80,99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≥81,0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СФ</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Соціальне функціонування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&lt;27,0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27,0-53,32</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53,33-80,99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≥81,0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РЕФ</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Рольове  емоційне функціонування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&lt;36,0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36,0-70,58</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70,59-99,99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=100,0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ПБ</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Психічне благополуччя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&lt;29,0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29,0-52,37</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52,38-80,99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≥81,0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ШФ</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Шкільне  функціонування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&lt;32,0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32,0-68,74</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68,75-98,99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≥99,0</w:t>
            </w:r>
          </w:p>
        </w:tc>
      </w:tr>
      <w:tr w:rsidR="00671012" w:rsidRPr="002E6ECA" w:rsidTr="00671012">
        <w:tc>
          <w:tcPr>
            <w:tcW w:w="534" w:type="dxa"/>
            <w:shd w:val="clear" w:color="auto" w:fill="auto"/>
          </w:tcPr>
          <w:p w:rsidR="00671012" w:rsidRPr="002E6ECA" w:rsidRDefault="00671012" w:rsidP="00671012">
            <w:pPr>
              <w:numPr>
                <w:ilvl w:val="0"/>
                <w:numId w:val="14"/>
              </w:numPr>
              <w:spacing w:line="276" w:lineRule="auto"/>
              <w:ind w:left="0" w:firstLine="0"/>
              <w:contextualSpacing/>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РФ</w:t>
            </w: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Родинне функціонування</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&lt;31,0</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31,0-69,99</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70,0-98,99</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≥99,0</w:t>
            </w:r>
          </w:p>
        </w:tc>
      </w:tr>
      <w:tr w:rsidR="00671012" w:rsidRPr="002E6ECA" w:rsidTr="00671012">
        <w:tc>
          <w:tcPr>
            <w:tcW w:w="534" w:type="dxa"/>
            <w:shd w:val="clear" w:color="auto" w:fill="auto"/>
          </w:tcPr>
          <w:p w:rsidR="00671012" w:rsidRPr="002E6ECA" w:rsidRDefault="00671012" w:rsidP="00671012">
            <w:pPr>
              <w:spacing w:line="276" w:lineRule="auto"/>
              <w:jc w:val="both"/>
              <w:rPr>
                <w:sz w:val="28"/>
                <w:szCs w:val="28"/>
                <w:lang w:val="uk-UA"/>
              </w:rPr>
            </w:pPr>
          </w:p>
        </w:tc>
        <w:tc>
          <w:tcPr>
            <w:tcW w:w="851" w:type="dxa"/>
            <w:shd w:val="clear" w:color="auto" w:fill="auto"/>
          </w:tcPr>
          <w:p w:rsidR="00671012" w:rsidRPr="002E6ECA" w:rsidRDefault="00671012" w:rsidP="00671012">
            <w:pPr>
              <w:spacing w:line="276" w:lineRule="auto"/>
              <w:jc w:val="both"/>
              <w:rPr>
                <w:sz w:val="28"/>
                <w:szCs w:val="28"/>
                <w:lang w:val="uk-UA"/>
              </w:rPr>
            </w:pPr>
          </w:p>
        </w:tc>
        <w:tc>
          <w:tcPr>
            <w:tcW w:w="255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Загальний показник ЯЖПЗ</w:t>
            </w:r>
          </w:p>
        </w:tc>
        <w:tc>
          <w:tcPr>
            <w:tcW w:w="992"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&lt;48,6</w:t>
            </w:r>
          </w:p>
        </w:tc>
        <w:tc>
          <w:tcPr>
            <w:tcW w:w="1590"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48,6-65,7</w:t>
            </w:r>
          </w:p>
        </w:tc>
        <w:tc>
          <w:tcPr>
            <w:tcW w:w="1645"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65,8-83,7</w:t>
            </w:r>
          </w:p>
        </w:tc>
        <w:tc>
          <w:tcPr>
            <w:tcW w:w="1301" w:type="dxa"/>
            <w:shd w:val="clear" w:color="auto" w:fill="auto"/>
          </w:tcPr>
          <w:p w:rsidR="00671012" w:rsidRPr="002E6ECA" w:rsidRDefault="00671012" w:rsidP="00671012">
            <w:pPr>
              <w:spacing w:line="276" w:lineRule="auto"/>
              <w:jc w:val="both"/>
              <w:rPr>
                <w:sz w:val="28"/>
                <w:szCs w:val="28"/>
                <w:lang w:val="uk-UA"/>
              </w:rPr>
            </w:pPr>
            <w:r w:rsidRPr="002E6ECA">
              <w:rPr>
                <w:sz w:val="28"/>
                <w:szCs w:val="28"/>
                <w:lang w:val="uk-UA"/>
              </w:rPr>
              <w:t>&gt;83,7</w:t>
            </w:r>
          </w:p>
        </w:tc>
      </w:tr>
    </w:tbl>
    <w:p w:rsidR="009D364F" w:rsidRPr="002E6ECA" w:rsidRDefault="009D364F" w:rsidP="009D364F">
      <w:pPr>
        <w:spacing w:line="360" w:lineRule="auto"/>
        <w:ind w:firstLine="709"/>
        <w:jc w:val="both"/>
        <w:rPr>
          <w:sz w:val="28"/>
          <w:szCs w:val="28"/>
        </w:rPr>
      </w:pPr>
    </w:p>
    <w:p w:rsidR="00A13D67" w:rsidRPr="002E6ECA" w:rsidRDefault="00A13D67" w:rsidP="009D364F">
      <w:pPr>
        <w:spacing w:line="360" w:lineRule="auto"/>
        <w:ind w:firstLine="709"/>
        <w:jc w:val="both"/>
        <w:rPr>
          <w:sz w:val="28"/>
          <w:szCs w:val="28"/>
          <w:lang w:val="uk-UA"/>
        </w:rPr>
      </w:pPr>
      <w:r w:rsidRPr="002E6ECA">
        <w:rPr>
          <w:sz w:val="28"/>
          <w:szCs w:val="28"/>
          <w:lang w:val="uk-UA"/>
        </w:rPr>
        <w:lastRenderedPageBreak/>
        <w:t>Характеристика учня 3 групи ЯЖПЗ (формула 2.4): учень недостатньо адаптований у школі та добре – у родині; має середній рівень соціального та рольового емоційного функціонування та нижче середнього – рольового  фізичного функціонування».</w:t>
      </w:r>
    </w:p>
    <w:p w:rsidR="00A13D67" w:rsidRPr="002E6ECA" w:rsidRDefault="00A13D67" w:rsidP="009D364F">
      <w:pPr>
        <w:spacing w:line="360" w:lineRule="auto"/>
        <w:ind w:firstLine="709"/>
        <w:jc w:val="both"/>
        <w:rPr>
          <w:sz w:val="28"/>
          <w:szCs w:val="28"/>
          <w:lang w:val="uk-UA"/>
        </w:rPr>
      </w:pPr>
    </w:p>
    <w:p w:rsidR="009D364F" w:rsidRPr="002E6ECA" w:rsidRDefault="009D364F" w:rsidP="009D364F">
      <w:pPr>
        <w:spacing w:line="360" w:lineRule="auto"/>
        <w:jc w:val="center"/>
        <w:rPr>
          <w:sz w:val="28"/>
          <w:szCs w:val="28"/>
          <w:lang w:val="uk-UA"/>
        </w:rPr>
      </w:pPr>
      <m:oMath>
        <m:r>
          <w:rPr>
            <w:rFonts w:ascii="Cambria Math" w:hAnsi="Cambria Math"/>
            <w:sz w:val="28"/>
            <w:szCs w:val="28"/>
            <w:lang w:val="uk-UA"/>
          </w:rPr>
          <m:t>3 група ЯЖПЗ=</m:t>
        </m:r>
        <m:r>
          <m:rPr>
            <m:sty m:val="p"/>
          </m:rPr>
          <w:rPr>
            <w:rFonts w:ascii="Cambria Math" w:hAnsi="Cambria Math"/>
            <w:sz w:val="28"/>
            <w:szCs w:val="28"/>
            <w:lang w:val="uk-UA"/>
          </w:rPr>
          <m:t>0,145×ЗЗ+0,153×ВБ+0,134×ФФ+0,154×РФФ+0,049×ЖЗ+0,132×СФ – 0,070×РЕФ+0,108× ПБ – 32,202</m:t>
        </m:r>
        <m:r>
          <w:rPr>
            <w:rFonts w:ascii="Cambria Math" w:hAnsi="Cambria Math"/>
            <w:sz w:val="28"/>
            <w:szCs w:val="28"/>
            <w:lang w:val="uk-UA"/>
          </w:rPr>
          <m:t xml:space="preserve"> </m:t>
        </m:r>
      </m:oMath>
      <w:r w:rsidRPr="002E6ECA">
        <w:rPr>
          <w:sz w:val="28"/>
          <w:szCs w:val="28"/>
          <w:lang w:val="uk-UA"/>
        </w:rPr>
        <w:t xml:space="preserve">            </w:t>
      </w:r>
      <w:r w:rsidR="00A13D67" w:rsidRPr="002E6ECA">
        <w:rPr>
          <w:sz w:val="28"/>
          <w:szCs w:val="28"/>
          <w:lang w:val="uk-UA"/>
        </w:rPr>
        <w:t>(</w:t>
      </w:r>
      <w:r w:rsidRPr="002E6ECA">
        <w:rPr>
          <w:sz w:val="28"/>
          <w:szCs w:val="28"/>
          <w:lang w:val="uk-UA"/>
        </w:rPr>
        <w:t>2.4</w:t>
      </w:r>
      <w:r w:rsidR="00A13D67" w:rsidRPr="002E6ECA">
        <w:rPr>
          <w:sz w:val="28"/>
          <w:szCs w:val="28"/>
          <w:lang w:val="uk-UA"/>
        </w:rPr>
        <w:t>)</w:t>
      </w:r>
    </w:p>
    <w:p w:rsidR="00A13D67" w:rsidRPr="002E6ECA" w:rsidRDefault="00A13D67" w:rsidP="00A13D67">
      <w:pPr>
        <w:spacing w:line="360" w:lineRule="auto"/>
        <w:ind w:firstLine="709"/>
        <w:jc w:val="both"/>
        <w:rPr>
          <w:sz w:val="28"/>
          <w:szCs w:val="28"/>
          <w:lang w:val="uk-UA"/>
        </w:rPr>
      </w:pPr>
      <w:r w:rsidRPr="002E6ECA">
        <w:rPr>
          <w:sz w:val="28"/>
          <w:szCs w:val="28"/>
          <w:lang w:val="uk-UA"/>
        </w:rPr>
        <w:t>Характеристика учня 4 групи ЯЖПЗ (формула 2.5): учень недостатньо адаптований у школі та у родині; має вище середнього рівень рольового  фізичного функціонування та нижче середнього – соціальне і рольове емоційне функціонування.</w:t>
      </w:r>
    </w:p>
    <w:p w:rsidR="009D364F" w:rsidRPr="002E6ECA" w:rsidRDefault="009D364F" w:rsidP="00671012">
      <w:pPr>
        <w:spacing w:line="360" w:lineRule="auto"/>
        <w:jc w:val="both"/>
        <w:rPr>
          <w:sz w:val="28"/>
          <w:szCs w:val="28"/>
          <w:lang w:val="uk-UA"/>
        </w:rPr>
      </w:pPr>
    </w:p>
    <w:p w:rsidR="00373A9C" w:rsidRPr="002E6ECA" w:rsidRDefault="00373A9C" w:rsidP="00373A9C">
      <w:pPr>
        <w:spacing w:line="360" w:lineRule="auto"/>
        <w:jc w:val="center"/>
        <w:rPr>
          <w:sz w:val="28"/>
          <w:szCs w:val="28"/>
          <w:lang w:val="uk-UA"/>
        </w:rPr>
      </w:pPr>
      <m:oMath>
        <m:r>
          <w:rPr>
            <w:rFonts w:ascii="Cambria Math" w:hAnsi="Cambria Math"/>
            <w:sz w:val="28"/>
            <w:szCs w:val="28"/>
            <w:lang w:val="uk-UA"/>
          </w:rPr>
          <m:t>4 група ЯЖПЗ=</m:t>
        </m:r>
        <m:r>
          <m:rPr>
            <m:sty m:val="p"/>
          </m:rPr>
          <w:rPr>
            <w:rFonts w:ascii="Cambria Math" w:hAnsi="Cambria Math"/>
            <w:sz w:val="28"/>
            <w:szCs w:val="28"/>
            <w:lang w:val="uk-UA"/>
          </w:rPr>
          <m:t>0,104×ЗЗ+0,179×ВБ+0,064×ФФ+0,291×РФФ+0,020×ЖЗ+0,055×СФ – 0,014×РЕФ+0,144× ПБ – 34,361</m:t>
        </m:r>
        <m:r>
          <w:rPr>
            <w:rFonts w:ascii="Cambria Math" w:hAnsi="Cambria Math"/>
            <w:sz w:val="28"/>
            <w:szCs w:val="28"/>
            <w:lang w:val="uk-UA"/>
          </w:rPr>
          <m:t xml:space="preserve"> </m:t>
        </m:r>
      </m:oMath>
      <w:r w:rsidRPr="002E6ECA">
        <w:rPr>
          <w:sz w:val="28"/>
          <w:szCs w:val="28"/>
          <w:lang w:val="uk-UA"/>
        </w:rPr>
        <w:t xml:space="preserve">            </w:t>
      </w:r>
      <w:r w:rsidR="00A13D67" w:rsidRPr="002E6ECA">
        <w:rPr>
          <w:sz w:val="28"/>
          <w:szCs w:val="28"/>
          <w:lang w:val="uk-UA"/>
        </w:rPr>
        <w:t>(</w:t>
      </w:r>
      <w:r w:rsidRPr="002E6ECA">
        <w:rPr>
          <w:sz w:val="28"/>
          <w:szCs w:val="28"/>
          <w:lang w:val="uk-UA"/>
        </w:rPr>
        <w:t>2.5</w:t>
      </w:r>
      <w:r w:rsidR="00A13D67"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Таким чином, застосування способу визначення ЯЖПЗ, що пропонується, дозволяє надавати як загальну її характеристику, так і за окремими шкалами безпосередньо під час навчального процесу, не потребує спеціальних пристроїв та трудомістких розрахунків. Використання означеного способу в динаміці навчання (навчального року) дозволяє оцінити вплив внутрішньошкільного та родинного середовища на ЯЖПЗ та розробити як індивідуальні, так і групові заходи щодо профілактики шкільної дезадаптації.</w:t>
      </w:r>
    </w:p>
    <w:p w:rsidR="00671012" w:rsidRPr="002E6ECA" w:rsidRDefault="00671012" w:rsidP="00671012">
      <w:pPr>
        <w:spacing w:line="360" w:lineRule="auto"/>
        <w:ind w:firstLine="709"/>
        <w:jc w:val="both"/>
        <w:rPr>
          <w:sz w:val="28"/>
          <w:szCs w:val="28"/>
          <w:lang w:val="uk-UA"/>
        </w:rPr>
      </w:pPr>
      <w:r w:rsidRPr="002E6ECA">
        <w:rPr>
          <w:bCs/>
          <w:sz w:val="28"/>
          <w:szCs w:val="28"/>
          <w:lang w:val="uk-UA"/>
        </w:rPr>
        <w:t xml:space="preserve">Обрання методики </w:t>
      </w:r>
      <w:r w:rsidRPr="002E6ECA">
        <w:rPr>
          <w:sz w:val="28"/>
          <w:szCs w:val="28"/>
          <w:lang w:val="uk-UA"/>
        </w:rPr>
        <w:t>«Перелік дитячих симптомів» (PSC)</w:t>
      </w:r>
      <w:r w:rsidRPr="002E6ECA">
        <w:rPr>
          <w:bCs/>
          <w:sz w:val="28"/>
          <w:szCs w:val="28"/>
          <w:lang w:val="uk-UA"/>
        </w:rPr>
        <w:t xml:space="preserve"> як вихідної обумовлено наявністю «перехресних» критеріїв: психосоціального функціонування за загальною шкалою </w:t>
      </w:r>
      <w:r w:rsidRPr="002E6ECA">
        <w:rPr>
          <w:sz w:val="28"/>
          <w:szCs w:val="28"/>
          <w:lang w:val="uk-UA"/>
        </w:rPr>
        <w:t xml:space="preserve">PSC та </w:t>
      </w:r>
      <w:r w:rsidRPr="002E6ECA">
        <w:rPr>
          <w:bCs/>
          <w:sz w:val="28"/>
          <w:szCs w:val="28"/>
          <w:lang w:val="uk-UA"/>
        </w:rPr>
        <w:t xml:space="preserve">Y-PSC і шкал соціального функціонування та психічного благополуччя – за методикою для визначення ЯЖПЗ, а також досвідом використання у старшій віковій групі школярів паралельних </w:t>
      </w:r>
      <w:r w:rsidRPr="002E6ECA">
        <w:rPr>
          <w:sz w:val="28"/>
          <w:szCs w:val="28"/>
          <w:lang w:val="uk-UA"/>
        </w:rPr>
        <w:t xml:space="preserve">адаптованих методик SF-36 та </w:t>
      </w:r>
      <w:r w:rsidRPr="002E6ECA">
        <w:rPr>
          <w:bCs/>
          <w:sz w:val="28"/>
          <w:szCs w:val="28"/>
          <w:lang w:val="uk-UA"/>
        </w:rPr>
        <w:t>PSC задля з’ясування механізмів формування інтегрованої системи оцінювання психологічного здоров’я та напрямків (екстерналізованих або інтерналізованих) порушень психосоціального функціонування.</w:t>
      </w:r>
    </w:p>
    <w:p w:rsidR="00671012" w:rsidRPr="002E6ECA" w:rsidRDefault="00671012" w:rsidP="00671012">
      <w:pPr>
        <w:spacing w:line="360" w:lineRule="auto"/>
        <w:ind w:firstLine="709"/>
        <w:jc w:val="both"/>
        <w:rPr>
          <w:sz w:val="28"/>
          <w:szCs w:val="28"/>
          <w:lang w:val="uk-UA"/>
        </w:rPr>
      </w:pPr>
      <w:r w:rsidRPr="002E6ECA">
        <w:rPr>
          <w:i/>
          <w:sz w:val="28"/>
          <w:szCs w:val="28"/>
          <w:lang w:val="uk-UA"/>
        </w:rPr>
        <w:lastRenderedPageBreak/>
        <w:t>Шостий етап</w:t>
      </w:r>
      <w:r w:rsidRPr="002E6ECA">
        <w:rPr>
          <w:sz w:val="28"/>
          <w:szCs w:val="28"/>
          <w:lang w:val="uk-UA"/>
        </w:rPr>
        <w:t xml:space="preserve"> дослідження передбачав розробку моделі гігієнічного моніторингу. Було вивчено алгоритм соціально-гігієнічного моніторингу, що впроваджений в Україні у 2006 році, проаналізовано його етапи, ланки і оцінено можливість його реалізації в умовах реорганізації державної санепідслужби. Запропоновано поділити етап збору інформації про стан здоров’я учнів на базовий скринінг за допомогою суб’єктивних методик із визначенням групи ризику щодо формування шкільної дезадаптації, для якої обов’язково передбачена поглиблена скринінг-діагностика.</w:t>
      </w:r>
    </w:p>
    <w:p w:rsidR="00671012" w:rsidRPr="002E6ECA" w:rsidRDefault="00671012" w:rsidP="00671012">
      <w:pPr>
        <w:spacing w:line="360" w:lineRule="auto"/>
        <w:ind w:firstLine="709"/>
        <w:jc w:val="both"/>
        <w:rPr>
          <w:sz w:val="28"/>
          <w:szCs w:val="28"/>
          <w:lang w:val="uk-UA"/>
        </w:rPr>
      </w:pPr>
      <w:r w:rsidRPr="002E6ECA">
        <w:rPr>
          <w:i/>
          <w:sz w:val="28"/>
          <w:szCs w:val="28"/>
          <w:lang w:val="uk-UA"/>
        </w:rPr>
        <w:t xml:space="preserve">На сьомому етапі </w:t>
      </w:r>
      <w:r w:rsidRPr="002E6ECA">
        <w:rPr>
          <w:sz w:val="28"/>
          <w:szCs w:val="28"/>
          <w:lang w:val="uk-UA"/>
        </w:rPr>
        <w:t>обґрунтовано профілактичну програму щодо попередження неінфекційної захворюваності серед учнів середнього шкільного віку і надано оцінку її ефективності за допомогою мультваріативного методу статистичного аналізу структурних відносин - методу моделювання структурними рівняннями (SEM).</w:t>
      </w:r>
    </w:p>
    <w:p w:rsidR="00671012" w:rsidRPr="002E6ECA" w:rsidRDefault="00671012" w:rsidP="00671012">
      <w:pPr>
        <w:spacing w:line="360" w:lineRule="auto"/>
        <w:ind w:firstLine="709"/>
        <w:jc w:val="both"/>
        <w:rPr>
          <w:sz w:val="28"/>
          <w:szCs w:val="28"/>
          <w:lang w:val="uk-UA"/>
        </w:rPr>
      </w:pPr>
      <w:r w:rsidRPr="002E6ECA">
        <w:rPr>
          <w:sz w:val="28"/>
          <w:szCs w:val="28"/>
          <w:lang w:val="uk-UA"/>
        </w:rPr>
        <w:t>Статистичну обробку даних проведено за допомогою ліцензованого пакету SPSS Statistics v. 22 (ліц. FacultyPackL/N:  L-GLBC-99H6WQ) з використанням однофакторного дисперсійного, кореляційного аналізу, критерію Хі-квадрат за методом МакНемара та Фрідмана, t-тесту та узагальнюючих лінійних моделей (</w:t>
      </w:r>
      <w:r w:rsidRPr="002E6ECA">
        <w:rPr>
          <w:bCs/>
          <w:sz w:val="28"/>
          <w:szCs w:val="28"/>
          <w:shd w:val="clear" w:color="auto" w:fill="FFFFFF"/>
          <w:lang w:val="uk-UA"/>
        </w:rPr>
        <w:t>GLMM)</w:t>
      </w:r>
      <w:r w:rsidRPr="002E6ECA">
        <w:rPr>
          <w:sz w:val="28"/>
          <w:szCs w:val="28"/>
          <w:lang w:val="uk-UA"/>
        </w:rPr>
        <w:t xml:space="preserve"> [</w:t>
      </w:r>
      <w:r w:rsidR="00232FBF" w:rsidRPr="002E6ECA">
        <w:rPr>
          <w:sz w:val="28"/>
          <w:szCs w:val="28"/>
          <w:lang w:val="uk-UA"/>
        </w:rPr>
        <w:t>477</w:t>
      </w:r>
      <w:r w:rsidRPr="002E6ECA">
        <w:rPr>
          <w:sz w:val="28"/>
          <w:szCs w:val="28"/>
          <w:lang w:val="uk-UA"/>
        </w:rPr>
        <w:t xml:space="preserve">]. У моделі </w:t>
      </w:r>
      <w:r w:rsidRPr="002E6ECA">
        <w:rPr>
          <w:bCs/>
          <w:sz w:val="28"/>
          <w:szCs w:val="28"/>
          <w:shd w:val="clear" w:color="auto" w:fill="FFFFFF"/>
          <w:lang w:val="uk-UA"/>
        </w:rPr>
        <w:t>GLMM</w:t>
      </w:r>
      <w:r w:rsidRPr="002E6ECA">
        <w:rPr>
          <w:sz w:val="28"/>
          <w:szCs w:val="28"/>
          <w:lang w:val="uk-UA"/>
        </w:rPr>
        <w:t xml:space="preserve"> послідовно розглядалися всі варіанти включення і виключення змінних до складу її фіксованих і випадкових ефектів. Критеріями вибору якісної статистично обґрунтованої моделі слугували інформаційні критерії (Акаіке і Байеса) і статистична значимість моделі, як  в цілому, так і змінних моделі (p&lt;0,05).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Для групової оцінки фізичного розвитку дітей середнього шкільного віку за допомогою методу статистичного агрегування на підставі нормального закону розподілу було отримано усереднені показники за рік життя з помісячних центильних таблиць ВООЗ. Точка відсікання розраховувалась виходячи з наявного статистичного розподілу випадкової величини так, щоб вона не перевищувала задане значення з фіксованою ймовірністю. Показники ІМТ було проаналізовано із використанням розробленого часового ряду MW M-тест, проаналізувавши динаміку </w:t>
      </w:r>
      <w:r w:rsidR="003F4B69" w:rsidRPr="002E6ECA">
        <w:rPr>
          <w:sz w:val="28"/>
          <w:szCs w:val="28"/>
          <w:lang w:val="uk-UA"/>
        </w:rPr>
        <w:t>з</w:t>
      </w:r>
      <w:r w:rsidRPr="002E6ECA">
        <w:rPr>
          <w:sz w:val="28"/>
          <w:szCs w:val="28"/>
          <w:lang w:val="uk-UA"/>
        </w:rPr>
        <w:t>рост</w:t>
      </w:r>
      <w:r w:rsidR="003F4B69" w:rsidRPr="002E6ECA">
        <w:rPr>
          <w:sz w:val="28"/>
          <w:szCs w:val="28"/>
          <w:lang w:val="uk-UA"/>
        </w:rPr>
        <w:t>у</w:t>
      </w:r>
      <w:r w:rsidRPr="002E6ECA">
        <w:rPr>
          <w:sz w:val="28"/>
          <w:szCs w:val="28"/>
          <w:lang w:val="uk-UA"/>
        </w:rPr>
        <w:t xml:space="preserve"> хлопчиків та дівчат (6-7 років) та (6-8 </w:t>
      </w:r>
      <w:r w:rsidRPr="002E6ECA">
        <w:rPr>
          <w:sz w:val="28"/>
          <w:szCs w:val="28"/>
          <w:lang w:val="uk-UA"/>
        </w:rPr>
        <w:lastRenderedPageBreak/>
        <w:t xml:space="preserve">років) за даними ВООЗ. Динаміку зросту оцінювали по щомісячному прирощенню медіани зросту у дітей. У таблиці 2.4 показано, що у хлопчиків та дівчат 6-7 років динаміка зросту різниться на рівні середніх, що з достовірністю p&lt;0,05 підтверджують усі три перевірені тести: t-тест Стьюдента, U-тест Манна-Уітні та M-тест MW часових рядів. </w:t>
      </w:r>
    </w:p>
    <w:p w:rsidR="00671012" w:rsidRPr="002E6ECA" w:rsidRDefault="00671012" w:rsidP="00671012">
      <w:pPr>
        <w:spacing w:line="360" w:lineRule="auto"/>
        <w:jc w:val="right"/>
        <w:rPr>
          <w:i/>
          <w:sz w:val="28"/>
          <w:szCs w:val="28"/>
          <w:lang w:val="uk-UA"/>
        </w:rPr>
      </w:pPr>
      <w:r w:rsidRPr="002E6ECA">
        <w:rPr>
          <w:i/>
          <w:sz w:val="28"/>
          <w:szCs w:val="28"/>
          <w:lang w:val="uk-UA"/>
        </w:rPr>
        <w:t>Таблиця 2.4</w:t>
      </w:r>
    </w:p>
    <w:p w:rsidR="00671012" w:rsidRPr="002E6ECA" w:rsidRDefault="00671012" w:rsidP="00671012">
      <w:pPr>
        <w:spacing w:line="360" w:lineRule="auto"/>
        <w:jc w:val="center"/>
        <w:rPr>
          <w:b/>
          <w:sz w:val="28"/>
          <w:szCs w:val="28"/>
          <w:lang w:val="uk-UA"/>
        </w:rPr>
      </w:pPr>
      <w:r w:rsidRPr="002E6ECA">
        <w:rPr>
          <w:b/>
          <w:sz w:val="28"/>
          <w:szCs w:val="28"/>
          <w:lang w:val="uk-UA"/>
        </w:rPr>
        <w:t>Динаміка зросту у дітей (6-7 років) та (6-8 років) на основі помісячного прирощення медіани зросту</w:t>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630"/>
        <w:gridCol w:w="1631"/>
        <w:gridCol w:w="1701"/>
        <w:gridCol w:w="1630"/>
      </w:tblGrid>
      <w:tr w:rsidR="00671012" w:rsidRPr="002E6ECA" w:rsidTr="00EE44CA">
        <w:tc>
          <w:tcPr>
            <w:tcW w:w="2943" w:type="dxa"/>
            <w:vMerge w:val="restart"/>
            <w:shd w:val="clear" w:color="auto" w:fill="auto"/>
          </w:tcPr>
          <w:p w:rsidR="00671012" w:rsidRPr="002E6ECA" w:rsidRDefault="00EE44CA" w:rsidP="00EE44CA">
            <w:pPr>
              <w:spacing w:line="276" w:lineRule="auto"/>
              <w:rPr>
                <w:sz w:val="26"/>
                <w:szCs w:val="26"/>
                <w:lang w:val="uk-UA"/>
              </w:rPr>
            </w:pPr>
            <w:r w:rsidRPr="002E6ECA">
              <w:rPr>
                <w:sz w:val="26"/>
                <w:szCs w:val="26"/>
                <w:lang w:val="uk-UA"/>
              </w:rPr>
              <w:t xml:space="preserve">Показник </w:t>
            </w:r>
          </w:p>
        </w:tc>
        <w:tc>
          <w:tcPr>
            <w:tcW w:w="326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Вік 61-84 місяці</w:t>
            </w:r>
          </w:p>
        </w:tc>
        <w:tc>
          <w:tcPr>
            <w:tcW w:w="333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Вік 61-96 місяців</w:t>
            </w:r>
          </w:p>
        </w:tc>
      </w:tr>
      <w:tr w:rsidR="00671012" w:rsidRPr="002E6ECA" w:rsidTr="00EE44CA">
        <w:tc>
          <w:tcPr>
            <w:tcW w:w="2943" w:type="dxa"/>
            <w:vMerge/>
            <w:shd w:val="clear" w:color="auto" w:fill="auto"/>
          </w:tcPr>
          <w:p w:rsidR="00671012" w:rsidRPr="002E6ECA" w:rsidRDefault="00671012" w:rsidP="00EE44CA">
            <w:pPr>
              <w:spacing w:line="276" w:lineRule="auto"/>
              <w:rPr>
                <w:sz w:val="26"/>
                <w:szCs w:val="26"/>
                <w:lang w:val="uk-UA"/>
              </w:rPr>
            </w:pPr>
          </w:p>
        </w:tc>
        <w:tc>
          <w:tcPr>
            <w:tcW w:w="1630"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 xml:space="preserve">Хлопці </w:t>
            </w:r>
          </w:p>
        </w:tc>
        <w:tc>
          <w:tcPr>
            <w:tcW w:w="1631"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 xml:space="preserve">Дівчата </w:t>
            </w:r>
          </w:p>
        </w:tc>
        <w:tc>
          <w:tcPr>
            <w:tcW w:w="1701"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 xml:space="preserve">Хлопці </w:t>
            </w:r>
          </w:p>
        </w:tc>
        <w:tc>
          <w:tcPr>
            <w:tcW w:w="1630"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 xml:space="preserve">Дівчата </w:t>
            </w:r>
          </w:p>
        </w:tc>
      </w:tr>
      <w:tr w:rsidR="00671012" w:rsidRPr="002E6ECA" w:rsidTr="00EE44CA">
        <w:tc>
          <w:tcPr>
            <w:tcW w:w="2943" w:type="dxa"/>
            <w:shd w:val="clear" w:color="auto" w:fill="auto"/>
          </w:tcPr>
          <w:p w:rsidR="00671012" w:rsidRPr="002E6ECA" w:rsidRDefault="00671012" w:rsidP="00C23DB8">
            <w:pPr>
              <w:spacing w:line="276" w:lineRule="auto"/>
              <w:rPr>
                <w:sz w:val="26"/>
                <w:szCs w:val="26"/>
                <w:lang w:val="uk-UA"/>
              </w:rPr>
            </w:pPr>
            <w:r w:rsidRPr="002E6ECA">
              <w:rPr>
                <w:sz w:val="26"/>
                <w:szCs w:val="26"/>
                <w:lang w:val="uk-UA"/>
              </w:rPr>
              <w:t>Δ</w:t>
            </w:r>
            <w:r w:rsidR="00C23DB8" w:rsidRPr="002E6ECA">
              <w:rPr>
                <w:sz w:val="26"/>
                <w:szCs w:val="26"/>
                <w:lang w:val="en-US"/>
              </w:rPr>
              <w:t>L</w:t>
            </w:r>
            <w:r w:rsidRPr="002E6ECA">
              <w:rPr>
                <w:sz w:val="26"/>
                <w:szCs w:val="26"/>
                <w:lang w:val="uk-UA"/>
              </w:rPr>
              <w:t>, sm (середнє ± стандартне відхилення)</w:t>
            </w:r>
          </w:p>
        </w:tc>
        <w:tc>
          <w:tcPr>
            <w:tcW w:w="1630"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0,499±0,020</w:t>
            </w:r>
          </w:p>
        </w:tc>
        <w:tc>
          <w:tcPr>
            <w:tcW w:w="1631"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0,487±0,017</w:t>
            </w:r>
          </w:p>
        </w:tc>
        <w:tc>
          <w:tcPr>
            <w:tcW w:w="1701"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0</w:t>
            </w:r>
            <w:r w:rsidR="00EE44CA" w:rsidRPr="002E6ECA">
              <w:rPr>
                <w:sz w:val="26"/>
                <w:szCs w:val="26"/>
                <w:lang w:val="uk-UA"/>
              </w:rPr>
              <w:t>,</w:t>
            </w:r>
            <w:r w:rsidRPr="002E6ECA">
              <w:rPr>
                <w:sz w:val="26"/>
                <w:szCs w:val="26"/>
                <w:lang w:val="uk-UA"/>
              </w:rPr>
              <w:t>485±0</w:t>
            </w:r>
            <w:r w:rsidR="00EE44CA" w:rsidRPr="002E6ECA">
              <w:rPr>
                <w:sz w:val="26"/>
                <w:szCs w:val="26"/>
                <w:lang w:val="uk-UA"/>
              </w:rPr>
              <w:t>,</w:t>
            </w:r>
            <w:r w:rsidRPr="002E6ECA">
              <w:rPr>
                <w:sz w:val="26"/>
                <w:szCs w:val="26"/>
                <w:lang w:val="uk-UA"/>
              </w:rPr>
              <w:t>025</w:t>
            </w:r>
          </w:p>
        </w:tc>
        <w:tc>
          <w:tcPr>
            <w:tcW w:w="1630"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0</w:t>
            </w:r>
            <w:r w:rsidR="00EE44CA" w:rsidRPr="002E6ECA">
              <w:rPr>
                <w:sz w:val="26"/>
                <w:szCs w:val="26"/>
                <w:lang w:val="uk-UA"/>
              </w:rPr>
              <w:t>,</w:t>
            </w:r>
            <w:r w:rsidRPr="002E6ECA">
              <w:rPr>
                <w:sz w:val="26"/>
                <w:szCs w:val="26"/>
                <w:lang w:val="uk-UA"/>
              </w:rPr>
              <w:t>484±0</w:t>
            </w:r>
            <w:r w:rsidR="00EE44CA" w:rsidRPr="002E6ECA">
              <w:rPr>
                <w:sz w:val="26"/>
                <w:szCs w:val="26"/>
                <w:lang w:val="uk-UA"/>
              </w:rPr>
              <w:t>,</w:t>
            </w:r>
            <w:r w:rsidRPr="002E6ECA">
              <w:rPr>
                <w:sz w:val="26"/>
                <w:szCs w:val="26"/>
                <w:lang w:val="uk-UA"/>
              </w:rPr>
              <w:t>015</w:t>
            </w:r>
          </w:p>
        </w:tc>
      </w:tr>
      <w:tr w:rsidR="00671012" w:rsidRPr="002E6ECA" w:rsidTr="00EE44CA">
        <w:tc>
          <w:tcPr>
            <w:tcW w:w="2943" w:type="dxa"/>
            <w:shd w:val="clear" w:color="auto" w:fill="auto"/>
          </w:tcPr>
          <w:p w:rsidR="00671012" w:rsidRPr="002E6ECA" w:rsidRDefault="00671012" w:rsidP="00C23DB8">
            <w:pPr>
              <w:spacing w:line="276" w:lineRule="auto"/>
              <w:rPr>
                <w:sz w:val="26"/>
                <w:szCs w:val="26"/>
                <w:lang w:val="uk-UA"/>
              </w:rPr>
            </w:pPr>
            <w:r w:rsidRPr="002E6ECA">
              <w:rPr>
                <w:sz w:val="26"/>
                <w:szCs w:val="26"/>
                <w:lang w:val="uk-UA"/>
              </w:rPr>
              <w:t>Вагомий  Δ</w:t>
            </w:r>
            <w:r w:rsidR="00C23DB8" w:rsidRPr="002E6ECA">
              <w:rPr>
                <w:sz w:val="26"/>
                <w:szCs w:val="26"/>
                <w:lang w:val="en-US"/>
              </w:rPr>
              <w:t>L</w:t>
            </w:r>
            <w:r w:rsidRPr="002E6ECA">
              <w:rPr>
                <w:sz w:val="26"/>
                <w:szCs w:val="26"/>
                <w:lang w:val="uk-UA"/>
              </w:rPr>
              <w:t xml:space="preserve"> номер, N</w:t>
            </w:r>
          </w:p>
        </w:tc>
        <w:tc>
          <w:tcPr>
            <w:tcW w:w="1630"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23</w:t>
            </w:r>
          </w:p>
        </w:tc>
        <w:tc>
          <w:tcPr>
            <w:tcW w:w="1631"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23</w:t>
            </w:r>
          </w:p>
        </w:tc>
        <w:tc>
          <w:tcPr>
            <w:tcW w:w="1701"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35</w:t>
            </w:r>
          </w:p>
        </w:tc>
        <w:tc>
          <w:tcPr>
            <w:tcW w:w="1630" w:type="dxa"/>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35</w:t>
            </w:r>
          </w:p>
        </w:tc>
      </w:tr>
      <w:tr w:rsidR="00671012" w:rsidRPr="002E6ECA" w:rsidTr="00EE44CA">
        <w:tc>
          <w:tcPr>
            <w:tcW w:w="2943" w:type="dxa"/>
            <w:shd w:val="clear" w:color="auto" w:fill="auto"/>
          </w:tcPr>
          <w:p w:rsidR="00671012" w:rsidRPr="002E6ECA" w:rsidRDefault="00671012" w:rsidP="00EE44CA">
            <w:pPr>
              <w:spacing w:line="276" w:lineRule="auto"/>
              <w:rPr>
                <w:sz w:val="26"/>
                <w:szCs w:val="26"/>
                <w:lang w:val="uk-UA"/>
              </w:rPr>
            </w:pPr>
            <w:r w:rsidRPr="002E6ECA">
              <w:rPr>
                <w:sz w:val="26"/>
                <w:szCs w:val="26"/>
                <w:lang w:val="uk-UA"/>
              </w:rPr>
              <w:t>T-тест Стьюдента</w:t>
            </w:r>
          </w:p>
        </w:tc>
        <w:tc>
          <w:tcPr>
            <w:tcW w:w="326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p &lt; 0,05</w:t>
            </w:r>
          </w:p>
        </w:tc>
        <w:tc>
          <w:tcPr>
            <w:tcW w:w="333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p = 0,78</w:t>
            </w:r>
          </w:p>
        </w:tc>
      </w:tr>
      <w:tr w:rsidR="00671012" w:rsidRPr="002E6ECA" w:rsidTr="00EE44CA">
        <w:tc>
          <w:tcPr>
            <w:tcW w:w="2943" w:type="dxa"/>
            <w:shd w:val="clear" w:color="auto" w:fill="auto"/>
          </w:tcPr>
          <w:p w:rsidR="00671012" w:rsidRPr="002E6ECA" w:rsidRDefault="00671012" w:rsidP="00EE44CA">
            <w:pPr>
              <w:spacing w:line="276" w:lineRule="auto"/>
              <w:rPr>
                <w:sz w:val="26"/>
                <w:szCs w:val="26"/>
                <w:lang w:val="uk-UA"/>
              </w:rPr>
            </w:pPr>
            <w:r w:rsidRPr="002E6ECA">
              <w:rPr>
                <w:sz w:val="26"/>
                <w:szCs w:val="26"/>
                <w:lang w:val="uk-UA"/>
              </w:rPr>
              <w:t>U-тест Манна-Уітні</w:t>
            </w:r>
          </w:p>
        </w:tc>
        <w:tc>
          <w:tcPr>
            <w:tcW w:w="326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p &lt; 0,05</w:t>
            </w:r>
          </w:p>
        </w:tc>
        <w:tc>
          <w:tcPr>
            <w:tcW w:w="333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p = 0,84</w:t>
            </w:r>
          </w:p>
        </w:tc>
      </w:tr>
      <w:tr w:rsidR="00671012" w:rsidRPr="002E6ECA" w:rsidTr="00EE44CA">
        <w:tc>
          <w:tcPr>
            <w:tcW w:w="2943" w:type="dxa"/>
            <w:shd w:val="clear" w:color="auto" w:fill="auto"/>
          </w:tcPr>
          <w:p w:rsidR="00671012" w:rsidRPr="002E6ECA" w:rsidRDefault="00671012" w:rsidP="00EE44CA">
            <w:pPr>
              <w:spacing w:line="276" w:lineRule="auto"/>
              <w:rPr>
                <w:sz w:val="26"/>
                <w:szCs w:val="26"/>
                <w:lang w:val="uk-UA"/>
              </w:rPr>
            </w:pPr>
            <w:r w:rsidRPr="002E6ECA">
              <w:rPr>
                <w:sz w:val="26"/>
                <w:szCs w:val="26"/>
                <w:lang w:val="uk-UA"/>
              </w:rPr>
              <w:t>Часовий ряд MW M-тест</w:t>
            </w:r>
          </w:p>
        </w:tc>
        <w:tc>
          <w:tcPr>
            <w:tcW w:w="326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p &lt; 0,05</w:t>
            </w:r>
          </w:p>
        </w:tc>
        <w:tc>
          <w:tcPr>
            <w:tcW w:w="333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p &lt; 0,05</w:t>
            </w:r>
          </w:p>
        </w:tc>
      </w:tr>
      <w:tr w:rsidR="00671012" w:rsidRPr="002E6ECA" w:rsidTr="00EE44CA">
        <w:tc>
          <w:tcPr>
            <w:tcW w:w="2943" w:type="dxa"/>
            <w:shd w:val="clear" w:color="auto" w:fill="auto"/>
          </w:tcPr>
          <w:p w:rsidR="00671012" w:rsidRPr="002E6ECA" w:rsidRDefault="00671012" w:rsidP="00EE44CA">
            <w:pPr>
              <w:spacing w:line="276" w:lineRule="auto"/>
              <w:rPr>
                <w:sz w:val="26"/>
                <w:szCs w:val="26"/>
                <w:lang w:val="uk-UA"/>
              </w:rPr>
            </w:pPr>
            <w:r w:rsidRPr="002E6ECA">
              <w:rPr>
                <w:sz w:val="26"/>
                <w:szCs w:val="26"/>
                <w:lang w:val="uk-UA"/>
              </w:rPr>
              <w:t>Кореляція Пірсона</w:t>
            </w:r>
          </w:p>
        </w:tc>
        <w:tc>
          <w:tcPr>
            <w:tcW w:w="326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0,986</w:t>
            </w:r>
          </w:p>
        </w:tc>
        <w:tc>
          <w:tcPr>
            <w:tcW w:w="3331" w:type="dxa"/>
            <w:gridSpan w:val="2"/>
            <w:shd w:val="clear" w:color="auto" w:fill="auto"/>
          </w:tcPr>
          <w:p w:rsidR="00671012" w:rsidRPr="002E6ECA" w:rsidRDefault="00671012" w:rsidP="00EE44CA">
            <w:pPr>
              <w:spacing w:line="276" w:lineRule="auto"/>
              <w:jc w:val="center"/>
              <w:rPr>
                <w:sz w:val="26"/>
                <w:szCs w:val="26"/>
                <w:lang w:val="uk-UA"/>
              </w:rPr>
            </w:pPr>
            <w:r w:rsidRPr="002E6ECA">
              <w:rPr>
                <w:sz w:val="26"/>
                <w:szCs w:val="26"/>
                <w:lang w:val="uk-UA"/>
              </w:rPr>
              <w:t>0,800</w:t>
            </w:r>
          </w:p>
        </w:tc>
      </w:tr>
    </w:tbl>
    <w:p w:rsidR="00671012" w:rsidRPr="002E6ECA" w:rsidRDefault="00671012" w:rsidP="00EE44CA">
      <w:pPr>
        <w:jc w:val="both"/>
        <w:rPr>
          <w:sz w:val="28"/>
          <w:szCs w:val="28"/>
          <w:lang w:val="uk-UA"/>
        </w:rPr>
      </w:pPr>
    </w:p>
    <w:p w:rsidR="00671012" w:rsidRPr="002E6ECA" w:rsidRDefault="00671012" w:rsidP="00671012">
      <w:pPr>
        <w:spacing w:line="360" w:lineRule="auto"/>
        <w:ind w:firstLine="709"/>
        <w:jc w:val="both"/>
        <w:rPr>
          <w:sz w:val="28"/>
          <w:szCs w:val="28"/>
          <w:lang w:val="uk-UA"/>
        </w:rPr>
      </w:pPr>
      <w:r w:rsidRPr="002E6ECA">
        <w:rPr>
          <w:sz w:val="28"/>
          <w:szCs w:val="28"/>
          <w:lang w:val="uk-UA"/>
        </w:rPr>
        <w:t>Якщо аналогічний аналіз проводити у дітей 6-8 років, то виявиться, що середні значення Δ</w:t>
      </w:r>
      <w:r w:rsidR="00C23DB8" w:rsidRPr="002E6ECA">
        <w:rPr>
          <w:sz w:val="28"/>
          <w:szCs w:val="28"/>
          <w:lang w:val="en-US"/>
        </w:rPr>
        <w:t>L</w:t>
      </w:r>
      <w:r w:rsidRPr="002E6ECA">
        <w:rPr>
          <w:sz w:val="28"/>
          <w:szCs w:val="28"/>
          <w:lang w:val="uk-UA"/>
        </w:rPr>
        <w:t xml:space="preserve"> зблизилися, в силу нелінійності кривої щомісячного приросту медіани зростання у дівчат (рис. 2.2).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6"/>
        <w:gridCol w:w="4926"/>
      </w:tblGrid>
      <w:tr w:rsidR="00671012" w:rsidRPr="002E6ECA" w:rsidTr="001425D9">
        <w:tc>
          <w:tcPr>
            <w:tcW w:w="4806" w:type="dxa"/>
            <w:shd w:val="clear" w:color="auto" w:fill="auto"/>
          </w:tcPr>
          <w:p w:rsidR="00671012" w:rsidRPr="002E6ECA" w:rsidRDefault="00671012" w:rsidP="00671012">
            <w:pPr>
              <w:rPr>
                <w:sz w:val="28"/>
                <w:szCs w:val="28"/>
                <w:lang w:val="uk-UA"/>
              </w:rPr>
            </w:pPr>
            <w:r w:rsidRPr="002E6ECA">
              <w:rPr>
                <w:noProof/>
                <w:sz w:val="28"/>
                <w:szCs w:val="28"/>
                <w:lang w:val="uk-UA" w:eastAsia="uk-UA"/>
              </w:rPr>
              <w:drawing>
                <wp:inline distT="0" distB="0" distL="0" distR="0" wp14:anchorId="65755214" wp14:editId="60DABC51">
                  <wp:extent cx="2888615" cy="2199640"/>
                  <wp:effectExtent l="0" t="0" r="26035" b="10160"/>
                  <wp:docPr id="22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c>
          <w:tcPr>
            <w:tcW w:w="4926" w:type="dxa"/>
            <w:shd w:val="clear" w:color="auto" w:fill="auto"/>
          </w:tcPr>
          <w:p w:rsidR="00671012" w:rsidRPr="002E6ECA" w:rsidRDefault="00671012" w:rsidP="00671012">
            <w:pPr>
              <w:rPr>
                <w:sz w:val="28"/>
                <w:szCs w:val="28"/>
                <w:lang w:val="uk-UA"/>
              </w:rPr>
            </w:pPr>
            <w:r w:rsidRPr="002E6ECA">
              <w:rPr>
                <w:noProof/>
                <w:sz w:val="28"/>
                <w:szCs w:val="28"/>
                <w:lang w:val="uk-UA" w:eastAsia="uk-UA"/>
              </w:rPr>
              <w:drawing>
                <wp:inline distT="0" distB="0" distL="0" distR="0" wp14:anchorId="427758ED" wp14:editId="779B4C58">
                  <wp:extent cx="2963545" cy="2167255"/>
                  <wp:effectExtent l="0" t="0" r="27305" b="23495"/>
                  <wp:docPr id="229"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671012" w:rsidRPr="002E6ECA" w:rsidTr="001425D9">
        <w:tc>
          <w:tcPr>
            <w:tcW w:w="4806" w:type="dxa"/>
            <w:shd w:val="clear" w:color="auto" w:fill="auto"/>
          </w:tcPr>
          <w:p w:rsidR="00671012" w:rsidRPr="002E6ECA" w:rsidRDefault="00671012" w:rsidP="00671012">
            <w:pPr>
              <w:rPr>
                <w:sz w:val="28"/>
                <w:szCs w:val="28"/>
                <w:lang w:val="uk-UA"/>
              </w:rPr>
            </w:pPr>
            <w:r w:rsidRPr="002E6ECA">
              <w:rPr>
                <w:sz w:val="28"/>
                <w:szCs w:val="28"/>
                <w:lang w:val="uk-UA"/>
              </w:rPr>
              <w:t>Лінійна регресія,</w:t>
            </w:r>
          </w:p>
          <w:p w:rsidR="00671012" w:rsidRPr="002E6ECA" w:rsidRDefault="00671012" w:rsidP="00671012">
            <w:pPr>
              <w:rPr>
                <w:sz w:val="28"/>
                <w:szCs w:val="28"/>
                <w:lang w:val="uk-UA"/>
              </w:rPr>
            </w:pPr>
            <w:r w:rsidRPr="002E6ECA">
              <w:rPr>
                <w:sz w:val="28"/>
                <w:szCs w:val="28"/>
                <w:lang w:val="uk-UA"/>
              </w:rPr>
              <w:t xml:space="preserve">y = -0,002x + 0,673, R² = 0,957 </w:t>
            </w:r>
          </w:p>
        </w:tc>
        <w:tc>
          <w:tcPr>
            <w:tcW w:w="4926" w:type="dxa"/>
            <w:shd w:val="clear" w:color="auto" w:fill="auto"/>
          </w:tcPr>
          <w:p w:rsidR="00671012" w:rsidRPr="002E6ECA" w:rsidRDefault="00671012" w:rsidP="00671012">
            <w:pPr>
              <w:rPr>
                <w:sz w:val="28"/>
                <w:szCs w:val="28"/>
                <w:lang w:val="uk-UA"/>
              </w:rPr>
            </w:pPr>
            <w:r w:rsidRPr="002E6ECA">
              <w:rPr>
                <w:sz w:val="28"/>
                <w:szCs w:val="28"/>
                <w:lang w:val="uk-UA"/>
              </w:rPr>
              <w:t>Квадратична регресія,</w:t>
            </w:r>
          </w:p>
          <w:p w:rsidR="00671012" w:rsidRPr="002E6ECA" w:rsidRDefault="00671012" w:rsidP="00671012">
            <w:pPr>
              <w:rPr>
                <w:sz w:val="28"/>
                <w:szCs w:val="28"/>
                <w:lang w:val="uk-UA"/>
              </w:rPr>
            </w:pPr>
            <w:r w:rsidRPr="002E6ECA">
              <w:rPr>
                <w:sz w:val="28"/>
                <w:szCs w:val="28"/>
                <w:lang w:val="uk-UA"/>
              </w:rPr>
              <w:t>y = 0,001x</w:t>
            </w:r>
            <w:r w:rsidRPr="002E6ECA">
              <w:rPr>
                <w:sz w:val="28"/>
                <w:szCs w:val="28"/>
                <w:vertAlign w:val="superscript"/>
                <w:lang w:val="uk-UA"/>
              </w:rPr>
              <w:t>2</w:t>
            </w:r>
            <w:r w:rsidRPr="002E6ECA">
              <w:rPr>
                <w:sz w:val="28"/>
                <w:szCs w:val="28"/>
                <w:lang w:val="uk-UA"/>
              </w:rPr>
              <w:t xml:space="preserve"> - 0,019x + 1,266, R² = 0,979 </w:t>
            </w:r>
          </w:p>
        </w:tc>
      </w:tr>
      <w:tr w:rsidR="00671012" w:rsidRPr="002E6ECA" w:rsidTr="001425D9">
        <w:tc>
          <w:tcPr>
            <w:tcW w:w="4806" w:type="dxa"/>
            <w:shd w:val="clear" w:color="auto" w:fill="auto"/>
          </w:tcPr>
          <w:p w:rsidR="00671012" w:rsidRPr="002E6ECA" w:rsidRDefault="00671012" w:rsidP="00671012">
            <w:pPr>
              <w:jc w:val="center"/>
              <w:rPr>
                <w:sz w:val="28"/>
                <w:szCs w:val="28"/>
                <w:lang w:val="uk-UA"/>
              </w:rPr>
            </w:pPr>
            <w:r w:rsidRPr="002E6ECA">
              <w:rPr>
                <w:sz w:val="28"/>
                <w:szCs w:val="28"/>
                <w:lang w:val="uk-UA"/>
              </w:rPr>
              <w:t xml:space="preserve">хлопці </w:t>
            </w:r>
          </w:p>
        </w:tc>
        <w:tc>
          <w:tcPr>
            <w:tcW w:w="4926" w:type="dxa"/>
            <w:shd w:val="clear" w:color="auto" w:fill="auto"/>
          </w:tcPr>
          <w:p w:rsidR="00671012" w:rsidRPr="002E6ECA" w:rsidRDefault="00671012" w:rsidP="00671012">
            <w:pPr>
              <w:jc w:val="center"/>
              <w:rPr>
                <w:sz w:val="28"/>
                <w:szCs w:val="28"/>
                <w:lang w:val="uk-UA"/>
              </w:rPr>
            </w:pPr>
            <w:r w:rsidRPr="002E6ECA">
              <w:rPr>
                <w:sz w:val="28"/>
                <w:szCs w:val="28"/>
                <w:lang w:val="uk-UA"/>
              </w:rPr>
              <w:t xml:space="preserve">дівчата </w:t>
            </w:r>
          </w:p>
        </w:tc>
      </w:tr>
    </w:tbl>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 Рис. 2.2. Графік динаміки зросту у дітей (6-7 років) та (6-8 років) на основі помісячного прирощення медіани зросту</w:t>
      </w:r>
    </w:p>
    <w:p w:rsidR="00671012" w:rsidRPr="002E6ECA" w:rsidRDefault="00671012" w:rsidP="00671012">
      <w:pPr>
        <w:spacing w:line="360" w:lineRule="auto"/>
        <w:ind w:firstLine="709"/>
        <w:jc w:val="both"/>
        <w:rPr>
          <w:sz w:val="28"/>
          <w:szCs w:val="28"/>
          <w:lang w:val="uk-UA"/>
        </w:rPr>
      </w:pPr>
      <w:r w:rsidRPr="002E6ECA">
        <w:rPr>
          <w:sz w:val="28"/>
          <w:szCs w:val="28"/>
          <w:lang w:val="uk-UA"/>
        </w:rPr>
        <w:lastRenderedPageBreak/>
        <w:t>У цьому випадку t-тест Стьюдента та U-тест Манна-Уітні неспроможні, тому що при фактично більшій зміні в динаміці зростання, ніж у дітей 6-7 років, вони не чутливі до суттєвих змін у часових рядах. Часовий ряд MW M-тест коректно зазначає достовірне розходження у часових рядах на рівні p&lt;0,05, також як і зменшуючи значення коефіцієнта кореляції, від 0,986 (6-7 років) до 0,8 (6-8 років).</w:t>
      </w:r>
    </w:p>
    <w:p w:rsidR="00671012" w:rsidRPr="002E6ECA" w:rsidRDefault="00671012" w:rsidP="00671012">
      <w:pPr>
        <w:spacing w:line="360" w:lineRule="auto"/>
        <w:ind w:firstLine="709"/>
        <w:jc w:val="both"/>
        <w:rPr>
          <w:sz w:val="28"/>
          <w:szCs w:val="28"/>
          <w:lang w:val="uk-UA"/>
        </w:rPr>
      </w:pPr>
      <w:r w:rsidRPr="002E6ECA">
        <w:rPr>
          <w:sz w:val="28"/>
          <w:szCs w:val="28"/>
          <w:lang w:val="uk-UA"/>
        </w:rPr>
        <w:t>Для перевірки гіпотези про відмінність середніх значень окремих вибірок за результатами анкетування було використано двовибірковий t-критерій Стьюдента, що розраховується за формулою 2.</w:t>
      </w:r>
      <w:r w:rsidR="0006110E" w:rsidRPr="002E6ECA">
        <w:rPr>
          <w:sz w:val="28"/>
          <w:szCs w:val="28"/>
          <w:lang w:val="uk-UA"/>
        </w:rPr>
        <w:t>6</w:t>
      </w:r>
      <w:r w:rsidRPr="002E6ECA">
        <w:rPr>
          <w:sz w:val="28"/>
          <w:szCs w:val="28"/>
          <w:lang w:val="uk-UA"/>
        </w:rPr>
        <w:t>:</w:t>
      </w:r>
      <w:r w:rsidR="00951192" w:rsidRPr="002E6ECA">
        <w:rPr>
          <w:sz w:val="28"/>
          <w:szCs w:val="28"/>
          <w:lang w:val="uk-UA"/>
        </w:rPr>
        <w:t xml:space="preserve"> </w:t>
      </w:r>
    </w:p>
    <w:p w:rsidR="00671012" w:rsidRPr="002E6ECA" w:rsidRDefault="00671012" w:rsidP="00671012">
      <w:pPr>
        <w:spacing w:line="360" w:lineRule="auto"/>
        <w:ind w:firstLine="709"/>
        <w:jc w:val="both"/>
        <w:rPr>
          <w:sz w:val="28"/>
          <w:szCs w:val="28"/>
          <w:lang w:val="uk-UA"/>
        </w:rPr>
      </w:pP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                                            </w:t>
      </w:r>
      <m:oMath>
        <m:r>
          <w:rPr>
            <w:rFonts w:ascii="Cambria Math" w:hAnsi="Cambria Math" w:cs="Cambria Math"/>
            <w:sz w:val="28"/>
            <w:szCs w:val="28"/>
            <w:lang w:val="uk-UA"/>
          </w:rPr>
          <m:t>t</m:t>
        </m:r>
        <m:r>
          <m:rPr>
            <m:sty m:val="p"/>
          </m:rPr>
          <w:rPr>
            <w:rFonts w:ascii="Cambria Math" w:hAnsi="Cambria Math" w:cs="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ǀ</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2</m:t>
                </m:r>
              </m:sub>
            </m:sSub>
            <m:r>
              <w:rPr>
                <w:rFonts w:ascii="Cambria Math" w:hAnsi="Cambria Math"/>
                <w:sz w:val="28"/>
                <w:szCs w:val="28"/>
                <w:lang w:val="uk-UA"/>
              </w:rPr>
              <m:t>ǀ</m:t>
            </m:r>
          </m:num>
          <m:den>
            <m:rad>
              <m:radPr>
                <m:degHide m:val="1"/>
                <m:ctrlPr>
                  <w:rPr>
                    <w:rFonts w:ascii="Cambria Math" w:hAnsi="Cambria Math"/>
                    <w:sz w:val="28"/>
                    <w:szCs w:val="28"/>
                    <w:lang w:val="uk-UA"/>
                  </w:rPr>
                </m:ctrlPr>
              </m:radPr>
              <m:deg/>
              <m:e>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m:rPr>
                            <m:sty m:val="p"/>
                          </m:rPr>
                          <w:rPr>
                            <w:rFonts w:ascii="Cambria Math" w:hAnsi="Cambria Math"/>
                            <w:sz w:val="28"/>
                            <w:szCs w:val="28"/>
                            <w:lang w:val="uk-UA"/>
                          </w:rPr>
                          <m:t>Ϭ</m:t>
                        </m:r>
                      </m:e>
                      <m:sub>
                        <m:r>
                          <w:rPr>
                            <w:rFonts w:ascii="Cambria Math" w:hAnsi="Cambria Math"/>
                            <w:sz w:val="28"/>
                            <w:szCs w:val="28"/>
                            <w:lang w:val="uk-UA"/>
                          </w:rPr>
                          <m:t>1</m:t>
                        </m:r>
                      </m:sub>
                      <m:sup>
                        <m:r>
                          <w:rPr>
                            <w:rFonts w:ascii="Cambria Math" w:hAnsi="Cambria Math"/>
                            <w:sz w:val="28"/>
                            <w:szCs w:val="28"/>
                            <w:lang w:val="uk-UA"/>
                          </w:rPr>
                          <m:t>2</m:t>
                        </m:r>
                      </m:sup>
                    </m:sSubSup>
                  </m:num>
                  <m:den>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1</m:t>
                        </m:r>
                      </m:sub>
                    </m:sSub>
                  </m:den>
                </m:f>
                <m:r>
                  <m:rPr>
                    <m:sty m:val="p"/>
                  </m:rPr>
                  <w:rPr>
                    <w:rFonts w:ascii="Cambria Math" w:hAnsi="Cambria Math" w:cs="Cambria Math"/>
                    <w:sz w:val="28"/>
                    <w:szCs w:val="28"/>
                    <w:lang w:val="uk-UA"/>
                  </w:rPr>
                  <m:t>+</m:t>
                </m:r>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Ϭ</m:t>
                        </m:r>
                      </m:e>
                      <m:sub>
                        <m:r>
                          <w:rPr>
                            <w:rFonts w:ascii="Cambria Math" w:hAnsi="Cambria Math"/>
                            <w:sz w:val="28"/>
                            <w:szCs w:val="28"/>
                            <w:lang w:val="uk-UA"/>
                          </w:rPr>
                          <m:t>2</m:t>
                        </m:r>
                      </m:sub>
                      <m:sup>
                        <m:r>
                          <w:rPr>
                            <w:rFonts w:ascii="Cambria Math" w:hAnsi="Cambria Math"/>
                            <w:sz w:val="28"/>
                            <w:szCs w:val="28"/>
                            <w:lang w:val="uk-UA"/>
                          </w:rPr>
                          <m:t>2</m:t>
                        </m:r>
                      </m:sup>
                    </m:sSubSup>
                  </m:num>
                  <m:den>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2</m:t>
                        </m:r>
                      </m:sub>
                    </m:sSub>
                  </m:den>
                </m:f>
              </m:e>
            </m:rad>
          </m:den>
        </m:f>
      </m:oMath>
      <w:r w:rsidRPr="002E6ECA">
        <w:rPr>
          <w:sz w:val="28"/>
          <w:szCs w:val="28"/>
          <w:lang w:val="uk-UA"/>
        </w:rPr>
        <w:t xml:space="preserve">                                                   </w:t>
      </w:r>
      <w:r w:rsidR="0006110E" w:rsidRPr="002E6ECA">
        <w:rPr>
          <w:sz w:val="28"/>
          <w:szCs w:val="28"/>
          <w:lang w:val="uk-UA"/>
        </w:rPr>
        <w:t>(</w:t>
      </w:r>
      <w:r w:rsidRPr="002E6ECA">
        <w:rPr>
          <w:sz w:val="28"/>
          <w:szCs w:val="28"/>
          <w:lang w:val="uk-UA"/>
        </w:rPr>
        <w:t>2.</w:t>
      </w:r>
      <w:r w:rsidR="00B10BB2" w:rsidRPr="002E6ECA">
        <w:rPr>
          <w:sz w:val="28"/>
          <w:szCs w:val="28"/>
          <w:lang w:val="uk-UA"/>
        </w:rPr>
        <w:t>6</w:t>
      </w:r>
      <w:r w:rsidR="0006110E" w:rsidRPr="002E6ECA">
        <w:rPr>
          <w:sz w:val="28"/>
          <w:szCs w:val="28"/>
          <w:lang w:val="uk-UA"/>
        </w:rPr>
        <w:t>)</w:t>
      </w:r>
      <w:r w:rsidRPr="002E6ECA">
        <w:rPr>
          <w:sz w:val="28"/>
          <w:szCs w:val="28"/>
          <w:lang w:val="uk-UA"/>
        </w:rPr>
        <w:t>,</w:t>
      </w:r>
    </w:p>
    <w:p w:rsidR="00671012" w:rsidRPr="002E6ECA" w:rsidRDefault="003F4B69" w:rsidP="00671012">
      <w:pPr>
        <w:spacing w:line="360" w:lineRule="auto"/>
        <w:ind w:firstLine="709"/>
        <w:jc w:val="both"/>
        <w:rPr>
          <w:sz w:val="28"/>
          <w:szCs w:val="28"/>
          <w:lang w:val="uk-UA"/>
        </w:rPr>
      </w:pPr>
      <w:r w:rsidRPr="002E6ECA">
        <w:rPr>
          <w:sz w:val="28"/>
          <w:szCs w:val="28"/>
          <w:lang w:val="uk-UA"/>
        </w:rPr>
        <w:t>д</w:t>
      </w:r>
      <w:r w:rsidR="00671012" w:rsidRPr="002E6ECA">
        <w:rPr>
          <w:sz w:val="28"/>
          <w:szCs w:val="28"/>
          <w:lang w:val="uk-UA"/>
        </w:rPr>
        <w:t>е</w:t>
      </w:r>
      <w:r w:rsidRPr="002E6ECA">
        <w:rPr>
          <w:sz w:val="28"/>
          <w:szCs w:val="28"/>
          <w:lang w:val="uk-UA"/>
        </w:rPr>
        <w:t xml:space="preserve"> М</w:t>
      </w:r>
      <w:r w:rsidRPr="002E6ECA">
        <w:rPr>
          <w:sz w:val="28"/>
          <w:szCs w:val="28"/>
          <w:vertAlign w:val="subscript"/>
          <w:lang w:val="uk-UA"/>
        </w:rPr>
        <w:t>1</w:t>
      </w:r>
      <w:r w:rsidRPr="002E6ECA">
        <w:rPr>
          <w:sz w:val="28"/>
          <w:szCs w:val="28"/>
          <w:lang w:val="uk-UA"/>
        </w:rPr>
        <w:t xml:space="preserve"> та М</w:t>
      </w:r>
      <w:r w:rsidRPr="002E6ECA">
        <w:rPr>
          <w:sz w:val="28"/>
          <w:szCs w:val="28"/>
          <w:vertAlign w:val="subscript"/>
          <w:lang w:val="uk-UA"/>
        </w:rPr>
        <w:t>2</w:t>
      </w:r>
      <w:r w:rsidRPr="002E6ECA">
        <w:rPr>
          <w:sz w:val="28"/>
          <w:szCs w:val="28"/>
          <w:lang w:val="uk-UA"/>
        </w:rPr>
        <w:t xml:space="preserve"> –</w:t>
      </w:r>
      <w:r w:rsidR="00671012" w:rsidRPr="002E6ECA">
        <w:rPr>
          <w:sz w:val="28"/>
          <w:szCs w:val="28"/>
          <w:lang w:val="uk-UA"/>
        </w:rPr>
        <w:t xml:space="preserve"> середнє арифметичне кожної з двох вибірок, </w:t>
      </w:r>
      <w:r w:rsidRPr="002E6ECA">
        <w:rPr>
          <w:sz w:val="28"/>
          <w:szCs w:val="28"/>
          <w:lang w:val="uk-UA"/>
        </w:rPr>
        <w:t>ϭ</w:t>
      </w:r>
      <w:r w:rsidRPr="002E6ECA">
        <w:rPr>
          <w:sz w:val="28"/>
          <w:szCs w:val="28"/>
          <w:vertAlign w:val="subscript"/>
          <w:lang w:val="uk-UA"/>
        </w:rPr>
        <w:t>1</w:t>
      </w:r>
      <w:r w:rsidRPr="002E6ECA">
        <w:rPr>
          <w:sz w:val="28"/>
          <w:szCs w:val="28"/>
          <w:lang w:val="uk-UA"/>
        </w:rPr>
        <w:t xml:space="preserve"> та ϭ</w:t>
      </w:r>
      <w:r w:rsidRPr="002E6ECA">
        <w:rPr>
          <w:sz w:val="28"/>
          <w:szCs w:val="28"/>
          <w:vertAlign w:val="subscript"/>
          <w:lang w:val="uk-UA"/>
        </w:rPr>
        <w:t>2</w:t>
      </w:r>
      <w:r w:rsidRPr="002E6ECA">
        <w:rPr>
          <w:sz w:val="28"/>
          <w:szCs w:val="28"/>
          <w:lang w:val="uk-UA"/>
        </w:rPr>
        <w:t xml:space="preserve"> –</w:t>
      </w:r>
      <w:r w:rsidR="00671012" w:rsidRPr="002E6ECA">
        <w:rPr>
          <w:sz w:val="28"/>
          <w:szCs w:val="28"/>
          <w:lang w:val="uk-UA"/>
        </w:rPr>
        <w:t xml:space="preserve"> стандартне відхилення, </w:t>
      </w:r>
      <w:r w:rsidRPr="002E6ECA">
        <w:rPr>
          <w:sz w:val="28"/>
          <w:szCs w:val="28"/>
          <w:lang w:val="en-US"/>
        </w:rPr>
        <w:t>N</w:t>
      </w:r>
      <w:r w:rsidRPr="002E6ECA">
        <w:rPr>
          <w:sz w:val="28"/>
          <w:szCs w:val="28"/>
          <w:vertAlign w:val="subscript"/>
          <w:lang w:val="uk-UA"/>
        </w:rPr>
        <w:t>1</w:t>
      </w:r>
      <w:r w:rsidRPr="002E6ECA">
        <w:rPr>
          <w:sz w:val="28"/>
          <w:szCs w:val="28"/>
          <w:lang w:val="en-US"/>
        </w:rPr>
        <w:t xml:space="preserve"> </w:t>
      </w:r>
      <w:r w:rsidRPr="002E6ECA">
        <w:rPr>
          <w:sz w:val="28"/>
          <w:szCs w:val="28"/>
          <w:lang w:val="uk-UA"/>
        </w:rPr>
        <w:t xml:space="preserve">та </w:t>
      </w:r>
      <w:r w:rsidRPr="002E6ECA">
        <w:rPr>
          <w:sz w:val="28"/>
          <w:szCs w:val="28"/>
          <w:lang w:val="en-US"/>
        </w:rPr>
        <w:t>N</w:t>
      </w:r>
      <w:r w:rsidRPr="002E6ECA">
        <w:rPr>
          <w:sz w:val="28"/>
          <w:szCs w:val="28"/>
          <w:vertAlign w:val="subscript"/>
          <w:lang w:val="uk-UA"/>
        </w:rPr>
        <w:t>2</w:t>
      </w:r>
      <w:r w:rsidRPr="002E6ECA">
        <w:rPr>
          <w:sz w:val="28"/>
          <w:szCs w:val="28"/>
          <w:lang w:val="uk-UA"/>
        </w:rPr>
        <w:t xml:space="preserve"> –</w:t>
      </w:r>
      <w:r w:rsidR="00671012" w:rsidRPr="002E6ECA">
        <w:rPr>
          <w:sz w:val="28"/>
          <w:szCs w:val="28"/>
          <w:lang w:val="uk-UA"/>
        </w:rPr>
        <w:t xml:space="preserve"> розміри вибірок.</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За допомогою таблиць спряженості та критерію Хі-квадрат за методом МакНемара було оцінено вплив порушень окремих елементів режиму дня та здорового способу життя на рівень патологічної ураженості серед учнів середнього шкільного віку.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При статистичному аналізі показників ВСР та ЕЕГ у якості міри центральної тенденції та розподілу обрано медіану та інтерквартильний розкид, оскільки аналіз за критерієм Шапіро-Уілка для більшості з досліджуваних параметрів спростував гіпотезу про відповідність закону нормального розподілу. Для перевірки гіпотези про рівність мір центральної тенденції при попарних порівняннях використано U-критерій Манна-Уітні та Т-критерій Вілкоксона, а для множинних порівнянь – непараметричний метод ANOVA за критерієм Краскелла-Уоліса з наступними апостеріорним порівнянням за критерієм Даннета. Номінальні ознаки описувалися відсотковою часткою, а їх попарне порівняння здійснювалося за </w:t>
      </w:r>
      <w:r w:rsidRPr="002E6ECA">
        <w:rPr>
          <w:sz w:val="28"/>
          <w:szCs w:val="28"/>
          <w:shd w:val="clear" w:color="auto" w:fill="FFFFFF"/>
          <w:lang w:val="uk-UA"/>
        </w:rPr>
        <w:t>φ-</w:t>
      </w:r>
      <w:r w:rsidRPr="002E6ECA">
        <w:rPr>
          <w:sz w:val="28"/>
          <w:szCs w:val="28"/>
          <w:lang w:val="uk-UA"/>
        </w:rPr>
        <w:t xml:space="preserve">критерієм кутового перетворення Фішера. Достовірними вважалися відмінності при </w:t>
      </w:r>
      <w:r w:rsidRPr="002E6ECA">
        <w:rPr>
          <w:sz w:val="28"/>
          <w:szCs w:val="28"/>
          <w:shd w:val="clear" w:color="auto" w:fill="FFFFFF"/>
          <w:lang w:val="uk-UA"/>
        </w:rPr>
        <w:t>р&lt;0,05</w:t>
      </w:r>
      <w:r w:rsidRPr="002E6ECA">
        <w:rPr>
          <w:sz w:val="28"/>
          <w:szCs w:val="28"/>
          <w:lang w:val="uk-UA"/>
        </w:rPr>
        <w:t xml:space="preserve"> [</w:t>
      </w:r>
      <w:r w:rsidR="00232FBF" w:rsidRPr="002E6ECA">
        <w:rPr>
          <w:sz w:val="28"/>
          <w:szCs w:val="28"/>
          <w:lang w:val="uk-UA"/>
        </w:rPr>
        <w:t>8</w:t>
      </w:r>
      <w:r w:rsidR="00B10BB2" w:rsidRPr="002E6ECA">
        <w:rPr>
          <w:sz w:val="28"/>
          <w:szCs w:val="28"/>
          <w:lang w:val="uk-UA"/>
        </w:rPr>
        <w:t>]</w:t>
      </w:r>
      <w:r w:rsidRPr="002E6ECA">
        <w:rPr>
          <w:sz w:val="28"/>
          <w:szCs w:val="28"/>
          <w:lang w:val="uk-UA"/>
        </w:rPr>
        <w:t xml:space="preserve">. </w:t>
      </w: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lastRenderedPageBreak/>
        <w:t>В процедурі валідизації авторської методики дослідження ЯЖПЗ учнів середнього шкільного віку математична обробка даних проведена за допомогою кластерного аналізу методом К-середніх, дискримінативного, канонічного аналізу та аналізу надійності (Альфа Кронбаха) у ліцензованому пакеті статистичних програм IBM SPSS Statistics 22.</w:t>
      </w: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t xml:space="preserve">Статистична цінність методу опитування полягає в можливості виділити характерні групи (кластери) в досліджуваній вибірці і співвідносити наявних або нових учасників опитування з виділеними групами. </w:t>
      </w: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t xml:space="preserve">Проведено аналіз на наявність кластерів даних опитування психосоціального функціонування за анкетою </w:t>
      </w:r>
      <w:r w:rsidRPr="002E6ECA">
        <w:rPr>
          <w:sz w:val="28"/>
          <w:szCs w:val="28"/>
          <w:lang w:val="uk-UA"/>
        </w:rPr>
        <w:t>Y-PSC (для дітей) та PSC (для батьків).</w:t>
      </w:r>
      <w:r w:rsidRPr="002E6ECA">
        <w:rPr>
          <w:bCs/>
          <w:sz w:val="28"/>
          <w:szCs w:val="28"/>
          <w:lang w:val="uk-UA"/>
        </w:rPr>
        <w:t xml:space="preserve"> В опитуванні використано 6 шкал, тому було проаналізовано можливість виділення від 2 до 6 кластерів. Оскільки кількість кластерів апріорі невідомо, то для всього діапазону можливих кластерів (від 2 до 6) визначалась середньоквадратична похибка методом К-середніх (табл.</w:t>
      </w:r>
      <w:r w:rsidR="001425D9" w:rsidRPr="002E6ECA">
        <w:rPr>
          <w:bCs/>
          <w:sz w:val="28"/>
          <w:szCs w:val="28"/>
          <w:lang w:val="uk-UA"/>
        </w:rPr>
        <w:t xml:space="preserve"> </w:t>
      </w:r>
      <w:r w:rsidRPr="002E6ECA">
        <w:rPr>
          <w:bCs/>
          <w:sz w:val="28"/>
          <w:szCs w:val="28"/>
          <w:lang w:val="uk-UA"/>
        </w:rPr>
        <w:t>2.5) і величина F-тесту для кожної з шкал (табл.</w:t>
      </w:r>
      <w:r w:rsidR="001425D9" w:rsidRPr="002E6ECA">
        <w:rPr>
          <w:bCs/>
          <w:sz w:val="28"/>
          <w:szCs w:val="28"/>
          <w:lang w:val="uk-UA"/>
        </w:rPr>
        <w:t xml:space="preserve"> </w:t>
      </w:r>
      <w:r w:rsidRPr="002E6ECA">
        <w:rPr>
          <w:bCs/>
          <w:sz w:val="28"/>
          <w:szCs w:val="28"/>
          <w:lang w:val="uk-UA"/>
        </w:rPr>
        <w:t>2.6).</w:t>
      </w:r>
    </w:p>
    <w:p w:rsidR="00671012" w:rsidRPr="002E6ECA" w:rsidRDefault="00671012" w:rsidP="00671012">
      <w:pPr>
        <w:spacing w:line="360" w:lineRule="auto"/>
        <w:ind w:firstLine="709"/>
        <w:jc w:val="right"/>
        <w:rPr>
          <w:bCs/>
          <w:i/>
          <w:sz w:val="28"/>
          <w:szCs w:val="28"/>
          <w:lang w:val="uk-UA"/>
        </w:rPr>
      </w:pPr>
      <w:r w:rsidRPr="002E6ECA">
        <w:rPr>
          <w:bCs/>
          <w:i/>
          <w:sz w:val="28"/>
          <w:szCs w:val="28"/>
          <w:lang w:val="uk-UA"/>
        </w:rPr>
        <w:t xml:space="preserve">Таблиця 2.5 </w:t>
      </w:r>
    </w:p>
    <w:p w:rsidR="00671012" w:rsidRPr="002E6ECA" w:rsidRDefault="00671012" w:rsidP="00951192">
      <w:pPr>
        <w:spacing w:line="360" w:lineRule="auto"/>
        <w:ind w:firstLine="709"/>
        <w:jc w:val="center"/>
        <w:rPr>
          <w:b/>
          <w:bCs/>
          <w:sz w:val="28"/>
          <w:szCs w:val="28"/>
          <w:lang w:val="uk-UA"/>
        </w:rPr>
      </w:pPr>
      <w:r w:rsidRPr="002E6ECA">
        <w:rPr>
          <w:b/>
          <w:bCs/>
          <w:sz w:val="28"/>
          <w:szCs w:val="28"/>
          <w:lang w:val="uk-UA"/>
        </w:rPr>
        <w:t>Середньоквадратична похибка методу К-середніх (M</w:t>
      </w:r>
      <w:r w:rsidRPr="002E6ECA">
        <w:rPr>
          <w:b/>
          <w:sz w:val="28"/>
          <w:szCs w:val="28"/>
          <w:lang w:val="uk-UA"/>
        </w:rPr>
        <w:t>±δ)</w:t>
      </w:r>
    </w:p>
    <w:tbl>
      <w:tblPr>
        <w:tblW w:w="96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8"/>
        <w:gridCol w:w="2209"/>
        <w:gridCol w:w="1310"/>
        <w:gridCol w:w="1310"/>
        <w:gridCol w:w="1311"/>
        <w:gridCol w:w="1310"/>
        <w:gridCol w:w="1311"/>
      </w:tblGrid>
      <w:tr w:rsidR="00671012" w:rsidRPr="002E6ECA" w:rsidTr="00671012">
        <w:tc>
          <w:tcPr>
            <w:tcW w:w="3147" w:type="dxa"/>
            <w:gridSpan w:val="2"/>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 xml:space="preserve">Шкала </w:t>
            </w:r>
          </w:p>
        </w:tc>
        <w:tc>
          <w:tcPr>
            <w:tcW w:w="1310" w:type="dxa"/>
            <w:shd w:val="clear" w:color="auto" w:fill="auto"/>
            <w:tcMar>
              <w:left w:w="28" w:type="dxa"/>
              <w:right w:w="28" w:type="dxa"/>
            </w:tcMar>
          </w:tcPr>
          <w:p w:rsidR="00671012" w:rsidRPr="002E6ECA" w:rsidRDefault="00671012" w:rsidP="00B10BB2">
            <w:pPr>
              <w:spacing w:line="276" w:lineRule="auto"/>
              <w:jc w:val="center"/>
              <w:rPr>
                <w:sz w:val="28"/>
                <w:szCs w:val="28"/>
                <w:lang w:val="uk-UA"/>
              </w:rPr>
            </w:pPr>
            <w:r w:rsidRPr="002E6ECA">
              <w:rPr>
                <w:sz w:val="28"/>
                <w:szCs w:val="28"/>
                <w:lang w:val="uk-UA"/>
              </w:rPr>
              <w:t>2 кластери</w:t>
            </w:r>
          </w:p>
        </w:tc>
        <w:tc>
          <w:tcPr>
            <w:tcW w:w="1310" w:type="dxa"/>
            <w:shd w:val="clear" w:color="auto" w:fill="auto"/>
            <w:tcMar>
              <w:left w:w="28" w:type="dxa"/>
              <w:right w:w="28" w:type="dxa"/>
            </w:tcMar>
          </w:tcPr>
          <w:p w:rsidR="00671012" w:rsidRPr="002E6ECA" w:rsidRDefault="00671012" w:rsidP="00B10BB2">
            <w:pPr>
              <w:spacing w:line="276" w:lineRule="auto"/>
              <w:jc w:val="center"/>
              <w:rPr>
                <w:sz w:val="28"/>
                <w:szCs w:val="28"/>
                <w:lang w:val="uk-UA"/>
              </w:rPr>
            </w:pPr>
            <w:r w:rsidRPr="002E6ECA">
              <w:rPr>
                <w:sz w:val="28"/>
                <w:szCs w:val="28"/>
                <w:lang w:val="uk-UA"/>
              </w:rPr>
              <w:t>3 кластери</w:t>
            </w:r>
          </w:p>
        </w:tc>
        <w:tc>
          <w:tcPr>
            <w:tcW w:w="1311" w:type="dxa"/>
            <w:shd w:val="clear" w:color="auto" w:fill="auto"/>
            <w:tcMar>
              <w:left w:w="28" w:type="dxa"/>
              <w:right w:w="28" w:type="dxa"/>
            </w:tcMar>
          </w:tcPr>
          <w:p w:rsidR="00671012" w:rsidRPr="002E6ECA" w:rsidRDefault="00671012" w:rsidP="00B10BB2">
            <w:pPr>
              <w:spacing w:line="276" w:lineRule="auto"/>
              <w:jc w:val="center"/>
              <w:rPr>
                <w:sz w:val="28"/>
                <w:szCs w:val="28"/>
                <w:lang w:val="uk-UA"/>
              </w:rPr>
            </w:pPr>
            <w:r w:rsidRPr="002E6ECA">
              <w:rPr>
                <w:sz w:val="28"/>
                <w:szCs w:val="28"/>
                <w:lang w:val="uk-UA"/>
              </w:rPr>
              <w:t>4 кластери</w:t>
            </w:r>
          </w:p>
        </w:tc>
        <w:tc>
          <w:tcPr>
            <w:tcW w:w="1310" w:type="dxa"/>
            <w:shd w:val="clear" w:color="auto" w:fill="auto"/>
            <w:tcMar>
              <w:left w:w="28" w:type="dxa"/>
              <w:right w:w="28" w:type="dxa"/>
            </w:tcMar>
          </w:tcPr>
          <w:p w:rsidR="00671012" w:rsidRPr="002E6ECA" w:rsidRDefault="00671012" w:rsidP="00B10BB2">
            <w:pPr>
              <w:spacing w:line="276" w:lineRule="auto"/>
              <w:jc w:val="center"/>
              <w:rPr>
                <w:sz w:val="28"/>
                <w:szCs w:val="28"/>
                <w:lang w:val="uk-UA"/>
              </w:rPr>
            </w:pPr>
            <w:r w:rsidRPr="002E6ECA">
              <w:rPr>
                <w:sz w:val="28"/>
                <w:szCs w:val="28"/>
                <w:lang w:val="uk-UA"/>
              </w:rPr>
              <w:t>5 кластерів</w:t>
            </w:r>
          </w:p>
        </w:tc>
        <w:tc>
          <w:tcPr>
            <w:tcW w:w="1311" w:type="dxa"/>
            <w:shd w:val="clear" w:color="auto" w:fill="auto"/>
            <w:tcMar>
              <w:left w:w="28" w:type="dxa"/>
              <w:right w:w="28" w:type="dxa"/>
            </w:tcMar>
          </w:tcPr>
          <w:p w:rsidR="00671012" w:rsidRPr="002E6ECA" w:rsidRDefault="00671012" w:rsidP="00B10BB2">
            <w:pPr>
              <w:spacing w:line="276" w:lineRule="auto"/>
              <w:jc w:val="center"/>
              <w:rPr>
                <w:sz w:val="28"/>
                <w:szCs w:val="28"/>
                <w:lang w:val="uk-UA"/>
              </w:rPr>
            </w:pPr>
            <w:r w:rsidRPr="002E6ECA">
              <w:rPr>
                <w:sz w:val="28"/>
                <w:szCs w:val="28"/>
                <w:lang w:val="uk-UA"/>
              </w:rPr>
              <w:t>6 кластерів</w:t>
            </w:r>
          </w:p>
        </w:tc>
      </w:tr>
      <w:tr w:rsidR="00671012" w:rsidRPr="002E6ECA" w:rsidTr="00671012">
        <w:tc>
          <w:tcPr>
            <w:tcW w:w="938" w:type="dxa"/>
            <w:vMerge w:val="restart"/>
            <w:shd w:val="clear" w:color="auto" w:fill="auto"/>
            <w:tcMar>
              <w:left w:w="28" w:type="dxa"/>
              <w:right w:w="28" w:type="dxa"/>
            </w:tcMar>
            <w:vAlign w:val="center"/>
          </w:tcPr>
          <w:p w:rsidR="00671012" w:rsidRPr="002E6ECA" w:rsidRDefault="00671012" w:rsidP="00B10BB2">
            <w:pPr>
              <w:spacing w:line="360" w:lineRule="auto"/>
              <w:jc w:val="both"/>
              <w:rPr>
                <w:sz w:val="28"/>
                <w:szCs w:val="28"/>
                <w:lang w:val="uk-UA"/>
              </w:rPr>
            </w:pPr>
            <w:r w:rsidRPr="002E6ECA">
              <w:rPr>
                <w:sz w:val="28"/>
                <w:szCs w:val="28"/>
                <w:lang w:val="uk-UA"/>
              </w:rPr>
              <w:t>Y-PSC</w:t>
            </w: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Інтерналізація</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12,59</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9,32</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9,79</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6,71</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5,80</w:t>
            </w:r>
          </w:p>
        </w:tc>
      </w:tr>
      <w:tr w:rsidR="00671012" w:rsidRPr="002E6ECA" w:rsidTr="00671012">
        <w:tc>
          <w:tcPr>
            <w:tcW w:w="938" w:type="dxa"/>
            <w:vMerge/>
            <w:shd w:val="clear" w:color="auto" w:fill="auto"/>
            <w:tcMar>
              <w:left w:w="28" w:type="dxa"/>
              <w:right w:w="28" w:type="dxa"/>
            </w:tcMar>
            <w:vAlign w:val="center"/>
          </w:tcPr>
          <w:p w:rsidR="00671012" w:rsidRPr="002E6ECA" w:rsidRDefault="00671012" w:rsidP="00B10BB2">
            <w:pPr>
              <w:spacing w:line="360" w:lineRule="auto"/>
              <w:jc w:val="both"/>
              <w:rPr>
                <w:sz w:val="28"/>
                <w:szCs w:val="28"/>
                <w:lang w:val="uk-UA"/>
              </w:rPr>
            </w:pP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Екстерналізація</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12,09</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9,58</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7,09</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5,58</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5,20</w:t>
            </w:r>
          </w:p>
        </w:tc>
      </w:tr>
      <w:tr w:rsidR="00671012" w:rsidRPr="002E6ECA" w:rsidTr="00671012">
        <w:tc>
          <w:tcPr>
            <w:tcW w:w="938" w:type="dxa"/>
            <w:vMerge/>
            <w:shd w:val="clear" w:color="auto" w:fill="auto"/>
            <w:tcMar>
              <w:left w:w="28" w:type="dxa"/>
              <w:right w:w="28" w:type="dxa"/>
            </w:tcMar>
            <w:vAlign w:val="center"/>
          </w:tcPr>
          <w:p w:rsidR="00671012" w:rsidRPr="002E6ECA" w:rsidRDefault="00671012" w:rsidP="00B10BB2">
            <w:pPr>
              <w:spacing w:line="360" w:lineRule="auto"/>
              <w:jc w:val="both"/>
              <w:rPr>
                <w:sz w:val="28"/>
                <w:szCs w:val="28"/>
                <w:lang w:val="uk-UA"/>
              </w:rPr>
            </w:pP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Загальний рівень</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3,48</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2,94</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2,73</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2,60</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2,39</w:t>
            </w:r>
          </w:p>
        </w:tc>
      </w:tr>
      <w:tr w:rsidR="00671012" w:rsidRPr="002E6ECA" w:rsidTr="00671012">
        <w:tc>
          <w:tcPr>
            <w:tcW w:w="938" w:type="dxa"/>
            <w:vMerge w:val="restart"/>
            <w:shd w:val="clear" w:color="auto" w:fill="auto"/>
            <w:tcMar>
              <w:left w:w="28" w:type="dxa"/>
              <w:right w:w="28" w:type="dxa"/>
            </w:tcMar>
            <w:vAlign w:val="center"/>
          </w:tcPr>
          <w:p w:rsidR="00671012" w:rsidRPr="002E6ECA" w:rsidRDefault="00671012" w:rsidP="00B10BB2">
            <w:pPr>
              <w:spacing w:line="360" w:lineRule="auto"/>
              <w:jc w:val="both"/>
              <w:rPr>
                <w:sz w:val="28"/>
                <w:szCs w:val="28"/>
                <w:lang w:val="uk-UA"/>
              </w:rPr>
            </w:pPr>
            <w:r w:rsidRPr="002E6ECA">
              <w:rPr>
                <w:sz w:val="28"/>
                <w:szCs w:val="28"/>
                <w:lang w:val="uk-UA"/>
              </w:rPr>
              <w:t>PSC</w:t>
            </w: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Інтерналізація</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2,57</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2,39</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2,30</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1,87</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1,67</w:t>
            </w:r>
          </w:p>
        </w:tc>
      </w:tr>
      <w:tr w:rsidR="00671012" w:rsidRPr="002E6ECA" w:rsidTr="00671012">
        <w:tc>
          <w:tcPr>
            <w:tcW w:w="938" w:type="dxa"/>
            <w:vMerge/>
            <w:shd w:val="clear" w:color="auto" w:fill="auto"/>
            <w:tcMar>
              <w:left w:w="28" w:type="dxa"/>
              <w:right w:w="28" w:type="dxa"/>
            </w:tcMar>
          </w:tcPr>
          <w:p w:rsidR="00671012" w:rsidRPr="002E6ECA" w:rsidRDefault="00671012" w:rsidP="00B10BB2">
            <w:pPr>
              <w:spacing w:line="360" w:lineRule="auto"/>
              <w:jc w:val="both"/>
              <w:rPr>
                <w:sz w:val="28"/>
                <w:szCs w:val="28"/>
                <w:lang w:val="uk-UA"/>
              </w:rPr>
            </w:pP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Екстерналізація</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2,38</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2,39</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2,17</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1,90</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1,89</w:t>
            </w:r>
          </w:p>
        </w:tc>
      </w:tr>
      <w:tr w:rsidR="00671012" w:rsidRPr="002E6ECA" w:rsidTr="00671012">
        <w:tc>
          <w:tcPr>
            <w:tcW w:w="938" w:type="dxa"/>
            <w:vMerge/>
            <w:shd w:val="clear" w:color="auto" w:fill="auto"/>
            <w:tcMar>
              <w:left w:w="28" w:type="dxa"/>
              <w:right w:w="28" w:type="dxa"/>
            </w:tcMar>
          </w:tcPr>
          <w:p w:rsidR="00671012" w:rsidRPr="002E6ECA" w:rsidRDefault="00671012" w:rsidP="00B10BB2">
            <w:pPr>
              <w:spacing w:line="360" w:lineRule="auto"/>
              <w:jc w:val="both"/>
              <w:rPr>
                <w:sz w:val="28"/>
                <w:szCs w:val="28"/>
                <w:lang w:val="uk-UA"/>
              </w:rPr>
            </w:pP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sz w:val="28"/>
                <w:szCs w:val="28"/>
                <w:lang w:val="uk-UA"/>
              </w:rPr>
              <w:t>Загальний рівень</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23,01</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11,40</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8,05</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7,66</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6,03</w:t>
            </w:r>
          </w:p>
        </w:tc>
      </w:tr>
      <w:tr w:rsidR="00671012" w:rsidRPr="002E6ECA" w:rsidTr="00671012">
        <w:tc>
          <w:tcPr>
            <w:tcW w:w="938"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p>
        </w:tc>
        <w:tc>
          <w:tcPr>
            <w:tcW w:w="2209" w:type="dxa"/>
            <w:shd w:val="clear" w:color="auto" w:fill="auto"/>
            <w:tcMar>
              <w:left w:w="28" w:type="dxa"/>
              <w:right w:w="28" w:type="dxa"/>
            </w:tcMar>
          </w:tcPr>
          <w:p w:rsidR="00671012" w:rsidRPr="002E6ECA" w:rsidRDefault="00671012" w:rsidP="00B10BB2">
            <w:pPr>
              <w:spacing w:line="360" w:lineRule="auto"/>
              <w:jc w:val="both"/>
              <w:rPr>
                <w:sz w:val="28"/>
                <w:szCs w:val="28"/>
                <w:lang w:val="uk-UA"/>
              </w:rPr>
            </w:pPr>
            <w:r w:rsidRPr="002E6ECA">
              <w:rPr>
                <w:bCs/>
                <w:sz w:val="28"/>
                <w:szCs w:val="28"/>
                <w:lang w:val="uk-UA"/>
              </w:rPr>
              <w:t>M</w:t>
            </w:r>
            <w:r w:rsidRPr="002E6ECA">
              <w:rPr>
                <w:sz w:val="28"/>
                <w:szCs w:val="28"/>
                <w:lang w:val="uk-UA"/>
              </w:rPr>
              <w:t>±δ</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9,36±8,17</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6,34±4,19</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5,35±3,36</w:t>
            </w:r>
          </w:p>
        </w:tc>
        <w:tc>
          <w:tcPr>
            <w:tcW w:w="1310"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4,39±2,58</w:t>
            </w:r>
          </w:p>
        </w:tc>
        <w:tc>
          <w:tcPr>
            <w:tcW w:w="1311" w:type="dxa"/>
            <w:shd w:val="clear" w:color="auto" w:fill="auto"/>
            <w:tcMar>
              <w:left w:w="28" w:type="dxa"/>
              <w:right w:w="28" w:type="dxa"/>
            </w:tcMar>
            <w:vAlign w:val="center"/>
          </w:tcPr>
          <w:p w:rsidR="00671012" w:rsidRPr="002E6ECA" w:rsidRDefault="00671012" w:rsidP="00B10BB2">
            <w:pPr>
              <w:spacing w:line="360" w:lineRule="auto"/>
              <w:jc w:val="center"/>
              <w:rPr>
                <w:sz w:val="28"/>
                <w:szCs w:val="28"/>
                <w:lang w:val="uk-UA"/>
              </w:rPr>
            </w:pPr>
            <w:r w:rsidRPr="002E6ECA">
              <w:rPr>
                <w:sz w:val="28"/>
                <w:szCs w:val="28"/>
                <w:lang w:val="uk-UA"/>
              </w:rPr>
              <w:t>3,83±2,06</w:t>
            </w:r>
          </w:p>
        </w:tc>
      </w:tr>
    </w:tbl>
    <w:p w:rsidR="00671012" w:rsidRPr="002E6ECA" w:rsidRDefault="00671012" w:rsidP="00671012">
      <w:pPr>
        <w:spacing w:line="360" w:lineRule="auto"/>
        <w:ind w:firstLine="709"/>
        <w:jc w:val="both"/>
        <w:rPr>
          <w:sz w:val="28"/>
          <w:szCs w:val="28"/>
          <w:lang w:val="uk-UA"/>
        </w:rPr>
      </w:pPr>
    </w:p>
    <w:p w:rsidR="0006110E" w:rsidRPr="002E6ECA" w:rsidRDefault="0006110E" w:rsidP="0006110E">
      <w:pPr>
        <w:spacing w:line="360" w:lineRule="auto"/>
        <w:ind w:firstLine="709"/>
        <w:jc w:val="both"/>
        <w:rPr>
          <w:bCs/>
          <w:sz w:val="28"/>
          <w:szCs w:val="28"/>
          <w:lang w:val="uk-UA"/>
        </w:rPr>
      </w:pPr>
      <w:r w:rsidRPr="002E6ECA">
        <w:rPr>
          <w:bCs/>
          <w:sz w:val="28"/>
          <w:szCs w:val="28"/>
          <w:lang w:val="uk-UA"/>
        </w:rPr>
        <w:t xml:space="preserve">Найкращий поділ на кластери відповідає мінімально можливій середньоквадратичній похибці при максимально можливій середній величині F-тесту. Оскільки одночасне виконання обох критеріїв неможливо, тому що </w:t>
      </w:r>
      <w:r w:rsidRPr="002E6ECA">
        <w:rPr>
          <w:bCs/>
          <w:sz w:val="28"/>
          <w:szCs w:val="28"/>
          <w:lang w:val="uk-UA"/>
        </w:rPr>
        <w:lastRenderedPageBreak/>
        <w:t>мінімальній середньоквадратичній похибці відповідає мінімальне середнє величини F-тесту і навпаки, то було обрано оптимальне значення – 3 кластери, коли величина F-тесту всього на 1% менше максимального, але середньоквадратична похибка методу знижується на 32% від максимального.</w:t>
      </w:r>
    </w:p>
    <w:p w:rsidR="00671012" w:rsidRPr="002E6ECA" w:rsidRDefault="00671012" w:rsidP="00671012">
      <w:pPr>
        <w:spacing w:line="360" w:lineRule="auto"/>
        <w:ind w:firstLine="709"/>
        <w:jc w:val="right"/>
        <w:rPr>
          <w:bCs/>
          <w:i/>
          <w:sz w:val="28"/>
          <w:szCs w:val="28"/>
          <w:lang w:val="uk-UA"/>
        </w:rPr>
      </w:pPr>
      <w:r w:rsidRPr="002E6ECA">
        <w:rPr>
          <w:bCs/>
          <w:i/>
          <w:sz w:val="28"/>
          <w:szCs w:val="28"/>
          <w:lang w:val="uk-UA"/>
        </w:rPr>
        <w:t xml:space="preserve">Таблиця 2.6 </w:t>
      </w:r>
    </w:p>
    <w:p w:rsidR="00671012" w:rsidRPr="002E6ECA" w:rsidRDefault="00671012" w:rsidP="00951192">
      <w:pPr>
        <w:spacing w:line="360" w:lineRule="auto"/>
        <w:ind w:firstLine="709"/>
        <w:jc w:val="center"/>
        <w:rPr>
          <w:b/>
          <w:sz w:val="28"/>
          <w:szCs w:val="28"/>
          <w:lang w:val="uk-UA"/>
        </w:rPr>
      </w:pPr>
      <w:r w:rsidRPr="002E6ECA">
        <w:rPr>
          <w:b/>
          <w:sz w:val="28"/>
          <w:szCs w:val="28"/>
          <w:lang w:val="uk-UA"/>
        </w:rPr>
        <w:t xml:space="preserve">Величина F-тесту для кожної шкали </w:t>
      </w:r>
      <w:r w:rsidRPr="002E6ECA">
        <w:rPr>
          <w:b/>
          <w:bCs/>
          <w:sz w:val="28"/>
          <w:szCs w:val="28"/>
          <w:lang w:val="uk-UA"/>
        </w:rPr>
        <w:t>(M</w:t>
      </w:r>
      <w:r w:rsidRPr="002E6ECA">
        <w:rPr>
          <w:b/>
          <w:sz w:val="28"/>
          <w:szCs w:val="28"/>
          <w:lang w:val="uk-UA"/>
        </w:rPr>
        <w:t>±δ)</w:t>
      </w:r>
    </w:p>
    <w:tbl>
      <w:tblPr>
        <w:tblW w:w="96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1"/>
        <w:gridCol w:w="2126"/>
        <w:gridCol w:w="1293"/>
        <w:gridCol w:w="1294"/>
        <w:gridCol w:w="1294"/>
        <w:gridCol w:w="1294"/>
        <w:gridCol w:w="1294"/>
      </w:tblGrid>
      <w:tr w:rsidR="00671012" w:rsidRPr="002E6ECA" w:rsidTr="00B10BB2">
        <w:tc>
          <w:tcPr>
            <w:tcW w:w="3147" w:type="dxa"/>
            <w:gridSpan w:val="2"/>
            <w:shd w:val="clear" w:color="auto" w:fill="auto"/>
            <w:tcMar>
              <w:left w:w="28" w:type="dxa"/>
              <w:right w:w="28" w:type="dxa"/>
            </w:tcMar>
          </w:tcPr>
          <w:p w:rsidR="00671012" w:rsidRPr="002E6ECA" w:rsidRDefault="00671012" w:rsidP="00671012">
            <w:pPr>
              <w:spacing w:line="360" w:lineRule="auto"/>
              <w:jc w:val="both"/>
              <w:rPr>
                <w:sz w:val="28"/>
                <w:szCs w:val="28"/>
                <w:lang w:val="uk-UA"/>
              </w:rPr>
            </w:pPr>
            <w:r w:rsidRPr="002E6ECA">
              <w:rPr>
                <w:sz w:val="28"/>
                <w:szCs w:val="28"/>
                <w:lang w:val="uk-UA"/>
              </w:rPr>
              <w:t xml:space="preserve">Шкала </w:t>
            </w:r>
          </w:p>
        </w:tc>
        <w:tc>
          <w:tcPr>
            <w:tcW w:w="1293"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2 кластери</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3 кластери</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4 кластери</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5 кластерів</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6 кластерів</w:t>
            </w:r>
          </w:p>
        </w:tc>
      </w:tr>
      <w:tr w:rsidR="00671012" w:rsidRPr="002E6ECA" w:rsidTr="00B10BB2">
        <w:tc>
          <w:tcPr>
            <w:tcW w:w="1021" w:type="dxa"/>
            <w:vMerge w:val="restart"/>
            <w:shd w:val="clear" w:color="auto" w:fill="auto"/>
            <w:tcMar>
              <w:left w:w="28" w:type="dxa"/>
              <w:right w:w="28" w:type="dxa"/>
            </w:tcMar>
            <w:vAlign w:val="center"/>
          </w:tcPr>
          <w:p w:rsidR="00671012" w:rsidRPr="002E6ECA" w:rsidRDefault="00671012" w:rsidP="00671012">
            <w:pPr>
              <w:spacing w:line="360" w:lineRule="auto"/>
              <w:jc w:val="both"/>
              <w:rPr>
                <w:sz w:val="28"/>
                <w:szCs w:val="28"/>
                <w:lang w:val="uk-UA"/>
              </w:rPr>
            </w:pPr>
            <w:r w:rsidRPr="002E6ECA">
              <w:rPr>
                <w:sz w:val="28"/>
                <w:szCs w:val="28"/>
                <w:lang w:val="uk-UA"/>
              </w:rPr>
              <w:t>Y-PSC</w:t>
            </w:r>
          </w:p>
        </w:tc>
        <w:tc>
          <w:tcPr>
            <w:tcW w:w="2126" w:type="dxa"/>
            <w:shd w:val="clear" w:color="auto" w:fill="auto"/>
            <w:tcMar>
              <w:left w:w="28" w:type="dxa"/>
              <w:right w:w="28" w:type="dxa"/>
            </w:tcMar>
          </w:tcPr>
          <w:p w:rsidR="00671012" w:rsidRPr="002E6ECA" w:rsidRDefault="00671012" w:rsidP="00671012">
            <w:pPr>
              <w:spacing w:line="360" w:lineRule="auto"/>
              <w:jc w:val="both"/>
              <w:rPr>
                <w:sz w:val="28"/>
                <w:szCs w:val="28"/>
                <w:lang w:val="uk-UA"/>
              </w:rPr>
            </w:pPr>
            <w:r w:rsidRPr="002E6ECA">
              <w:rPr>
                <w:sz w:val="28"/>
                <w:szCs w:val="28"/>
                <w:lang w:val="uk-UA"/>
              </w:rPr>
              <w:t>Інтерналізація</w:t>
            </w:r>
          </w:p>
        </w:tc>
        <w:tc>
          <w:tcPr>
            <w:tcW w:w="1293"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155,48</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144,08</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88,32</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121,93</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119,89</w:t>
            </w:r>
          </w:p>
        </w:tc>
      </w:tr>
      <w:tr w:rsidR="00671012" w:rsidRPr="002E6ECA" w:rsidTr="00B10BB2">
        <w:tc>
          <w:tcPr>
            <w:tcW w:w="1021" w:type="dxa"/>
            <w:vMerge/>
            <w:shd w:val="clear" w:color="auto" w:fill="auto"/>
            <w:tcMar>
              <w:left w:w="28" w:type="dxa"/>
              <w:right w:w="28" w:type="dxa"/>
            </w:tcMar>
            <w:vAlign w:val="center"/>
          </w:tcPr>
          <w:p w:rsidR="00671012" w:rsidRPr="002E6ECA" w:rsidRDefault="00671012" w:rsidP="00671012">
            <w:pPr>
              <w:spacing w:line="360" w:lineRule="auto"/>
              <w:jc w:val="both"/>
              <w:rPr>
                <w:sz w:val="28"/>
                <w:szCs w:val="28"/>
                <w:lang w:val="uk-UA"/>
              </w:rPr>
            </w:pPr>
          </w:p>
        </w:tc>
        <w:tc>
          <w:tcPr>
            <w:tcW w:w="2126" w:type="dxa"/>
            <w:shd w:val="clear" w:color="auto" w:fill="auto"/>
            <w:tcMar>
              <w:left w:w="28" w:type="dxa"/>
              <w:right w:w="28" w:type="dxa"/>
            </w:tcMar>
          </w:tcPr>
          <w:p w:rsidR="00671012" w:rsidRPr="002E6ECA" w:rsidRDefault="00671012" w:rsidP="00671012">
            <w:pPr>
              <w:spacing w:line="360" w:lineRule="auto"/>
              <w:jc w:val="both"/>
              <w:rPr>
                <w:sz w:val="28"/>
                <w:szCs w:val="28"/>
                <w:lang w:val="uk-UA"/>
              </w:rPr>
            </w:pPr>
            <w:r w:rsidRPr="002E6ECA">
              <w:rPr>
                <w:sz w:val="28"/>
                <w:szCs w:val="28"/>
                <w:lang w:val="uk-UA"/>
              </w:rPr>
              <w:t>Екстерналізація</w:t>
            </w:r>
          </w:p>
        </w:tc>
        <w:tc>
          <w:tcPr>
            <w:tcW w:w="1293"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170,49</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136,92</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149,35</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157,37</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138,44</w:t>
            </w:r>
          </w:p>
        </w:tc>
      </w:tr>
      <w:tr w:rsidR="00671012" w:rsidRPr="002E6ECA" w:rsidTr="00B10BB2">
        <w:tc>
          <w:tcPr>
            <w:tcW w:w="1021" w:type="dxa"/>
            <w:vMerge/>
            <w:shd w:val="clear" w:color="auto" w:fill="auto"/>
            <w:tcMar>
              <w:left w:w="28" w:type="dxa"/>
              <w:right w:w="28" w:type="dxa"/>
            </w:tcMar>
            <w:vAlign w:val="center"/>
          </w:tcPr>
          <w:p w:rsidR="00671012" w:rsidRPr="002E6ECA" w:rsidRDefault="00671012" w:rsidP="00671012">
            <w:pPr>
              <w:spacing w:line="360" w:lineRule="auto"/>
              <w:jc w:val="both"/>
              <w:rPr>
                <w:sz w:val="28"/>
                <w:szCs w:val="28"/>
                <w:lang w:val="uk-UA"/>
              </w:rPr>
            </w:pPr>
          </w:p>
        </w:tc>
        <w:tc>
          <w:tcPr>
            <w:tcW w:w="2126" w:type="dxa"/>
            <w:shd w:val="clear" w:color="auto" w:fill="auto"/>
            <w:tcMar>
              <w:left w:w="28" w:type="dxa"/>
              <w:right w:w="28" w:type="dxa"/>
            </w:tcMar>
          </w:tcPr>
          <w:p w:rsidR="00671012" w:rsidRPr="002E6ECA" w:rsidRDefault="00671012" w:rsidP="0006110E">
            <w:pPr>
              <w:spacing w:line="312" w:lineRule="auto"/>
              <w:jc w:val="both"/>
              <w:rPr>
                <w:sz w:val="28"/>
                <w:szCs w:val="28"/>
                <w:lang w:val="uk-UA"/>
              </w:rPr>
            </w:pPr>
            <w:r w:rsidRPr="002E6ECA">
              <w:rPr>
                <w:sz w:val="28"/>
                <w:szCs w:val="28"/>
                <w:lang w:val="uk-UA"/>
              </w:rPr>
              <w:t>Загальний рівень</w:t>
            </w:r>
          </w:p>
        </w:tc>
        <w:tc>
          <w:tcPr>
            <w:tcW w:w="1293"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76,75</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66,05</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53,56</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45,01</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43,12</w:t>
            </w:r>
          </w:p>
        </w:tc>
      </w:tr>
      <w:tr w:rsidR="00671012" w:rsidRPr="002E6ECA" w:rsidTr="00B10BB2">
        <w:tc>
          <w:tcPr>
            <w:tcW w:w="1021" w:type="dxa"/>
            <w:vMerge w:val="restart"/>
            <w:shd w:val="clear" w:color="auto" w:fill="auto"/>
            <w:tcMar>
              <w:left w:w="28" w:type="dxa"/>
              <w:right w:w="28" w:type="dxa"/>
            </w:tcMar>
            <w:vAlign w:val="center"/>
          </w:tcPr>
          <w:p w:rsidR="00671012" w:rsidRPr="002E6ECA" w:rsidRDefault="00671012" w:rsidP="00671012">
            <w:pPr>
              <w:spacing w:line="360" w:lineRule="auto"/>
              <w:jc w:val="both"/>
              <w:rPr>
                <w:sz w:val="28"/>
                <w:szCs w:val="28"/>
                <w:lang w:val="uk-UA"/>
              </w:rPr>
            </w:pPr>
            <w:r w:rsidRPr="002E6ECA">
              <w:rPr>
                <w:sz w:val="28"/>
                <w:szCs w:val="28"/>
                <w:lang w:val="uk-UA"/>
              </w:rPr>
              <w:t>PSC</w:t>
            </w:r>
          </w:p>
        </w:tc>
        <w:tc>
          <w:tcPr>
            <w:tcW w:w="2126" w:type="dxa"/>
            <w:shd w:val="clear" w:color="auto" w:fill="auto"/>
            <w:tcMar>
              <w:left w:w="28" w:type="dxa"/>
              <w:right w:w="28" w:type="dxa"/>
            </w:tcMar>
          </w:tcPr>
          <w:p w:rsidR="00671012" w:rsidRPr="002E6ECA" w:rsidRDefault="00671012" w:rsidP="00671012">
            <w:pPr>
              <w:spacing w:line="360" w:lineRule="auto"/>
              <w:jc w:val="both"/>
              <w:rPr>
                <w:sz w:val="28"/>
                <w:szCs w:val="28"/>
                <w:lang w:val="uk-UA"/>
              </w:rPr>
            </w:pPr>
            <w:r w:rsidRPr="002E6ECA">
              <w:rPr>
                <w:sz w:val="28"/>
                <w:szCs w:val="28"/>
                <w:lang w:val="uk-UA"/>
              </w:rPr>
              <w:t>Інтерналізація</w:t>
            </w:r>
          </w:p>
        </w:tc>
        <w:tc>
          <w:tcPr>
            <w:tcW w:w="1293"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104,57</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65,38</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48,18</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57,36</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57,02</w:t>
            </w:r>
          </w:p>
        </w:tc>
      </w:tr>
      <w:tr w:rsidR="00671012" w:rsidRPr="002E6ECA" w:rsidTr="00B10BB2">
        <w:tc>
          <w:tcPr>
            <w:tcW w:w="1021" w:type="dxa"/>
            <w:vMerge/>
            <w:shd w:val="clear" w:color="auto" w:fill="auto"/>
            <w:tcMar>
              <w:left w:w="28" w:type="dxa"/>
              <w:right w:w="28" w:type="dxa"/>
            </w:tcMar>
          </w:tcPr>
          <w:p w:rsidR="00671012" w:rsidRPr="002E6ECA" w:rsidRDefault="00671012" w:rsidP="00671012">
            <w:pPr>
              <w:spacing w:line="360" w:lineRule="auto"/>
              <w:ind w:firstLine="709"/>
              <w:jc w:val="both"/>
              <w:rPr>
                <w:sz w:val="28"/>
                <w:szCs w:val="28"/>
                <w:lang w:val="uk-UA"/>
              </w:rPr>
            </w:pPr>
          </w:p>
        </w:tc>
        <w:tc>
          <w:tcPr>
            <w:tcW w:w="2126" w:type="dxa"/>
            <w:shd w:val="clear" w:color="auto" w:fill="auto"/>
            <w:tcMar>
              <w:left w:w="28" w:type="dxa"/>
              <w:right w:w="28" w:type="dxa"/>
            </w:tcMar>
          </w:tcPr>
          <w:p w:rsidR="00671012" w:rsidRPr="002E6ECA" w:rsidRDefault="00671012" w:rsidP="00671012">
            <w:pPr>
              <w:spacing w:line="360" w:lineRule="auto"/>
              <w:jc w:val="both"/>
              <w:rPr>
                <w:sz w:val="28"/>
                <w:szCs w:val="28"/>
                <w:lang w:val="uk-UA"/>
              </w:rPr>
            </w:pPr>
            <w:r w:rsidRPr="002E6ECA">
              <w:rPr>
                <w:sz w:val="28"/>
                <w:szCs w:val="28"/>
                <w:lang w:val="uk-UA"/>
              </w:rPr>
              <w:t>Екстерналізація</w:t>
            </w:r>
          </w:p>
        </w:tc>
        <w:tc>
          <w:tcPr>
            <w:tcW w:w="1293"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66,83</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33,38</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32,47</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35,68</w:t>
            </w:r>
          </w:p>
        </w:tc>
        <w:tc>
          <w:tcPr>
            <w:tcW w:w="1294" w:type="dxa"/>
            <w:shd w:val="clear" w:color="auto" w:fill="auto"/>
            <w:tcMar>
              <w:left w:w="28" w:type="dxa"/>
              <w:right w:w="28" w:type="dxa"/>
            </w:tcMar>
            <w:vAlign w:val="center"/>
          </w:tcPr>
          <w:p w:rsidR="00671012" w:rsidRPr="002E6ECA" w:rsidRDefault="00671012" w:rsidP="00671012">
            <w:pPr>
              <w:spacing w:line="360" w:lineRule="auto"/>
              <w:jc w:val="center"/>
              <w:rPr>
                <w:sz w:val="28"/>
                <w:szCs w:val="28"/>
                <w:lang w:val="uk-UA"/>
              </w:rPr>
            </w:pPr>
            <w:r w:rsidRPr="002E6ECA">
              <w:rPr>
                <w:sz w:val="28"/>
                <w:szCs w:val="28"/>
                <w:lang w:val="uk-UA"/>
              </w:rPr>
              <w:t>29,32</w:t>
            </w:r>
          </w:p>
        </w:tc>
      </w:tr>
      <w:tr w:rsidR="00671012" w:rsidRPr="002E6ECA" w:rsidTr="00B10BB2">
        <w:tc>
          <w:tcPr>
            <w:tcW w:w="1021" w:type="dxa"/>
            <w:vMerge/>
            <w:shd w:val="clear" w:color="auto" w:fill="auto"/>
            <w:tcMar>
              <w:left w:w="28" w:type="dxa"/>
              <w:right w:w="28" w:type="dxa"/>
            </w:tcMar>
          </w:tcPr>
          <w:p w:rsidR="00671012" w:rsidRPr="002E6ECA" w:rsidRDefault="00671012" w:rsidP="00671012">
            <w:pPr>
              <w:spacing w:line="360" w:lineRule="auto"/>
              <w:ind w:firstLine="709"/>
              <w:jc w:val="both"/>
              <w:rPr>
                <w:sz w:val="28"/>
                <w:szCs w:val="28"/>
                <w:lang w:val="uk-UA"/>
              </w:rPr>
            </w:pPr>
          </w:p>
        </w:tc>
        <w:tc>
          <w:tcPr>
            <w:tcW w:w="2126" w:type="dxa"/>
            <w:shd w:val="clear" w:color="auto" w:fill="auto"/>
            <w:tcMar>
              <w:left w:w="28" w:type="dxa"/>
              <w:right w:w="28" w:type="dxa"/>
            </w:tcMar>
          </w:tcPr>
          <w:p w:rsidR="00671012" w:rsidRPr="002E6ECA" w:rsidRDefault="00671012" w:rsidP="0006110E">
            <w:pPr>
              <w:spacing w:line="312" w:lineRule="auto"/>
              <w:jc w:val="both"/>
              <w:rPr>
                <w:sz w:val="28"/>
                <w:szCs w:val="28"/>
                <w:lang w:val="uk-UA"/>
              </w:rPr>
            </w:pPr>
            <w:r w:rsidRPr="002E6ECA">
              <w:rPr>
                <w:sz w:val="28"/>
                <w:szCs w:val="28"/>
                <w:lang w:val="uk-UA"/>
              </w:rPr>
              <w:t>Загальний рівень</w:t>
            </w:r>
          </w:p>
        </w:tc>
        <w:tc>
          <w:tcPr>
            <w:tcW w:w="1293" w:type="dxa"/>
            <w:shd w:val="clear" w:color="auto" w:fill="auto"/>
            <w:tcMar>
              <w:left w:w="28" w:type="dxa"/>
              <w:right w:w="28" w:type="dxa"/>
            </w:tcMar>
            <w:vAlign w:val="center"/>
          </w:tcPr>
          <w:p w:rsidR="00671012" w:rsidRPr="002E6ECA" w:rsidRDefault="00671012" w:rsidP="0006110E">
            <w:pPr>
              <w:spacing w:line="312" w:lineRule="auto"/>
              <w:jc w:val="center"/>
              <w:rPr>
                <w:sz w:val="28"/>
                <w:szCs w:val="28"/>
                <w:lang w:val="uk-UA"/>
              </w:rPr>
            </w:pPr>
            <w:r w:rsidRPr="002E6ECA">
              <w:rPr>
                <w:sz w:val="28"/>
                <w:szCs w:val="28"/>
                <w:lang w:val="uk-UA"/>
              </w:rPr>
              <w:t>349,22</w:t>
            </w:r>
          </w:p>
        </w:tc>
        <w:tc>
          <w:tcPr>
            <w:tcW w:w="1294" w:type="dxa"/>
            <w:shd w:val="clear" w:color="auto" w:fill="auto"/>
            <w:tcMar>
              <w:left w:w="28" w:type="dxa"/>
              <w:right w:w="28" w:type="dxa"/>
            </w:tcMar>
            <w:vAlign w:val="center"/>
          </w:tcPr>
          <w:p w:rsidR="00671012" w:rsidRPr="002E6ECA" w:rsidRDefault="00671012" w:rsidP="0006110E">
            <w:pPr>
              <w:spacing w:line="312" w:lineRule="auto"/>
              <w:jc w:val="center"/>
              <w:rPr>
                <w:sz w:val="28"/>
                <w:szCs w:val="28"/>
                <w:lang w:val="uk-UA"/>
              </w:rPr>
            </w:pPr>
            <w:r w:rsidRPr="002E6ECA">
              <w:rPr>
                <w:sz w:val="28"/>
                <w:szCs w:val="28"/>
                <w:lang w:val="uk-UA"/>
              </w:rPr>
              <w:t>465,28</w:t>
            </w:r>
          </w:p>
        </w:tc>
        <w:tc>
          <w:tcPr>
            <w:tcW w:w="1294" w:type="dxa"/>
            <w:shd w:val="clear" w:color="auto" w:fill="auto"/>
            <w:tcMar>
              <w:left w:w="28" w:type="dxa"/>
              <w:right w:w="28" w:type="dxa"/>
            </w:tcMar>
            <w:vAlign w:val="center"/>
          </w:tcPr>
          <w:p w:rsidR="00671012" w:rsidRPr="002E6ECA" w:rsidRDefault="00671012" w:rsidP="0006110E">
            <w:pPr>
              <w:spacing w:line="312" w:lineRule="auto"/>
              <w:jc w:val="center"/>
              <w:rPr>
                <w:sz w:val="28"/>
                <w:szCs w:val="28"/>
                <w:lang w:val="uk-UA"/>
              </w:rPr>
            </w:pPr>
            <w:r w:rsidRPr="002E6ECA">
              <w:rPr>
                <w:sz w:val="28"/>
                <w:szCs w:val="28"/>
                <w:lang w:val="uk-UA"/>
              </w:rPr>
              <w:t>469,87</w:t>
            </w:r>
          </w:p>
        </w:tc>
        <w:tc>
          <w:tcPr>
            <w:tcW w:w="1294" w:type="dxa"/>
            <w:shd w:val="clear" w:color="auto" w:fill="auto"/>
            <w:tcMar>
              <w:left w:w="28" w:type="dxa"/>
              <w:right w:w="28" w:type="dxa"/>
            </w:tcMar>
            <w:vAlign w:val="center"/>
          </w:tcPr>
          <w:p w:rsidR="00671012" w:rsidRPr="002E6ECA" w:rsidRDefault="00671012" w:rsidP="0006110E">
            <w:pPr>
              <w:spacing w:line="312" w:lineRule="auto"/>
              <w:jc w:val="center"/>
              <w:rPr>
                <w:sz w:val="28"/>
                <w:szCs w:val="28"/>
                <w:lang w:val="uk-UA"/>
              </w:rPr>
            </w:pPr>
            <w:r w:rsidRPr="002E6ECA">
              <w:rPr>
                <w:sz w:val="28"/>
                <w:szCs w:val="28"/>
                <w:lang w:val="uk-UA"/>
              </w:rPr>
              <w:t>373,11</w:t>
            </w:r>
          </w:p>
        </w:tc>
        <w:tc>
          <w:tcPr>
            <w:tcW w:w="1294" w:type="dxa"/>
            <w:shd w:val="clear" w:color="auto" w:fill="auto"/>
            <w:tcMar>
              <w:left w:w="28" w:type="dxa"/>
              <w:right w:w="28" w:type="dxa"/>
            </w:tcMar>
            <w:vAlign w:val="center"/>
          </w:tcPr>
          <w:p w:rsidR="00671012" w:rsidRPr="002E6ECA" w:rsidRDefault="00671012" w:rsidP="0006110E">
            <w:pPr>
              <w:spacing w:line="312" w:lineRule="auto"/>
              <w:jc w:val="center"/>
              <w:rPr>
                <w:sz w:val="28"/>
                <w:szCs w:val="28"/>
                <w:lang w:val="uk-UA"/>
              </w:rPr>
            </w:pPr>
            <w:r w:rsidRPr="002E6ECA">
              <w:rPr>
                <w:sz w:val="28"/>
                <w:szCs w:val="28"/>
                <w:lang w:val="uk-UA"/>
              </w:rPr>
              <w:t>391,31</w:t>
            </w:r>
          </w:p>
        </w:tc>
      </w:tr>
      <w:tr w:rsidR="00671012" w:rsidRPr="002E6ECA" w:rsidTr="00B10BB2">
        <w:tc>
          <w:tcPr>
            <w:tcW w:w="1021" w:type="dxa"/>
            <w:shd w:val="clear" w:color="auto" w:fill="auto"/>
            <w:tcMar>
              <w:left w:w="28" w:type="dxa"/>
              <w:right w:w="28" w:type="dxa"/>
            </w:tcMar>
          </w:tcPr>
          <w:p w:rsidR="00671012" w:rsidRPr="002E6ECA" w:rsidRDefault="00671012" w:rsidP="00671012">
            <w:pPr>
              <w:spacing w:line="360" w:lineRule="auto"/>
              <w:ind w:firstLine="709"/>
              <w:jc w:val="both"/>
              <w:rPr>
                <w:sz w:val="28"/>
                <w:szCs w:val="28"/>
                <w:lang w:val="uk-UA"/>
              </w:rPr>
            </w:pPr>
          </w:p>
        </w:tc>
        <w:tc>
          <w:tcPr>
            <w:tcW w:w="2126" w:type="dxa"/>
            <w:shd w:val="clear" w:color="auto" w:fill="auto"/>
            <w:tcMar>
              <w:left w:w="28" w:type="dxa"/>
              <w:right w:w="28" w:type="dxa"/>
            </w:tcMar>
          </w:tcPr>
          <w:p w:rsidR="00671012" w:rsidRPr="002E6ECA" w:rsidRDefault="00671012" w:rsidP="00B10BB2">
            <w:pPr>
              <w:spacing w:line="276" w:lineRule="auto"/>
              <w:jc w:val="center"/>
              <w:rPr>
                <w:sz w:val="28"/>
                <w:szCs w:val="28"/>
                <w:lang w:val="uk-UA"/>
              </w:rPr>
            </w:pPr>
            <w:r w:rsidRPr="002E6ECA">
              <w:rPr>
                <w:bCs/>
                <w:sz w:val="28"/>
                <w:szCs w:val="28"/>
                <w:lang w:val="uk-UA"/>
              </w:rPr>
              <w:t>M</w:t>
            </w:r>
            <w:r w:rsidRPr="002E6ECA">
              <w:rPr>
                <w:sz w:val="28"/>
                <w:szCs w:val="28"/>
                <w:lang w:val="uk-UA"/>
              </w:rPr>
              <w:t>±δ</w:t>
            </w:r>
          </w:p>
        </w:tc>
        <w:tc>
          <w:tcPr>
            <w:tcW w:w="1293"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153,8± 104,3</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151,8 ± 159,6</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140,3 ± 166,7</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131,7 ± 127,5</w:t>
            </w:r>
          </w:p>
        </w:tc>
        <w:tc>
          <w:tcPr>
            <w:tcW w:w="1294" w:type="dxa"/>
            <w:shd w:val="clear" w:color="auto" w:fill="auto"/>
            <w:tcMar>
              <w:left w:w="28" w:type="dxa"/>
              <w:right w:w="28" w:type="dxa"/>
            </w:tcMar>
            <w:vAlign w:val="center"/>
          </w:tcPr>
          <w:p w:rsidR="00671012" w:rsidRPr="002E6ECA" w:rsidRDefault="00671012" w:rsidP="00B10BB2">
            <w:pPr>
              <w:spacing w:line="276" w:lineRule="auto"/>
              <w:jc w:val="center"/>
              <w:rPr>
                <w:sz w:val="28"/>
                <w:szCs w:val="28"/>
                <w:lang w:val="uk-UA"/>
              </w:rPr>
            </w:pPr>
            <w:r w:rsidRPr="002E6ECA">
              <w:rPr>
                <w:sz w:val="28"/>
                <w:szCs w:val="28"/>
                <w:lang w:val="uk-UA"/>
              </w:rPr>
              <w:t>129,9 ± 129,9</w:t>
            </w:r>
          </w:p>
        </w:tc>
      </w:tr>
    </w:tbl>
    <w:p w:rsidR="00671012" w:rsidRPr="002E6ECA" w:rsidRDefault="00671012" w:rsidP="00671012">
      <w:pPr>
        <w:spacing w:line="360" w:lineRule="auto"/>
        <w:ind w:firstLine="709"/>
        <w:jc w:val="both"/>
        <w:rPr>
          <w:bCs/>
          <w:sz w:val="28"/>
          <w:szCs w:val="28"/>
          <w:lang w:val="uk-UA"/>
        </w:rPr>
      </w:pP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t xml:space="preserve">Для обраного розподілу вибірки на 3 кластера проведено дослідження якості кластеризації </w:t>
      </w:r>
      <w:r w:rsidRPr="002E6ECA">
        <w:rPr>
          <w:bCs/>
          <w:spacing w:val="-2"/>
          <w:sz w:val="28"/>
          <w:szCs w:val="28"/>
          <w:lang w:val="uk-UA"/>
        </w:rPr>
        <w:t>методом дискримінантного аналізу (табл. 2.7). Встановлено, що точність класифікації вихідних груп дуже висока і становить 96,4%.</w:t>
      </w:r>
    </w:p>
    <w:p w:rsidR="0006110E" w:rsidRPr="002E6ECA" w:rsidRDefault="0006110E" w:rsidP="0006110E">
      <w:pPr>
        <w:spacing w:line="360" w:lineRule="auto"/>
        <w:ind w:firstLine="709"/>
        <w:jc w:val="both"/>
        <w:rPr>
          <w:sz w:val="28"/>
          <w:szCs w:val="28"/>
          <w:lang w:val="uk-UA"/>
        </w:rPr>
      </w:pPr>
      <w:r w:rsidRPr="002E6ECA">
        <w:rPr>
          <w:bCs/>
          <w:sz w:val="28"/>
          <w:szCs w:val="28"/>
          <w:lang w:val="uk-UA"/>
        </w:rPr>
        <w:t xml:space="preserve">Тести канонічного аналізу показали, що поділ на 3 кластери задовольняє вимогу статистичної значущості лише на рівні p &lt;0,15. Загалом кластери добре віддільні, що відображено на рис. 2.3, що свідчить про високу якість і надійність як самої методики </w:t>
      </w:r>
      <w:r w:rsidRPr="002E6ECA">
        <w:rPr>
          <w:sz w:val="28"/>
          <w:szCs w:val="28"/>
          <w:lang w:val="uk-UA"/>
        </w:rPr>
        <w:t xml:space="preserve">PSC, так і обраного статистичного методу верифікації. </w:t>
      </w:r>
    </w:p>
    <w:p w:rsidR="0006110E" w:rsidRPr="002E6ECA" w:rsidRDefault="0006110E" w:rsidP="0006110E">
      <w:pPr>
        <w:spacing w:line="360" w:lineRule="auto"/>
        <w:ind w:firstLine="709"/>
        <w:jc w:val="both"/>
        <w:rPr>
          <w:bCs/>
          <w:sz w:val="28"/>
          <w:szCs w:val="28"/>
          <w:lang w:val="uk-UA"/>
        </w:rPr>
      </w:pPr>
      <w:r w:rsidRPr="002E6ECA">
        <w:rPr>
          <w:bCs/>
          <w:sz w:val="28"/>
          <w:szCs w:val="28"/>
          <w:lang w:val="uk-UA"/>
        </w:rPr>
        <w:t xml:space="preserve">Аналогічним чином було виконано розподіл вибірки на 3 кластери методом К-середніх на підставі запропонованого методу оцінки якості життя, що пов’язана зі здоров’ям на підставі 10 шкал. Результат кластерного аналізу показав величину середньоквадратичної похибки методу К-середніх 4,86±0,79 і середню величину F-тесту 120,1±120,3. Якість проведеної кластеризації перевірено за допомогою дискримінантного аналізу. Так, встановлено, що </w:t>
      </w:r>
      <w:r w:rsidRPr="002E6ECA">
        <w:rPr>
          <w:bCs/>
          <w:sz w:val="28"/>
          <w:szCs w:val="28"/>
          <w:lang w:val="uk-UA"/>
        </w:rPr>
        <w:lastRenderedPageBreak/>
        <w:t>загальна точність класифікації вихідних груп дуже висока і становила 98,7% (табл. 2.</w:t>
      </w:r>
      <w:r w:rsidR="00315A4C" w:rsidRPr="002E6ECA">
        <w:rPr>
          <w:bCs/>
          <w:sz w:val="28"/>
          <w:szCs w:val="28"/>
          <w:lang w:val="uk-UA"/>
        </w:rPr>
        <w:t>7</w:t>
      </w:r>
      <w:r w:rsidRPr="002E6ECA">
        <w:rPr>
          <w:bCs/>
          <w:sz w:val="28"/>
          <w:szCs w:val="28"/>
          <w:lang w:val="uk-UA"/>
        </w:rPr>
        <w:t xml:space="preserve">), що на 2% краще ніж у попередньому опитуванні. Класифікація вихідних груп для одного кластеру виконана з точністю 100%, а для двох інших з невеликою похибкою у 1% та 2%. </w:t>
      </w:r>
    </w:p>
    <w:p w:rsidR="00671012" w:rsidRPr="002E6ECA" w:rsidRDefault="00671012" w:rsidP="00671012">
      <w:pPr>
        <w:spacing w:line="360" w:lineRule="auto"/>
        <w:ind w:firstLine="709"/>
        <w:jc w:val="right"/>
        <w:rPr>
          <w:bCs/>
          <w:i/>
          <w:sz w:val="28"/>
          <w:szCs w:val="28"/>
          <w:lang w:val="uk-UA"/>
        </w:rPr>
      </w:pPr>
      <w:r w:rsidRPr="002E6ECA">
        <w:rPr>
          <w:bCs/>
          <w:i/>
          <w:sz w:val="28"/>
          <w:szCs w:val="28"/>
          <w:lang w:val="uk-UA"/>
        </w:rPr>
        <w:t>Таблиця 2.</w:t>
      </w:r>
      <w:r w:rsidR="00315A4C" w:rsidRPr="002E6ECA">
        <w:rPr>
          <w:bCs/>
          <w:i/>
          <w:sz w:val="28"/>
          <w:szCs w:val="28"/>
          <w:lang w:val="uk-UA"/>
        </w:rPr>
        <w:t>7</w:t>
      </w:r>
    </w:p>
    <w:p w:rsidR="00671012" w:rsidRPr="002E6ECA" w:rsidRDefault="00671012" w:rsidP="00A66D0C">
      <w:pPr>
        <w:spacing w:line="360" w:lineRule="auto"/>
        <w:ind w:firstLine="709"/>
        <w:jc w:val="center"/>
        <w:rPr>
          <w:b/>
          <w:bCs/>
          <w:sz w:val="28"/>
          <w:szCs w:val="28"/>
          <w:lang w:val="uk-UA"/>
        </w:rPr>
      </w:pPr>
      <w:r w:rsidRPr="002E6ECA">
        <w:rPr>
          <w:b/>
          <w:bCs/>
          <w:sz w:val="28"/>
          <w:szCs w:val="28"/>
          <w:lang w:val="uk-UA"/>
        </w:rPr>
        <w:t xml:space="preserve">Результати класифікації респондентів за </w:t>
      </w:r>
      <w:r w:rsidR="00315A4C" w:rsidRPr="002E6ECA">
        <w:rPr>
          <w:b/>
          <w:bCs/>
          <w:sz w:val="28"/>
          <w:szCs w:val="28"/>
          <w:lang w:val="uk-UA"/>
        </w:rPr>
        <w:t>вихідною (</w:t>
      </w:r>
      <w:r w:rsidR="00315A4C" w:rsidRPr="002E6ECA">
        <w:rPr>
          <w:b/>
          <w:sz w:val="28"/>
          <w:szCs w:val="28"/>
          <w:lang w:val="uk-UA"/>
        </w:rPr>
        <w:t>PSC</w:t>
      </w:r>
      <w:r w:rsidR="00315A4C" w:rsidRPr="002E6ECA">
        <w:rPr>
          <w:b/>
          <w:bCs/>
          <w:sz w:val="28"/>
          <w:szCs w:val="28"/>
          <w:lang w:val="uk-UA"/>
        </w:rPr>
        <w:t xml:space="preserve">) та </w:t>
      </w:r>
      <w:r w:rsidRPr="002E6ECA">
        <w:rPr>
          <w:b/>
          <w:bCs/>
          <w:sz w:val="28"/>
          <w:szCs w:val="28"/>
          <w:lang w:val="uk-UA"/>
        </w:rPr>
        <w:t>запропонованою методикою</w:t>
      </w:r>
      <w:r w:rsidR="00315A4C" w:rsidRPr="002E6ECA">
        <w:rPr>
          <w:b/>
          <w:bCs/>
          <w:sz w:val="28"/>
          <w:szCs w:val="28"/>
          <w:lang w:val="uk-UA"/>
        </w:rPr>
        <w:t xml:space="preserve"> (ЯЖПЗ)</w:t>
      </w:r>
    </w:p>
    <w:tbl>
      <w:tblPr>
        <w:tblStyle w:val="af"/>
        <w:tblW w:w="0" w:type="auto"/>
        <w:tblLayout w:type="fixed"/>
        <w:tblLook w:val="04A0" w:firstRow="1" w:lastRow="0" w:firstColumn="1" w:lastColumn="0" w:noHBand="0" w:noVBand="1"/>
      </w:tblPr>
      <w:tblGrid>
        <w:gridCol w:w="1384"/>
        <w:gridCol w:w="966"/>
        <w:gridCol w:w="966"/>
        <w:gridCol w:w="966"/>
        <w:gridCol w:w="1354"/>
        <w:gridCol w:w="966"/>
        <w:gridCol w:w="966"/>
        <w:gridCol w:w="966"/>
        <w:gridCol w:w="1177"/>
      </w:tblGrid>
      <w:tr w:rsidR="00315A4C" w:rsidRPr="002E6ECA" w:rsidTr="00315A4C">
        <w:tc>
          <w:tcPr>
            <w:tcW w:w="1384" w:type="dxa"/>
            <w:vMerge w:val="restart"/>
            <w:vAlign w:val="center"/>
          </w:tcPr>
          <w:p w:rsidR="00315A4C" w:rsidRPr="002E6ECA" w:rsidRDefault="00315A4C" w:rsidP="00315A4C">
            <w:pPr>
              <w:spacing w:line="360" w:lineRule="auto"/>
              <w:rPr>
                <w:bCs/>
                <w:sz w:val="28"/>
                <w:szCs w:val="28"/>
                <w:lang w:val="uk-UA"/>
              </w:rPr>
            </w:pPr>
            <w:r w:rsidRPr="002E6ECA">
              <w:rPr>
                <w:sz w:val="28"/>
                <w:szCs w:val="28"/>
                <w:lang w:val="uk-UA"/>
              </w:rPr>
              <w:t>Номер кластеру</w:t>
            </w:r>
          </w:p>
        </w:tc>
        <w:tc>
          <w:tcPr>
            <w:tcW w:w="4252" w:type="dxa"/>
            <w:gridSpan w:val="4"/>
            <w:vAlign w:val="center"/>
          </w:tcPr>
          <w:p w:rsidR="00315A4C" w:rsidRPr="002E6ECA" w:rsidRDefault="00315A4C" w:rsidP="00315A4C">
            <w:pPr>
              <w:spacing w:line="360" w:lineRule="auto"/>
              <w:jc w:val="center"/>
              <w:rPr>
                <w:bCs/>
                <w:sz w:val="28"/>
                <w:szCs w:val="28"/>
                <w:lang w:val="uk-UA"/>
              </w:rPr>
            </w:pPr>
            <w:r w:rsidRPr="002E6ECA">
              <w:rPr>
                <w:b/>
                <w:bCs/>
                <w:sz w:val="28"/>
                <w:szCs w:val="28"/>
                <w:lang w:val="uk-UA"/>
              </w:rPr>
              <w:t xml:space="preserve">Методика </w:t>
            </w:r>
            <w:r w:rsidRPr="002E6ECA">
              <w:rPr>
                <w:b/>
                <w:sz w:val="28"/>
                <w:szCs w:val="28"/>
                <w:lang w:val="uk-UA"/>
              </w:rPr>
              <w:t>PSC</w:t>
            </w:r>
          </w:p>
        </w:tc>
        <w:tc>
          <w:tcPr>
            <w:tcW w:w="4075" w:type="dxa"/>
            <w:gridSpan w:val="4"/>
            <w:vAlign w:val="center"/>
          </w:tcPr>
          <w:p w:rsidR="00315A4C" w:rsidRPr="002E6ECA" w:rsidRDefault="00315A4C" w:rsidP="00315A4C">
            <w:pPr>
              <w:spacing w:line="360" w:lineRule="auto"/>
              <w:jc w:val="center"/>
              <w:rPr>
                <w:bCs/>
                <w:sz w:val="28"/>
                <w:szCs w:val="28"/>
                <w:lang w:val="uk-UA"/>
              </w:rPr>
            </w:pPr>
            <w:r w:rsidRPr="002E6ECA">
              <w:rPr>
                <w:bCs/>
                <w:sz w:val="28"/>
                <w:szCs w:val="28"/>
                <w:lang w:val="uk-UA"/>
              </w:rPr>
              <w:t>Методика ЯЖПЗ</w:t>
            </w:r>
          </w:p>
        </w:tc>
      </w:tr>
      <w:tr w:rsidR="00315A4C" w:rsidRPr="002E6ECA" w:rsidTr="00315A4C">
        <w:tc>
          <w:tcPr>
            <w:tcW w:w="1384" w:type="dxa"/>
            <w:vMerge/>
          </w:tcPr>
          <w:p w:rsidR="00315A4C" w:rsidRPr="002E6ECA" w:rsidRDefault="00315A4C" w:rsidP="00671012">
            <w:pPr>
              <w:spacing w:line="360" w:lineRule="auto"/>
              <w:jc w:val="both"/>
              <w:rPr>
                <w:bCs/>
                <w:sz w:val="28"/>
                <w:szCs w:val="28"/>
                <w:lang w:val="uk-UA"/>
              </w:rPr>
            </w:pPr>
          </w:p>
        </w:tc>
        <w:tc>
          <w:tcPr>
            <w:tcW w:w="2898" w:type="dxa"/>
            <w:gridSpan w:val="3"/>
            <w:vAlign w:val="center"/>
          </w:tcPr>
          <w:p w:rsidR="00315A4C" w:rsidRPr="002E6ECA" w:rsidRDefault="00315A4C" w:rsidP="00315A4C">
            <w:pPr>
              <w:spacing w:line="360" w:lineRule="auto"/>
              <w:jc w:val="center"/>
              <w:rPr>
                <w:bCs/>
                <w:sz w:val="28"/>
                <w:szCs w:val="28"/>
                <w:lang w:val="uk-UA"/>
              </w:rPr>
            </w:pPr>
            <w:r w:rsidRPr="002E6ECA">
              <w:rPr>
                <w:sz w:val="28"/>
                <w:szCs w:val="28"/>
                <w:lang w:val="uk-UA"/>
              </w:rPr>
              <w:t>Точність кластерізації</w:t>
            </w:r>
          </w:p>
        </w:tc>
        <w:tc>
          <w:tcPr>
            <w:tcW w:w="1354" w:type="dxa"/>
            <w:vMerge w:val="restart"/>
            <w:vAlign w:val="center"/>
          </w:tcPr>
          <w:p w:rsidR="00315A4C" w:rsidRPr="002E6ECA" w:rsidRDefault="00315A4C" w:rsidP="00315A4C">
            <w:pPr>
              <w:spacing w:line="360" w:lineRule="auto"/>
              <w:jc w:val="center"/>
              <w:rPr>
                <w:bCs/>
                <w:sz w:val="28"/>
                <w:szCs w:val="28"/>
                <w:lang w:val="uk-UA"/>
              </w:rPr>
            </w:pPr>
            <w:r w:rsidRPr="002E6ECA">
              <w:rPr>
                <w:sz w:val="28"/>
                <w:szCs w:val="28"/>
                <w:lang w:val="uk-UA"/>
              </w:rPr>
              <w:t>Загалом</w:t>
            </w:r>
          </w:p>
        </w:tc>
        <w:tc>
          <w:tcPr>
            <w:tcW w:w="2898" w:type="dxa"/>
            <w:gridSpan w:val="3"/>
            <w:vAlign w:val="center"/>
          </w:tcPr>
          <w:p w:rsidR="00315A4C" w:rsidRPr="002E6ECA" w:rsidRDefault="00315A4C" w:rsidP="00315A4C">
            <w:pPr>
              <w:spacing w:line="360" w:lineRule="auto"/>
              <w:jc w:val="center"/>
              <w:rPr>
                <w:bCs/>
                <w:sz w:val="28"/>
                <w:szCs w:val="28"/>
                <w:lang w:val="uk-UA"/>
              </w:rPr>
            </w:pPr>
            <w:r w:rsidRPr="002E6ECA">
              <w:rPr>
                <w:sz w:val="28"/>
                <w:szCs w:val="28"/>
                <w:lang w:val="uk-UA"/>
              </w:rPr>
              <w:t>Точність кластерізації</w:t>
            </w:r>
          </w:p>
        </w:tc>
        <w:tc>
          <w:tcPr>
            <w:tcW w:w="1177" w:type="dxa"/>
            <w:vMerge w:val="restart"/>
            <w:vAlign w:val="center"/>
          </w:tcPr>
          <w:p w:rsidR="00315A4C" w:rsidRPr="002E6ECA" w:rsidRDefault="00315A4C" w:rsidP="00315A4C">
            <w:pPr>
              <w:spacing w:line="360" w:lineRule="auto"/>
              <w:jc w:val="center"/>
              <w:rPr>
                <w:bCs/>
                <w:sz w:val="28"/>
                <w:szCs w:val="28"/>
                <w:lang w:val="uk-UA"/>
              </w:rPr>
            </w:pPr>
            <w:r w:rsidRPr="002E6ECA">
              <w:rPr>
                <w:sz w:val="28"/>
                <w:szCs w:val="28"/>
                <w:lang w:val="uk-UA"/>
              </w:rPr>
              <w:t>Загалом</w:t>
            </w:r>
          </w:p>
        </w:tc>
      </w:tr>
      <w:tr w:rsidR="00315A4C" w:rsidRPr="002E6ECA" w:rsidTr="00315A4C">
        <w:tc>
          <w:tcPr>
            <w:tcW w:w="1384" w:type="dxa"/>
            <w:vMerge/>
          </w:tcPr>
          <w:p w:rsidR="00315A4C" w:rsidRPr="002E6ECA" w:rsidRDefault="00315A4C" w:rsidP="00671012">
            <w:pPr>
              <w:spacing w:line="360" w:lineRule="auto"/>
              <w:jc w:val="both"/>
              <w:rPr>
                <w:bCs/>
                <w:sz w:val="28"/>
                <w:szCs w:val="28"/>
                <w:lang w:val="uk-UA"/>
              </w:rPr>
            </w:pPr>
          </w:p>
        </w:tc>
        <w:tc>
          <w:tcPr>
            <w:tcW w:w="966" w:type="dxa"/>
          </w:tcPr>
          <w:p w:rsidR="00315A4C" w:rsidRPr="002E6ECA" w:rsidRDefault="00315A4C" w:rsidP="007A1B31">
            <w:pPr>
              <w:autoSpaceDE w:val="0"/>
              <w:autoSpaceDN w:val="0"/>
              <w:adjustRightInd w:val="0"/>
              <w:spacing w:line="336" w:lineRule="auto"/>
              <w:ind w:left="60" w:right="60" w:firstLine="87"/>
              <w:jc w:val="center"/>
              <w:rPr>
                <w:sz w:val="28"/>
                <w:szCs w:val="28"/>
                <w:lang w:val="uk-UA"/>
              </w:rPr>
            </w:pPr>
            <w:r w:rsidRPr="002E6ECA">
              <w:rPr>
                <w:sz w:val="28"/>
                <w:szCs w:val="28"/>
                <w:lang w:val="uk-UA"/>
              </w:rPr>
              <w:t>1</w:t>
            </w:r>
          </w:p>
        </w:tc>
        <w:tc>
          <w:tcPr>
            <w:tcW w:w="966" w:type="dxa"/>
            <w:vAlign w:val="bottom"/>
          </w:tcPr>
          <w:p w:rsidR="00315A4C" w:rsidRPr="002E6ECA" w:rsidRDefault="00315A4C" w:rsidP="007A1B31">
            <w:pPr>
              <w:autoSpaceDE w:val="0"/>
              <w:autoSpaceDN w:val="0"/>
              <w:adjustRightInd w:val="0"/>
              <w:spacing w:line="336" w:lineRule="auto"/>
              <w:ind w:left="60" w:right="60" w:firstLine="87"/>
              <w:jc w:val="center"/>
              <w:rPr>
                <w:sz w:val="28"/>
                <w:szCs w:val="28"/>
                <w:lang w:val="uk-UA"/>
              </w:rPr>
            </w:pPr>
            <w:r w:rsidRPr="002E6ECA">
              <w:rPr>
                <w:sz w:val="28"/>
                <w:szCs w:val="28"/>
                <w:lang w:val="uk-UA"/>
              </w:rPr>
              <w:t>2</w:t>
            </w:r>
          </w:p>
        </w:tc>
        <w:tc>
          <w:tcPr>
            <w:tcW w:w="966" w:type="dxa"/>
            <w:vAlign w:val="bottom"/>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3</w:t>
            </w:r>
          </w:p>
        </w:tc>
        <w:tc>
          <w:tcPr>
            <w:tcW w:w="1354" w:type="dxa"/>
            <w:vMerge/>
            <w:vAlign w:val="bottom"/>
          </w:tcPr>
          <w:p w:rsidR="00315A4C" w:rsidRPr="002E6ECA" w:rsidRDefault="00315A4C" w:rsidP="007A1B31">
            <w:pPr>
              <w:autoSpaceDE w:val="0"/>
              <w:autoSpaceDN w:val="0"/>
              <w:adjustRightInd w:val="0"/>
              <w:spacing w:line="360" w:lineRule="auto"/>
              <w:ind w:firstLine="709"/>
              <w:jc w:val="both"/>
              <w:rPr>
                <w:sz w:val="28"/>
                <w:szCs w:val="28"/>
                <w:lang w:val="uk-UA"/>
              </w:rPr>
            </w:pP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2</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3</w:t>
            </w:r>
          </w:p>
        </w:tc>
        <w:tc>
          <w:tcPr>
            <w:tcW w:w="1177" w:type="dxa"/>
            <w:vMerge/>
            <w:vAlign w:val="bottom"/>
          </w:tcPr>
          <w:p w:rsidR="00315A4C" w:rsidRPr="002E6ECA" w:rsidRDefault="00315A4C" w:rsidP="007A1B31">
            <w:pPr>
              <w:autoSpaceDE w:val="0"/>
              <w:autoSpaceDN w:val="0"/>
              <w:adjustRightInd w:val="0"/>
              <w:spacing w:line="360" w:lineRule="auto"/>
              <w:ind w:firstLine="87"/>
              <w:jc w:val="both"/>
              <w:rPr>
                <w:sz w:val="28"/>
                <w:szCs w:val="28"/>
                <w:lang w:val="uk-UA"/>
              </w:rPr>
            </w:pPr>
          </w:p>
        </w:tc>
      </w:tr>
      <w:tr w:rsidR="00315A4C" w:rsidRPr="002E6ECA" w:rsidTr="00315A4C">
        <w:tc>
          <w:tcPr>
            <w:tcW w:w="1384" w:type="dxa"/>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1</w:t>
            </w:r>
          </w:p>
        </w:tc>
        <w:tc>
          <w:tcPr>
            <w:tcW w:w="966" w:type="dxa"/>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100</w:t>
            </w:r>
          </w:p>
        </w:tc>
        <w:tc>
          <w:tcPr>
            <w:tcW w:w="966" w:type="dxa"/>
            <w:vAlign w:val="center"/>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0</w:t>
            </w:r>
          </w:p>
        </w:tc>
        <w:tc>
          <w:tcPr>
            <w:tcW w:w="966" w:type="dxa"/>
            <w:vAlign w:val="center"/>
          </w:tcPr>
          <w:p w:rsidR="00315A4C" w:rsidRPr="002E6ECA" w:rsidRDefault="00315A4C" w:rsidP="007A1B31">
            <w:pPr>
              <w:autoSpaceDE w:val="0"/>
              <w:autoSpaceDN w:val="0"/>
              <w:adjustRightInd w:val="0"/>
              <w:spacing w:line="360" w:lineRule="auto"/>
              <w:ind w:left="60" w:right="60" w:hanging="60"/>
              <w:jc w:val="center"/>
              <w:rPr>
                <w:sz w:val="28"/>
                <w:szCs w:val="28"/>
                <w:lang w:val="uk-UA"/>
              </w:rPr>
            </w:pPr>
            <w:r w:rsidRPr="002E6ECA">
              <w:rPr>
                <w:sz w:val="28"/>
                <w:szCs w:val="28"/>
                <w:lang w:val="uk-UA"/>
              </w:rPr>
              <w:t>0</w:t>
            </w:r>
          </w:p>
        </w:tc>
        <w:tc>
          <w:tcPr>
            <w:tcW w:w="1354" w:type="dxa"/>
            <w:vAlign w:val="center"/>
          </w:tcPr>
          <w:p w:rsidR="00315A4C" w:rsidRPr="002E6ECA" w:rsidRDefault="00315A4C" w:rsidP="007A1B31">
            <w:pPr>
              <w:autoSpaceDE w:val="0"/>
              <w:autoSpaceDN w:val="0"/>
              <w:adjustRightInd w:val="0"/>
              <w:spacing w:line="360" w:lineRule="auto"/>
              <w:ind w:left="60" w:right="60" w:hanging="60"/>
              <w:jc w:val="center"/>
              <w:rPr>
                <w:sz w:val="28"/>
                <w:szCs w:val="28"/>
                <w:lang w:val="uk-UA"/>
              </w:rPr>
            </w:pPr>
            <w:r w:rsidRPr="002E6ECA">
              <w:rPr>
                <w:sz w:val="28"/>
                <w:szCs w:val="28"/>
                <w:lang w:val="uk-UA"/>
              </w:rPr>
              <w:t>100</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99</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0</w:t>
            </w:r>
          </w:p>
        </w:tc>
        <w:tc>
          <w:tcPr>
            <w:tcW w:w="1177" w:type="dxa"/>
            <w:vAlign w:val="center"/>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100</w:t>
            </w:r>
          </w:p>
        </w:tc>
      </w:tr>
      <w:tr w:rsidR="00315A4C" w:rsidRPr="002E6ECA" w:rsidTr="00315A4C">
        <w:tc>
          <w:tcPr>
            <w:tcW w:w="1384" w:type="dxa"/>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2</w:t>
            </w:r>
          </w:p>
        </w:tc>
        <w:tc>
          <w:tcPr>
            <w:tcW w:w="966" w:type="dxa"/>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1</w:t>
            </w:r>
          </w:p>
        </w:tc>
        <w:tc>
          <w:tcPr>
            <w:tcW w:w="966" w:type="dxa"/>
            <w:vAlign w:val="center"/>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97</w:t>
            </w:r>
          </w:p>
        </w:tc>
        <w:tc>
          <w:tcPr>
            <w:tcW w:w="966" w:type="dxa"/>
            <w:vAlign w:val="center"/>
          </w:tcPr>
          <w:p w:rsidR="00315A4C" w:rsidRPr="002E6ECA" w:rsidRDefault="00315A4C" w:rsidP="007A1B31">
            <w:pPr>
              <w:autoSpaceDE w:val="0"/>
              <w:autoSpaceDN w:val="0"/>
              <w:adjustRightInd w:val="0"/>
              <w:spacing w:line="360" w:lineRule="auto"/>
              <w:ind w:left="60" w:right="60" w:hanging="60"/>
              <w:jc w:val="center"/>
              <w:rPr>
                <w:sz w:val="28"/>
                <w:szCs w:val="28"/>
                <w:lang w:val="uk-UA"/>
              </w:rPr>
            </w:pPr>
            <w:r w:rsidRPr="002E6ECA">
              <w:rPr>
                <w:sz w:val="28"/>
                <w:szCs w:val="28"/>
                <w:lang w:val="uk-UA"/>
              </w:rPr>
              <w:t>2</w:t>
            </w:r>
          </w:p>
        </w:tc>
        <w:tc>
          <w:tcPr>
            <w:tcW w:w="1354" w:type="dxa"/>
            <w:vAlign w:val="center"/>
          </w:tcPr>
          <w:p w:rsidR="00315A4C" w:rsidRPr="002E6ECA" w:rsidRDefault="00315A4C" w:rsidP="007A1B31">
            <w:pPr>
              <w:autoSpaceDE w:val="0"/>
              <w:autoSpaceDN w:val="0"/>
              <w:adjustRightInd w:val="0"/>
              <w:spacing w:line="360" w:lineRule="auto"/>
              <w:ind w:left="60" w:right="60" w:hanging="60"/>
              <w:jc w:val="center"/>
              <w:rPr>
                <w:sz w:val="28"/>
                <w:szCs w:val="28"/>
                <w:lang w:val="uk-UA"/>
              </w:rPr>
            </w:pPr>
            <w:r w:rsidRPr="002E6ECA">
              <w:rPr>
                <w:sz w:val="28"/>
                <w:szCs w:val="28"/>
                <w:lang w:val="uk-UA"/>
              </w:rPr>
              <w:t>100</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98</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w:t>
            </w:r>
          </w:p>
        </w:tc>
        <w:tc>
          <w:tcPr>
            <w:tcW w:w="1177" w:type="dxa"/>
            <w:vAlign w:val="center"/>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100</w:t>
            </w:r>
          </w:p>
        </w:tc>
      </w:tr>
      <w:tr w:rsidR="00315A4C" w:rsidRPr="002E6ECA" w:rsidTr="00315A4C">
        <w:tc>
          <w:tcPr>
            <w:tcW w:w="1384" w:type="dxa"/>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3</w:t>
            </w:r>
          </w:p>
        </w:tc>
        <w:tc>
          <w:tcPr>
            <w:tcW w:w="966" w:type="dxa"/>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0</w:t>
            </w:r>
          </w:p>
        </w:tc>
        <w:tc>
          <w:tcPr>
            <w:tcW w:w="966" w:type="dxa"/>
            <w:vAlign w:val="center"/>
          </w:tcPr>
          <w:p w:rsidR="00315A4C" w:rsidRPr="002E6ECA" w:rsidRDefault="00315A4C" w:rsidP="007A1B31">
            <w:pPr>
              <w:autoSpaceDE w:val="0"/>
              <w:autoSpaceDN w:val="0"/>
              <w:adjustRightInd w:val="0"/>
              <w:spacing w:line="336" w:lineRule="auto"/>
              <w:ind w:left="60" w:right="60" w:hanging="60"/>
              <w:jc w:val="center"/>
              <w:rPr>
                <w:sz w:val="28"/>
                <w:szCs w:val="28"/>
                <w:lang w:val="uk-UA"/>
              </w:rPr>
            </w:pPr>
            <w:r w:rsidRPr="002E6ECA">
              <w:rPr>
                <w:sz w:val="28"/>
                <w:szCs w:val="28"/>
                <w:lang w:val="uk-UA"/>
              </w:rPr>
              <w:t>7</w:t>
            </w:r>
          </w:p>
        </w:tc>
        <w:tc>
          <w:tcPr>
            <w:tcW w:w="966" w:type="dxa"/>
            <w:vAlign w:val="center"/>
          </w:tcPr>
          <w:p w:rsidR="00315A4C" w:rsidRPr="002E6ECA" w:rsidRDefault="00315A4C" w:rsidP="007A1B31">
            <w:pPr>
              <w:autoSpaceDE w:val="0"/>
              <w:autoSpaceDN w:val="0"/>
              <w:adjustRightInd w:val="0"/>
              <w:spacing w:line="360" w:lineRule="auto"/>
              <w:ind w:left="60" w:right="60" w:hanging="60"/>
              <w:jc w:val="center"/>
              <w:rPr>
                <w:sz w:val="28"/>
                <w:szCs w:val="28"/>
                <w:lang w:val="uk-UA"/>
              </w:rPr>
            </w:pPr>
            <w:r w:rsidRPr="002E6ECA">
              <w:rPr>
                <w:sz w:val="28"/>
                <w:szCs w:val="28"/>
                <w:lang w:val="uk-UA"/>
              </w:rPr>
              <w:t>93</w:t>
            </w:r>
          </w:p>
        </w:tc>
        <w:tc>
          <w:tcPr>
            <w:tcW w:w="1354" w:type="dxa"/>
            <w:vAlign w:val="center"/>
          </w:tcPr>
          <w:p w:rsidR="00315A4C" w:rsidRPr="002E6ECA" w:rsidRDefault="00315A4C" w:rsidP="007A1B31">
            <w:pPr>
              <w:autoSpaceDE w:val="0"/>
              <w:autoSpaceDN w:val="0"/>
              <w:adjustRightInd w:val="0"/>
              <w:spacing w:line="360" w:lineRule="auto"/>
              <w:ind w:left="60" w:right="60" w:hanging="60"/>
              <w:jc w:val="center"/>
              <w:rPr>
                <w:sz w:val="28"/>
                <w:szCs w:val="28"/>
                <w:lang w:val="uk-UA"/>
              </w:rPr>
            </w:pPr>
            <w:r w:rsidRPr="002E6ECA">
              <w:rPr>
                <w:sz w:val="28"/>
                <w:szCs w:val="28"/>
                <w:lang w:val="uk-UA"/>
              </w:rPr>
              <w:t>100</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0</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0</w:t>
            </w:r>
          </w:p>
        </w:tc>
        <w:tc>
          <w:tcPr>
            <w:tcW w:w="966" w:type="dxa"/>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100</w:t>
            </w:r>
          </w:p>
        </w:tc>
        <w:tc>
          <w:tcPr>
            <w:tcW w:w="1177" w:type="dxa"/>
            <w:vAlign w:val="center"/>
          </w:tcPr>
          <w:p w:rsidR="00315A4C" w:rsidRPr="002E6ECA" w:rsidRDefault="00315A4C" w:rsidP="007A1B31">
            <w:pPr>
              <w:autoSpaceDE w:val="0"/>
              <w:autoSpaceDN w:val="0"/>
              <w:adjustRightInd w:val="0"/>
              <w:spacing w:line="360" w:lineRule="auto"/>
              <w:ind w:left="60" w:right="60" w:firstLine="87"/>
              <w:jc w:val="center"/>
              <w:rPr>
                <w:sz w:val="28"/>
                <w:szCs w:val="28"/>
                <w:lang w:val="uk-UA"/>
              </w:rPr>
            </w:pPr>
            <w:r w:rsidRPr="002E6ECA">
              <w:rPr>
                <w:sz w:val="28"/>
                <w:szCs w:val="28"/>
                <w:lang w:val="uk-UA"/>
              </w:rPr>
              <w:t>100</w:t>
            </w:r>
          </w:p>
        </w:tc>
      </w:tr>
    </w:tbl>
    <w:p w:rsidR="00315A4C" w:rsidRPr="002E6ECA" w:rsidRDefault="00315A4C" w:rsidP="00671012">
      <w:pPr>
        <w:spacing w:line="360" w:lineRule="auto"/>
        <w:ind w:firstLine="709"/>
        <w:jc w:val="both"/>
        <w:rPr>
          <w:lang w:val="uk-UA"/>
        </w:rPr>
      </w:pPr>
      <w:r w:rsidRPr="002E6ECA">
        <w:rPr>
          <w:bCs/>
          <w:lang w:val="uk-UA"/>
        </w:rPr>
        <w:t>Примітка: з</w:t>
      </w:r>
      <w:r w:rsidRPr="002E6ECA">
        <w:rPr>
          <w:lang w:val="uk-UA"/>
        </w:rPr>
        <w:t>агальна точність класифікації вихідних груп за методикою PSC 96,4%; за методикою ЯЖПЗ 98,7%.</w:t>
      </w:r>
    </w:p>
    <w:p w:rsidR="00315A4C" w:rsidRPr="002E6ECA" w:rsidRDefault="00315A4C" w:rsidP="0006110E">
      <w:pPr>
        <w:spacing w:line="360" w:lineRule="auto"/>
        <w:ind w:firstLine="709"/>
        <w:jc w:val="both"/>
        <w:rPr>
          <w:sz w:val="28"/>
          <w:szCs w:val="28"/>
          <w:lang w:val="uk-UA"/>
        </w:rPr>
      </w:pPr>
    </w:p>
    <w:p w:rsidR="0006110E" w:rsidRPr="002E6ECA" w:rsidRDefault="0006110E" w:rsidP="0006110E">
      <w:pPr>
        <w:spacing w:line="360" w:lineRule="auto"/>
        <w:ind w:firstLine="709"/>
        <w:jc w:val="both"/>
        <w:rPr>
          <w:bCs/>
          <w:sz w:val="28"/>
          <w:szCs w:val="28"/>
          <w:lang w:val="uk-UA"/>
        </w:rPr>
      </w:pPr>
      <w:r w:rsidRPr="002E6ECA">
        <w:rPr>
          <w:sz w:val="28"/>
          <w:szCs w:val="28"/>
          <w:lang w:val="uk-UA"/>
        </w:rPr>
        <w:t xml:space="preserve">Надійність обох методик оцінювалась за допомогою альфи Кронбаха: для методики PSC α=0,83 (228 осіб); для запропонованої методики коефіцієнт альфа Кронбаха виявився дещо вищим: α=0,89 (228 осіб). Таким чином доведено, що обидві методики є дуже надійними і точними за внутрішньою погодженістю, а </w:t>
      </w:r>
      <w:r w:rsidRPr="002E6ECA">
        <w:rPr>
          <w:rFonts w:ascii="Bold" w:hAnsi="Bold"/>
          <w:bCs/>
          <w:sz w:val="28"/>
          <w:szCs w:val="28"/>
          <w:lang w:val="uk-UA"/>
        </w:rPr>
        <w:t>методика оцінки якості життя, пов'язаної зі здоров'ям у дітей середнього шкільного віку</w:t>
      </w:r>
      <w:r w:rsidRPr="002E6ECA">
        <w:rPr>
          <w:sz w:val="28"/>
          <w:szCs w:val="28"/>
          <w:lang w:val="uk-UA"/>
        </w:rPr>
        <w:t xml:space="preserve"> </w:t>
      </w:r>
      <w:r w:rsidRPr="002E6ECA">
        <w:rPr>
          <w:bCs/>
          <w:sz w:val="28"/>
          <w:szCs w:val="28"/>
          <w:lang w:val="uk-UA"/>
        </w:rPr>
        <w:t xml:space="preserve">може бути застосована у групових та популяційних дослідженнях для визначення фізичного, психічного та соціального благополуччя школярів за даними самооцінки. </w:t>
      </w:r>
    </w:p>
    <w:p w:rsidR="00315A4C" w:rsidRPr="002E6ECA" w:rsidRDefault="00315A4C" w:rsidP="00315A4C">
      <w:pPr>
        <w:spacing w:line="360" w:lineRule="auto"/>
        <w:ind w:firstLine="709"/>
        <w:jc w:val="both"/>
        <w:rPr>
          <w:bCs/>
          <w:sz w:val="28"/>
          <w:szCs w:val="28"/>
          <w:lang w:val="uk-UA"/>
        </w:rPr>
      </w:pPr>
      <w:r w:rsidRPr="002E6ECA">
        <w:rPr>
          <w:bCs/>
          <w:sz w:val="28"/>
          <w:szCs w:val="28"/>
          <w:lang w:val="uk-UA"/>
        </w:rPr>
        <w:t xml:space="preserve">Тести канонічного аналізу показали, що поділ на 3 кластери задовольняє вимогу статистичної значущості на рівні p&lt;0,05, а кластери добре віддільні (рис. 2.3) і практично ні відрізняються від розподілу за методикою </w:t>
      </w:r>
      <w:r w:rsidRPr="002E6ECA">
        <w:rPr>
          <w:sz w:val="28"/>
          <w:szCs w:val="28"/>
          <w:lang w:val="uk-UA"/>
        </w:rPr>
        <w:t>PSC.</w:t>
      </w:r>
    </w:p>
    <w:p w:rsidR="00B10BB2" w:rsidRPr="002E6ECA" w:rsidRDefault="00B10BB2" w:rsidP="00B10BB2">
      <w:pPr>
        <w:spacing w:line="360" w:lineRule="auto"/>
        <w:ind w:firstLine="709"/>
        <w:jc w:val="both"/>
        <w:rPr>
          <w:sz w:val="28"/>
          <w:szCs w:val="28"/>
          <w:lang w:val="uk-UA"/>
        </w:rPr>
      </w:pPr>
      <w:r w:rsidRPr="002E6ECA">
        <w:rPr>
          <w:sz w:val="28"/>
          <w:szCs w:val="28"/>
          <w:lang w:val="uk-UA"/>
        </w:rPr>
        <w:t xml:space="preserve">Для прогнозування та розрахунку загального рівня ЯЖПЗ було використано дискримінантну модель. Шляхом кластерного аналізу було визначено істотні відмінності за всіма шкалами та розподілено учнів на 4 групи, </w:t>
      </w:r>
      <w:r w:rsidRPr="002E6ECA">
        <w:rPr>
          <w:sz w:val="28"/>
          <w:szCs w:val="28"/>
          <w:lang w:val="uk-UA"/>
        </w:rPr>
        <w:lastRenderedPageBreak/>
        <w:t>які відрізняються рівнем (характеристикою) ЯЖПЗ. На підставі дискримінантного аналізу побудовано прогностичні моделі (описова здатність 89,1%), за якими діти відносяться до тієї чи іншої групи (формули 2.2-2.5).</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7"/>
        <w:gridCol w:w="4527"/>
      </w:tblGrid>
      <w:tr w:rsidR="00671012" w:rsidRPr="002E6ECA" w:rsidTr="00BB0A64">
        <w:trPr>
          <w:jc w:val="center"/>
        </w:trPr>
        <w:tc>
          <w:tcPr>
            <w:tcW w:w="4527" w:type="dxa"/>
            <w:shd w:val="clear" w:color="auto" w:fill="auto"/>
          </w:tcPr>
          <w:p w:rsidR="00671012" w:rsidRPr="002E6ECA" w:rsidRDefault="00671012" w:rsidP="003F4B69">
            <w:pPr>
              <w:spacing w:line="360" w:lineRule="auto"/>
              <w:ind w:firstLine="27"/>
              <w:jc w:val="both"/>
              <w:rPr>
                <w:bCs/>
                <w:sz w:val="28"/>
                <w:szCs w:val="28"/>
                <w:lang w:val="uk-UA"/>
              </w:rPr>
            </w:pPr>
            <w:r w:rsidRPr="002E6ECA">
              <w:rPr>
                <w:noProof/>
                <w:sz w:val="28"/>
                <w:szCs w:val="28"/>
                <w:lang w:val="uk-UA" w:eastAsia="uk-UA"/>
              </w:rPr>
              <w:drawing>
                <wp:inline distT="0" distB="0" distL="0" distR="0" wp14:anchorId="1BCCBA6A" wp14:editId="18184476">
                  <wp:extent cx="2665095" cy="2133600"/>
                  <wp:effectExtent l="0" t="0" r="1905" b="0"/>
                  <wp:docPr id="23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65095" cy="2133600"/>
                          </a:xfrm>
                          <a:prstGeom prst="rect">
                            <a:avLst/>
                          </a:prstGeom>
                          <a:noFill/>
                          <a:ln>
                            <a:noFill/>
                          </a:ln>
                        </pic:spPr>
                      </pic:pic>
                    </a:graphicData>
                  </a:graphic>
                </wp:inline>
              </w:drawing>
            </w:r>
          </w:p>
        </w:tc>
        <w:tc>
          <w:tcPr>
            <w:tcW w:w="4527" w:type="dxa"/>
            <w:shd w:val="clear" w:color="auto" w:fill="auto"/>
          </w:tcPr>
          <w:p w:rsidR="00671012" w:rsidRPr="002E6ECA" w:rsidRDefault="00671012" w:rsidP="003F4B69">
            <w:pPr>
              <w:spacing w:line="360" w:lineRule="auto"/>
              <w:ind w:firstLine="36"/>
              <w:jc w:val="both"/>
              <w:rPr>
                <w:bCs/>
                <w:sz w:val="28"/>
                <w:szCs w:val="28"/>
                <w:lang w:val="uk-UA"/>
              </w:rPr>
            </w:pPr>
            <w:r w:rsidRPr="002E6ECA">
              <w:rPr>
                <w:noProof/>
                <w:sz w:val="28"/>
                <w:szCs w:val="28"/>
                <w:lang w:val="uk-UA" w:eastAsia="uk-UA"/>
              </w:rPr>
              <w:drawing>
                <wp:inline distT="0" distB="0" distL="0" distR="0" wp14:anchorId="76070F12" wp14:editId="07DA2C30">
                  <wp:extent cx="2665095" cy="2133600"/>
                  <wp:effectExtent l="0" t="0" r="1905" b="0"/>
                  <wp:docPr id="23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5095" cy="2133600"/>
                          </a:xfrm>
                          <a:prstGeom prst="rect">
                            <a:avLst/>
                          </a:prstGeom>
                          <a:noFill/>
                          <a:ln>
                            <a:noFill/>
                          </a:ln>
                        </pic:spPr>
                      </pic:pic>
                    </a:graphicData>
                  </a:graphic>
                </wp:inline>
              </w:drawing>
            </w:r>
          </w:p>
        </w:tc>
      </w:tr>
      <w:tr w:rsidR="00671012" w:rsidRPr="002E6ECA" w:rsidTr="00BB0A64">
        <w:trPr>
          <w:jc w:val="center"/>
        </w:trPr>
        <w:tc>
          <w:tcPr>
            <w:tcW w:w="4527" w:type="dxa"/>
            <w:shd w:val="clear" w:color="auto" w:fill="auto"/>
          </w:tcPr>
          <w:p w:rsidR="00671012" w:rsidRPr="002E6ECA" w:rsidRDefault="00671012" w:rsidP="00BB0A64">
            <w:pPr>
              <w:spacing w:line="276" w:lineRule="auto"/>
              <w:ind w:firstLine="27"/>
              <w:jc w:val="both"/>
              <w:rPr>
                <w:bCs/>
                <w:sz w:val="28"/>
                <w:szCs w:val="28"/>
                <w:lang w:val="uk-UA"/>
              </w:rPr>
            </w:pPr>
            <w:r w:rsidRPr="002E6ECA">
              <w:rPr>
                <w:bCs/>
                <w:sz w:val="28"/>
                <w:szCs w:val="28"/>
                <w:lang w:val="uk-UA"/>
              </w:rPr>
              <w:t xml:space="preserve">а) розподіл респондентів на кластери за вихідною методикою </w:t>
            </w:r>
            <w:r w:rsidRPr="002E6ECA">
              <w:rPr>
                <w:sz w:val="28"/>
                <w:szCs w:val="28"/>
                <w:lang w:val="uk-UA"/>
              </w:rPr>
              <w:t>PSC</w:t>
            </w:r>
          </w:p>
        </w:tc>
        <w:tc>
          <w:tcPr>
            <w:tcW w:w="4527" w:type="dxa"/>
            <w:shd w:val="clear" w:color="auto" w:fill="auto"/>
          </w:tcPr>
          <w:p w:rsidR="00671012" w:rsidRPr="002E6ECA" w:rsidRDefault="00671012" w:rsidP="00BB0A64">
            <w:pPr>
              <w:spacing w:line="276" w:lineRule="auto"/>
              <w:ind w:firstLine="27"/>
              <w:jc w:val="both"/>
              <w:rPr>
                <w:bCs/>
                <w:sz w:val="28"/>
                <w:szCs w:val="28"/>
                <w:lang w:val="uk-UA"/>
              </w:rPr>
            </w:pPr>
            <w:r w:rsidRPr="002E6ECA">
              <w:rPr>
                <w:sz w:val="28"/>
                <w:szCs w:val="28"/>
                <w:lang w:val="uk-UA"/>
              </w:rPr>
              <w:t>б)</w:t>
            </w:r>
            <w:r w:rsidRPr="002E6ECA">
              <w:rPr>
                <w:bCs/>
                <w:sz w:val="28"/>
                <w:szCs w:val="28"/>
                <w:lang w:val="uk-UA"/>
              </w:rPr>
              <w:t xml:space="preserve"> розподіл респондентів на кластери за запропонованою методикою ЯЖПЗ</w:t>
            </w:r>
          </w:p>
        </w:tc>
      </w:tr>
    </w:tbl>
    <w:p w:rsidR="00671012" w:rsidRPr="002E6ECA" w:rsidRDefault="00671012" w:rsidP="00671012">
      <w:pPr>
        <w:spacing w:line="360" w:lineRule="auto"/>
        <w:ind w:firstLine="709"/>
        <w:jc w:val="both"/>
        <w:rPr>
          <w:sz w:val="28"/>
          <w:szCs w:val="28"/>
          <w:lang w:val="uk-UA"/>
        </w:rPr>
      </w:pPr>
      <w:r w:rsidRPr="002E6ECA">
        <w:rPr>
          <w:bCs/>
          <w:sz w:val="28"/>
          <w:szCs w:val="28"/>
          <w:lang w:val="uk-UA"/>
        </w:rPr>
        <w:t>Рис</w:t>
      </w:r>
      <w:r w:rsidR="00160FB7" w:rsidRPr="002E6ECA">
        <w:rPr>
          <w:bCs/>
          <w:sz w:val="28"/>
          <w:szCs w:val="28"/>
          <w:lang w:val="uk-UA"/>
        </w:rPr>
        <w:t>.</w:t>
      </w:r>
      <w:r w:rsidRPr="002E6ECA">
        <w:rPr>
          <w:bCs/>
          <w:sz w:val="28"/>
          <w:szCs w:val="28"/>
          <w:lang w:val="uk-UA"/>
        </w:rPr>
        <w:t xml:space="preserve"> 2.3. Розподіл респондентів на кластери </w:t>
      </w:r>
      <w:r w:rsidRPr="002E6ECA">
        <w:rPr>
          <w:sz w:val="28"/>
          <w:szCs w:val="28"/>
          <w:lang w:val="uk-UA"/>
        </w:rPr>
        <w:t xml:space="preserve">(228 осіб) за </w:t>
      </w:r>
      <w:r w:rsidRPr="002E6ECA">
        <w:rPr>
          <w:bCs/>
          <w:sz w:val="28"/>
          <w:szCs w:val="28"/>
          <w:lang w:val="uk-UA"/>
        </w:rPr>
        <w:t>вихідною</w:t>
      </w:r>
      <w:r w:rsidRPr="002E6ECA">
        <w:rPr>
          <w:sz w:val="28"/>
          <w:szCs w:val="28"/>
          <w:lang w:val="uk-UA"/>
        </w:rPr>
        <w:t xml:space="preserve"> методикою PSC (а) та запропонованою методикою ЯЖПЗ (б).</w:t>
      </w:r>
      <w:r w:rsidR="00951192" w:rsidRPr="002E6ECA">
        <w:rPr>
          <w:sz w:val="28"/>
          <w:szCs w:val="28"/>
          <w:lang w:val="uk-UA"/>
        </w:rPr>
        <w:t xml:space="preserve"> </w:t>
      </w:r>
    </w:p>
    <w:p w:rsidR="00671012" w:rsidRPr="002E6ECA" w:rsidRDefault="00671012" w:rsidP="00671012">
      <w:pPr>
        <w:spacing w:line="360" w:lineRule="auto"/>
        <w:ind w:firstLine="709"/>
        <w:jc w:val="both"/>
        <w:rPr>
          <w:bCs/>
          <w:sz w:val="28"/>
          <w:szCs w:val="28"/>
          <w:lang w:val="uk-UA"/>
        </w:rPr>
      </w:pPr>
    </w:p>
    <w:p w:rsidR="00B10BB2" w:rsidRPr="002E6ECA" w:rsidRDefault="00B10BB2" w:rsidP="00B10BB2">
      <w:pPr>
        <w:spacing w:line="360" w:lineRule="auto"/>
        <w:ind w:firstLine="709"/>
        <w:jc w:val="both"/>
        <w:rPr>
          <w:sz w:val="28"/>
          <w:szCs w:val="28"/>
          <w:lang w:val="uk-UA"/>
        </w:rPr>
      </w:pPr>
      <w:r w:rsidRPr="002E6ECA">
        <w:rPr>
          <w:sz w:val="28"/>
          <w:szCs w:val="28"/>
          <w:lang w:val="uk-UA"/>
        </w:rPr>
        <w:t>Аналіз якості життя учнів середнього шкільного віку проведено за допомогою системного аналізу із побудуванням граф-моделей кореляційних структур, вузлами (вершинами) яких були ознаки, а ребрами – достовірні зв'язки між ними. Розраховано середній кореляційний коефіцієнт (СКК), загальний коефіцієнт лабілізації/синхронізації (КЛз), показник системоутворення (ПС) та показник кореляційного розходження (ПКР) [</w:t>
      </w:r>
      <w:r w:rsidR="00232FBF" w:rsidRPr="002E6ECA">
        <w:rPr>
          <w:sz w:val="28"/>
          <w:szCs w:val="28"/>
          <w:lang w:val="uk-UA"/>
        </w:rPr>
        <w:t>85</w:t>
      </w:r>
      <w:r w:rsidRPr="002E6ECA">
        <w:rPr>
          <w:sz w:val="28"/>
          <w:szCs w:val="28"/>
          <w:lang w:val="uk-UA"/>
        </w:rPr>
        <w:t>].</w:t>
      </w:r>
    </w:p>
    <w:p w:rsidR="00B10BB2" w:rsidRPr="002E6ECA" w:rsidRDefault="00B10BB2" w:rsidP="00B10BB2">
      <w:pPr>
        <w:spacing w:line="360" w:lineRule="auto"/>
        <w:ind w:firstLine="709"/>
        <w:jc w:val="both"/>
        <w:rPr>
          <w:sz w:val="28"/>
          <w:szCs w:val="28"/>
          <w:lang w:val="uk-UA"/>
        </w:rPr>
      </w:pPr>
      <w:r w:rsidRPr="002E6ECA">
        <w:rPr>
          <w:sz w:val="28"/>
          <w:szCs w:val="28"/>
          <w:lang w:val="uk-UA"/>
        </w:rPr>
        <w:t>У якості методологічних підходів щодо оцінки ефективності профілактичних заходів, у тому числі при динамічних спостереженнях при визначенні ефективності програми щодо нормалізації ваги, дослідниками використовуються ANOVA для повторних вимірів та з поправкою на коваріати, критерії Коена [</w:t>
      </w:r>
      <w:hyperlink r:id="rId22" w:history="1">
        <w:r w:rsidR="00232FBF" w:rsidRPr="002E6ECA">
          <w:rPr>
            <w:sz w:val="28"/>
            <w:szCs w:val="28"/>
            <w:shd w:val="clear" w:color="auto" w:fill="FFFFFF"/>
            <w:lang w:val="uk-UA"/>
          </w:rPr>
          <w:t>287</w:t>
        </w:r>
      </w:hyperlink>
      <w:r w:rsidR="00232FBF" w:rsidRPr="002E6ECA">
        <w:rPr>
          <w:sz w:val="28"/>
          <w:szCs w:val="28"/>
          <w:lang w:val="uk-UA"/>
        </w:rPr>
        <w:t xml:space="preserve">; </w:t>
      </w:r>
      <w:hyperlink r:id="rId23" w:history="1">
        <w:r w:rsidR="00232FBF" w:rsidRPr="002E6ECA">
          <w:rPr>
            <w:sz w:val="28"/>
            <w:szCs w:val="28"/>
            <w:lang w:val="uk-UA"/>
          </w:rPr>
          <w:t>514</w:t>
        </w:r>
      </w:hyperlink>
      <w:r w:rsidRPr="002E6ECA">
        <w:rPr>
          <w:sz w:val="28"/>
          <w:szCs w:val="28"/>
          <w:lang w:val="uk-UA"/>
        </w:rPr>
        <w:t xml:space="preserve">]. Останнім часом дослідниками широко застосовується моделювання  структурних рівнянь (SEM) у великих соціологічних, психологічних і соціальних дослідженнях для пошуку зв'язків і відносин між значними масивами даних, об'єднаних в структури, у т.ч. для перевірки </w:t>
      </w:r>
      <w:r w:rsidRPr="002E6ECA">
        <w:rPr>
          <w:sz w:val="28"/>
          <w:szCs w:val="28"/>
          <w:lang w:val="uk-UA"/>
        </w:rPr>
        <w:lastRenderedPageBreak/>
        <w:t>гіпотетичних зв’язків між теоретичними конструкціями, а також між конструкціями та спостережуваними показниками [</w:t>
      </w:r>
      <w:r w:rsidR="00232FBF" w:rsidRPr="002E6ECA">
        <w:rPr>
          <w:sz w:val="28"/>
          <w:szCs w:val="28"/>
          <w:shd w:val="clear" w:color="auto" w:fill="FFFFFF"/>
        </w:rPr>
        <w:t>300</w:t>
      </w:r>
      <w:r w:rsidR="00232FBF" w:rsidRPr="002E6ECA">
        <w:rPr>
          <w:sz w:val="28"/>
          <w:szCs w:val="28"/>
          <w:lang w:val="uk-UA"/>
        </w:rPr>
        <w:t xml:space="preserve">, </w:t>
      </w:r>
      <w:hyperlink r:id="rId24" w:history="1">
        <w:r w:rsidR="00232FBF" w:rsidRPr="002E6ECA">
          <w:rPr>
            <w:sz w:val="28"/>
            <w:szCs w:val="28"/>
          </w:rPr>
          <w:t>322</w:t>
        </w:r>
      </w:hyperlink>
      <w:r w:rsidRPr="002E6ECA">
        <w:rPr>
          <w:sz w:val="28"/>
          <w:szCs w:val="28"/>
          <w:lang w:val="uk-UA"/>
        </w:rPr>
        <w:t>]. У дослідженнях щодо оцінки ефективності програм з формування здорового способу життя SEM використовується для виявлення взаємозв'язку між конструкціями моделі охорони здоров'я та поведінковими намірами управління вагою,</w:t>
      </w:r>
      <w:r w:rsidR="003F4B69" w:rsidRPr="002E6ECA">
        <w:rPr>
          <w:sz w:val="28"/>
          <w:szCs w:val="28"/>
          <w:lang w:val="uk-UA"/>
        </w:rPr>
        <w:t xml:space="preserve"> </w:t>
      </w:r>
      <w:r w:rsidRPr="002E6ECA">
        <w:rPr>
          <w:sz w:val="28"/>
          <w:szCs w:val="28"/>
          <w:lang w:val="uk-UA"/>
        </w:rPr>
        <w:t>між рівнем впливу ставлення до фізичної активності, екранного часу та ступенем ожиріння, між споживанням молочних продуктів та індексом маси тіла [</w:t>
      </w:r>
      <w:r w:rsidR="00232FBF" w:rsidRPr="002E6ECA">
        <w:rPr>
          <w:sz w:val="28"/>
          <w:szCs w:val="28"/>
          <w:lang w:val="uk-UA"/>
        </w:rPr>
        <w:t xml:space="preserve">450, </w:t>
      </w:r>
      <w:hyperlink r:id="rId25" w:history="1">
        <w:r w:rsidR="00232FBF" w:rsidRPr="002E6ECA">
          <w:rPr>
            <w:sz w:val="28"/>
            <w:szCs w:val="28"/>
            <w:lang w:val="uk-UA"/>
          </w:rPr>
          <w:t>510</w:t>
        </w:r>
      </w:hyperlink>
      <w:r w:rsidRPr="002E6ECA">
        <w:rPr>
          <w:sz w:val="28"/>
          <w:szCs w:val="28"/>
          <w:lang w:val="uk-UA"/>
        </w:rPr>
        <w:t xml:space="preserve">]. </w:t>
      </w:r>
    </w:p>
    <w:p w:rsidR="00B10BB2" w:rsidRPr="002E6ECA" w:rsidRDefault="00B10BB2" w:rsidP="00B10BB2">
      <w:pPr>
        <w:spacing w:line="360" w:lineRule="auto"/>
        <w:ind w:firstLine="709"/>
        <w:jc w:val="both"/>
        <w:rPr>
          <w:sz w:val="28"/>
          <w:szCs w:val="28"/>
          <w:lang w:val="uk-UA"/>
        </w:rPr>
      </w:pPr>
      <w:r w:rsidRPr="002E6ECA">
        <w:rPr>
          <w:sz w:val="28"/>
          <w:szCs w:val="28"/>
          <w:lang w:val="uk-UA"/>
        </w:rPr>
        <w:t>Моделювання структурними рівняннями (SEM) – мультиваріативний метод статистичного аналізу структурних відносин [</w:t>
      </w:r>
      <w:r w:rsidR="00232FBF" w:rsidRPr="002E6ECA">
        <w:rPr>
          <w:sz w:val="28"/>
          <w:szCs w:val="28"/>
          <w:shd w:val="clear" w:color="auto" w:fill="FFFFFF"/>
          <w:lang w:val="uk-UA"/>
        </w:rPr>
        <w:t>300,</w:t>
      </w:r>
      <w:r w:rsidR="00232FBF" w:rsidRPr="002E6ECA">
        <w:rPr>
          <w:sz w:val="28"/>
          <w:szCs w:val="28"/>
          <w:lang w:val="uk-UA"/>
        </w:rPr>
        <w:t xml:space="preserve"> 371</w:t>
      </w:r>
      <w:r w:rsidRPr="002E6ECA">
        <w:rPr>
          <w:sz w:val="28"/>
          <w:szCs w:val="28"/>
          <w:lang w:val="uk-UA"/>
        </w:rPr>
        <w:t>], який об'єднує в собі цілий ряд статистичних методів, таких як факторний аналіз, множинний регресійний аналіз, канонічний і дискримінантний методи аналізу, а також математичні моделі і комп'ютерні алгоритми. SEM реалізований у вигляді додаткових модулів популярних статистичних пакетів, наприклад, AMOS для IBM SPSS або SEPATH Statistica. SEM широко використовується останнім часом дослідниками в великих соціологічних, психологічних і соціальних дослідженнях для пошуку зв'язків і відносин між значними масивами даних, об'єднаних в структури.</w:t>
      </w:r>
    </w:p>
    <w:p w:rsidR="00671012" w:rsidRPr="002E6ECA" w:rsidRDefault="00671012" w:rsidP="00671012">
      <w:pPr>
        <w:spacing w:line="360" w:lineRule="auto"/>
        <w:ind w:firstLine="709"/>
        <w:jc w:val="center"/>
        <w:rPr>
          <w:sz w:val="28"/>
          <w:szCs w:val="28"/>
          <w:lang w:val="uk-UA"/>
        </w:rPr>
      </w:pPr>
    </w:p>
    <w:p w:rsidR="0006110E" w:rsidRPr="002E6ECA" w:rsidRDefault="004341ED" w:rsidP="00671012">
      <w:pPr>
        <w:spacing w:line="360" w:lineRule="auto"/>
        <w:ind w:firstLine="709"/>
        <w:jc w:val="both"/>
        <w:rPr>
          <w:sz w:val="28"/>
          <w:szCs w:val="28"/>
          <w:lang w:val="uk-UA"/>
        </w:rPr>
      </w:pPr>
      <w:r w:rsidRPr="002E6ECA">
        <w:rPr>
          <w:sz w:val="28"/>
          <w:szCs w:val="28"/>
          <w:lang w:val="uk-UA"/>
        </w:rPr>
        <w:t>Матеріали розділу викладено у наступних публікаціях:</w:t>
      </w:r>
      <w:r w:rsidR="00671012" w:rsidRPr="002E6ECA">
        <w:rPr>
          <w:sz w:val="28"/>
          <w:szCs w:val="28"/>
          <w:lang w:val="uk-UA"/>
        </w:rPr>
        <w:t xml:space="preserve">  </w:t>
      </w:r>
      <w:r w:rsidR="00284BA8" w:rsidRPr="002E6ECA">
        <w:rPr>
          <w:sz w:val="28"/>
          <w:szCs w:val="28"/>
        </w:rPr>
        <w:t>2, 66, 76, 122, 223, 230, 234, 235, 399, 446.</w:t>
      </w:r>
    </w:p>
    <w:p w:rsidR="00917BD4" w:rsidRPr="002E6ECA" w:rsidRDefault="00917BD4" w:rsidP="00B81AAE">
      <w:pPr>
        <w:pStyle w:val="a3"/>
        <w:numPr>
          <w:ilvl w:val="0"/>
          <w:numId w:val="68"/>
        </w:numPr>
        <w:spacing w:after="200" w:line="360" w:lineRule="auto"/>
        <w:ind w:left="0" w:firstLine="709"/>
        <w:jc w:val="both"/>
        <w:rPr>
          <w:sz w:val="28"/>
          <w:szCs w:val="28"/>
          <w:lang w:val="uk-UA"/>
        </w:rPr>
      </w:pPr>
      <w:r w:rsidRPr="002E6ECA">
        <w:rPr>
          <w:sz w:val="28"/>
          <w:szCs w:val="28"/>
          <w:lang w:val="uk-UA"/>
        </w:rPr>
        <w:br w:type="page"/>
      </w:r>
    </w:p>
    <w:p w:rsidR="00B140BE" w:rsidRPr="002E6ECA" w:rsidRDefault="00671012" w:rsidP="00671012">
      <w:pPr>
        <w:spacing w:line="360" w:lineRule="auto"/>
        <w:ind w:firstLine="709"/>
        <w:jc w:val="center"/>
        <w:rPr>
          <w:sz w:val="28"/>
          <w:szCs w:val="28"/>
          <w:lang w:val="uk-UA"/>
        </w:rPr>
      </w:pPr>
      <w:r w:rsidRPr="002E6ECA">
        <w:rPr>
          <w:sz w:val="28"/>
          <w:szCs w:val="28"/>
          <w:lang w:val="uk-UA"/>
        </w:rPr>
        <w:lastRenderedPageBreak/>
        <w:t xml:space="preserve">РОЗДІЛ 3 </w:t>
      </w:r>
    </w:p>
    <w:p w:rsidR="00671012" w:rsidRPr="002E6ECA" w:rsidRDefault="00671012" w:rsidP="00671012">
      <w:pPr>
        <w:spacing w:line="360" w:lineRule="auto"/>
        <w:ind w:firstLine="709"/>
        <w:jc w:val="center"/>
        <w:rPr>
          <w:sz w:val="28"/>
          <w:szCs w:val="28"/>
          <w:lang w:val="uk-UA"/>
        </w:rPr>
      </w:pPr>
      <w:r w:rsidRPr="002E6ECA">
        <w:rPr>
          <w:sz w:val="28"/>
          <w:szCs w:val="28"/>
          <w:lang w:val="uk-UA"/>
        </w:rPr>
        <w:t>СТАН ЗДОРОВ’Я ШКОЛЯРІВ СЕРЕДНЬОГО ШКІЛЬНОГО ВІКУ У ДИНАМІЦІ НАВЧАННЯ</w:t>
      </w:r>
    </w:p>
    <w:p w:rsidR="00671012" w:rsidRPr="002E6ECA" w:rsidRDefault="00671012" w:rsidP="00671012">
      <w:pPr>
        <w:spacing w:line="360" w:lineRule="auto"/>
        <w:ind w:firstLine="709"/>
        <w:jc w:val="center"/>
        <w:rPr>
          <w:sz w:val="28"/>
          <w:szCs w:val="28"/>
          <w:lang w:val="uk-UA"/>
        </w:rPr>
      </w:pPr>
    </w:p>
    <w:p w:rsidR="00671012" w:rsidRPr="002E6ECA" w:rsidRDefault="00671012" w:rsidP="00B140BE">
      <w:pPr>
        <w:spacing w:line="360" w:lineRule="auto"/>
        <w:ind w:firstLine="709"/>
        <w:rPr>
          <w:b/>
          <w:sz w:val="28"/>
          <w:szCs w:val="28"/>
          <w:lang w:val="uk-UA"/>
        </w:rPr>
      </w:pPr>
      <w:r w:rsidRPr="002E6ECA">
        <w:rPr>
          <w:b/>
          <w:sz w:val="28"/>
          <w:szCs w:val="28"/>
          <w:lang w:val="uk-UA"/>
        </w:rPr>
        <w:t>3.1. Показники фізичного розвитку сучасних школярів</w:t>
      </w:r>
    </w:p>
    <w:p w:rsidR="007A1B31" w:rsidRPr="002E6ECA" w:rsidRDefault="007A1B31" w:rsidP="007A1B31">
      <w:pPr>
        <w:spacing w:line="360" w:lineRule="auto"/>
        <w:ind w:firstLine="709"/>
        <w:jc w:val="both"/>
        <w:rPr>
          <w:rFonts w:eastAsiaTheme="minorHAnsi"/>
          <w:lang w:val="uk-UA" w:eastAsia="en-US"/>
        </w:rPr>
      </w:pPr>
      <w:r w:rsidRPr="002E6ECA">
        <w:rPr>
          <w:sz w:val="28"/>
          <w:szCs w:val="28"/>
          <w:lang w:val="uk-UA"/>
        </w:rPr>
        <w:t>Фізичний розвиток є інтегральним показником стану здоров'я дітей та підлітків, на який впливає комплекс соціально-економічних, демографічних, клімато-географічних та екологічних чинників, рівень урбанізації, спосіб життя, особливості харчування, ступінь фізичних і психологічних навантажень, освітні технології [</w:t>
      </w:r>
      <w:r w:rsidR="00284BA8" w:rsidRPr="002E6ECA">
        <w:rPr>
          <w:sz w:val="28"/>
          <w:szCs w:val="28"/>
          <w:lang w:val="uk-UA"/>
        </w:rPr>
        <w:t xml:space="preserve">55, 270, 285, 416, 427, </w:t>
      </w:r>
      <w:r w:rsidR="00284BA8" w:rsidRPr="002E6ECA">
        <w:rPr>
          <w:rFonts w:eastAsiaTheme="minorHAnsi"/>
          <w:sz w:val="28"/>
          <w:szCs w:val="28"/>
          <w:lang w:val="uk-UA" w:eastAsia="en-US"/>
        </w:rPr>
        <w:t>429, 513</w:t>
      </w:r>
      <w:r w:rsidRPr="002E6ECA">
        <w:rPr>
          <w:sz w:val="28"/>
          <w:szCs w:val="28"/>
          <w:lang w:val="uk-UA"/>
        </w:rPr>
        <w:t>].</w:t>
      </w:r>
      <w:r w:rsidR="00284BA8" w:rsidRPr="002E6ECA">
        <w:rPr>
          <w:sz w:val="28"/>
          <w:szCs w:val="28"/>
          <w:lang w:val="uk-UA"/>
        </w:rPr>
        <w:t xml:space="preserve"> </w:t>
      </w:r>
    </w:p>
    <w:p w:rsidR="007A1B31" w:rsidRPr="002E6ECA" w:rsidRDefault="007A1B31" w:rsidP="007A1B31">
      <w:pPr>
        <w:spacing w:line="360" w:lineRule="auto"/>
        <w:ind w:firstLine="709"/>
        <w:jc w:val="both"/>
        <w:rPr>
          <w:rFonts w:eastAsiaTheme="minorHAnsi"/>
          <w:lang w:val="uk-UA" w:eastAsia="en-US"/>
        </w:rPr>
      </w:pPr>
      <w:r w:rsidRPr="002E6ECA">
        <w:rPr>
          <w:sz w:val="28"/>
          <w:szCs w:val="28"/>
          <w:lang w:val="uk-UA"/>
        </w:rPr>
        <w:t>На даний момент в Україні спостерігаються негативні тенденції у фізичному розвиткові дитячої популяції: відзначається значне зменшення частки гармонійно розвинутих дітей, зростає  поширеність надлишкової ваги, яка виступає предиктором розвитку ожиріння у дорослому віці, підвищення рівня хронічної соматичної захворюваності та смертності [</w:t>
      </w:r>
      <w:r w:rsidR="00284BA8" w:rsidRPr="002E6ECA">
        <w:rPr>
          <w:sz w:val="28"/>
          <w:szCs w:val="28"/>
          <w:lang w:val="uk-UA"/>
        </w:rPr>
        <w:t>43,119, 279</w:t>
      </w:r>
      <w:r w:rsidRPr="002E6ECA">
        <w:rPr>
          <w:sz w:val="28"/>
          <w:szCs w:val="28"/>
          <w:lang w:val="uk-UA"/>
        </w:rPr>
        <w:t xml:space="preserve">]. </w:t>
      </w:r>
      <w:r w:rsidRPr="002E6ECA">
        <w:rPr>
          <w:spacing w:val="-2"/>
          <w:sz w:val="28"/>
          <w:szCs w:val="28"/>
          <w:lang w:val="uk-UA"/>
        </w:rPr>
        <w:t>Особливу увагу слід концентрувати на підлітковому віці як критичному періоді щодо розвитку ожиріння. Склад тіла під час пубертату є маркером метаболічних змін, що відбуваються і містить ключову інформацію про теперішнє та майбутнє здоров'я. Під час статевого дозрівання всі основні компоненти складу тіла (загальний</w:t>
      </w:r>
      <w:r w:rsidRPr="002E6ECA">
        <w:rPr>
          <w:sz w:val="28"/>
          <w:szCs w:val="28"/>
          <w:lang w:val="uk-UA"/>
        </w:rPr>
        <w:t xml:space="preserve"> жир, безжирова маса тіла, м'язова маса) збільшуються та чітко корелюють зі статтю і інтенсивністю статевого розвитку [</w:t>
      </w:r>
      <w:r w:rsidR="00284BA8" w:rsidRPr="002E6ECA">
        <w:rPr>
          <w:rFonts w:eastAsiaTheme="minorHAnsi"/>
          <w:sz w:val="28"/>
          <w:szCs w:val="28"/>
          <w:lang w:val="uk-UA" w:eastAsia="en-US"/>
        </w:rPr>
        <w:t>42,</w:t>
      </w:r>
      <w:r w:rsidR="00284BA8" w:rsidRPr="002E6ECA">
        <w:rPr>
          <w:rFonts w:eastAsiaTheme="minorHAnsi"/>
          <w:lang w:val="uk-UA" w:eastAsia="en-US"/>
        </w:rPr>
        <w:t xml:space="preserve"> </w:t>
      </w:r>
      <w:r w:rsidR="00284BA8" w:rsidRPr="002E6ECA">
        <w:rPr>
          <w:rFonts w:eastAsiaTheme="minorHAnsi"/>
          <w:sz w:val="28"/>
          <w:szCs w:val="28"/>
          <w:lang w:val="uk-UA" w:eastAsia="en-US"/>
        </w:rPr>
        <w:t>490</w:t>
      </w:r>
      <w:r w:rsidRPr="002E6ECA">
        <w:rPr>
          <w:sz w:val="28"/>
          <w:szCs w:val="28"/>
          <w:lang w:val="uk-UA"/>
        </w:rPr>
        <w:t>].</w:t>
      </w:r>
    </w:p>
    <w:p w:rsidR="007A1B31" w:rsidRPr="002E6ECA" w:rsidRDefault="007A1B31" w:rsidP="007A1B31">
      <w:pPr>
        <w:spacing w:line="360" w:lineRule="auto"/>
        <w:ind w:firstLine="709"/>
        <w:jc w:val="both"/>
        <w:rPr>
          <w:rFonts w:eastAsiaTheme="minorHAnsi"/>
          <w:sz w:val="28"/>
          <w:szCs w:val="28"/>
          <w:lang w:val="uk-UA" w:eastAsia="en-US"/>
        </w:rPr>
      </w:pPr>
      <w:r w:rsidRPr="002E6ECA">
        <w:rPr>
          <w:sz w:val="28"/>
          <w:szCs w:val="28"/>
          <w:lang w:val="uk-UA"/>
        </w:rPr>
        <w:t>Методи оцінки фізичного розвитку населення мають глибоке наукове обґрунтування і широко поширені в практичній та науково-дослідницькій діяльності установ охорони здоров'я. Міжнародні та національні стандарти, що діють у різних країнах</w:t>
      </w:r>
      <w:r w:rsidR="003F4B69" w:rsidRPr="002E6ECA">
        <w:rPr>
          <w:sz w:val="28"/>
          <w:szCs w:val="28"/>
          <w:lang w:val="uk-UA"/>
        </w:rPr>
        <w:t>,</w:t>
      </w:r>
      <w:r w:rsidRPr="002E6ECA">
        <w:rPr>
          <w:sz w:val="28"/>
          <w:szCs w:val="28"/>
          <w:lang w:val="uk-UA"/>
        </w:rPr>
        <w:t xml:space="preserve"> призначені для оцінки фізичного розвитку за соматометричними та соматоскопічними критеріями і включають переважно процентильні криві зросту, маси тіла, окружності грудної клітки, шкірно-жирових складок та різні індекси (ІМТ, співвідношення талії та зросту, Вервека-Воронцова, Піньє, Ерісмана тощо) [</w:t>
      </w:r>
      <w:r w:rsidR="00284BA8" w:rsidRPr="002E6ECA">
        <w:rPr>
          <w:rFonts w:eastAsiaTheme="minorHAnsi"/>
          <w:sz w:val="28"/>
          <w:szCs w:val="28"/>
          <w:lang w:val="uk-UA" w:eastAsia="en-US"/>
        </w:rPr>
        <w:t>43, 130, 207,</w:t>
      </w:r>
      <w:r w:rsidR="00284BA8" w:rsidRPr="002E6ECA">
        <w:rPr>
          <w:lang w:val="uk-UA"/>
        </w:rPr>
        <w:t xml:space="preserve"> </w:t>
      </w:r>
      <w:r w:rsidR="00284BA8" w:rsidRPr="002E6ECA">
        <w:rPr>
          <w:rFonts w:eastAsiaTheme="minorHAnsi"/>
          <w:sz w:val="28"/>
          <w:szCs w:val="28"/>
          <w:lang w:val="uk-UA" w:eastAsia="en-US"/>
        </w:rPr>
        <w:t>383</w:t>
      </w:r>
      <w:r w:rsidRPr="002E6ECA">
        <w:rPr>
          <w:sz w:val="28"/>
          <w:szCs w:val="28"/>
          <w:lang w:val="uk-UA"/>
        </w:rPr>
        <w:t xml:space="preserve">]. </w:t>
      </w: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lastRenderedPageBreak/>
        <w:t>За аналізом отриманих даних антропометричних досліджень за показниками зросту та маси тіла у порівнянні з національними нормативами було встановлено динамічне збільшення зросту та маси тіла у відповідності до фізіологічних процесів. Проте порівняння середніх показників цих антропометричних критеріїв з національними стандартами встановив, що розподіл дітей з великим, вище середнього, середнім, нижче середнього та низьким зростом у різних вікових та статевих групах має певні відхилення. Так, у 11-річному віці реєструвався максимальний відсоток учнів з низьким зростом серед хлопців (8,3%) та дівчат (8,5</w:t>
      </w:r>
      <w:r w:rsidR="0080667E" w:rsidRPr="002E6ECA">
        <w:rPr>
          <w:bCs/>
          <w:sz w:val="28"/>
          <w:szCs w:val="28"/>
          <w:lang w:val="uk-UA"/>
        </w:rPr>
        <w:t>%</w:t>
      </w:r>
      <w:r w:rsidRPr="002E6ECA">
        <w:rPr>
          <w:bCs/>
          <w:sz w:val="28"/>
          <w:szCs w:val="28"/>
          <w:lang w:val="uk-UA"/>
        </w:rPr>
        <w:t>) при середньому зрості у даній віковій групі відповідно 146,18±1,13 см та  147,72±1,08 см (рис.</w:t>
      </w:r>
      <w:r w:rsidR="00160FB7" w:rsidRPr="002E6ECA">
        <w:rPr>
          <w:bCs/>
          <w:sz w:val="28"/>
          <w:szCs w:val="28"/>
          <w:lang w:val="uk-UA"/>
        </w:rPr>
        <w:t xml:space="preserve"> </w:t>
      </w:r>
      <w:r w:rsidRPr="002E6ECA">
        <w:rPr>
          <w:bCs/>
          <w:sz w:val="28"/>
          <w:szCs w:val="28"/>
          <w:lang w:val="uk-UA"/>
        </w:rPr>
        <w:t>3.1). Високий зріст найчастіше реєструвався серед 10-річних дівчат (17,4</w:t>
      </w:r>
      <w:r w:rsidR="0080667E" w:rsidRPr="002E6ECA">
        <w:rPr>
          <w:bCs/>
          <w:sz w:val="28"/>
          <w:szCs w:val="28"/>
          <w:lang w:val="uk-UA"/>
        </w:rPr>
        <w:t>%</w:t>
      </w:r>
      <w:r w:rsidRPr="002E6ECA">
        <w:rPr>
          <w:bCs/>
          <w:sz w:val="28"/>
          <w:szCs w:val="28"/>
          <w:lang w:val="uk-UA"/>
        </w:rPr>
        <w:t xml:space="preserve"> при середньому зрості 142,29±0,69 см) та 14-річних хлопців (14,3</w:t>
      </w:r>
      <w:r w:rsidR="0080667E" w:rsidRPr="002E6ECA">
        <w:rPr>
          <w:bCs/>
          <w:sz w:val="28"/>
          <w:szCs w:val="28"/>
          <w:lang w:val="uk-UA"/>
        </w:rPr>
        <w:t>%</w:t>
      </w:r>
      <w:r w:rsidRPr="002E6ECA">
        <w:rPr>
          <w:bCs/>
          <w:sz w:val="28"/>
          <w:szCs w:val="28"/>
          <w:lang w:val="uk-UA"/>
        </w:rPr>
        <w:t xml:space="preserve"> </w:t>
      </w:r>
      <w:r w:rsidR="007A1B31" w:rsidRPr="002E6ECA">
        <w:rPr>
          <w:sz w:val="28"/>
          <w:szCs w:val="28"/>
          <w:lang w:val="uk-UA"/>
        </w:rPr>
        <w:t>–</w:t>
      </w:r>
      <w:r w:rsidRPr="002E6ECA">
        <w:rPr>
          <w:bCs/>
          <w:sz w:val="28"/>
          <w:szCs w:val="28"/>
          <w:lang w:val="uk-UA"/>
        </w:rPr>
        <w:t xml:space="preserve"> при 169,87±1,34 см). </w:t>
      </w:r>
    </w:p>
    <w:p w:rsidR="00D31198" w:rsidRPr="002E6ECA" w:rsidRDefault="00D31198" w:rsidP="00671012">
      <w:pPr>
        <w:spacing w:line="360" w:lineRule="auto"/>
        <w:ind w:firstLine="709"/>
        <w:rPr>
          <w:sz w:val="28"/>
          <w:szCs w:val="28"/>
          <w:lang w:val="uk-UA"/>
        </w:rPr>
      </w:pPr>
      <w:r w:rsidRPr="002E6ECA">
        <w:rPr>
          <w:noProof/>
          <w:sz w:val="28"/>
          <w:szCs w:val="28"/>
          <w:lang w:val="uk-UA" w:eastAsia="uk-UA"/>
        </w:rPr>
        <w:drawing>
          <wp:inline distT="0" distB="0" distL="0" distR="0" wp14:anchorId="57DDF0A6" wp14:editId="7865E785">
            <wp:extent cx="4695825" cy="421005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94555" cy="4208911"/>
                    </a:xfrm>
                    <a:prstGeom prst="rect">
                      <a:avLst/>
                    </a:prstGeom>
                    <a:noFill/>
                  </pic:spPr>
                </pic:pic>
              </a:graphicData>
            </a:graphic>
          </wp:inline>
        </w:drawing>
      </w:r>
    </w:p>
    <w:p w:rsidR="00671012" w:rsidRPr="002E6ECA" w:rsidRDefault="00671012" w:rsidP="00671012">
      <w:pPr>
        <w:spacing w:line="360" w:lineRule="auto"/>
        <w:ind w:firstLine="709"/>
        <w:rPr>
          <w:sz w:val="28"/>
          <w:szCs w:val="28"/>
          <w:lang w:val="uk-UA"/>
        </w:rPr>
      </w:pPr>
      <w:r w:rsidRPr="002E6ECA">
        <w:rPr>
          <w:sz w:val="28"/>
          <w:szCs w:val="28"/>
          <w:lang w:val="uk-UA"/>
        </w:rPr>
        <w:t>Рис. 3.1. Показники зросту учнів середнього шкільного віку</w:t>
      </w:r>
    </w:p>
    <w:p w:rsidR="0002797B" w:rsidRPr="002E6ECA" w:rsidRDefault="0002797B" w:rsidP="00671012">
      <w:pPr>
        <w:spacing w:line="360" w:lineRule="auto"/>
        <w:ind w:firstLine="709"/>
        <w:jc w:val="both"/>
        <w:rPr>
          <w:bCs/>
          <w:sz w:val="28"/>
          <w:szCs w:val="28"/>
          <w:lang w:val="uk-UA"/>
        </w:rPr>
      </w:pPr>
    </w:p>
    <w:p w:rsidR="00671012" w:rsidRPr="002E6ECA" w:rsidRDefault="00671012" w:rsidP="00671012">
      <w:pPr>
        <w:spacing w:line="360" w:lineRule="auto"/>
        <w:ind w:firstLine="709"/>
        <w:jc w:val="both"/>
        <w:rPr>
          <w:bCs/>
          <w:sz w:val="28"/>
          <w:szCs w:val="28"/>
          <w:lang w:val="uk-UA"/>
        </w:rPr>
      </w:pPr>
      <w:r w:rsidRPr="002E6ECA">
        <w:rPr>
          <w:bCs/>
          <w:sz w:val="28"/>
          <w:szCs w:val="28"/>
          <w:lang w:val="uk-UA"/>
        </w:rPr>
        <w:t>Показники маси тіла вже мали більш суттєві відмінності у різних статевих групах за якісною характеристикою</w:t>
      </w:r>
      <w:r w:rsidR="00152585" w:rsidRPr="002E6ECA">
        <w:rPr>
          <w:bCs/>
          <w:sz w:val="28"/>
          <w:szCs w:val="28"/>
          <w:lang w:val="uk-UA"/>
        </w:rPr>
        <w:t xml:space="preserve"> (рис. 3.2)</w:t>
      </w:r>
      <w:r w:rsidRPr="002E6ECA">
        <w:rPr>
          <w:bCs/>
          <w:sz w:val="28"/>
          <w:szCs w:val="28"/>
          <w:lang w:val="uk-UA"/>
        </w:rPr>
        <w:t xml:space="preserve">: якщо серед дівчат </w:t>
      </w:r>
      <w:r w:rsidRPr="002E6ECA">
        <w:rPr>
          <w:bCs/>
          <w:sz w:val="28"/>
          <w:szCs w:val="28"/>
          <w:lang w:val="uk-UA"/>
        </w:rPr>
        <w:lastRenderedPageBreak/>
        <w:t>понад 50</w:t>
      </w:r>
      <w:r w:rsidR="0080667E" w:rsidRPr="002E6ECA">
        <w:rPr>
          <w:bCs/>
          <w:sz w:val="28"/>
          <w:szCs w:val="28"/>
          <w:lang w:val="uk-UA"/>
        </w:rPr>
        <w:t>%</w:t>
      </w:r>
      <w:r w:rsidRPr="002E6ECA">
        <w:rPr>
          <w:bCs/>
          <w:sz w:val="28"/>
          <w:szCs w:val="28"/>
          <w:lang w:val="uk-UA"/>
        </w:rPr>
        <w:t xml:space="preserve"> складали ті, що мають нормальну вагу у 10-13 років та виражені ознаки її дефіциту (виснаження) у 14-річному віці (21,4% учениць), то серед хлопців 10, 12 та 14 років понад 1/3 складали школярі із ожирінням та понад 10</w:t>
      </w:r>
      <w:r w:rsidR="0080667E" w:rsidRPr="002E6ECA">
        <w:rPr>
          <w:bCs/>
          <w:sz w:val="28"/>
          <w:szCs w:val="28"/>
          <w:lang w:val="uk-UA"/>
        </w:rPr>
        <w:t>%</w:t>
      </w:r>
      <w:r w:rsidR="0002797B" w:rsidRPr="002E6ECA">
        <w:rPr>
          <w:bCs/>
          <w:sz w:val="28"/>
          <w:szCs w:val="28"/>
          <w:lang w:val="uk-UA"/>
        </w:rPr>
        <w:t xml:space="preserve"> –</w:t>
      </w:r>
      <w:r w:rsidRPr="002E6ECA">
        <w:rPr>
          <w:bCs/>
          <w:sz w:val="28"/>
          <w:szCs w:val="28"/>
          <w:lang w:val="uk-UA"/>
        </w:rPr>
        <w:t xml:space="preserve"> із надлишковою масою тіла. Серед дівчат такі відхилення харчового статусу виявлялись у 10-річному віці (21,3%). </w:t>
      </w:r>
    </w:p>
    <w:p w:rsidR="00D31198" w:rsidRPr="002E6ECA" w:rsidRDefault="00D31198" w:rsidP="00671012">
      <w:pPr>
        <w:spacing w:line="360" w:lineRule="auto"/>
        <w:ind w:firstLine="709"/>
        <w:rPr>
          <w:sz w:val="28"/>
          <w:szCs w:val="28"/>
          <w:lang w:val="uk-UA"/>
        </w:rPr>
      </w:pPr>
      <w:r w:rsidRPr="002E6ECA">
        <w:rPr>
          <w:noProof/>
          <w:sz w:val="28"/>
          <w:szCs w:val="28"/>
          <w:lang w:val="uk-UA" w:eastAsia="uk-UA"/>
        </w:rPr>
        <w:drawing>
          <wp:inline distT="0" distB="0" distL="0" distR="0" wp14:anchorId="786FC3A3" wp14:editId="72B13AD3">
            <wp:extent cx="5645150" cy="3731260"/>
            <wp:effectExtent l="0" t="0" r="0" b="254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45150" cy="3731260"/>
                    </a:xfrm>
                    <a:prstGeom prst="rect">
                      <a:avLst/>
                    </a:prstGeom>
                    <a:noFill/>
                  </pic:spPr>
                </pic:pic>
              </a:graphicData>
            </a:graphic>
          </wp:inline>
        </w:drawing>
      </w:r>
    </w:p>
    <w:p w:rsidR="00671012" w:rsidRPr="002E6ECA" w:rsidRDefault="00671012" w:rsidP="00671012">
      <w:pPr>
        <w:spacing w:line="360" w:lineRule="auto"/>
        <w:ind w:firstLine="709"/>
        <w:rPr>
          <w:sz w:val="28"/>
          <w:szCs w:val="28"/>
          <w:lang w:val="uk-UA"/>
        </w:rPr>
      </w:pPr>
      <w:r w:rsidRPr="002E6ECA">
        <w:rPr>
          <w:sz w:val="28"/>
          <w:szCs w:val="28"/>
          <w:lang w:val="uk-UA"/>
        </w:rPr>
        <w:t>Рис. 3.2. Показники маси тіла учнів середнього шкільного віку</w:t>
      </w:r>
      <w:r w:rsidR="00B140BE" w:rsidRPr="002E6ECA">
        <w:rPr>
          <w:sz w:val="28"/>
          <w:szCs w:val="28"/>
          <w:lang w:val="uk-UA"/>
        </w:rPr>
        <w:t xml:space="preserve"> </w:t>
      </w:r>
    </w:p>
    <w:p w:rsidR="00671012" w:rsidRPr="002E6ECA" w:rsidRDefault="00671012" w:rsidP="00671012">
      <w:pPr>
        <w:spacing w:line="360" w:lineRule="auto"/>
        <w:ind w:firstLine="709"/>
        <w:jc w:val="both"/>
        <w:rPr>
          <w:sz w:val="28"/>
          <w:szCs w:val="28"/>
          <w:lang w:val="uk-UA"/>
        </w:rPr>
      </w:pPr>
    </w:p>
    <w:p w:rsidR="00671012" w:rsidRPr="002E6ECA" w:rsidRDefault="00671012" w:rsidP="00671012">
      <w:pPr>
        <w:spacing w:line="360" w:lineRule="auto"/>
        <w:ind w:firstLine="709"/>
        <w:jc w:val="both"/>
        <w:rPr>
          <w:sz w:val="28"/>
          <w:szCs w:val="28"/>
          <w:lang w:val="uk-UA"/>
        </w:rPr>
      </w:pPr>
      <w:r w:rsidRPr="002E6ECA">
        <w:rPr>
          <w:sz w:val="28"/>
          <w:szCs w:val="28"/>
          <w:lang w:val="uk-UA"/>
        </w:rPr>
        <w:t>Для групової оцінки фізичного розвитку було отримано усереднені показники за рік життя з помісячних центильних таблиць ВООЗ</w:t>
      </w:r>
      <w:r w:rsidR="005216C6" w:rsidRPr="002E6ECA">
        <w:rPr>
          <w:sz w:val="28"/>
          <w:szCs w:val="28"/>
          <w:lang w:val="uk-UA"/>
        </w:rPr>
        <w:t xml:space="preserve"> </w:t>
      </w:r>
      <w:r w:rsidR="005216C6" w:rsidRPr="002E6ECA">
        <w:rPr>
          <w:sz w:val="28"/>
          <w:szCs w:val="28"/>
        </w:rPr>
        <w:t>[</w:t>
      </w:r>
      <w:r w:rsidR="00F847B1" w:rsidRPr="002E6ECA">
        <w:rPr>
          <w:sz w:val="28"/>
          <w:szCs w:val="28"/>
        </w:rPr>
        <w:t>501</w:t>
      </w:r>
      <w:r w:rsidR="005216C6" w:rsidRPr="002E6ECA">
        <w:rPr>
          <w:sz w:val="28"/>
          <w:szCs w:val="28"/>
        </w:rPr>
        <w:t>]</w:t>
      </w:r>
      <w:r w:rsidRPr="002E6ECA">
        <w:rPr>
          <w:sz w:val="28"/>
          <w:szCs w:val="28"/>
          <w:lang w:val="uk-UA"/>
        </w:rPr>
        <w:t xml:space="preserve"> за допомогою методу статистичного агрегування на підставі нормального закону розподілу (табл.3.1). Точка відсікання розраховувалась виходячи з наявного статистичного розподілу випадкової величини так, щоб вона не перевищувала задане значення з фіксованою ймовірністю.</w:t>
      </w:r>
    </w:p>
    <w:p w:rsidR="0002797B" w:rsidRPr="002E6ECA" w:rsidRDefault="0002797B" w:rsidP="0002797B">
      <w:pPr>
        <w:spacing w:line="360" w:lineRule="auto"/>
        <w:ind w:firstLine="709"/>
        <w:jc w:val="both"/>
        <w:rPr>
          <w:sz w:val="28"/>
          <w:szCs w:val="28"/>
          <w:lang w:val="uk-UA"/>
        </w:rPr>
      </w:pPr>
      <w:r w:rsidRPr="002E6ECA">
        <w:rPr>
          <w:sz w:val="28"/>
          <w:szCs w:val="28"/>
          <w:lang w:val="uk-UA"/>
        </w:rPr>
        <w:t>Показник ІМТ дитини порівнювався із середнім значенням у популяції і при діапазоні з 25-го по 75-й перцент</w:t>
      </w:r>
      <w:r w:rsidR="001B1557" w:rsidRPr="002E6ECA">
        <w:rPr>
          <w:sz w:val="28"/>
          <w:szCs w:val="28"/>
          <w:lang w:val="uk-UA"/>
        </w:rPr>
        <w:t>и</w:t>
      </w:r>
      <w:r w:rsidRPr="002E6ECA">
        <w:rPr>
          <w:sz w:val="28"/>
          <w:szCs w:val="28"/>
          <w:lang w:val="uk-UA"/>
        </w:rPr>
        <w:t>ля визначався як гармонійний фізичний розвиток, більше 85-го перцентиля – надлишок маси тіла, більше 95-го – ожиріння [</w:t>
      </w:r>
      <w:r w:rsidR="00284BA8" w:rsidRPr="002E6ECA">
        <w:rPr>
          <w:sz w:val="28"/>
          <w:szCs w:val="28"/>
          <w:lang w:val="uk-UA"/>
        </w:rPr>
        <w:t>138</w:t>
      </w:r>
      <w:r w:rsidRPr="002E6ECA">
        <w:rPr>
          <w:sz w:val="28"/>
          <w:szCs w:val="28"/>
          <w:lang w:val="uk-UA"/>
        </w:rPr>
        <w:t xml:space="preserve">]. При ІМТ нижче 15-го перцентиля фіксували дефіцит маси тіла, </w:t>
      </w:r>
      <w:r w:rsidRPr="002E6ECA">
        <w:rPr>
          <w:sz w:val="28"/>
          <w:szCs w:val="28"/>
          <w:lang w:val="uk-UA"/>
        </w:rPr>
        <w:lastRenderedPageBreak/>
        <w:t xml:space="preserve">нижче 5-го перцентиля – виснаження. Крім того було виділено групи ризику щодо розвитку надлишкової маси тіла (75-85-й перцентилі) та дефіциту маси тіла (15-25-й перцентилі). </w:t>
      </w:r>
    </w:p>
    <w:p w:rsidR="00671012" w:rsidRPr="002E6ECA" w:rsidRDefault="00671012" w:rsidP="00671012">
      <w:pPr>
        <w:spacing w:line="360" w:lineRule="auto"/>
        <w:ind w:firstLine="709"/>
        <w:jc w:val="right"/>
        <w:rPr>
          <w:i/>
          <w:sz w:val="28"/>
          <w:szCs w:val="28"/>
          <w:lang w:val="uk-UA"/>
        </w:rPr>
      </w:pPr>
      <w:r w:rsidRPr="002E6ECA">
        <w:rPr>
          <w:i/>
          <w:sz w:val="28"/>
          <w:szCs w:val="28"/>
          <w:lang w:val="uk-UA"/>
        </w:rPr>
        <w:t xml:space="preserve">Таблиця 3.1 </w:t>
      </w:r>
    </w:p>
    <w:p w:rsidR="00671012" w:rsidRPr="002E6ECA" w:rsidRDefault="00671012" w:rsidP="00B140BE">
      <w:pPr>
        <w:spacing w:line="360" w:lineRule="auto"/>
        <w:ind w:firstLine="709"/>
        <w:jc w:val="center"/>
        <w:rPr>
          <w:b/>
          <w:sz w:val="28"/>
          <w:szCs w:val="28"/>
          <w:lang w:val="uk-UA"/>
        </w:rPr>
      </w:pPr>
      <w:r w:rsidRPr="002E6ECA">
        <w:rPr>
          <w:b/>
          <w:sz w:val="28"/>
          <w:szCs w:val="28"/>
          <w:lang w:val="uk-UA"/>
        </w:rPr>
        <w:t>Вікові показники ІМТ дітей шкільного віку (кг/м</w:t>
      </w:r>
      <w:r w:rsidRPr="002E6ECA">
        <w:rPr>
          <w:b/>
          <w:sz w:val="28"/>
          <w:szCs w:val="28"/>
          <w:vertAlign w:val="superscript"/>
          <w:lang w:val="uk-UA"/>
        </w:rPr>
        <w:t>2</w:t>
      </w:r>
      <w:r w:rsidRPr="002E6ECA">
        <w:rPr>
          <w:b/>
          <w:sz w:val="28"/>
          <w:szCs w:val="28"/>
          <w:lang w:val="uk-UA"/>
        </w:rPr>
        <w:t>)</w:t>
      </w:r>
    </w:p>
    <w:tbl>
      <w:tblPr>
        <w:tblW w:w="9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
        <w:gridCol w:w="630"/>
        <w:gridCol w:w="630"/>
        <w:gridCol w:w="630"/>
        <w:gridCol w:w="630"/>
        <w:gridCol w:w="630"/>
        <w:gridCol w:w="630"/>
        <w:gridCol w:w="630"/>
        <w:gridCol w:w="630"/>
        <w:gridCol w:w="630"/>
        <w:gridCol w:w="630"/>
        <w:gridCol w:w="630"/>
        <w:gridCol w:w="630"/>
        <w:gridCol w:w="630"/>
        <w:gridCol w:w="630"/>
      </w:tblGrid>
      <w:tr w:rsidR="00671012" w:rsidRPr="002E6ECA" w:rsidTr="001B1557">
        <w:trPr>
          <w:trHeight w:val="944"/>
        </w:trPr>
        <w:tc>
          <w:tcPr>
            <w:tcW w:w="960" w:type="dxa"/>
            <w:vMerge w:val="restart"/>
            <w:shd w:val="clear" w:color="auto" w:fill="auto"/>
            <w:noWrap/>
            <w:tcMar>
              <w:left w:w="28" w:type="dxa"/>
              <w:right w:w="28" w:type="dxa"/>
            </w:tcMar>
            <w:vAlign w:val="center"/>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Вік</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5-й перцентиль</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15-й перцентиль</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25-й перцентиль</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50-й перцентиль</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75-й перцентиль</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85-й перцентиль</w:t>
            </w:r>
          </w:p>
        </w:tc>
        <w:tc>
          <w:tcPr>
            <w:tcW w:w="1260" w:type="dxa"/>
            <w:gridSpan w:val="2"/>
            <w:shd w:val="clear" w:color="auto" w:fill="auto"/>
            <w:noWrap/>
            <w:tcMar>
              <w:left w:w="28" w:type="dxa"/>
              <w:right w:w="28" w:type="dxa"/>
            </w:tcMar>
            <w:vAlign w:val="center"/>
            <w:hideMark/>
          </w:tcPr>
          <w:p w:rsidR="00671012" w:rsidRPr="002E6ECA" w:rsidRDefault="00671012" w:rsidP="001B1557">
            <w:pPr>
              <w:ind w:firstLine="49"/>
              <w:jc w:val="center"/>
              <w:rPr>
                <w:spacing w:val="-8"/>
                <w:sz w:val="26"/>
                <w:szCs w:val="26"/>
                <w:lang w:val="uk-UA" w:eastAsia="uk-UA"/>
              </w:rPr>
            </w:pPr>
            <w:r w:rsidRPr="002E6ECA">
              <w:rPr>
                <w:spacing w:val="-8"/>
                <w:sz w:val="26"/>
                <w:szCs w:val="26"/>
                <w:lang w:val="uk-UA" w:eastAsia="uk-UA"/>
              </w:rPr>
              <w:t>95-й перцентиль</w:t>
            </w:r>
          </w:p>
        </w:tc>
      </w:tr>
      <w:tr w:rsidR="00671012" w:rsidRPr="002E6ECA" w:rsidTr="00671012">
        <w:trPr>
          <w:cantSplit/>
          <w:trHeight w:val="1134"/>
        </w:trPr>
        <w:tc>
          <w:tcPr>
            <w:tcW w:w="960" w:type="dxa"/>
            <w:vMerge/>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хлопці</w:t>
            </w:r>
          </w:p>
        </w:tc>
        <w:tc>
          <w:tcPr>
            <w:tcW w:w="630" w:type="dxa"/>
            <w:shd w:val="clear" w:color="auto" w:fill="auto"/>
            <w:noWrap/>
            <w:tcMar>
              <w:left w:w="28" w:type="dxa"/>
              <w:right w:w="28" w:type="dxa"/>
            </w:tcMar>
            <w:textDirection w:val="btLr"/>
            <w:vAlign w:val="bottom"/>
            <w:hideMark/>
          </w:tcPr>
          <w:p w:rsidR="00671012" w:rsidRPr="002E6ECA" w:rsidRDefault="00671012" w:rsidP="00671012">
            <w:pPr>
              <w:spacing w:line="360" w:lineRule="auto"/>
              <w:ind w:left="81" w:right="113" w:hanging="32"/>
              <w:jc w:val="both"/>
              <w:rPr>
                <w:sz w:val="28"/>
                <w:szCs w:val="28"/>
                <w:lang w:val="uk-UA" w:eastAsia="uk-UA"/>
              </w:rPr>
            </w:pPr>
            <w:r w:rsidRPr="002E6ECA">
              <w:rPr>
                <w:sz w:val="28"/>
                <w:szCs w:val="28"/>
                <w:lang w:val="uk-UA" w:eastAsia="uk-UA"/>
              </w:rPr>
              <w:t>дівчата</w:t>
            </w:r>
          </w:p>
        </w:tc>
      </w:tr>
      <w:tr w:rsidR="00671012" w:rsidRPr="002E6ECA" w:rsidTr="00671012">
        <w:trPr>
          <w:trHeight w:val="330"/>
        </w:trPr>
        <w:tc>
          <w:tcPr>
            <w:tcW w:w="960" w:type="dxa"/>
            <w:shd w:val="clear" w:color="auto" w:fill="auto"/>
            <w:noWrap/>
            <w:tcMar>
              <w:left w:w="28" w:type="dxa"/>
              <w:right w:w="28" w:type="dxa"/>
            </w:tcMar>
            <w:vAlign w:val="bottom"/>
            <w:hideMark/>
          </w:tcPr>
          <w:p w:rsidR="00671012" w:rsidRPr="002E6ECA" w:rsidRDefault="00671012" w:rsidP="00671012">
            <w:pPr>
              <w:ind w:firstLine="49"/>
              <w:jc w:val="both"/>
              <w:rPr>
                <w:lang w:val="uk-UA" w:eastAsia="uk-UA"/>
              </w:rPr>
            </w:pPr>
            <w:r w:rsidRPr="002E6ECA">
              <w:rPr>
                <w:lang w:val="uk-UA" w:eastAsia="uk-UA"/>
              </w:rPr>
              <w:t>10 років</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14,3</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14,1</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18,3</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20,7</w:t>
            </w:r>
          </w:p>
        </w:tc>
      </w:tr>
      <w:tr w:rsidR="00671012" w:rsidRPr="002E6ECA" w:rsidTr="00671012">
        <w:trPr>
          <w:trHeight w:val="330"/>
        </w:trPr>
        <w:tc>
          <w:tcPr>
            <w:tcW w:w="960" w:type="dxa"/>
            <w:shd w:val="clear" w:color="auto" w:fill="auto"/>
            <w:noWrap/>
            <w:tcMar>
              <w:left w:w="28" w:type="dxa"/>
              <w:right w:w="28" w:type="dxa"/>
            </w:tcMar>
            <w:vAlign w:val="bottom"/>
            <w:hideMark/>
          </w:tcPr>
          <w:p w:rsidR="00671012" w:rsidRPr="002E6ECA" w:rsidRDefault="00671012" w:rsidP="00671012">
            <w:pPr>
              <w:ind w:firstLine="49"/>
              <w:jc w:val="both"/>
              <w:rPr>
                <w:lang w:val="uk-UA" w:eastAsia="uk-UA"/>
              </w:rPr>
            </w:pPr>
            <w:r w:rsidRPr="002E6ECA">
              <w:rPr>
                <w:lang w:val="uk-UA" w:eastAsia="uk-UA"/>
              </w:rPr>
              <w:t>11 років</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14,6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14,6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16,9</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18,9</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21,6</w:t>
            </w:r>
          </w:p>
        </w:tc>
      </w:tr>
      <w:tr w:rsidR="00671012" w:rsidRPr="002E6ECA" w:rsidTr="00671012">
        <w:trPr>
          <w:trHeight w:val="330"/>
        </w:trPr>
        <w:tc>
          <w:tcPr>
            <w:tcW w:w="960" w:type="dxa"/>
            <w:shd w:val="clear" w:color="auto" w:fill="auto"/>
            <w:noWrap/>
            <w:tcMar>
              <w:left w:w="28" w:type="dxa"/>
              <w:right w:w="28" w:type="dxa"/>
            </w:tcMar>
            <w:vAlign w:val="bottom"/>
            <w:hideMark/>
          </w:tcPr>
          <w:p w:rsidR="00671012" w:rsidRPr="002E6ECA" w:rsidRDefault="00671012" w:rsidP="00671012">
            <w:pPr>
              <w:ind w:firstLine="49"/>
              <w:jc w:val="both"/>
              <w:rPr>
                <w:lang w:val="uk-UA" w:eastAsia="uk-UA"/>
              </w:rPr>
            </w:pPr>
            <w:r w:rsidRPr="002E6ECA">
              <w:rPr>
                <w:lang w:val="uk-UA" w:eastAsia="uk-UA"/>
              </w:rPr>
              <w:t>12 років</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15,1</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15,1</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19,3</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21,6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22,7</w:t>
            </w:r>
          </w:p>
        </w:tc>
      </w:tr>
      <w:tr w:rsidR="00671012" w:rsidRPr="002E6ECA" w:rsidTr="00671012">
        <w:trPr>
          <w:trHeight w:val="330"/>
        </w:trPr>
        <w:tc>
          <w:tcPr>
            <w:tcW w:w="960" w:type="dxa"/>
            <w:shd w:val="clear" w:color="auto" w:fill="auto"/>
            <w:noWrap/>
            <w:tcMar>
              <w:left w:w="28" w:type="dxa"/>
              <w:right w:w="28" w:type="dxa"/>
            </w:tcMar>
            <w:vAlign w:val="bottom"/>
            <w:hideMark/>
          </w:tcPr>
          <w:p w:rsidR="00671012" w:rsidRPr="002E6ECA" w:rsidRDefault="00671012" w:rsidP="00671012">
            <w:pPr>
              <w:ind w:firstLine="49"/>
              <w:jc w:val="both"/>
              <w:rPr>
                <w:lang w:val="uk-UA" w:eastAsia="uk-UA"/>
              </w:rPr>
            </w:pPr>
            <w:r w:rsidRPr="002E6ECA">
              <w:rPr>
                <w:lang w:val="uk-UA" w:eastAsia="uk-UA"/>
              </w:rPr>
              <w:t>13 років</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15,7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21,4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22,6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23,9</w:t>
            </w:r>
          </w:p>
        </w:tc>
      </w:tr>
      <w:tr w:rsidR="00671012" w:rsidRPr="002E6ECA" w:rsidTr="00671012">
        <w:trPr>
          <w:trHeight w:val="330"/>
        </w:trPr>
        <w:tc>
          <w:tcPr>
            <w:tcW w:w="960" w:type="dxa"/>
            <w:shd w:val="clear" w:color="auto" w:fill="auto"/>
            <w:noWrap/>
            <w:tcMar>
              <w:left w:w="28" w:type="dxa"/>
              <w:right w:w="28" w:type="dxa"/>
            </w:tcMar>
            <w:vAlign w:val="bottom"/>
            <w:hideMark/>
          </w:tcPr>
          <w:p w:rsidR="00671012" w:rsidRPr="002E6ECA" w:rsidRDefault="00671012" w:rsidP="00671012">
            <w:pPr>
              <w:ind w:firstLine="49"/>
              <w:jc w:val="both"/>
              <w:rPr>
                <w:lang w:val="uk-UA" w:eastAsia="uk-UA"/>
              </w:rPr>
            </w:pPr>
            <w:r w:rsidRPr="002E6ECA">
              <w:rPr>
                <w:lang w:val="uk-UA" w:eastAsia="uk-UA"/>
              </w:rPr>
              <w:t>14 років</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17,9</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19,0</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20,3</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21,2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21,4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22,4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23,7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25,0</w:t>
            </w:r>
          </w:p>
        </w:tc>
      </w:tr>
      <w:tr w:rsidR="00671012" w:rsidRPr="002E6ECA" w:rsidTr="00671012">
        <w:trPr>
          <w:trHeight w:val="330"/>
        </w:trPr>
        <w:tc>
          <w:tcPr>
            <w:tcW w:w="960" w:type="dxa"/>
            <w:shd w:val="clear" w:color="auto" w:fill="auto"/>
            <w:noWrap/>
            <w:tcMar>
              <w:left w:w="28" w:type="dxa"/>
              <w:right w:w="28" w:type="dxa"/>
            </w:tcMar>
            <w:vAlign w:val="bottom"/>
            <w:hideMark/>
          </w:tcPr>
          <w:p w:rsidR="00671012" w:rsidRPr="002E6ECA" w:rsidRDefault="00671012" w:rsidP="00671012">
            <w:pPr>
              <w:ind w:firstLine="49"/>
              <w:jc w:val="both"/>
              <w:rPr>
                <w:lang w:val="uk-UA" w:eastAsia="uk-UA"/>
              </w:rPr>
            </w:pPr>
            <w:r w:rsidRPr="002E6ECA">
              <w:rPr>
                <w:lang w:val="uk-UA" w:eastAsia="uk-UA"/>
              </w:rPr>
              <w:t>15 років</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16,6</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17,8</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17,9</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18,5</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18,7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19,7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20,2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21,2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22</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22,4</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23,3</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24,7</w:t>
            </w:r>
          </w:p>
        </w:tc>
        <w:tc>
          <w:tcPr>
            <w:tcW w:w="630" w:type="dxa"/>
            <w:shd w:val="clear" w:color="auto" w:fill="auto"/>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25,9</w:t>
            </w:r>
          </w:p>
        </w:tc>
      </w:tr>
    </w:tbl>
    <w:p w:rsidR="00671012" w:rsidRPr="002E6ECA" w:rsidRDefault="00671012" w:rsidP="00671012">
      <w:pPr>
        <w:spacing w:line="360" w:lineRule="auto"/>
        <w:ind w:firstLine="709"/>
        <w:jc w:val="both"/>
        <w:rPr>
          <w:sz w:val="28"/>
          <w:szCs w:val="28"/>
          <w:lang w:val="uk-UA"/>
        </w:rPr>
      </w:pPr>
    </w:p>
    <w:p w:rsidR="007A1B31" w:rsidRPr="002E6ECA" w:rsidRDefault="007A1B31" w:rsidP="007A1B31">
      <w:pPr>
        <w:spacing w:line="360" w:lineRule="auto"/>
        <w:ind w:firstLine="709"/>
        <w:jc w:val="both"/>
        <w:rPr>
          <w:sz w:val="28"/>
          <w:szCs w:val="28"/>
          <w:lang w:val="uk-UA"/>
        </w:rPr>
      </w:pPr>
      <w:r w:rsidRPr="002E6ECA">
        <w:rPr>
          <w:sz w:val="28"/>
          <w:szCs w:val="28"/>
          <w:lang w:val="uk-UA"/>
        </w:rPr>
        <w:t>Середні значення ІМТ у хлопців поступово зростали і складали від 18,55±0,22 кг/м</w:t>
      </w:r>
      <w:r w:rsidRPr="002E6ECA">
        <w:rPr>
          <w:sz w:val="28"/>
          <w:szCs w:val="28"/>
          <w:vertAlign w:val="superscript"/>
          <w:lang w:val="uk-UA"/>
        </w:rPr>
        <w:t>2</w:t>
      </w:r>
      <w:r w:rsidRPr="002E6ECA">
        <w:rPr>
          <w:sz w:val="28"/>
          <w:szCs w:val="28"/>
          <w:lang w:val="uk-UA"/>
        </w:rPr>
        <w:t xml:space="preserve"> у 10 років до 20,81±0,36 кг/м</w:t>
      </w:r>
      <w:r w:rsidRPr="002E6ECA">
        <w:rPr>
          <w:sz w:val="28"/>
          <w:szCs w:val="28"/>
          <w:vertAlign w:val="superscript"/>
          <w:lang w:val="uk-UA"/>
        </w:rPr>
        <w:t>2</w:t>
      </w:r>
      <w:r w:rsidRPr="002E6ECA">
        <w:rPr>
          <w:sz w:val="28"/>
          <w:szCs w:val="28"/>
          <w:lang w:val="uk-UA"/>
        </w:rPr>
        <w:t xml:space="preserve"> – у 15 років, а у дівчат відповідно 17,77±0,19 кг/м</w:t>
      </w:r>
      <w:r w:rsidRPr="002E6ECA">
        <w:rPr>
          <w:sz w:val="28"/>
          <w:szCs w:val="28"/>
          <w:vertAlign w:val="superscript"/>
          <w:lang w:val="uk-UA"/>
        </w:rPr>
        <w:t>2</w:t>
      </w:r>
      <w:r w:rsidRPr="002E6ECA">
        <w:rPr>
          <w:sz w:val="28"/>
          <w:szCs w:val="28"/>
          <w:lang w:val="uk-UA"/>
        </w:rPr>
        <w:t xml:space="preserve"> та 20,40±0,22 кг/м</w:t>
      </w:r>
      <w:r w:rsidRPr="002E6ECA">
        <w:rPr>
          <w:sz w:val="28"/>
          <w:szCs w:val="28"/>
          <w:vertAlign w:val="superscript"/>
          <w:lang w:val="uk-UA"/>
        </w:rPr>
        <w:t>2</w:t>
      </w:r>
      <w:r w:rsidRPr="002E6ECA">
        <w:rPr>
          <w:sz w:val="28"/>
          <w:szCs w:val="28"/>
          <w:lang w:val="uk-UA"/>
        </w:rPr>
        <w:t xml:space="preserve"> та були вірогідно вищими у 10-річних хлопців (р&lt;0,05). </w:t>
      </w:r>
    </w:p>
    <w:p w:rsidR="007A1B31" w:rsidRPr="002E6ECA" w:rsidRDefault="007A1B31" w:rsidP="007A1B31">
      <w:pPr>
        <w:spacing w:line="360" w:lineRule="auto"/>
        <w:ind w:firstLine="709"/>
        <w:jc w:val="both"/>
        <w:rPr>
          <w:sz w:val="28"/>
          <w:szCs w:val="28"/>
          <w:lang w:val="uk-UA"/>
        </w:rPr>
      </w:pPr>
      <w:r w:rsidRPr="002E6ECA">
        <w:rPr>
          <w:sz w:val="28"/>
          <w:szCs w:val="28"/>
          <w:lang w:val="uk-UA"/>
        </w:rPr>
        <w:t>За результатами оцінювання рівня фізичного розвитку за допомогою агрегованих центильних таблиць ІМТ, що рекомендовані ВООЗ для створення національних стандартів, встановлено, що діти з нормальною масою тіла (15-85-</w:t>
      </w:r>
      <w:r w:rsidR="001B1557" w:rsidRPr="002E6ECA">
        <w:rPr>
          <w:sz w:val="28"/>
          <w:szCs w:val="28"/>
          <w:lang w:val="uk-UA"/>
        </w:rPr>
        <w:t>й</w:t>
      </w:r>
      <w:r w:rsidRPr="002E6ECA">
        <w:rPr>
          <w:sz w:val="28"/>
          <w:szCs w:val="28"/>
          <w:lang w:val="uk-UA"/>
        </w:rPr>
        <w:t xml:space="preserve"> перцентиль) складають понад 50%, за винятком хлопців 10 та 13 років, де ця група складала відповідно 44,7 та 49,7% (рис. 3.3-3.4). При цьому кількість гармонійно розвинутих дівчат за індексом Кетле була на 1,5-15,6% вищою у всіх вікових групах, за винятком 11-річних учнів. Проте звертає увагу відсоток дітей, що можуть бути віднесені до груп ризику щодо розвитку ожиріння. </w:t>
      </w:r>
    </w:p>
    <w:p w:rsidR="00671012" w:rsidRPr="002E6ECA" w:rsidRDefault="00671012" w:rsidP="00671012">
      <w:pPr>
        <w:spacing w:line="360" w:lineRule="auto"/>
        <w:ind w:firstLine="709"/>
        <w:jc w:val="both"/>
        <w:rPr>
          <w:sz w:val="28"/>
          <w:szCs w:val="28"/>
          <w:lang w:val="uk-UA"/>
        </w:rPr>
      </w:pPr>
    </w:p>
    <w:p w:rsidR="00D31198" w:rsidRPr="002E6ECA" w:rsidRDefault="00D31198" w:rsidP="00B140BE">
      <w:pPr>
        <w:spacing w:line="360" w:lineRule="auto"/>
        <w:ind w:firstLine="709"/>
        <w:rPr>
          <w:sz w:val="28"/>
          <w:szCs w:val="28"/>
          <w:lang w:val="uk-UA"/>
        </w:rPr>
      </w:pPr>
      <w:r w:rsidRPr="002E6ECA">
        <w:rPr>
          <w:noProof/>
          <w:sz w:val="28"/>
          <w:szCs w:val="28"/>
          <w:lang w:val="uk-UA" w:eastAsia="uk-UA"/>
        </w:rPr>
        <w:lastRenderedPageBreak/>
        <w:drawing>
          <wp:inline distT="0" distB="0" distL="0" distR="0" wp14:anchorId="142A9F2D" wp14:editId="422931D4">
            <wp:extent cx="5627370" cy="3963035"/>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27370" cy="3963035"/>
                    </a:xfrm>
                    <a:prstGeom prst="rect">
                      <a:avLst/>
                    </a:prstGeom>
                    <a:noFill/>
                  </pic:spPr>
                </pic:pic>
              </a:graphicData>
            </a:graphic>
          </wp:inline>
        </w:drawing>
      </w:r>
    </w:p>
    <w:p w:rsidR="00B140BE" w:rsidRPr="002E6ECA" w:rsidRDefault="00671012" w:rsidP="00B140BE">
      <w:pPr>
        <w:spacing w:line="360" w:lineRule="auto"/>
        <w:ind w:firstLine="709"/>
        <w:rPr>
          <w:sz w:val="28"/>
          <w:szCs w:val="28"/>
          <w:lang w:val="uk-UA"/>
        </w:rPr>
      </w:pPr>
      <w:r w:rsidRPr="002E6ECA">
        <w:rPr>
          <w:sz w:val="28"/>
          <w:szCs w:val="28"/>
          <w:lang w:val="uk-UA"/>
        </w:rPr>
        <w:t xml:space="preserve">Рис. 3.3. Розподіл хлопців 10-15 років за діапазонами ІМТ </w:t>
      </w:r>
    </w:p>
    <w:p w:rsidR="00671012" w:rsidRPr="002E6ECA" w:rsidRDefault="00671012" w:rsidP="00671012">
      <w:pPr>
        <w:spacing w:line="360" w:lineRule="auto"/>
        <w:ind w:firstLine="709"/>
        <w:jc w:val="both"/>
        <w:rPr>
          <w:sz w:val="28"/>
          <w:szCs w:val="28"/>
          <w:lang w:val="uk-UA"/>
        </w:rPr>
      </w:pPr>
    </w:p>
    <w:p w:rsidR="00BB0A64" w:rsidRPr="002E6ECA" w:rsidRDefault="00BB0A64" w:rsidP="00BB0A64">
      <w:pPr>
        <w:spacing w:line="360" w:lineRule="auto"/>
        <w:ind w:firstLine="709"/>
        <w:jc w:val="both"/>
        <w:rPr>
          <w:sz w:val="28"/>
          <w:szCs w:val="28"/>
          <w:lang w:val="uk-UA"/>
        </w:rPr>
      </w:pPr>
      <w:r w:rsidRPr="002E6ECA">
        <w:rPr>
          <w:sz w:val="28"/>
          <w:szCs w:val="28"/>
          <w:lang w:val="uk-UA"/>
        </w:rPr>
        <w:t>Так, серед хлопців ця категорія складала від 6,9% до 15,4% з найбільшою кількістю у 11-13-річному віці. Серед дівчат цей відсоток становив від 7,9 до 14,1%, переважно за рахунок дівчат 10, 13 та 14 років. Ризик розвитку відхилень від нормальної маси тіла за рахунок недостатньої маси тіла у хлопців складав 5,3-12,1%, а у дівчат – від 6,8% до 12,3% (переважно у 14 років). У чоловічій групі ожиріння зустрічалось майже у двічі частіше</w:t>
      </w:r>
      <w:r w:rsidR="001B1557" w:rsidRPr="002E6ECA">
        <w:rPr>
          <w:sz w:val="28"/>
          <w:szCs w:val="28"/>
          <w:lang w:val="uk-UA"/>
        </w:rPr>
        <w:t>,</w:t>
      </w:r>
      <w:r w:rsidRPr="002E6ECA">
        <w:rPr>
          <w:sz w:val="28"/>
          <w:szCs w:val="28"/>
          <w:lang w:val="uk-UA"/>
        </w:rPr>
        <w:t xml:space="preserve"> ніж у дівчат переважно у 10-річному віці (відповідно 29,8 та 16,2</w:t>
      </w:r>
      <w:r w:rsidR="0080667E" w:rsidRPr="002E6ECA">
        <w:rPr>
          <w:sz w:val="28"/>
          <w:szCs w:val="28"/>
          <w:lang w:val="uk-UA"/>
        </w:rPr>
        <w:t>%</w:t>
      </w:r>
      <w:r w:rsidRPr="002E6ECA">
        <w:rPr>
          <w:sz w:val="28"/>
          <w:szCs w:val="28"/>
          <w:lang w:val="uk-UA"/>
        </w:rPr>
        <w:t xml:space="preserve">). </w:t>
      </w:r>
    </w:p>
    <w:p w:rsidR="00BB0A64" w:rsidRPr="002E6ECA" w:rsidRDefault="00BB0A64" w:rsidP="00BB0A64">
      <w:pPr>
        <w:spacing w:line="360" w:lineRule="auto"/>
        <w:ind w:firstLine="709"/>
        <w:jc w:val="both"/>
        <w:rPr>
          <w:sz w:val="28"/>
          <w:szCs w:val="28"/>
          <w:lang w:val="uk-UA"/>
        </w:rPr>
      </w:pPr>
      <w:r w:rsidRPr="002E6ECA">
        <w:rPr>
          <w:sz w:val="28"/>
          <w:szCs w:val="28"/>
          <w:lang w:val="uk-UA"/>
        </w:rPr>
        <w:t xml:space="preserve">Одночасно проведено оцінку фізичного розвитку згідно з національним стандартом «Критерії оцінки фізичного розвитку дітей шкільного віку» за шкалами регресії з виокремленням груп «виснаження», «дефіцит маси тіла», «в межах норми», «надлишкова маса», «ожиріння» </w:t>
      </w:r>
      <w:r w:rsidR="007A1B31" w:rsidRPr="002E6ECA">
        <w:rPr>
          <w:sz w:val="28"/>
          <w:szCs w:val="28"/>
          <w:lang w:val="uk-UA"/>
        </w:rPr>
        <w:t>[</w:t>
      </w:r>
      <w:r w:rsidR="00284BA8" w:rsidRPr="002E6ECA">
        <w:rPr>
          <w:bCs/>
          <w:sz w:val="28"/>
          <w:szCs w:val="28"/>
          <w:lang w:val="uk-UA"/>
        </w:rPr>
        <w:t>193</w:t>
      </w:r>
      <w:r w:rsidR="007A1B31" w:rsidRPr="002E6ECA">
        <w:rPr>
          <w:sz w:val="28"/>
          <w:szCs w:val="28"/>
          <w:lang w:val="uk-UA"/>
        </w:rPr>
        <w:t xml:space="preserve">]. </w:t>
      </w:r>
      <w:r w:rsidRPr="002E6ECA">
        <w:rPr>
          <w:sz w:val="28"/>
          <w:szCs w:val="28"/>
          <w:lang w:val="uk-UA"/>
        </w:rPr>
        <w:t>Встановлено, що критерію «нормальна маса тіла» відповідали 42-65% хлопців та 34-58% дівчат. Ожиріння частіше виявлялось у хлопців майже у кожній віковій групі і складало понад 20% у 10, 12 та 14 років. Серед дівчат максимальний відсоток випадків ожиріння при</w:t>
      </w:r>
      <w:r w:rsidR="001B1557" w:rsidRPr="002E6ECA">
        <w:rPr>
          <w:sz w:val="28"/>
          <w:szCs w:val="28"/>
          <w:lang w:val="uk-UA"/>
        </w:rPr>
        <w:t>падав</w:t>
      </w:r>
      <w:r w:rsidRPr="002E6ECA">
        <w:rPr>
          <w:sz w:val="28"/>
          <w:szCs w:val="28"/>
          <w:lang w:val="uk-UA"/>
        </w:rPr>
        <w:t xml:space="preserve"> на 14-річний вік (26,09% при загальному рівні 8-</w:t>
      </w:r>
      <w:r w:rsidRPr="002E6ECA">
        <w:rPr>
          <w:sz w:val="28"/>
          <w:szCs w:val="28"/>
          <w:lang w:val="uk-UA"/>
        </w:rPr>
        <w:lastRenderedPageBreak/>
        <w:t>18%). При цьому для них був більш характерним дефіцит ваги, починаючи з 12 років (істотно у 12, 14 та 16 років при порівнянні з хлопцями, р&lt;0,05).</w:t>
      </w:r>
    </w:p>
    <w:p w:rsidR="00D31198" w:rsidRPr="002E6ECA" w:rsidRDefault="00D31198" w:rsidP="00B140BE">
      <w:pPr>
        <w:spacing w:line="360" w:lineRule="auto"/>
        <w:ind w:firstLine="709"/>
        <w:rPr>
          <w:sz w:val="28"/>
          <w:szCs w:val="28"/>
          <w:lang w:val="uk-UA"/>
        </w:rPr>
      </w:pPr>
      <w:r w:rsidRPr="002E6ECA">
        <w:rPr>
          <w:noProof/>
          <w:sz w:val="28"/>
          <w:szCs w:val="28"/>
          <w:lang w:val="uk-UA" w:eastAsia="uk-UA"/>
        </w:rPr>
        <w:drawing>
          <wp:inline distT="0" distB="0" distL="0" distR="0" wp14:anchorId="4169597F" wp14:editId="019B41EB">
            <wp:extent cx="5688330" cy="3968750"/>
            <wp:effectExtent l="0" t="0" r="762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88330" cy="3968750"/>
                    </a:xfrm>
                    <a:prstGeom prst="rect">
                      <a:avLst/>
                    </a:prstGeom>
                    <a:noFill/>
                  </pic:spPr>
                </pic:pic>
              </a:graphicData>
            </a:graphic>
          </wp:inline>
        </w:drawing>
      </w:r>
    </w:p>
    <w:p w:rsidR="00B140BE" w:rsidRPr="002E6ECA" w:rsidRDefault="00671012" w:rsidP="00B140BE">
      <w:pPr>
        <w:spacing w:line="360" w:lineRule="auto"/>
        <w:ind w:firstLine="709"/>
        <w:rPr>
          <w:sz w:val="28"/>
          <w:szCs w:val="28"/>
          <w:lang w:val="uk-UA"/>
        </w:rPr>
      </w:pPr>
      <w:r w:rsidRPr="002E6ECA">
        <w:rPr>
          <w:sz w:val="28"/>
          <w:szCs w:val="28"/>
          <w:lang w:val="uk-UA"/>
        </w:rPr>
        <w:t xml:space="preserve">Рис. 3.4. Розподіл дівчат  10-15 років за діапазонами ІМТ </w:t>
      </w:r>
    </w:p>
    <w:p w:rsidR="00671012" w:rsidRPr="002E6ECA" w:rsidRDefault="00671012" w:rsidP="00671012">
      <w:pPr>
        <w:spacing w:line="360" w:lineRule="auto"/>
        <w:jc w:val="both"/>
        <w:rPr>
          <w:sz w:val="28"/>
          <w:szCs w:val="28"/>
          <w:lang w:val="uk-UA"/>
        </w:rPr>
      </w:pP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При порівнянні результатів оцінювання за стандартами ВООЗ </w:t>
      </w:r>
      <w:r w:rsidR="005216C6" w:rsidRPr="002E6ECA">
        <w:rPr>
          <w:sz w:val="28"/>
          <w:szCs w:val="28"/>
        </w:rPr>
        <w:t>[</w:t>
      </w:r>
      <w:r w:rsidR="00284BA8" w:rsidRPr="002E6ECA">
        <w:rPr>
          <w:sz w:val="28"/>
          <w:szCs w:val="28"/>
        </w:rPr>
        <w:t>501</w:t>
      </w:r>
      <w:r w:rsidR="005216C6" w:rsidRPr="002E6ECA">
        <w:rPr>
          <w:sz w:val="28"/>
          <w:szCs w:val="28"/>
        </w:rPr>
        <w:t xml:space="preserve">] </w:t>
      </w:r>
      <w:r w:rsidRPr="002E6ECA">
        <w:rPr>
          <w:sz w:val="28"/>
          <w:szCs w:val="28"/>
          <w:lang w:val="uk-UA"/>
        </w:rPr>
        <w:t>та національними критеріями оцінки фізичного розвитку визначається різний розподіл дітей за категоріями маси тіла у різних статево-вікових групах. Так, більш «жорстким» був підхід до виділення категорії дітей з ожирінням у 12-15 років за національними шкалами регресії з розбіжністю до 7% серед хлопців та до 19</w:t>
      </w:r>
      <w:r w:rsidR="0080667E" w:rsidRPr="002E6ECA">
        <w:rPr>
          <w:sz w:val="28"/>
          <w:szCs w:val="28"/>
          <w:lang w:val="uk-UA"/>
        </w:rPr>
        <w:t>%</w:t>
      </w:r>
      <w:r w:rsidRPr="002E6ECA">
        <w:rPr>
          <w:sz w:val="28"/>
          <w:szCs w:val="28"/>
          <w:lang w:val="uk-UA"/>
        </w:rPr>
        <w:t xml:space="preserve"> - у дівчат; майже однаковий розподіл був у 10-12-річному віці. Подібна ситуація визначалась із розподілом дітей, що мають надлишкову масу за обома стандартами. Щодо дефіциту маси тіла та виснаження, то чітких вікових закономірностей не було встановлено. </w:t>
      </w:r>
    </w:p>
    <w:p w:rsidR="005216C6" w:rsidRPr="002E6ECA" w:rsidRDefault="005216C6" w:rsidP="005216C6">
      <w:pPr>
        <w:spacing w:line="360" w:lineRule="auto"/>
        <w:ind w:firstLine="709"/>
        <w:jc w:val="both"/>
        <w:rPr>
          <w:sz w:val="28"/>
          <w:szCs w:val="28"/>
          <w:lang w:val="uk-UA"/>
        </w:rPr>
      </w:pPr>
      <w:r w:rsidRPr="002E6ECA">
        <w:rPr>
          <w:sz w:val="28"/>
          <w:szCs w:val="28"/>
          <w:lang w:val="uk-UA"/>
        </w:rPr>
        <w:t>Подібні різночитання можуть бути пов’язані з декількома причинами. По-перше, доведено більш точніші результати за умов використання методів сигмальних відхилень у порівнянні з центильними таблицями [</w:t>
      </w:r>
      <w:r w:rsidR="00284BA8" w:rsidRPr="002E6ECA">
        <w:rPr>
          <w:rFonts w:eastAsia="Calibri"/>
          <w:sz w:val="28"/>
          <w:szCs w:val="28"/>
          <w:lang w:val="uk-UA" w:eastAsia="en-US"/>
        </w:rPr>
        <w:t>139,</w:t>
      </w:r>
      <w:r w:rsidR="00284BA8" w:rsidRPr="002E6ECA">
        <w:t xml:space="preserve"> </w:t>
      </w:r>
      <w:r w:rsidR="00284BA8" w:rsidRPr="002E6ECA">
        <w:rPr>
          <w:rFonts w:eastAsia="Calibri"/>
          <w:sz w:val="28"/>
          <w:szCs w:val="28"/>
          <w:lang w:val="uk-UA" w:eastAsia="en-US"/>
        </w:rPr>
        <w:t>284</w:t>
      </w:r>
      <w:r w:rsidRPr="002E6ECA">
        <w:rPr>
          <w:sz w:val="28"/>
          <w:szCs w:val="28"/>
          <w:lang w:val="uk-UA"/>
        </w:rPr>
        <w:t xml:space="preserve">]. </w:t>
      </w:r>
    </w:p>
    <w:p w:rsidR="005216C6" w:rsidRPr="002E6ECA" w:rsidRDefault="005216C6" w:rsidP="005216C6">
      <w:pPr>
        <w:spacing w:line="360" w:lineRule="auto"/>
        <w:ind w:firstLine="709"/>
        <w:jc w:val="both"/>
        <w:rPr>
          <w:sz w:val="28"/>
          <w:szCs w:val="28"/>
          <w:lang w:val="uk-UA"/>
        </w:rPr>
      </w:pPr>
      <w:r w:rsidRPr="002E6ECA">
        <w:rPr>
          <w:sz w:val="28"/>
          <w:szCs w:val="28"/>
          <w:lang w:val="uk-UA"/>
        </w:rPr>
        <w:lastRenderedPageBreak/>
        <w:t>Крім того, слід враховувати, що національні стандарти було отримано за результатами обстеження українських школярів, що ще раз доводить особливості расових, етнічних та регіональних показників фізичного розвитку, які відображено у дослідженнях українських та закордонних вчених [</w:t>
      </w:r>
      <w:r w:rsidR="00284BA8" w:rsidRPr="002E6ECA">
        <w:rPr>
          <w:rFonts w:eastAsia="Calibri"/>
          <w:sz w:val="28"/>
          <w:szCs w:val="28"/>
          <w:lang w:val="uk-UA" w:eastAsia="en-US"/>
        </w:rPr>
        <w:t xml:space="preserve">139, 248, </w:t>
      </w:r>
      <w:r w:rsidR="003E229B" w:rsidRPr="002E6ECA">
        <w:rPr>
          <w:rFonts w:eastAsia="Calibri"/>
          <w:sz w:val="28"/>
          <w:szCs w:val="28"/>
          <w:lang w:val="uk-UA" w:eastAsia="en-US"/>
        </w:rPr>
        <w:t>428, 429</w:t>
      </w:r>
      <w:r w:rsidRPr="002E6ECA">
        <w:rPr>
          <w:sz w:val="28"/>
          <w:szCs w:val="28"/>
          <w:lang w:val="uk-UA"/>
        </w:rPr>
        <w:t>]. Потрібно брати до уваги і вплив екологічної ситуації, що відрізняється у містах з різним рівнем індустріалізації, що також було доведено у популяційних дослідженнях [</w:t>
      </w:r>
      <w:r w:rsidR="00770E8A" w:rsidRPr="002E6ECA">
        <w:rPr>
          <w:sz w:val="28"/>
          <w:szCs w:val="28"/>
          <w:lang w:val="uk-UA"/>
        </w:rPr>
        <w:t>248, 279,</w:t>
      </w:r>
      <w:r w:rsidR="00770E8A" w:rsidRPr="002E6ECA">
        <w:rPr>
          <w:lang w:val="uk-UA"/>
        </w:rPr>
        <w:t xml:space="preserve"> </w:t>
      </w:r>
      <w:r w:rsidR="00770E8A" w:rsidRPr="002E6ECA">
        <w:rPr>
          <w:sz w:val="28"/>
          <w:szCs w:val="28"/>
          <w:lang w:val="uk-UA"/>
        </w:rPr>
        <w:t>284</w:t>
      </w:r>
      <w:r w:rsidRPr="002E6ECA">
        <w:rPr>
          <w:sz w:val="28"/>
          <w:szCs w:val="28"/>
          <w:lang w:val="uk-UA"/>
        </w:rPr>
        <w:t>]. При цьому дослідники наголошують на тому, що розповсюдженість недостатньої та надлишкової маси тіла, а також ожиріння серед міських дітей зіставна з такою у всій дитячій популяції [</w:t>
      </w:r>
      <w:r w:rsidR="00770E8A" w:rsidRPr="002E6ECA">
        <w:rPr>
          <w:sz w:val="28"/>
          <w:szCs w:val="28"/>
          <w:lang w:val="uk-UA"/>
        </w:rPr>
        <w:t>484</w:t>
      </w:r>
      <w:r w:rsidRPr="002E6ECA">
        <w:rPr>
          <w:sz w:val="28"/>
          <w:szCs w:val="28"/>
          <w:lang w:val="uk-UA"/>
        </w:rPr>
        <w:t>]. Застосування центильних таблиць з помісячними та тримісячними точками відсікання перцентильних кривих більш виправдано при індивідуальній оцінці фізичного розвитку. Застосування критеріїв фізичного розвитку за методами сигмальних відхилень та шкал регресії постає головним інструментом для визначення ступеню поширеності дефіциту або надлишку маси тіла при груповій оцінці стану здоров’я дітей. Крім того, дослідники звертають увагу на можливість гіпердіагностики ожиріння при аналізі фізичного розвитку на підставі тільки ІМТ [</w:t>
      </w:r>
      <w:r w:rsidR="00770E8A" w:rsidRPr="002E6ECA">
        <w:rPr>
          <w:sz w:val="28"/>
          <w:szCs w:val="28"/>
          <w:lang w:val="uk-UA"/>
        </w:rPr>
        <w:t>372</w:t>
      </w:r>
      <w:r w:rsidRPr="002E6ECA">
        <w:rPr>
          <w:sz w:val="28"/>
          <w:szCs w:val="28"/>
          <w:lang w:val="uk-UA"/>
        </w:rPr>
        <w:t xml:space="preserve">], але у нашому дослідженні визначилась протилежна ситуація – гіподіагностики, за умов диференціювання у окремі групи учнів з надлишковою масою тіла та ожирінням. Але цей показник потребує розробки власних перцентилів, що потребує </w:t>
      </w:r>
      <w:r w:rsidR="001B1557" w:rsidRPr="002E6ECA">
        <w:rPr>
          <w:sz w:val="28"/>
          <w:szCs w:val="28"/>
          <w:lang w:val="uk-UA"/>
        </w:rPr>
        <w:t>поздовж</w:t>
      </w:r>
      <w:r w:rsidRPr="002E6ECA">
        <w:rPr>
          <w:sz w:val="28"/>
          <w:szCs w:val="28"/>
          <w:lang w:val="uk-UA"/>
        </w:rPr>
        <w:t>них досліджень на великих вибірках дітей. Подібні дослідження щодо «націоналізації» стандартів ВООЗ проведено на вибірці 5000 китайських дітей шкільного віку [</w:t>
      </w:r>
      <w:r w:rsidR="00770E8A" w:rsidRPr="002E6ECA">
        <w:rPr>
          <w:sz w:val="28"/>
          <w:szCs w:val="28"/>
          <w:lang w:val="uk-UA"/>
        </w:rPr>
        <w:t>468</w:t>
      </w:r>
      <w:r w:rsidRPr="002E6ECA">
        <w:rPr>
          <w:sz w:val="28"/>
          <w:szCs w:val="28"/>
          <w:lang w:val="uk-UA"/>
        </w:rPr>
        <w:t>].</w:t>
      </w:r>
    </w:p>
    <w:p w:rsidR="005216C6" w:rsidRPr="002E6ECA" w:rsidRDefault="005216C6" w:rsidP="005216C6">
      <w:pPr>
        <w:spacing w:line="360" w:lineRule="auto"/>
        <w:ind w:firstLine="709"/>
        <w:jc w:val="both"/>
        <w:rPr>
          <w:sz w:val="28"/>
          <w:szCs w:val="28"/>
          <w:lang w:val="uk-UA"/>
        </w:rPr>
      </w:pPr>
      <w:r w:rsidRPr="002E6ECA">
        <w:rPr>
          <w:sz w:val="28"/>
          <w:szCs w:val="28"/>
          <w:lang w:val="uk-UA"/>
        </w:rPr>
        <w:t xml:space="preserve">Проте використання національних стандартів з оцінювання фізичного розвитку потребують застосування багатокрокового алгоритму і у рутинній практиці вимагають автоматизації процедури визначення гармонійності фізичного розвитку. Натомість розрахунковий індекс Кетле дозволяє на підставі двох антропометричних показників надавати орієнтовну експрес-оцінку пропорційності та гармонійності фізичного розвитку дитини, що потребує подальшого уточнення при поглибленому медичному огляді. </w:t>
      </w:r>
    </w:p>
    <w:p w:rsidR="005216C6" w:rsidRPr="002E6ECA" w:rsidRDefault="005216C6" w:rsidP="005216C6">
      <w:pPr>
        <w:spacing w:line="360" w:lineRule="auto"/>
        <w:ind w:firstLine="709"/>
        <w:jc w:val="both"/>
        <w:rPr>
          <w:sz w:val="28"/>
          <w:szCs w:val="28"/>
          <w:lang w:val="uk-UA"/>
        </w:rPr>
      </w:pPr>
      <w:r w:rsidRPr="002E6ECA">
        <w:rPr>
          <w:sz w:val="28"/>
          <w:szCs w:val="28"/>
          <w:lang w:val="uk-UA"/>
        </w:rPr>
        <w:lastRenderedPageBreak/>
        <w:t xml:space="preserve">Аналіз статево-вікових особливостей за ІМТ показав вірогідне зменшення у 11 років та зростання індексу у 12 років у обох статевих групах (р&lt;0,05), а його якісна характеристика свідчила про ризик розвитку ожиріння у хлопців 10 та 12 років (85-95 перцентилі). У інших вікових групах хлопців ІМТ входив до 75-85 перцентилів. У той же час дівчата характеризувались гармонійним розвитком, а їх ІМТ входив до 25-75 </w:t>
      </w:r>
      <w:r w:rsidR="001B1557" w:rsidRPr="002E6ECA">
        <w:rPr>
          <w:sz w:val="28"/>
          <w:szCs w:val="28"/>
          <w:lang w:val="uk-UA"/>
        </w:rPr>
        <w:t>пер</w:t>
      </w:r>
      <w:r w:rsidRPr="002E6ECA">
        <w:rPr>
          <w:sz w:val="28"/>
          <w:szCs w:val="28"/>
          <w:lang w:val="uk-UA"/>
        </w:rPr>
        <w:t xml:space="preserve">центильних коридорів, за винятком 10-річних школярок (75-85 </w:t>
      </w:r>
      <w:r w:rsidR="001B1557" w:rsidRPr="002E6ECA">
        <w:rPr>
          <w:sz w:val="28"/>
          <w:szCs w:val="28"/>
          <w:lang w:val="uk-UA"/>
        </w:rPr>
        <w:t>пер</w:t>
      </w:r>
      <w:r w:rsidRPr="002E6ECA">
        <w:rPr>
          <w:sz w:val="28"/>
          <w:szCs w:val="28"/>
          <w:lang w:val="uk-UA"/>
        </w:rPr>
        <w:t xml:space="preserve">центилі). </w:t>
      </w:r>
    </w:p>
    <w:p w:rsidR="005216C6" w:rsidRPr="002E6ECA" w:rsidRDefault="005216C6" w:rsidP="005216C6">
      <w:pPr>
        <w:spacing w:line="360" w:lineRule="auto"/>
        <w:ind w:firstLine="709"/>
        <w:jc w:val="both"/>
        <w:rPr>
          <w:sz w:val="28"/>
          <w:szCs w:val="28"/>
          <w:lang w:val="uk-UA"/>
        </w:rPr>
      </w:pPr>
      <w:r w:rsidRPr="002E6ECA">
        <w:rPr>
          <w:sz w:val="28"/>
          <w:szCs w:val="28"/>
          <w:lang w:val="uk-UA"/>
        </w:rPr>
        <w:t>За результатами розрахунку індексу Вервека із подальшою його оцінкою за національними шкалами [</w:t>
      </w:r>
      <w:r w:rsidR="00770E8A" w:rsidRPr="002E6ECA">
        <w:rPr>
          <w:sz w:val="28"/>
          <w:szCs w:val="28"/>
        </w:rPr>
        <w:t>216</w:t>
      </w:r>
      <w:r w:rsidRPr="002E6ECA">
        <w:rPr>
          <w:sz w:val="28"/>
          <w:szCs w:val="28"/>
          <w:lang w:val="uk-UA"/>
        </w:rPr>
        <w:t xml:space="preserve">] встановлено, що у дівчат 10-15 років визначався переважно середній гармонійний розвиток з незначною кількістю учениць з ознаками відставання процесів росту або переважання процесів витягування. Проте у хлопців 10 (0,89-1,13 ум.од.) та 14 років (0,76-0,98 ум.од.) реєструвались переважно ознаки відставання процесів росту та випадки його затримки, а період 12-13 років характеризувався великою розбіжністю щодо якісної оцінки фізичного розвитку у кожній віковій групі: від переважання відставання процесів росту – до переважання процесів витягування. </w:t>
      </w:r>
    </w:p>
    <w:p w:rsidR="00671012" w:rsidRPr="002E6ECA" w:rsidRDefault="00671012" w:rsidP="00671012">
      <w:pPr>
        <w:spacing w:line="360" w:lineRule="auto"/>
        <w:ind w:firstLine="709"/>
        <w:jc w:val="both"/>
        <w:rPr>
          <w:sz w:val="28"/>
          <w:szCs w:val="28"/>
          <w:lang w:val="uk-UA"/>
        </w:rPr>
      </w:pPr>
      <w:r w:rsidRPr="002E6ECA">
        <w:rPr>
          <w:sz w:val="28"/>
          <w:szCs w:val="28"/>
          <w:lang w:val="uk-UA"/>
        </w:rPr>
        <w:t>За даними обстеження був визначений найбільший відсоток учнів із гармонійним фізичним розвитком у 10-річних хлопців та 12-річних дівчат, а різко дисгармонійний розвиток – у 14-річних дівчат та школярів 15 років обох статевих груп (рис. 3.</w:t>
      </w:r>
      <w:r w:rsidR="007D5973" w:rsidRPr="002E6ECA">
        <w:rPr>
          <w:sz w:val="28"/>
          <w:szCs w:val="28"/>
          <w:lang w:val="uk-UA"/>
        </w:rPr>
        <w:t>5</w:t>
      </w:r>
      <w:r w:rsidRPr="002E6ECA">
        <w:rPr>
          <w:sz w:val="28"/>
          <w:szCs w:val="28"/>
          <w:lang w:val="uk-UA"/>
        </w:rPr>
        <w:t>).</w:t>
      </w:r>
    </w:p>
    <w:p w:rsidR="0002797B" w:rsidRPr="002E6ECA" w:rsidRDefault="0002797B" w:rsidP="0002797B">
      <w:pPr>
        <w:pStyle w:val="HTML"/>
        <w:spacing w:line="360" w:lineRule="auto"/>
        <w:ind w:firstLine="709"/>
        <w:jc w:val="both"/>
        <w:rPr>
          <w:rFonts w:ascii="Times New Roman" w:hAnsi="Times New Roman" w:cs="Times New Roman"/>
          <w:sz w:val="28"/>
          <w:szCs w:val="28"/>
          <w:lang w:val="uk-UA"/>
        </w:rPr>
      </w:pPr>
      <w:r w:rsidRPr="002E6ECA">
        <w:rPr>
          <w:rFonts w:ascii="Times New Roman" w:eastAsia="TimesNewRomanPSMT" w:hAnsi="Times New Roman" w:cs="Times New Roman"/>
          <w:sz w:val="28"/>
          <w:szCs w:val="28"/>
          <w:lang w:val="uk-UA"/>
        </w:rPr>
        <w:t>В ході вивчення фізичної компоненти стану здоров’я учнів шкільного віку нами було удосконалено модель оцінки фізичного розвитку підлітків, розроблену Щудро С.А. (2011 р.) [</w:t>
      </w:r>
      <w:r w:rsidR="00770E8A" w:rsidRPr="002E6ECA">
        <w:rPr>
          <w:rFonts w:ascii="Times New Roman" w:eastAsia="TimesNewRomanPSMT" w:hAnsi="Times New Roman" w:cs="Times New Roman"/>
          <w:sz w:val="28"/>
          <w:szCs w:val="28"/>
          <w:lang w:val="uk-UA"/>
        </w:rPr>
        <w:t>268</w:t>
      </w:r>
      <w:r w:rsidRPr="002E6ECA">
        <w:rPr>
          <w:rFonts w:ascii="Times New Roman" w:eastAsia="TimesNewRomanPSMT" w:hAnsi="Times New Roman" w:cs="Times New Roman"/>
          <w:sz w:val="28"/>
          <w:szCs w:val="28"/>
          <w:lang w:val="uk-UA"/>
        </w:rPr>
        <w:t>]. Так,</w:t>
      </w:r>
      <w:r w:rsidRPr="002E6ECA">
        <w:rPr>
          <w:rFonts w:ascii="Times New Roman" w:hAnsi="Times New Roman" w:cs="Times New Roman"/>
          <w:sz w:val="28"/>
          <w:szCs w:val="28"/>
          <w:lang w:val="uk-UA"/>
        </w:rPr>
        <w:t xml:space="preserve"> до стандартних підходів щодо оцінки соматометричних та фізіометричних показників додано індексну експрес-оцінку фізичного розвитку, а також алгоритм його оцінки згідно із національним стандартом (рис. 3.6) [</w:t>
      </w:r>
      <w:r w:rsidR="00770E8A" w:rsidRPr="002E6ECA">
        <w:rPr>
          <w:rFonts w:ascii="Times New Roman" w:eastAsia="TimesNewRomanPSMT" w:hAnsi="Times New Roman" w:cs="Times New Roman"/>
          <w:sz w:val="28"/>
          <w:szCs w:val="28"/>
          <w:lang w:val="uk-UA"/>
        </w:rPr>
        <w:t>193</w:t>
      </w:r>
      <w:r w:rsidRPr="002E6ECA">
        <w:rPr>
          <w:rFonts w:ascii="Times New Roman" w:hAnsi="Times New Roman" w:cs="Times New Roman"/>
          <w:sz w:val="28"/>
          <w:szCs w:val="28"/>
          <w:lang w:val="uk-UA"/>
        </w:rPr>
        <w:t xml:space="preserve">]. </w:t>
      </w:r>
    </w:p>
    <w:p w:rsidR="0002797B" w:rsidRPr="002E6ECA" w:rsidRDefault="0002797B" w:rsidP="0002797B">
      <w:pPr>
        <w:spacing w:line="360" w:lineRule="auto"/>
        <w:ind w:firstLine="709"/>
        <w:jc w:val="both"/>
        <w:rPr>
          <w:sz w:val="28"/>
          <w:szCs w:val="28"/>
          <w:lang w:val="uk-UA"/>
        </w:rPr>
      </w:pPr>
      <w:r w:rsidRPr="002E6ECA">
        <w:rPr>
          <w:sz w:val="28"/>
          <w:szCs w:val="28"/>
          <w:lang w:val="uk-UA"/>
        </w:rPr>
        <w:t>Даний алгоритм було покладено в основу розробленої колективом авторів комп’ютерної програми, що дозволяє автоматизувати поетапну процедуру оцінки безпосередньо на робочих місцях фахівців (лікарів та медичних сестер) педіатричного профілю згідно із Наказом [234].</w:t>
      </w:r>
    </w:p>
    <w:p w:rsidR="00D31198" w:rsidRPr="002E6ECA" w:rsidRDefault="00D31198" w:rsidP="00671012">
      <w:pPr>
        <w:spacing w:line="360" w:lineRule="auto"/>
        <w:ind w:firstLine="709"/>
        <w:jc w:val="both"/>
        <w:rPr>
          <w:sz w:val="28"/>
          <w:szCs w:val="28"/>
          <w:lang w:val="uk-UA"/>
        </w:rPr>
      </w:pPr>
      <w:r w:rsidRPr="002E6ECA">
        <w:rPr>
          <w:noProof/>
          <w:sz w:val="28"/>
          <w:szCs w:val="28"/>
          <w:lang w:val="uk-UA" w:eastAsia="uk-UA"/>
        </w:rPr>
        <w:lastRenderedPageBreak/>
        <w:drawing>
          <wp:inline distT="0" distB="0" distL="0" distR="0" wp14:anchorId="3C3C939C" wp14:editId="7AF7AD33">
            <wp:extent cx="5681980" cy="3841115"/>
            <wp:effectExtent l="0" t="0" r="0" b="698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81980" cy="3841115"/>
                    </a:xfrm>
                    <a:prstGeom prst="rect">
                      <a:avLst/>
                    </a:prstGeom>
                    <a:noFill/>
                  </pic:spPr>
                </pic:pic>
              </a:graphicData>
            </a:graphic>
          </wp:inline>
        </w:drawing>
      </w:r>
    </w:p>
    <w:p w:rsidR="00671012" w:rsidRPr="002E6ECA" w:rsidRDefault="00671012" w:rsidP="00671012">
      <w:pPr>
        <w:spacing w:line="360" w:lineRule="auto"/>
        <w:ind w:firstLine="709"/>
        <w:jc w:val="both"/>
        <w:rPr>
          <w:sz w:val="28"/>
          <w:szCs w:val="28"/>
          <w:lang w:val="uk-UA"/>
        </w:rPr>
      </w:pPr>
      <w:r w:rsidRPr="002E6ECA">
        <w:rPr>
          <w:sz w:val="28"/>
          <w:szCs w:val="28"/>
          <w:lang w:val="uk-UA"/>
        </w:rPr>
        <w:t>Рис. 3.5. Результати оцінки фізичного розвитку за шкалами регресії</w:t>
      </w:r>
    </w:p>
    <w:p w:rsidR="00671012" w:rsidRPr="002E6ECA" w:rsidRDefault="00671012" w:rsidP="00671012">
      <w:pPr>
        <w:spacing w:line="360" w:lineRule="auto"/>
        <w:ind w:firstLine="709"/>
        <w:rPr>
          <w:sz w:val="28"/>
          <w:szCs w:val="28"/>
          <w:lang w:val="uk-UA"/>
        </w:rPr>
      </w:pPr>
    </w:p>
    <w:p w:rsidR="0002797B" w:rsidRPr="002E6ECA" w:rsidRDefault="0002797B" w:rsidP="0002797B">
      <w:pPr>
        <w:spacing w:line="360" w:lineRule="auto"/>
        <w:ind w:firstLine="709"/>
        <w:jc w:val="both"/>
        <w:rPr>
          <w:sz w:val="28"/>
          <w:szCs w:val="28"/>
          <w:lang w:val="uk-UA"/>
        </w:rPr>
      </w:pPr>
      <w:r w:rsidRPr="002E6ECA">
        <w:rPr>
          <w:sz w:val="28"/>
          <w:szCs w:val="28"/>
          <w:lang w:val="uk-UA"/>
        </w:rPr>
        <w:t>При цьому для динамічних спостережень, що передбачають групову оцінку динаміки зросту за щомісячним прирощенням медіани довжини тіла стоячи для узагальнення даних у різних статевих групах</w:t>
      </w:r>
      <w:r w:rsidR="001B1557" w:rsidRPr="002E6ECA">
        <w:rPr>
          <w:sz w:val="28"/>
          <w:szCs w:val="28"/>
          <w:lang w:val="uk-UA"/>
        </w:rPr>
        <w:t>,</w:t>
      </w:r>
      <w:r w:rsidRPr="002E6ECA">
        <w:rPr>
          <w:sz w:val="28"/>
          <w:szCs w:val="28"/>
          <w:lang w:val="uk-UA"/>
        </w:rPr>
        <w:t xml:space="preserve"> рекомендовано використання методу M-тест MW часових рядів, для якого у попередньому розділі було продемонстровано найвищу точність оцінки динаміки зросту на прикладі дітей 6-8 років.</w:t>
      </w:r>
    </w:p>
    <w:p w:rsidR="00236EA6" w:rsidRPr="002E6ECA" w:rsidRDefault="0002797B" w:rsidP="00236EA6">
      <w:pPr>
        <w:spacing w:line="360" w:lineRule="auto"/>
        <w:ind w:firstLine="709"/>
        <w:jc w:val="both"/>
        <w:rPr>
          <w:sz w:val="28"/>
          <w:szCs w:val="28"/>
          <w:lang w:val="uk-UA"/>
        </w:rPr>
      </w:pPr>
      <w:r w:rsidRPr="002E6ECA">
        <w:rPr>
          <w:sz w:val="28"/>
          <w:szCs w:val="28"/>
          <w:lang w:val="uk-UA"/>
        </w:rPr>
        <w:t>Одним з уточнюючих показників фізичного розвитку підлітків постає соматотип, який визначається відносним вмістом жирового, м’язового, водного, мінерального та інших компонентів маси тіла. Жирова складова є індикатором харчового статусу та може динамічно змінюватися під впливом різних факторів, а м'язова складова – структурно-функціонального стану організму людини і обумовлена режимом рухової активності та станом соматичного здоров'я [</w:t>
      </w:r>
      <w:r w:rsidR="00770E8A" w:rsidRPr="002E6ECA">
        <w:rPr>
          <w:sz w:val="28"/>
          <w:szCs w:val="28"/>
          <w:lang w:val="uk-UA"/>
        </w:rPr>
        <w:t>264, 290, 295</w:t>
      </w:r>
      <w:r w:rsidRPr="002E6ECA">
        <w:rPr>
          <w:sz w:val="28"/>
          <w:szCs w:val="28"/>
          <w:lang w:val="uk-UA"/>
        </w:rPr>
        <w:t>].</w:t>
      </w:r>
    </w:p>
    <w:p w:rsidR="00A65FFA" w:rsidRPr="002E6ECA" w:rsidRDefault="00236EA6" w:rsidP="00236EA6">
      <w:pPr>
        <w:spacing w:line="360" w:lineRule="auto"/>
        <w:ind w:firstLine="709"/>
        <w:jc w:val="both"/>
        <w:rPr>
          <w:sz w:val="28"/>
          <w:szCs w:val="28"/>
          <w:lang w:val="uk-UA"/>
        </w:rPr>
      </w:pPr>
      <w:r w:rsidRPr="002E6ECA">
        <w:rPr>
          <w:spacing w:val="-4"/>
          <w:sz w:val="28"/>
          <w:szCs w:val="28"/>
          <w:lang w:val="uk-UA"/>
        </w:rPr>
        <w:t>Вимірювання товщини шкірно-жирових складок дозволяють визначити вміст підшкірного жиру більш точно, в порівнянні з ІМТ [</w:t>
      </w:r>
      <w:r w:rsidR="00770E8A" w:rsidRPr="002E6ECA">
        <w:rPr>
          <w:sz w:val="28"/>
          <w:szCs w:val="28"/>
          <w:lang w:val="uk-UA"/>
        </w:rPr>
        <w:t>272</w:t>
      </w:r>
      <w:r w:rsidRPr="002E6ECA">
        <w:rPr>
          <w:spacing w:val="-4"/>
          <w:sz w:val="28"/>
          <w:szCs w:val="28"/>
          <w:lang w:val="uk-UA"/>
        </w:rPr>
        <w:t>].</w:t>
      </w:r>
    </w:p>
    <w:p w:rsidR="00E334F3" w:rsidRPr="002E6ECA" w:rsidRDefault="00E334F3" w:rsidP="00083817">
      <w:pPr>
        <w:ind w:firstLine="709"/>
        <w:jc w:val="both"/>
        <w:rPr>
          <w:rFonts w:eastAsia="TimesNewRomanPSMT"/>
          <w:sz w:val="28"/>
          <w:szCs w:val="28"/>
          <w:lang w:val="uk-UA" w:eastAsia="uk-UA"/>
        </w:rPr>
      </w:pPr>
      <w:r w:rsidRPr="002E6ECA">
        <w:rPr>
          <w:rFonts w:eastAsia="TimesNewRomanPSMT"/>
          <w:noProof/>
          <w:sz w:val="28"/>
          <w:szCs w:val="28"/>
          <w:lang w:val="uk-UA" w:eastAsia="uk-UA"/>
        </w:rPr>
        <w:lastRenderedPageBreak/>
        <w:drawing>
          <wp:inline distT="0" distB="0" distL="0" distR="0" wp14:anchorId="0ABC678E" wp14:editId="78DD66F5">
            <wp:extent cx="5057775" cy="53340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из разв 222 .jpg"/>
                    <pic:cNvPicPr/>
                  </pic:nvPicPr>
                  <pic:blipFill rotWithShape="1">
                    <a:blip r:embed="rId31" cstate="print">
                      <a:extLst>
                        <a:ext uri="{28A0092B-C50C-407E-A947-70E740481C1C}">
                          <a14:useLocalDpi xmlns:a14="http://schemas.microsoft.com/office/drawing/2010/main" val="0"/>
                        </a:ext>
                      </a:extLst>
                    </a:blip>
                    <a:srcRect l="1090" t="20871"/>
                    <a:stretch/>
                  </pic:blipFill>
                  <pic:spPr bwMode="auto">
                    <a:xfrm>
                      <a:off x="0" y="0"/>
                      <a:ext cx="5061672" cy="5338110"/>
                    </a:xfrm>
                    <a:prstGeom prst="rect">
                      <a:avLst/>
                    </a:prstGeom>
                    <a:ln>
                      <a:noFill/>
                    </a:ln>
                    <a:extLst>
                      <a:ext uri="{53640926-AAD7-44D8-BBD7-CCE9431645EC}">
                        <a14:shadowObscured xmlns:a14="http://schemas.microsoft.com/office/drawing/2010/main"/>
                      </a:ext>
                    </a:extLst>
                  </pic:spPr>
                </pic:pic>
              </a:graphicData>
            </a:graphic>
          </wp:inline>
        </w:drawing>
      </w:r>
    </w:p>
    <w:p w:rsidR="00E334F3" w:rsidRPr="002E6ECA" w:rsidRDefault="00E334F3" w:rsidP="00E334F3">
      <w:pPr>
        <w:ind w:firstLine="709"/>
        <w:jc w:val="both"/>
        <w:rPr>
          <w:rFonts w:eastAsia="TimesNewRomanPSMT"/>
          <w:sz w:val="28"/>
          <w:szCs w:val="28"/>
          <w:lang w:val="uk-UA" w:eastAsia="uk-UA"/>
        </w:rPr>
      </w:pPr>
    </w:p>
    <w:p w:rsidR="00A65FFA" w:rsidRPr="002E6ECA" w:rsidRDefault="00A65FFA" w:rsidP="00083817">
      <w:pPr>
        <w:ind w:firstLine="709"/>
        <w:jc w:val="both"/>
        <w:rPr>
          <w:rFonts w:eastAsia="TimesNewRomanPSMT"/>
          <w:sz w:val="28"/>
          <w:szCs w:val="28"/>
          <w:lang w:val="uk-UA" w:eastAsia="uk-UA"/>
        </w:rPr>
      </w:pPr>
      <w:r w:rsidRPr="002E6ECA">
        <w:rPr>
          <w:rFonts w:eastAsia="TimesNewRomanPSMT"/>
          <w:sz w:val="28"/>
          <w:szCs w:val="28"/>
          <w:lang w:val="uk-UA" w:eastAsia="uk-UA"/>
        </w:rPr>
        <w:t>Рис. 3.6.</w:t>
      </w:r>
      <w:r w:rsidRPr="002E6ECA">
        <w:rPr>
          <w:sz w:val="28"/>
          <w:szCs w:val="28"/>
          <w:lang w:val="uk-UA"/>
        </w:rPr>
        <w:t xml:space="preserve"> Модель оцінки фізичного розвитку підлітків</w:t>
      </w:r>
    </w:p>
    <w:p w:rsidR="00A65FFA" w:rsidRPr="002E6ECA" w:rsidRDefault="00A65FFA" w:rsidP="00954AF9">
      <w:pPr>
        <w:ind w:firstLine="709"/>
        <w:jc w:val="both"/>
        <w:rPr>
          <w:rFonts w:eastAsia="TimesNewRomanPSMT"/>
          <w:sz w:val="28"/>
          <w:szCs w:val="28"/>
          <w:lang w:val="uk-UA" w:eastAsia="uk-UA"/>
        </w:rPr>
      </w:pPr>
    </w:p>
    <w:p w:rsidR="00671012" w:rsidRPr="002E6ECA" w:rsidRDefault="00083817" w:rsidP="00671012">
      <w:pPr>
        <w:spacing w:line="360" w:lineRule="auto"/>
        <w:ind w:firstLine="709"/>
        <w:jc w:val="both"/>
        <w:rPr>
          <w:spacing w:val="-4"/>
          <w:sz w:val="28"/>
          <w:szCs w:val="28"/>
          <w:lang w:val="uk-UA"/>
        </w:rPr>
      </w:pPr>
      <w:r w:rsidRPr="002E6ECA">
        <w:rPr>
          <w:spacing w:val="-4"/>
          <w:sz w:val="28"/>
          <w:szCs w:val="28"/>
          <w:lang w:val="uk-UA"/>
        </w:rPr>
        <w:t>Діагностичні можливості каліперометрії в оцінці нутритивного статусу дітей підтверджені багатоцентровими дослідженнями ВООЗ [</w:t>
      </w:r>
      <w:r w:rsidR="00770E8A" w:rsidRPr="002E6ECA">
        <w:rPr>
          <w:rFonts w:eastAsia="Calibri"/>
          <w:sz w:val="28"/>
          <w:szCs w:val="28"/>
          <w:lang w:val="uk-UA" w:eastAsia="en-US"/>
        </w:rPr>
        <w:t xml:space="preserve">56, </w:t>
      </w:r>
      <w:r w:rsidR="00770E8A" w:rsidRPr="002E6ECA">
        <w:rPr>
          <w:sz w:val="28"/>
          <w:szCs w:val="28"/>
          <w:lang w:val="uk-UA"/>
        </w:rPr>
        <w:t xml:space="preserve">383, </w:t>
      </w:r>
      <w:r w:rsidR="00770E8A" w:rsidRPr="002E6ECA">
        <w:rPr>
          <w:rFonts w:eastAsia="Calibri"/>
          <w:sz w:val="28"/>
          <w:szCs w:val="28"/>
          <w:lang w:val="uk-UA" w:eastAsia="en-US"/>
        </w:rPr>
        <w:t>414, 442, 447</w:t>
      </w:r>
      <w:r w:rsidRPr="002E6ECA">
        <w:rPr>
          <w:spacing w:val="-4"/>
          <w:sz w:val="28"/>
          <w:szCs w:val="28"/>
          <w:lang w:val="uk-UA"/>
        </w:rPr>
        <w:t xml:space="preserve">]. </w:t>
      </w:r>
      <w:r w:rsidR="00671012" w:rsidRPr="002E6ECA">
        <w:rPr>
          <w:spacing w:val="-4"/>
          <w:sz w:val="28"/>
          <w:szCs w:val="28"/>
          <w:lang w:val="uk-UA"/>
        </w:rPr>
        <w:t>Диференційовано і об'єктивно оцінити склад тіла дозволяє біоімпендансний аналіз, а його показники є специфічними у відношенні до статі, віку і деяких антропометричних показників [13</w:t>
      </w:r>
      <w:r w:rsidR="0002797B" w:rsidRPr="002E6ECA">
        <w:rPr>
          <w:spacing w:val="-4"/>
          <w:sz w:val="28"/>
          <w:szCs w:val="28"/>
          <w:lang w:val="uk-UA"/>
        </w:rPr>
        <w:t xml:space="preserve">, </w:t>
      </w:r>
      <w:r w:rsidR="00770E8A" w:rsidRPr="002E6ECA">
        <w:rPr>
          <w:spacing w:val="-4"/>
          <w:sz w:val="28"/>
          <w:szCs w:val="28"/>
          <w:lang w:val="uk-UA"/>
        </w:rPr>
        <w:t>272</w:t>
      </w:r>
      <w:r w:rsidR="00671012" w:rsidRPr="002E6ECA">
        <w:rPr>
          <w:spacing w:val="-4"/>
          <w:sz w:val="28"/>
          <w:szCs w:val="28"/>
          <w:lang w:val="uk-UA"/>
        </w:rPr>
        <w:t xml:space="preserve">]. </w:t>
      </w:r>
    </w:p>
    <w:p w:rsidR="00083817" w:rsidRPr="002E6ECA" w:rsidRDefault="00083817" w:rsidP="00083817">
      <w:pPr>
        <w:spacing w:line="360" w:lineRule="auto"/>
        <w:ind w:firstLine="709"/>
        <w:jc w:val="both"/>
        <w:rPr>
          <w:sz w:val="28"/>
          <w:szCs w:val="28"/>
          <w:lang w:val="uk-UA"/>
        </w:rPr>
      </w:pPr>
      <w:r w:rsidRPr="002E6ECA">
        <w:rPr>
          <w:sz w:val="28"/>
          <w:szCs w:val="28"/>
          <w:lang w:val="uk-UA"/>
        </w:rPr>
        <w:t>Моніторинг складу тіла в період статевого дозрівання дозволяє прогнозувати подальші зміни його характеристик в дорослому віці та формування мультифакторної патології: серцево-судинних захворювань, цукрового діабету, ожиріння і остеопорозу [</w:t>
      </w:r>
      <w:r w:rsidR="00770E8A" w:rsidRPr="002E6ECA">
        <w:rPr>
          <w:sz w:val="28"/>
          <w:szCs w:val="28"/>
          <w:lang w:val="uk-UA"/>
        </w:rPr>
        <w:t>506</w:t>
      </w:r>
      <w:r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За результатами біоімпендансометрії встановлено, що відсоток жирової тканини істотно не змінювався з віком, проте вміст м’язової тканини був </w:t>
      </w:r>
      <w:r w:rsidRPr="002E6ECA">
        <w:rPr>
          <w:sz w:val="28"/>
          <w:szCs w:val="28"/>
          <w:lang w:val="uk-UA"/>
        </w:rPr>
        <w:lastRenderedPageBreak/>
        <w:t>вищим у 14 років (37,2±0,1</w:t>
      </w:r>
      <w:r w:rsidR="0080667E" w:rsidRPr="002E6ECA">
        <w:rPr>
          <w:sz w:val="28"/>
          <w:szCs w:val="28"/>
          <w:lang w:val="uk-UA"/>
        </w:rPr>
        <w:t>%</w:t>
      </w:r>
      <w:r w:rsidRPr="002E6ECA">
        <w:rPr>
          <w:sz w:val="28"/>
          <w:szCs w:val="28"/>
          <w:lang w:val="uk-UA"/>
        </w:rPr>
        <w:t>), істотно – при порівнянні з учнями 10 та 11 років (відповідно 32,9±0,6</w:t>
      </w:r>
      <w:r w:rsidR="0080667E" w:rsidRPr="002E6ECA">
        <w:rPr>
          <w:sz w:val="28"/>
          <w:szCs w:val="28"/>
          <w:lang w:val="uk-UA"/>
        </w:rPr>
        <w:t>%</w:t>
      </w:r>
      <w:r w:rsidRPr="002E6ECA">
        <w:rPr>
          <w:sz w:val="28"/>
          <w:szCs w:val="28"/>
          <w:lang w:val="uk-UA"/>
        </w:rPr>
        <w:t xml:space="preserve"> та 35,1±0,3</w:t>
      </w:r>
      <w:r w:rsidR="0080667E" w:rsidRPr="002E6ECA">
        <w:rPr>
          <w:sz w:val="28"/>
          <w:szCs w:val="28"/>
          <w:lang w:val="uk-UA"/>
        </w:rPr>
        <w:t>%</w:t>
      </w:r>
      <w:r w:rsidRPr="002E6ECA">
        <w:rPr>
          <w:sz w:val="28"/>
          <w:szCs w:val="28"/>
          <w:lang w:val="uk-UA"/>
        </w:rPr>
        <w:t>; р&lt;0,05). Такі дані при порівняні з ІМТ дозволяють зробити припущення, що більш високий ІМТ визначався за рахунок розвинутої м’язової системи, і не свідчив про формування ожиріння у хлопців. Цей же висновок можна підтвердити і результатами каліперометрії. Так, з віком знижувалась товщина ШЖС на трицепсі (D5) з 15,7±1,0 мм у 10 років до 12,9±1,2 мм у 14-річному віці (р&lt;0,05) та на грудях (D2) з 16,8±1,6</w:t>
      </w:r>
      <w:r w:rsidR="0080667E" w:rsidRPr="002E6ECA">
        <w:rPr>
          <w:sz w:val="28"/>
          <w:szCs w:val="28"/>
          <w:lang w:val="uk-UA"/>
        </w:rPr>
        <w:t>%</w:t>
      </w:r>
      <w:r w:rsidRPr="002E6ECA">
        <w:rPr>
          <w:sz w:val="28"/>
          <w:szCs w:val="28"/>
          <w:lang w:val="uk-UA"/>
        </w:rPr>
        <w:t xml:space="preserve"> до 10,7±1,9</w:t>
      </w:r>
      <w:r w:rsidR="0080667E" w:rsidRPr="002E6ECA">
        <w:rPr>
          <w:sz w:val="28"/>
          <w:szCs w:val="28"/>
          <w:lang w:val="uk-UA"/>
        </w:rPr>
        <w:t>%</w:t>
      </w:r>
      <w:r w:rsidRPr="002E6ECA">
        <w:rPr>
          <w:sz w:val="28"/>
          <w:szCs w:val="28"/>
          <w:lang w:val="uk-UA"/>
        </w:rPr>
        <w:t xml:space="preserve"> у хлопців за той же період (р&lt;0,05).</w:t>
      </w:r>
    </w:p>
    <w:p w:rsidR="00083817" w:rsidRPr="002E6ECA" w:rsidRDefault="00671012" w:rsidP="00083817">
      <w:pPr>
        <w:spacing w:line="360" w:lineRule="auto"/>
        <w:ind w:firstLine="709"/>
        <w:jc w:val="both"/>
        <w:rPr>
          <w:sz w:val="28"/>
          <w:szCs w:val="28"/>
          <w:lang w:val="uk-UA"/>
        </w:rPr>
      </w:pPr>
      <w:r w:rsidRPr="002E6ECA">
        <w:rPr>
          <w:sz w:val="28"/>
          <w:szCs w:val="28"/>
          <w:lang w:val="uk-UA"/>
        </w:rPr>
        <w:t>Найбільш точним критерієм рівня розвитку м’язової системи та ступеню депонування жирової тканини постають традиційний метод каліперометрії та сучасна методика біоімпенданосметрії. Так, у нашому дослідженні встановлено зниження товщини ШЖС на біцепсі та грудях, що можна констатувати як збільшення відсотку м’язової тканини за умов збереження загальної маси тіла та зменшення вмісту жиру. За результатами каліперометрії констатовано збільшення підшкірного жиру учнів молодшого та середнього шкільного віку, особливо з недостатньою та нормальною вагою</w:t>
      </w:r>
      <w:r w:rsidR="007D5973" w:rsidRPr="002E6ECA">
        <w:rPr>
          <w:sz w:val="28"/>
          <w:szCs w:val="28"/>
          <w:lang w:val="uk-UA"/>
        </w:rPr>
        <w:t>.</w:t>
      </w:r>
      <w:r w:rsidRPr="002E6ECA">
        <w:rPr>
          <w:sz w:val="28"/>
          <w:szCs w:val="28"/>
          <w:lang w:val="uk-UA"/>
        </w:rPr>
        <w:t xml:space="preserve"> </w:t>
      </w:r>
      <w:r w:rsidR="00083817" w:rsidRPr="002E6ECA">
        <w:rPr>
          <w:sz w:val="28"/>
          <w:szCs w:val="28"/>
          <w:lang w:val="uk-UA"/>
        </w:rPr>
        <w:t>У своєму дослідженні Kromeyer-Hauscild встановив поступове збільшення з віком процентиля товщини 5 жирових складок та пік їх у пубертатному періоді серед хлопців [</w:t>
      </w:r>
      <w:r w:rsidR="00770E8A" w:rsidRPr="002E6ECA">
        <w:rPr>
          <w:sz w:val="28"/>
          <w:szCs w:val="28"/>
          <w:lang w:val="uk-UA"/>
        </w:rPr>
        <w:t>382</w:t>
      </w:r>
      <w:r w:rsidR="00083817" w:rsidRPr="002E6ECA">
        <w:rPr>
          <w:sz w:val="28"/>
          <w:szCs w:val="28"/>
          <w:lang w:val="uk-UA"/>
        </w:rPr>
        <w:t xml:space="preserve">]. На відміну від </w:t>
      </w:r>
      <w:hyperlink r:id="rId32" w:history="1">
        <w:r w:rsidR="00083817" w:rsidRPr="002E6ECA">
          <w:rPr>
            <w:sz w:val="28"/>
            <w:szCs w:val="28"/>
            <w:lang w:val="uk-UA"/>
          </w:rPr>
          <w:t>Kuhle S</w:t>
        </w:r>
      </w:hyperlink>
      <w:r w:rsidR="00083817" w:rsidRPr="002E6ECA">
        <w:rPr>
          <w:sz w:val="28"/>
          <w:szCs w:val="28"/>
          <w:lang w:val="uk-UA"/>
        </w:rPr>
        <w:t>. у дослідженні лейпцігських дітей та у хлопців-підлітків пік реєструвався на початку пубертатного періоду з подальшим зниженням товщини шкіряних складок на відміну від дівчат, у яких ці зміни проходять згідно з віковим діапазоном (від 3 до 16 років) [</w:t>
      </w:r>
      <w:r w:rsidR="00770E8A" w:rsidRPr="002E6ECA">
        <w:rPr>
          <w:sz w:val="28"/>
          <w:szCs w:val="28"/>
          <w:lang w:val="uk-UA"/>
        </w:rPr>
        <w:t>383</w:t>
      </w:r>
      <w:r w:rsidR="00083817" w:rsidRPr="002E6ECA">
        <w:rPr>
          <w:sz w:val="28"/>
          <w:szCs w:val="28"/>
          <w:lang w:val="uk-UA"/>
        </w:rPr>
        <w:t>, 4</w:t>
      </w:r>
      <w:r w:rsidR="00770E8A" w:rsidRPr="002E6ECA">
        <w:rPr>
          <w:sz w:val="28"/>
          <w:szCs w:val="28"/>
          <w:lang w:val="uk-UA"/>
        </w:rPr>
        <w:t>47</w:t>
      </w:r>
      <w:r w:rsidR="00083817" w:rsidRPr="002E6ECA">
        <w:rPr>
          <w:sz w:val="28"/>
          <w:szCs w:val="28"/>
          <w:lang w:val="uk-UA"/>
        </w:rPr>
        <w:t xml:space="preserve">]. </w:t>
      </w:r>
    </w:p>
    <w:p w:rsidR="00671012" w:rsidRPr="002E6ECA" w:rsidRDefault="00671012" w:rsidP="00954AF9">
      <w:pPr>
        <w:spacing w:line="336" w:lineRule="auto"/>
        <w:ind w:firstLine="709"/>
        <w:jc w:val="both"/>
        <w:rPr>
          <w:sz w:val="28"/>
          <w:szCs w:val="28"/>
          <w:lang w:val="uk-UA"/>
        </w:rPr>
      </w:pPr>
      <w:r w:rsidRPr="002E6ECA">
        <w:rPr>
          <w:spacing w:val="-4"/>
          <w:sz w:val="28"/>
          <w:szCs w:val="28"/>
          <w:lang w:val="uk-UA"/>
        </w:rPr>
        <w:t>Проте у рутинних дослідженнях аналізатор складу тіла не може бути універсальним засобом оцінки фізичного розвитку, оскільки потребує спеціальної підготовки оператора, обмежений віком та вагою учасників дослідження.</w:t>
      </w:r>
      <w:r w:rsidR="00083817" w:rsidRPr="002E6ECA">
        <w:rPr>
          <w:spacing w:val="-4"/>
          <w:sz w:val="28"/>
          <w:szCs w:val="28"/>
          <w:lang w:val="uk-UA"/>
        </w:rPr>
        <w:t xml:space="preserve"> </w:t>
      </w:r>
      <w:r w:rsidRPr="002E6ECA">
        <w:rPr>
          <w:sz w:val="28"/>
          <w:szCs w:val="28"/>
          <w:lang w:val="uk-UA"/>
        </w:rPr>
        <w:t>Методика розрахунку відсотку вмісту м’язової та жирової тканини на підставі антропометричних даних (зріст, вага, кистьова динамометрія та спірометрія) та каліперометрії, дозволяє отримати достатньо точні дані без використання спеціальної апаратури.</w:t>
      </w:r>
    </w:p>
    <w:p w:rsidR="00671012" w:rsidRPr="002E6ECA" w:rsidRDefault="00671012" w:rsidP="00671012">
      <w:pPr>
        <w:spacing w:line="360" w:lineRule="auto"/>
        <w:ind w:firstLine="709"/>
        <w:jc w:val="both"/>
        <w:rPr>
          <w:sz w:val="28"/>
          <w:szCs w:val="28"/>
          <w:lang w:val="uk-UA"/>
        </w:rPr>
      </w:pPr>
      <w:r w:rsidRPr="002E6ECA">
        <w:rPr>
          <w:sz w:val="28"/>
          <w:szCs w:val="28"/>
          <w:lang w:val="uk-UA"/>
        </w:rPr>
        <w:lastRenderedPageBreak/>
        <w:t>За допомогою методу генералізованих лінійних моделей нами були перевірені всі можливі гіпотези і поєднання змінних, поки не була знайдена найкраща за точністю передбачення статистично значуща модель і усі її незалежні змінні, що представлені фіксованими ефектами із отриманням формули (3.1) для розрахунку вмісту жирової тканини (ВЖТ):</w:t>
      </w:r>
    </w:p>
    <w:p w:rsidR="00671012" w:rsidRPr="002E6ECA" w:rsidRDefault="00671012" w:rsidP="00954AF9">
      <w:pPr>
        <w:ind w:firstLine="709"/>
        <w:jc w:val="both"/>
        <w:rPr>
          <w:sz w:val="28"/>
          <w:szCs w:val="28"/>
          <w:lang w:val="uk-UA"/>
        </w:rPr>
      </w:pPr>
    </w:p>
    <w:p w:rsidR="006E1DC9" w:rsidRPr="002E6ECA" w:rsidRDefault="00671012" w:rsidP="00AD5091">
      <w:pPr>
        <w:spacing w:line="360" w:lineRule="auto"/>
        <w:ind w:firstLine="709"/>
        <w:jc w:val="both"/>
        <w:rPr>
          <w:sz w:val="28"/>
          <w:szCs w:val="28"/>
          <w:lang w:val="uk-UA"/>
        </w:rPr>
      </w:pPr>
      <m:oMath>
        <m:r>
          <m:rPr>
            <m:sty m:val="p"/>
          </m:rPr>
          <w:rPr>
            <w:rFonts w:ascii="Cambria Math" w:hAnsi="Cambria Math"/>
            <w:sz w:val="28"/>
            <w:szCs w:val="28"/>
            <w:lang w:val="uk-UA"/>
          </w:rPr>
          <m:t>ВЖТ = 0,630×D5 + 0,001×D1×D3×D8 + 8,326</m:t>
        </m:r>
      </m:oMath>
      <w:r w:rsidRPr="002E6ECA">
        <w:rPr>
          <w:sz w:val="28"/>
          <w:szCs w:val="28"/>
          <w:lang w:val="uk-UA"/>
        </w:rPr>
        <w:t xml:space="preserve">                      </w:t>
      </w:r>
      <w:r w:rsidR="002060DA" w:rsidRPr="002E6ECA">
        <w:rPr>
          <w:sz w:val="28"/>
          <w:szCs w:val="28"/>
          <w:lang w:val="uk-UA"/>
        </w:rPr>
        <w:t>(</w:t>
      </w:r>
      <w:r w:rsidRPr="002E6ECA">
        <w:rPr>
          <w:sz w:val="28"/>
          <w:szCs w:val="28"/>
        </w:rPr>
        <w:t>3</w:t>
      </w:r>
      <w:r w:rsidRPr="002E6ECA">
        <w:rPr>
          <w:sz w:val="28"/>
          <w:szCs w:val="28"/>
          <w:lang w:val="uk-UA"/>
        </w:rPr>
        <w:t>.</w:t>
      </w:r>
      <w:r w:rsidRPr="002E6ECA">
        <w:rPr>
          <w:sz w:val="28"/>
          <w:szCs w:val="28"/>
        </w:rPr>
        <w:t>1</w:t>
      </w:r>
      <w:r w:rsidR="002060DA" w:rsidRPr="002E6ECA">
        <w:rPr>
          <w:sz w:val="28"/>
          <w:szCs w:val="28"/>
          <w:lang w:val="uk-UA"/>
        </w:rPr>
        <w:t>)</w:t>
      </w:r>
      <w:r w:rsidRPr="002E6ECA">
        <w:rPr>
          <w:sz w:val="28"/>
          <w:szCs w:val="28"/>
          <w:lang w:val="uk-UA"/>
        </w:rPr>
        <w:t xml:space="preserve">, </w:t>
      </w:r>
    </w:p>
    <w:p w:rsidR="00671012" w:rsidRPr="002E6ECA" w:rsidRDefault="006E1DC9" w:rsidP="00671012">
      <w:pPr>
        <w:spacing w:line="360" w:lineRule="auto"/>
        <w:jc w:val="both"/>
        <w:rPr>
          <w:sz w:val="28"/>
          <w:szCs w:val="28"/>
          <w:lang w:val="uk-UA"/>
        </w:rPr>
      </w:pPr>
      <w:r w:rsidRPr="002E6ECA">
        <w:rPr>
          <w:sz w:val="28"/>
          <w:szCs w:val="28"/>
          <w:lang w:val="uk-UA"/>
        </w:rPr>
        <w:t>д</w:t>
      </w:r>
      <w:r w:rsidR="00671012" w:rsidRPr="002E6ECA">
        <w:rPr>
          <w:sz w:val="28"/>
          <w:szCs w:val="28"/>
          <w:lang w:val="uk-UA"/>
        </w:rPr>
        <w:t>е</w:t>
      </w:r>
      <w:r w:rsidRPr="002E6ECA">
        <w:rPr>
          <w:sz w:val="28"/>
          <w:szCs w:val="28"/>
          <w:lang w:val="uk-UA"/>
        </w:rPr>
        <w:t xml:space="preserve"> </w:t>
      </w:r>
      <w:r w:rsidR="00671012" w:rsidRPr="002E6ECA">
        <w:rPr>
          <w:sz w:val="28"/>
          <w:szCs w:val="28"/>
          <w:lang w:val="uk-UA"/>
        </w:rPr>
        <w:t>D1 – товщина ШЖС під кутом лопатки, D3 – товщина ШЖС на животі, D5 – товщина ШЖС над трицепсом, D8 – товщина ШЖС у області гомілки.</w:t>
      </w:r>
    </w:p>
    <w:p w:rsidR="00671012" w:rsidRPr="002E6ECA" w:rsidRDefault="00671012" w:rsidP="00671012">
      <w:pPr>
        <w:spacing w:line="360" w:lineRule="auto"/>
        <w:ind w:firstLine="709"/>
        <w:jc w:val="both"/>
        <w:rPr>
          <w:sz w:val="28"/>
          <w:szCs w:val="28"/>
          <w:lang w:val="uk-UA"/>
        </w:rPr>
      </w:pPr>
      <w:r w:rsidRPr="002E6ECA">
        <w:rPr>
          <w:sz w:val="28"/>
          <w:szCs w:val="28"/>
          <w:lang w:val="uk-UA"/>
        </w:rPr>
        <w:t>Подібні розрахунки було проведено для отримання генералізованої змішаної лінійної моделі для визначення вмісту м’язової тканини (ВМТ</w:t>
      </w:r>
      <w:r w:rsidR="002060DA" w:rsidRPr="002E6ECA">
        <w:rPr>
          <w:sz w:val="28"/>
          <w:szCs w:val="28"/>
          <w:lang w:val="uk-UA"/>
        </w:rPr>
        <w:t xml:space="preserve">) за формулою </w:t>
      </w:r>
      <w:r w:rsidRPr="002E6ECA">
        <w:rPr>
          <w:sz w:val="28"/>
          <w:szCs w:val="28"/>
          <w:lang w:val="uk-UA"/>
        </w:rPr>
        <w:t>3.2:</w:t>
      </w:r>
    </w:p>
    <w:p w:rsidR="00671012" w:rsidRPr="002E6ECA" w:rsidRDefault="00671012" w:rsidP="00954AF9">
      <w:pPr>
        <w:ind w:firstLine="709"/>
        <w:jc w:val="both"/>
        <w:rPr>
          <w:sz w:val="28"/>
          <w:szCs w:val="28"/>
          <w:lang w:val="uk-UA"/>
        </w:rPr>
      </w:pPr>
    </w:p>
    <w:p w:rsidR="006E1DC9" w:rsidRPr="002E6ECA" w:rsidRDefault="00671012" w:rsidP="00AD5091">
      <w:pPr>
        <w:spacing w:line="360" w:lineRule="auto"/>
        <w:ind w:firstLine="709"/>
        <w:jc w:val="both"/>
        <w:rPr>
          <w:sz w:val="28"/>
          <w:szCs w:val="28"/>
          <w:lang w:val="uk-UA"/>
        </w:rPr>
      </w:pPr>
      <w:r w:rsidRPr="002E6ECA">
        <w:rPr>
          <w:sz w:val="28"/>
          <w:szCs w:val="28"/>
          <w:lang w:val="uk-UA"/>
        </w:rPr>
        <w:t>ВМТ=0,275</w:t>
      </w:r>
      <m:oMath>
        <m:r>
          <m:rPr>
            <m:sty m:val="p"/>
          </m:rPr>
          <w:rPr>
            <w:rFonts w:ascii="Cambria Math" w:hAnsi="Cambria Math"/>
            <w:sz w:val="28"/>
            <w:szCs w:val="28"/>
            <w:lang w:val="uk-UA"/>
          </w:rPr>
          <m:t>×</m:t>
        </m:r>
      </m:oMath>
      <w:r w:rsidRPr="002E6ECA">
        <w:rPr>
          <w:sz w:val="28"/>
          <w:szCs w:val="28"/>
          <w:lang w:val="uk-UA"/>
        </w:rPr>
        <w:t>Dl+0,003</w:t>
      </w:r>
      <m:oMath>
        <m:r>
          <m:rPr>
            <m:sty m:val="p"/>
          </m:rPr>
          <w:rPr>
            <w:rFonts w:ascii="Cambria Math" w:hAnsi="Cambria Math"/>
            <w:sz w:val="28"/>
            <w:szCs w:val="28"/>
            <w:lang w:val="uk-UA"/>
          </w:rPr>
          <m:t>×</m:t>
        </m:r>
      </m:oMath>
      <w:r w:rsidRPr="002E6ECA">
        <w:rPr>
          <w:sz w:val="28"/>
          <w:szCs w:val="28"/>
          <w:lang w:val="uk-UA"/>
        </w:rPr>
        <w:t>S+0,171</w:t>
      </w:r>
      <m:oMath>
        <m:r>
          <m:rPr>
            <m:sty m:val="p"/>
          </m:rPr>
          <w:rPr>
            <w:rFonts w:ascii="Cambria Math" w:hAnsi="Cambria Math"/>
            <w:sz w:val="28"/>
            <w:szCs w:val="28"/>
            <w:lang w:val="uk-UA"/>
          </w:rPr>
          <m:t>×</m:t>
        </m:r>
      </m:oMath>
      <w:r w:rsidRPr="002E6ECA">
        <w:rPr>
          <w:sz w:val="28"/>
          <w:szCs w:val="28"/>
          <w:lang w:val="uk-UA"/>
        </w:rPr>
        <w:t>H-0,213</w:t>
      </w:r>
      <m:oMath>
        <m:r>
          <m:rPr>
            <m:sty m:val="p"/>
          </m:rPr>
          <w:rPr>
            <w:rFonts w:ascii="Cambria Math" w:hAnsi="Cambria Math"/>
            <w:sz w:val="28"/>
            <w:szCs w:val="28"/>
            <w:lang w:val="uk-UA"/>
          </w:rPr>
          <m:t>×</m:t>
        </m:r>
      </m:oMath>
      <w:r w:rsidRPr="002E6ECA">
        <w:rPr>
          <w:sz w:val="28"/>
          <w:szCs w:val="28"/>
          <w:lang w:val="uk-UA"/>
        </w:rPr>
        <w:t>W+0,039</w:t>
      </w:r>
      <m:oMath>
        <m:r>
          <m:rPr>
            <m:sty m:val="p"/>
          </m:rPr>
          <w:rPr>
            <w:rFonts w:ascii="Cambria Math" w:hAnsi="Cambria Math"/>
            <w:sz w:val="28"/>
            <w:szCs w:val="28"/>
            <w:lang w:val="uk-UA"/>
          </w:rPr>
          <m:t>×</m:t>
        </m:r>
      </m:oMath>
      <w:r w:rsidRPr="002E6ECA">
        <w:rPr>
          <w:i/>
          <w:sz w:val="28"/>
          <w:szCs w:val="28"/>
          <w:lang w:val="uk-UA"/>
        </w:rPr>
        <w:t>Cov</w:t>
      </w:r>
      <w:r w:rsidRPr="002E6ECA">
        <w:rPr>
          <w:sz w:val="28"/>
          <w:szCs w:val="28"/>
          <w:lang w:val="uk-UA"/>
        </w:rPr>
        <w:t xml:space="preserve">(Dr)+11,69 </w:t>
      </w:r>
      <w:r w:rsidR="00AD5091" w:rsidRPr="002E6ECA">
        <w:rPr>
          <w:sz w:val="28"/>
          <w:szCs w:val="28"/>
          <w:lang w:val="uk-UA"/>
        </w:rPr>
        <w:t xml:space="preserve">  </w:t>
      </w:r>
      <w:r w:rsidR="002060DA" w:rsidRPr="002E6ECA">
        <w:rPr>
          <w:sz w:val="28"/>
          <w:szCs w:val="28"/>
          <w:lang w:val="uk-UA"/>
        </w:rPr>
        <w:t>(</w:t>
      </w:r>
      <w:r w:rsidRPr="002E6ECA">
        <w:rPr>
          <w:sz w:val="28"/>
          <w:szCs w:val="28"/>
          <w:lang w:val="uk-UA"/>
        </w:rPr>
        <w:t>3.2</w:t>
      </w:r>
      <w:r w:rsidR="002060DA" w:rsidRPr="002E6ECA">
        <w:rPr>
          <w:sz w:val="28"/>
          <w:szCs w:val="28"/>
          <w:lang w:val="uk-UA"/>
        </w:rPr>
        <w:t>)</w:t>
      </w:r>
      <w:r w:rsidRPr="002E6ECA">
        <w:rPr>
          <w:sz w:val="28"/>
          <w:szCs w:val="28"/>
          <w:lang w:val="uk-UA"/>
        </w:rPr>
        <w:t xml:space="preserve">, </w:t>
      </w:r>
    </w:p>
    <w:p w:rsidR="00671012" w:rsidRPr="002E6ECA" w:rsidRDefault="006E1DC9" w:rsidP="006E1DC9">
      <w:pPr>
        <w:spacing w:line="360" w:lineRule="auto"/>
        <w:jc w:val="both"/>
        <w:rPr>
          <w:sz w:val="28"/>
          <w:szCs w:val="28"/>
          <w:lang w:val="uk-UA"/>
        </w:rPr>
      </w:pPr>
      <w:r w:rsidRPr="002E6ECA">
        <w:rPr>
          <w:sz w:val="28"/>
          <w:szCs w:val="28"/>
          <w:lang w:val="uk-UA"/>
        </w:rPr>
        <w:t>д</w:t>
      </w:r>
      <w:r w:rsidR="00671012" w:rsidRPr="002E6ECA">
        <w:rPr>
          <w:sz w:val="28"/>
          <w:szCs w:val="28"/>
          <w:lang w:val="uk-UA"/>
        </w:rPr>
        <w:t>е</w:t>
      </w:r>
      <w:r w:rsidRPr="002E6ECA">
        <w:rPr>
          <w:sz w:val="28"/>
          <w:szCs w:val="28"/>
          <w:lang w:val="uk-UA"/>
        </w:rPr>
        <w:t xml:space="preserve"> </w:t>
      </w:r>
      <w:r w:rsidR="00671012" w:rsidRPr="002E6ECA">
        <w:rPr>
          <w:sz w:val="28"/>
          <w:szCs w:val="28"/>
          <w:lang w:val="uk-UA"/>
        </w:rPr>
        <w:t xml:space="preserve">Dl – показник динамометрії лівої руки, S – результати спірометрії, H – зріст, W – вага, </w:t>
      </w:r>
      <w:r w:rsidR="00671012" w:rsidRPr="002E6ECA">
        <w:rPr>
          <w:i/>
          <w:sz w:val="28"/>
          <w:szCs w:val="28"/>
          <w:lang w:val="uk-UA"/>
        </w:rPr>
        <w:t>Cov</w:t>
      </w:r>
      <w:r w:rsidR="00671012" w:rsidRPr="002E6ECA">
        <w:rPr>
          <w:sz w:val="28"/>
          <w:szCs w:val="28"/>
          <w:lang w:val="uk-UA"/>
        </w:rPr>
        <w:t>(Dr) – коваріація показника динамометрії правої руки.</w:t>
      </w:r>
    </w:p>
    <w:p w:rsidR="00671012" w:rsidRPr="002E6ECA" w:rsidRDefault="00671012" w:rsidP="00671012">
      <w:pPr>
        <w:spacing w:line="360" w:lineRule="auto"/>
        <w:ind w:firstLine="709"/>
        <w:jc w:val="both"/>
        <w:rPr>
          <w:sz w:val="28"/>
          <w:szCs w:val="28"/>
          <w:lang w:val="uk-UA"/>
        </w:rPr>
      </w:pPr>
      <w:r w:rsidRPr="002E6ECA">
        <w:rPr>
          <w:sz w:val="28"/>
          <w:szCs w:val="28"/>
          <w:lang w:val="uk-UA"/>
        </w:rPr>
        <w:t>Використання цих моделей дозволяє уникнути використання аналізатора складу тіла, а графічне зображення демонструє високу точність побудованих моделей (рис. 3.</w:t>
      </w:r>
      <w:r w:rsidR="00A65FFA" w:rsidRPr="002E6ECA">
        <w:rPr>
          <w:sz w:val="28"/>
          <w:szCs w:val="28"/>
          <w:lang w:val="uk-UA"/>
        </w:rPr>
        <w:t>7</w:t>
      </w:r>
      <w:r w:rsidRPr="002E6ECA">
        <w:rPr>
          <w:sz w:val="28"/>
          <w:szCs w:val="28"/>
          <w:lang w:val="uk-UA"/>
        </w:rPr>
        <w:t>).</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771"/>
        <w:gridCol w:w="4800"/>
      </w:tblGrid>
      <w:tr w:rsidR="002060DA" w:rsidRPr="002E6ECA" w:rsidTr="00954AF9">
        <w:trPr>
          <w:trHeight w:val="373"/>
        </w:trPr>
        <w:tc>
          <w:tcPr>
            <w:tcW w:w="4771" w:type="dxa"/>
            <w:shd w:val="clear" w:color="auto" w:fill="auto"/>
          </w:tcPr>
          <w:p w:rsidR="00671012" w:rsidRPr="002E6ECA" w:rsidRDefault="00671012" w:rsidP="00083817">
            <w:pPr>
              <w:jc w:val="center"/>
              <w:rPr>
                <w:sz w:val="26"/>
                <w:szCs w:val="26"/>
                <w:lang w:val="uk-UA" w:eastAsia="uk-UA"/>
              </w:rPr>
            </w:pPr>
            <w:r w:rsidRPr="002E6ECA">
              <w:rPr>
                <w:noProof/>
                <w:sz w:val="26"/>
                <w:szCs w:val="26"/>
                <w:lang w:val="uk-UA" w:eastAsia="uk-UA"/>
              </w:rPr>
              <w:drawing>
                <wp:inline distT="0" distB="0" distL="0" distR="0" wp14:anchorId="60C3C3EE" wp14:editId="51407646">
                  <wp:extent cx="2518012" cy="1999397"/>
                  <wp:effectExtent l="0" t="0" r="15875" b="20320"/>
                  <wp:docPr id="237"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00083817" w:rsidRPr="002E6ECA">
              <w:rPr>
                <w:sz w:val="26"/>
                <w:szCs w:val="26"/>
                <w:lang w:val="uk-UA" w:eastAsia="uk-UA"/>
              </w:rPr>
              <w:t xml:space="preserve">      </w:t>
            </w:r>
            <w:r w:rsidRPr="002E6ECA">
              <w:rPr>
                <w:sz w:val="26"/>
                <w:szCs w:val="26"/>
                <w:lang w:val="uk-UA" w:eastAsia="uk-UA"/>
              </w:rPr>
              <w:t>а) жирової тканини</w:t>
            </w:r>
          </w:p>
        </w:tc>
        <w:tc>
          <w:tcPr>
            <w:tcW w:w="4800" w:type="dxa"/>
            <w:shd w:val="clear" w:color="auto" w:fill="auto"/>
          </w:tcPr>
          <w:p w:rsidR="00671012" w:rsidRPr="002E6ECA" w:rsidRDefault="00671012" w:rsidP="00954AF9">
            <w:pPr>
              <w:ind w:firstLine="49"/>
              <w:jc w:val="center"/>
              <w:rPr>
                <w:sz w:val="26"/>
                <w:szCs w:val="26"/>
                <w:lang w:val="uk-UA" w:eastAsia="uk-UA"/>
              </w:rPr>
            </w:pPr>
            <w:r w:rsidRPr="002E6ECA">
              <w:rPr>
                <w:noProof/>
                <w:sz w:val="26"/>
                <w:szCs w:val="26"/>
                <w:lang w:val="uk-UA" w:eastAsia="uk-UA"/>
              </w:rPr>
              <w:drawing>
                <wp:inline distT="0" distB="0" distL="0" distR="0" wp14:anchorId="31063C17" wp14:editId="573BFDF8">
                  <wp:extent cx="2456597" cy="1999397"/>
                  <wp:effectExtent l="0" t="0" r="20320" b="20320"/>
                  <wp:docPr id="238"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00954AF9" w:rsidRPr="002E6ECA">
              <w:rPr>
                <w:sz w:val="26"/>
                <w:szCs w:val="26"/>
                <w:lang w:val="uk-UA" w:eastAsia="uk-UA"/>
              </w:rPr>
              <w:t xml:space="preserve">       </w:t>
            </w:r>
            <w:r w:rsidRPr="002E6ECA">
              <w:rPr>
                <w:sz w:val="26"/>
                <w:szCs w:val="26"/>
                <w:lang w:val="uk-UA" w:eastAsia="uk-UA"/>
              </w:rPr>
              <w:t>б) м’язової тканини</w:t>
            </w:r>
          </w:p>
        </w:tc>
      </w:tr>
      <w:tr w:rsidR="0006110E" w:rsidRPr="002E6ECA" w:rsidTr="00954AF9">
        <w:trPr>
          <w:trHeight w:val="486"/>
        </w:trPr>
        <w:tc>
          <w:tcPr>
            <w:tcW w:w="9571" w:type="dxa"/>
            <w:gridSpan w:val="2"/>
            <w:shd w:val="clear" w:color="auto" w:fill="auto"/>
          </w:tcPr>
          <w:p w:rsidR="00671012" w:rsidRPr="002E6ECA" w:rsidRDefault="00671012" w:rsidP="00671012">
            <w:pPr>
              <w:spacing w:line="360" w:lineRule="auto"/>
              <w:ind w:firstLine="709"/>
              <w:jc w:val="center"/>
              <w:rPr>
                <w:sz w:val="26"/>
                <w:szCs w:val="26"/>
                <w:lang w:val="uk-UA" w:eastAsia="uk-UA"/>
              </w:rPr>
            </w:pPr>
            <w:r w:rsidRPr="002E6ECA">
              <w:rPr>
                <w:noProof/>
                <w:sz w:val="26"/>
                <w:szCs w:val="26"/>
                <w:lang w:val="uk-UA" w:eastAsia="uk-UA"/>
              </w:rPr>
              <w:drawing>
                <wp:inline distT="0" distB="0" distL="0" distR="0" wp14:anchorId="338AF51A" wp14:editId="74E9B066">
                  <wp:extent cx="187569" cy="203200"/>
                  <wp:effectExtent l="0" t="0" r="3175" b="6350"/>
                  <wp:docPr id="239" name="Рисунок 2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rotWithShape="1">
                          <a:blip r:embed="rId35">
                            <a:extLst>
                              <a:ext uri="{28A0092B-C50C-407E-A947-70E740481C1C}">
                                <a14:useLocalDpi xmlns:a14="http://schemas.microsoft.com/office/drawing/2010/main" val="0"/>
                              </a:ext>
                            </a:extLst>
                          </a:blip>
                          <a:srcRect l="68951" t="47794" r="25811" b="40573"/>
                          <a:stretch/>
                        </pic:blipFill>
                        <pic:spPr bwMode="auto">
                          <a:xfrm>
                            <a:off x="0" y="0"/>
                            <a:ext cx="187627" cy="203263"/>
                          </a:xfrm>
                          <a:prstGeom prst="rect">
                            <a:avLst/>
                          </a:prstGeom>
                          <a:noFill/>
                          <a:ln>
                            <a:noFill/>
                          </a:ln>
                          <a:extLst>
                            <a:ext uri="{53640926-AAD7-44D8-BBD7-CCE9431645EC}">
                              <a14:shadowObscured xmlns:a14="http://schemas.microsoft.com/office/drawing/2010/main"/>
                            </a:ext>
                          </a:extLst>
                        </pic:spPr>
                      </pic:pic>
                    </a:graphicData>
                  </a:graphic>
                </wp:inline>
              </w:drawing>
            </w:r>
            <w:r w:rsidRPr="002E6ECA">
              <w:rPr>
                <w:sz w:val="26"/>
                <w:szCs w:val="26"/>
                <w:lang w:val="uk-UA" w:eastAsia="uk-UA"/>
              </w:rPr>
              <w:t xml:space="preserve"> </w:t>
            </w:r>
            <w:r w:rsidRPr="002E6ECA">
              <w:rPr>
                <w:sz w:val="26"/>
                <w:szCs w:val="26"/>
                <w:lang w:val="uk-UA"/>
              </w:rPr>
              <w:t>–</w:t>
            </w:r>
            <w:r w:rsidRPr="002E6ECA">
              <w:rPr>
                <w:sz w:val="26"/>
                <w:szCs w:val="26"/>
                <w:lang w:val="uk-UA" w:eastAsia="uk-UA"/>
              </w:rPr>
              <w:t xml:space="preserve"> прогнозоване значення</w:t>
            </w:r>
          </w:p>
        </w:tc>
      </w:tr>
    </w:tbl>
    <w:p w:rsidR="00671012" w:rsidRPr="002E6ECA" w:rsidRDefault="00671012" w:rsidP="00954AF9">
      <w:pPr>
        <w:spacing w:line="360" w:lineRule="auto"/>
        <w:ind w:firstLine="709"/>
        <w:jc w:val="both"/>
        <w:rPr>
          <w:spacing w:val="-4"/>
          <w:sz w:val="28"/>
          <w:szCs w:val="28"/>
          <w:lang w:val="uk-UA"/>
        </w:rPr>
      </w:pPr>
      <w:r w:rsidRPr="002E6ECA">
        <w:rPr>
          <w:spacing w:val="-4"/>
          <w:sz w:val="28"/>
          <w:szCs w:val="28"/>
          <w:lang w:val="uk-UA"/>
        </w:rPr>
        <w:t>Рис. 3.</w:t>
      </w:r>
      <w:r w:rsidR="00A65FFA" w:rsidRPr="002E6ECA">
        <w:rPr>
          <w:spacing w:val="-4"/>
          <w:sz w:val="28"/>
          <w:szCs w:val="28"/>
          <w:lang w:val="uk-UA"/>
        </w:rPr>
        <w:t>7</w:t>
      </w:r>
      <w:r w:rsidRPr="002E6ECA">
        <w:rPr>
          <w:spacing w:val="-4"/>
          <w:sz w:val="28"/>
          <w:szCs w:val="28"/>
          <w:lang w:val="uk-UA"/>
        </w:rPr>
        <w:t>. Генералізована змішана лінійна модель компонентного складу тіла</w:t>
      </w:r>
    </w:p>
    <w:p w:rsidR="00671012" w:rsidRPr="002E6ECA" w:rsidRDefault="00671012" w:rsidP="00671012">
      <w:pPr>
        <w:spacing w:line="360" w:lineRule="auto"/>
        <w:ind w:firstLine="709"/>
        <w:jc w:val="both"/>
        <w:rPr>
          <w:sz w:val="28"/>
          <w:szCs w:val="28"/>
          <w:lang w:val="uk-UA"/>
        </w:rPr>
      </w:pPr>
      <w:r w:rsidRPr="002E6ECA">
        <w:rPr>
          <w:sz w:val="28"/>
          <w:szCs w:val="28"/>
          <w:lang w:val="uk-UA"/>
        </w:rPr>
        <w:t>За даними t-тесту обидві отримані моделі ідентичні результатам натурних досліджень (табл. 3.2).</w:t>
      </w:r>
    </w:p>
    <w:p w:rsidR="00671012" w:rsidRPr="002E6ECA" w:rsidRDefault="00671012" w:rsidP="00671012">
      <w:pPr>
        <w:spacing w:line="360" w:lineRule="auto"/>
        <w:ind w:firstLine="709"/>
        <w:jc w:val="right"/>
        <w:rPr>
          <w:sz w:val="28"/>
          <w:szCs w:val="28"/>
          <w:lang w:val="uk-UA"/>
        </w:rPr>
      </w:pPr>
      <w:r w:rsidRPr="002E6ECA">
        <w:rPr>
          <w:i/>
          <w:sz w:val="28"/>
          <w:szCs w:val="28"/>
          <w:lang w:val="uk-UA"/>
        </w:rPr>
        <w:lastRenderedPageBreak/>
        <w:t>Таблиця 3.2</w:t>
      </w:r>
      <w:r w:rsidRPr="002E6ECA">
        <w:rPr>
          <w:sz w:val="28"/>
          <w:szCs w:val="28"/>
          <w:lang w:val="uk-UA"/>
        </w:rPr>
        <w:t xml:space="preserve"> </w:t>
      </w:r>
    </w:p>
    <w:p w:rsidR="00671012" w:rsidRPr="002E6ECA" w:rsidRDefault="00671012" w:rsidP="00671012">
      <w:pPr>
        <w:spacing w:line="360" w:lineRule="auto"/>
        <w:ind w:firstLine="709"/>
        <w:jc w:val="center"/>
        <w:rPr>
          <w:b/>
          <w:sz w:val="28"/>
          <w:szCs w:val="28"/>
          <w:lang w:val="uk-UA"/>
        </w:rPr>
      </w:pPr>
      <w:r w:rsidRPr="002E6ECA">
        <w:rPr>
          <w:b/>
          <w:sz w:val="28"/>
          <w:szCs w:val="28"/>
          <w:lang w:val="uk-UA"/>
        </w:rPr>
        <w:t>Результати t-тесту отриманих генералізованих змішаних лінійних моделей</w:t>
      </w:r>
    </w:p>
    <w:tbl>
      <w:tblPr>
        <w:tblW w:w="9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6"/>
        <w:gridCol w:w="1346"/>
        <w:gridCol w:w="1347"/>
        <w:gridCol w:w="1347"/>
        <w:gridCol w:w="1346"/>
        <w:gridCol w:w="1347"/>
        <w:gridCol w:w="1347"/>
      </w:tblGrid>
      <w:tr w:rsidR="00671012" w:rsidRPr="002E6ECA" w:rsidTr="00671012">
        <w:tc>
          <w:tcPr>
            <w:tcW w:w="1446" w:type="dxa"/>
            <w:vMerge w:val="restart"/>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rPr>
                <w:sz w:val="28"/>
                <w:szCs w:val="28"/>
                <w:lang w:val="uk-UA"/>
              </w:rPr>
            </w:pPr>
            <w:r w:rsidRPr="002E6ECA">
              <w:rPr>
                <w:sz w:val="28"/>
                <w:szCs w:val="28"/>
                <w:lang w:val="uk-UA"/>
              </w:rPr>
              <w:t>Компонент складу тіла</w:t>
            </w:r>
          </w:p>
        </w:tc>
        <w:tc>
          <w:tcPr>
            <w:tcW w:w="2693" w:type="dxa"/>
            <w:gridSpan w:val="2"/>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Середнє значення</w:t>
            </w:r>
          </w:p>
        </w:tc>
        <w:tc>
          <w:tcPr>
            <w:tcW w:w="2693" w:type="dxa"/>
            <w:gridSpan w:val="2"/>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Стандартне відхилення</w:t>
            </w:r>
          </w:p>
        </w:tc>
        <w:tc>
          <w:tcPr>
            <w:tcW w:w="2694" w:type="dxa"/>
            <w:gridSpan w:val="2"/>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Стандартна похибка</w:t>
            </w:r>
          </w:p>
        </w:tc>
      </w:tr>
      <w:tr w:rsidR="00671012" w:rsidRPr="002E6ECA" w:rsidTr="00671012">
        <w:tc>
          <w:tcPr>
            <w:tcW w:w="1446" w:type="dxa"/>
            <w:vMerge/>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rPr>
                <w:sz w:val="28"/>
                <w:szCs w:val="28"/>
                <w:lang w:val="uk-UA"/>
              </w:rPr>
            </w:pPr>
          </w:p>
        </w:tc>
        <w:tc>
          <w:tcPr>
            <w:tcW w:w="13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Вимірю-вання</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Модель</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Вимірю-вання</w:t>
            </w:r>
          </w:p>
        </w:tc>
        <w:tc>
          <w:tcPr>
            <w:tcW w:w="13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Модель</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Вимірю-вання</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Модель</w:t>
            </w:r>
          </w:p>
        </w:tc>
      </w:tr>
      <w:tr w:rsidR="00671012" w:rsidRPr="002E6ECA" w:rsidTr="00671012">
        <w:tc>
          <w:tcPr>
            <w:tcW w:w="14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rPr>
                <w:sz w:val="28"/>
                <w:szCs w:val="28"/>
                <w:lang w:val="uk-UA"/>
              </w:rPr>
            </w:pPr>
            <w:r w:rsidRPr="002E6ECA">
              <w:rPr>
                <w:sz w:val="28"/>
                <w:szCs w:val="28"/>
                <w:lang w:val="uk-UA"/>
              </w:rPr>
              <w:t>Вміст жирової тканини</w:t>
            </w:r>
          </w:p>
        </w:tc>
        <w:tc>
          <w:tcPr>
            <w:tcW w:w="13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19,51</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19,51</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6,65</w:t>
            </w:r>
          </w:p>
        </w:tc>
        <w:tc>
          <w:tcPr>
            <w:tcW w:w="13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5,08</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0,83</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0,64</w:t>
            </w:r>
          </w:p>
        </w:tc>
      </w:tr>
      <w:tr w:rsidR="00671012" w:rsidRPr="002E6ECA" w:rsidTr="00671012">
        <w:tc>
          <w:tcPr>
            <w:tcW w:w="14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rPr>
                <w:sz w:val="28"/>
                <w:szCs w:val="28"/>
                <w:lang w:val="uk-UA"/>
              </w:rPr>
            </w:pPr>
            <w:r w:rsidRPr="002E6ECA">
              <w:rPr>
                <w:sz w:val="28"/>
                <w:szCs w:val="28"/>
                <w:lang w:val="uk-UA"/>
              </w:rPr>
              <w:t>Вміст м’язової тканини</w:t>
            </w:r>
          </w:p>
        </w:tc>
        <w:tc>
          <w:tcPr>
            <w:tcW w:w="13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34,96</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34,96</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3,14</w:t>
            </w:r>
          </w:p>
        </w:tc>
        <w:tc>
          <w:tcPr>
            <w:tcW w:w="1346"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1,98</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0,39</w:t>
            </w:r>
          </w:p>
        </w:tc>
        <w:tc>
          <w:tcPr>
            <w:tcW w:w="1347" w:type="dxa"/>
            <w:shd w:val="clear" w:color="auto" w:fill="auto"/>
            <w:tcMar>
              <w:left w:w="28" w:type="dxa"/>
              <w:right w:w="28" w:type="dxa"/>
            </w:tcMar>
            <w:vAlign w:val="center"/>
          </w:tcPr>
          <w:p w:rsidR="00671012" w:rsidRPr="002E6ECA" w:rsidRDefault="00671012" w:rsidP="00954AF9">
            <w:pPr>
              <w:autoSpaceDE w:val="0"/>
              <w:autoSpaceDN w:val="0"/>
              <w:adjustRightInd w:val="0"/>
              <w:spacing w:line="312" w:lineRule="auto"/>
              <w:ind w:right="60"/>
              <w:jc w:val="center"/>
              <w:rPr>
                <w:sz w:val="28"/>
                <w:szCs w:val="28"/>
                <w:lang w:val="uk-UA"/>
              </w:rPr>
            </w:pPr>
            <w:r w:rsidRPr="002E6ECA">
              <w:rPr>
                <w:sz w:val="28"/>
                <w:szCs w:val="28"/>
                <w:lang w:val="uk-UA"/>
              </w:rPr>
              <w:t>0,25</w:t>
            </w:r>
          </w:p>
        </w:tc>
      </w:tr>
    </w:tbl>
    <w:p w:rsidR="00671012" w:rsidRPr="002E6ECA" w:rsidRDefault="00671012" w:rsidP="00671012">
      <w:pPr>
        <w:spacing w:line="360" w:lineRule="auto"/>
        <w:ind w:firstLine="709"/>
        <w:jc w:val="both"/>
        <w:rPr>
          <w:sz w:val="28"/>
          <w:szCs w:val="28"/>
          <w:lang w:val="uk-UA"/>
        </w:rPr>
      </w:pPr>
    </w:p>
    <w:p w:rsidR="00954AF9" w:rsidRPr="002E6ECA" w:rsidRDefault="00954AF9" w:rsidP="00954AF9">
      <w:pPr>
        <w:spacing w:line="360" w:lineRule="auto"/>
        <w:ind w:firstLine="709"/>
        <w:jc w:val="both"/>
        <w:rPr>
          <w:sz w:val="28"/>
          <w:szCs w:val="28"/>
          <w:lang w:val="uk-UA"/>
        </w:rPr>
      </w:pPr>
      <w:r w:rsidRPr="002E6ECA">
        <w:rPr>
          <w:sz w:val="28"/>
          <w:szCs w:val="28"/>
          <w:lang w:val="uk-UA"/>
        </w:rPr>
        <w:t xml:space="preserve">У даний час у світі широко розповсюджено оцінювання харчового статусу за ІМТ. Існують центильні таблиці та z-score ВООЗ, які включено у тому числі до </w:t>
      </w:r>
      <w:r w:rsidRPr="002E6ECA">
        <w:rPr>
          <w:bCs/>
          <w:sz w:val="28"/>
          <w:szCs w:val="28"/>
          <w:lang w:val="uk-UA"/>
        </w:rPr>
        <w:t>протоколів надання медичної допомоги дітям за спеціальністю «Дитяча ендокринологія» в Україні. А</w:t>
      </w:r>
      <w:r w:rsidRPr="002E6ECA">
        <w:rPr>
          <w:sz w:val="28"/>
          <w:szCs w:val="28"/>
          <w:lang w:val="uk-UA"/>
        </w:rPr>
        <w:t>ле цей індекс є орієнтовним параметром, так як не дозволяє визначити, за рахунок яких компонентів змінений склад тіла [</w:t>
      </w:r>
      <w:r w:rsidR="00770E8A" w:rsidRPr="002E6ECA">
        <w:rPr>
          <w:sz w:val="28"/>
          <w:szCs w:val="28"/>
          <w:lang w:val="uk-UA"/>
        </w:rPr>
        <w:t>485,</w:t>
      </w:r>
      <w:r w:rsidR="00770E8A" w:rsidRPr="002E6ECA">
        <w:t xml:space="preserve"> </w:t>
      </w:r>
      <w:r w:rsidR="00770E8A" w:rsidRPr="002E6ECA">
        <w:rPr>
          <w:sz w:val="28"/>
          <w:szCs w:val="28"/>
        </w:rPr>
        <w:t>506</w:t>
      </w:r>
      <w:r w:rsidRPr="002E6ECA">
        <w:rPr>
          <w:sz w:val="28"/>
          <w:szCs w:val="28"/>
          <w:lang w:val="uk-UA"/>
        </w:rPr>
        <w:t>]. ІМТ, що можна вважати аналогом гармонійності фізичного розвитку, на відміну від українського стандарту не враховує усіх антропометричних параметрів, але може використовуватися як орієнтовний та, при цьому, зручний та швидкий спосіб оцінки. Японськими дослідниками також констатується відсутність єдиного міжнародного методу визначення дитячого ожиріння і, на відміну від інших країн, де використовуються вікові перцентилі BMI або Z-score (standard deviation), рекомендований відсоток надлишкової маси (POW). Він точніше дозволяє оцінити групи ризику щодо розвитку або наявності ожиріння і виключає характерні для ІМТ похибки на зріст: трактування надлишкової ваги при високому зрості та недостатньої маси тіла – при низькому [</w:t>
      </w:r>
      <w:r w:rsidR="00770E8A" w:rsidRPr="002E6ECA">
        <w:rPr>
          <w:sz w:val="28"/>
          <w:szCs w:val="28"/>
          <w:lang w:val="uk-UA"/>
        </w:rPr>
        <w:t>328</w:t>
      </w:r>
      <w:r w:rsidRPr="002E6ECA">
        <w:rPr>
          <w:sz w:val="28"/>
          <w:szCs w:val="28"/>
          <w:lang w:val="uk-UA"/>
        </w:rPr>
        <w:t xml:space="preserve">]. </w:t>
      </w:r>
    </w:p>
    <w:p w:rsidR="00954AF9" w:rsidRPr="002E6ECA" w:rsidRDefault="00954AF9" w:rsidP="00954AF9">
      <w:pPr>
        <w:spacing w:line="360" w:lineRule="auto"/>
        <w:ind w:firstLine="709"/>
        <w:jc w:val="both"/>
        <w:rPr>
          <w:sz w:val="28"/>
          <w:szCs w:val="28"/>
          <w:u w:val="single"/>
          <w:lang w:val="uk-UA"/>
        </w:rPr>
      </w:pPr>
      <w:r w:rsidRPr="002E6ECA">
        <w:rPr>
          <w:sz w:val="28"/>
          <w:szCs w:val="28"/>
          <w:lang w:val="uk-UA"/>
        </w:rPr>
        <w:lastRenderedPageBreak/>
        <w:t>Проте у Китаї за дослідженнями понад 5000 дітей віком від 7 до 18 років розроблено власні процентилі ІМТ, які ще потребують уточнення відповідності між різними дослідженнями у поздовжньому дослідженні [</w:t>
      </w:r>
      <w:r w:rsidR="00CF1C2E" w:rsidRPr="002E6ECA">
        <w:rPr>
          <w:sz w:val="28"/>
          <w:szCs w:val="28"/>
          <w:lang w:val="uk-UA"/>
        </w:rPr>
        <w:t>468</w:t>
      </w:r>
      <w:r w:rsidRPr="002E6ECA">
        <w:rPr>
          <w:sz w:val="28"/>
          <w:szCs w:val="28"/>
          <w:lang w:val="uk-UA"/>
        </w:rPr>
        <w:t xml:space="preserve">]. </w:t>
      </w:r>
    </w:p>
    <w:p w:rsidR="00954AF9" w:rsidRPr="002E6ECA" w:rsidRDefault="00954AF9" w:rsidP="00954AF9">
      <w:pPr>
        <w:spacing w:line="360" w:lineRule="auto"/>
        <w:ind w:firstLine="709"/>
        <w:jc w:val="both"/>
        <w:rPr>
          <w:sz w:val="28"/>
          <w:szCs w:val="28"/>
          <w:lang w:val="uk-UA"/>
        </w:rPr>
      </w:pPr>
      <w:r w:rsidRPr="002E6ECA">
        <w:rPr>
          <w:sz w:val="28"/>
          <w:szCs w:val="28"/>
          <w:lang w:val="uk-UA"/>
        </w:rPr>
        <w:t>Спроби впровадження власних національних нормативів для оцінки фізичного розвитку відображені у світових наукових публікаціях і констатують широкий діапазон її критеріїв. Так, доведено інформативність оцінки окружності талії для скринінгового дослідження дітей з високим метаболічним ризиком та розроблено орієнтовні процентильні криві за результатами дослідження сінгапурських антропологів [</w:t>
      </w:r>
      <w:r w:rsidR="00CF1C2E" w:rsidRPr="002E6ECA">
        <w:rPr>
          <w:sz w:val="28"/>
          <w:szCs w:val="28"/>
          <w:lang w:val="uk-UA"/>
        </w:rPr>
        <w:t>414</w:t>
      </w:r>
      <w:r w:rsidRPr="002E6ECA">
        <w:rPr>
          <w:sz w:val="28"/>
          <w:szCs w:val="28"/>
          <w:lang w:val="uk-UA"/>
        </w:rPr>
        <w:t>]. Kromeyer-Hauschild та співавторами складено центильні таблиці для тріцепсу та підкапсулярної шкірної складки учнів молодшого та середнього шкільного віку Германії. Розраховано центильні криві товщини шкіряної складки (SFT) на п’яти показниках для канадських дітей віком 6-19 років [</w:t>
      </w:r>
      <w:r w:rsidR="00CF1C2E" w:rsidRPr="002E6ECA">
        <w:rPr>
          <w:sz w:val="28"/>
          <w:szCs w:val="28"/>
          <w:lang w:val="uk-UA"/>
        </w:rPr>
        <w:t>383</w:t>
      </w:r>
      <w:r w:rsidRPr="002E6ECA">
        <w:rPr>
          <w:sz w:val="28"/>
          <w:szCs w:val="28"/>
          <w:lang w:val="uk-UA"/>
        </w:rPr>
        <w:t>], у Японії</w:t>
      </w:r>
      <w:r w:rsidR="00AD5091" w:rsidRPr="002E6ECA">
        <w:rPr>
          <w:sz w:val="28"/>
          <w:szCs w:val="28"/>
          <w:lang w:val="uk-UA"/>
        </w:rPr>
        <w:t xml:space="preserve"> </w:t>
      </w:r>
      <w:r w:rsidRPr="002E6ECA">
        <w:rPr>
          <w:sz w:val="28"/>
          <w:szCs w:val="28"/>
          <w:lang w:val="uk-UA"/>
        </w:rPr>
        <w:t>впроваджено відсоток надлишкової маси [</w:t>
      </w:r>
      <w:r w:rsidR="00CF1C2E" w:rsidRPr="002E6ECA">
        <w:rPr>
          <w:sz w:val="28"/>
          <w:szCs w:val="28"/>
          <w:lang w:val="uk-UA"/>
        </w:rPr>
        <w:t>328</w:t>
      </w:r>
      <w:r w:rsidRPr="002E6ECA">
        <w:rPr>
          <w:sz w:val="28"/>
          <w:szCs w:val="28"/>
          <w:lang w:val="uk-UA"/>
        </w:rPr>
        <w:t xml:space="preserve">]. </w:t>
      </w:r>
    </w:p>
    <w:p w:rsidR="00954AF9" w:rsidRPr="002E6ECA" w:rsidRDefault="00954AF9" w:rsidP="00954AF9">
      <w:pPr>
        <w:spacing w:line="360" w:lineRule="auto"/>
        <w:ind w:firstLine="709"/>
        <w:jc w:val="both"/>
        <w:rPr>
          <w:sz w:val="28"/>
          <w:szCs w:val="28"/>
          <w:lang w:val="uk-UA"/>
        </w:rPr>
      </w:pPr>
      <w:r w:rsidRPr="002E6ECA">
        <w:rPr>
          <w:sz w:val="28"/>
          <w:szCs w:val="28"/>
          <w:lang w:val="uk-UA"/>
        </w:rPr>
        <w:t>Згідно з концепцією ВООЗ ІМТ може використовуватися і для оцінки харчового статусу дітей та дорослих. За результатами оцінки харчового статусу за ІМТ встановлено, що серед студентів жіночої статі був приблизно однаковий розподіл між звичайним (нормотрофія) та недостатнім (гіпотрофія) харчовим статусом (відповідно 53% та 47%). Подібне співвідношення визначалось і серед студентів-чоловіків, але між нормотрофами та гіпертрофами.</w:t>
      </w:r>
    </w:p>
    <w:p w:rsidR="00954AF9" w:rsidRPr="002E6ECA" w:rsidRDefault="00954AF9" w:rsidP="00954AF9">
      <w:pPr>
        <w:spacing w:line="360" w:lineRule="auto"/>
        <w:ind w:firstLine="709"/>
        <w:jc w:val="both"/>
        <w:rPr>
          <w:sz w:val="28"/>
          <w:szCs w:val="28"/>
          <w:lang w:val="uk-UA"/>
        </w:rPr>
      </w:pPr>
      <w:r w:rsidRPr="002E6ECA">
        <w:rPr>
          <w:sz w:val="28"/>
          <w:szCs w:val="28"/>
          <w:lang w:val="uk-UA"/>
        </w:rPr>
        <w:t xml:space="preserve">Оцінка харчового статусу серед 1894 учнів середнього шкільного віку за допомогою індексу Кетле встановила, що понад 50% дітей мають звичайний харчовий статус незалежно від віку та статі (за винятком 10-річних хлопців). Питома вага дівчаток із гіпертрофією знижувалась упродовж навчання у базовій школі з 27,7% до 12,5%, а з гіпотрофією – залишалась майже незмінною. Для хлопців частота реєстрації гіпертрофії була у 1,5 рази частіше, але мала таку ж саму тенденцію до поступового зниження з 48,9% у 10-річних школярів до 23,0% </w:t>
      </w:r>
      <w:r w:rsidR="003A3BAC" w:rsidRPr="002E6ECA">
        <w:rPr>
          <w:sz w:val="28"/>
          <w:szCs w:val="28"/>
          <w:lang w:val="uk-UA"/>
        </w:rPr>
        <w:t>–</w:t>
      </w:r>
      <w:r w:rsidRPr="002E6ECA">
        <w:rPr>
          <w:sz w:val="28"/>
          <w:szCs w:val="28"/>
          <w:lang w:val="uk-UA"/>
        </w:rPr>
        <w:t xml:space="preserve"> у 15 років (р&lt;0,05). </w:t>
      </w:r>
    </w:p>
    <w:p w:rsidR="003A3BAC" w:rsidRPr="002E6ECA" w:rsidRDefault="003A3BAC" w:rsidP="003A3BAC">
      <w:pPr>
        <w:spacing w:line="360" w:lineRule="auto"/>
        <w:ind w:firstLine="709"/>
        <w:jc w:val="both"/>
        <w:rPr>
          <w:sz w:val="28"/>
          <w:szCs w:val="28"/>
          <w:lang w:val="uk-UA"/>
        </w:rPr>
      </w:pPr>
      <w:r w:rsidRPr="002E6ECA">
        <w:rPr>
          <w:sz w:val="28"/>
          <w:szCs w:val="28"/>
          <w:lang w:val="uk-UA"/>
        </w:rPr>
        <w:t xml:space="preserve">Динамічні спостереження показників фактичного харчування українського населення, а також аналіз статистичних даних Держкомстату </w:t>
      </w:r>
      <w:r w:rsidRPr="002E6ECA">
        <w:rPr>
          <w:sz w:val="28"/>
          <w:szCs w:val="28"/>
          <w:lang w:val="uk-UA"/>
        </w:rPr>
        <w:lastRenderedPageBreak/>
        <w:t>України свідчать про суттєве зниження рівня споживання продуктів тваринного походження, свіжих фруктів та овочів, рослинної олії. Визначається як кількісне, так і якісне погіршення добового раціону з дисбалансом нутрієнтів [</w:t>
      </w:r>
      <w:r w:rsidR="00CF1C2E" w:rsidRPr="002E6ECA">
        <w:rPr>
          <w:sz w:val="28"/>
          <w:szCs w:val="28"/>
          <w:lang w:val="uk-UA"/>
        </w:rPr>
        <w:t>25</w:t>
      </w:r>
      <w:r w:rsidRPr="002E6ECA">
        <w:rPr>
          <w:sz w:val="28"/>
          <w:szCs w:val="28"/>
          <w:lang w:val="uk-UA"/>
        </w:rPr>
        <w:t xml:space="preserve">, </w:t>
      </w:r>
      <w:r w:rsidR="00CF1C2E" w:rsidRPr="002E6ECA">
        <w:rPr>
          <w:sz w:val="28"/>
          <w:szCs w:val="28"/>
          <w:lang w:val="uk-UA"/>
        </w:rPr>
        <w:t>98</w:t>
      </w:r>
      <w:r w:rsidRPr="002E6ECA">
        <w:rPr>
          <w:sz w:val="28"/>
          <w:szCs w:val="28"/>
          <w:lang w:val="uk-UA"/>
        </w:rPr>
        <w:t>].</w:t>
      </w:r>
    </w:p>
    <w:p w:rsidR="00954AF9" w:rsidRPr="002E6ECA" w:rsidRDefault="00954AF9" w:rsidP="00954AF9">
      <w:pPr>
        <w:spacing w:line="360" w:lineRule="auto"/>
        <w:ind w:firstLine="709"/>
        <w:jc w:val="both"/>
        <w:rPr>
          <w:sz w:val="28"/>
          <w:szCs w:val="28"/>
          <w:lang w:val="uk-UA"/>
        </w:rPr>
      </w:pPr>
      <w:r w:rsidRPr="002E6ECA">
        <w:rPr>
          <w:sz w:val="28"/>
          <w:szCs w:val="28"/>
          <w:lang w:val="uk-UA"/>
        </w:rPr>
        <w:t xml:space="preserve">Оцінка харчового раціону студентів продемонструвала наступне: для студентів з нормотрофією більш характерний відповідний до їх фізіологічних потреб калораж добового раціону; тваринний білок понад рекомендованої норми споживає 81,8% хлопців гіпертрофів, 88,9% нормотрофів та 96,4% гіпотрофів. Серед дівчат визначається наступний розподіл гіпертрофи – 92,0% , нормотрофи – 88,0% та гіпотрофи – 100,0% більше норми вживають білків тваринного походження. Жири хлопці гіпертрофи та нормотрофи споживають більше 75,0% та 63,6% відповідно, а хлопці гіпотрофи – однаково на 40% більше норми та менше вікової норми. Дівчата незалежно від від типу харчового статусу споживають жирів більше вікової норми. </w:t>
      </w:r>
    </w:p>
    <w:p w:rsidR="00954AF9" w:rsidRPr="002E6ECA" w:rsidRDefault="00954AF9" w:rsidP="00954AF9">
      <w:pPr>
        <w:spacing w:line="360" w:lineRule="auto"/>
        <w:ind w:firstLine="709"/>
        <w:jc w:val="both"/>
        <w:rPr>
          <w:sz w:val="28"/>
          <w:szCs w:val="28"/>
          <w:lang w:val="uk-UA"/>
        </w:rPr>
      </w:pPr>
      <w:r w:rsidRPr="002E6ECA">
        <w:rPr>
          <w:sz w:val="28"/>
          <w:szCs w:val="28"/>
          <w:lang w:val="uk-UA"/>
        </w:rPr>
        <w:t xml:space="preserve">Проте застосувати подібну методику для оцінки харчового статусу серед учнів середнього шкільного віку не є можливим у зв’язку з її трудомісткістю, хоча навчальною програмою з біології і передбачений розрахунок калорійності та вмісту макронутрієнтів у раціоні. Для застосування його серед школярів потрібно залучати батьків та медперсонал школи, що унеможливлюється в умовах реформування системи медичного обслуговування школярів і рівня кадрової забезпеченості первинної ланки медичної допомоги. </w:t>
      </w:r>
    </w:p>
    <w:p w:rsidR="00671012" w:rsidRPr="002E6ECA" w:rsidRDefault="00671012" w:rsidP="00671012">
      <w:pPr>
        <w:spacing w:line="360" w:lineRule="auto"/>
        <w:ind w:firstLine="709"/>
        <w:jc w:val="both"/>
        <w:rPr>
          <w:lang w:val="uk-UA"/>
        </w:rPr>
      </w:pPr>
    </w:p>
    <w:p w:rsidR="00671012" w:rsidRPr="002E6ECA" w:rsidRDefault="00671012" w:rsidP="002060DA">
      <w:pPr>
        <w:spacing w:line="360" w:lineRule="auto"/>
        <w:ind w:firstLine="709"/>
        <w:jc w:val="both"/>
        <w:rPr>
          <w:b/>
          <w:sz w:val="28"/>
          <w:szCs w:val="28"/>
          <w:lang w:val="uk-UA"/>
        </w:rPr>
      </w:pPr>
      <w:r w:rsidRPr="002E6ECA">
        <w:rPr>
          <w:b/>
          <w:sz w:val="28"/>
          <w:szCs w:val="28"/>
          <w:lang w:val="uk-UA"/>
        </w:rPr>
        <w:t>3.2. Стан здоров’я учнів базової школи</w:t>
      </w:r>
    </w:p>
    <w:p w:rsidR="00671012" w:rsidRPr="002E6ECA" w:rsidRDefault="00671012" w:rsidP="00671012">
      <w:pPr>
        <w:spacing w:line="360" w:lineRule="auto"/>
        <w:ind w:firstLine="709"/>
        <w:jc w:val="both"/>
        <w:rPr>
          <w:sz w:val="28"/>
          <w:szCs w:val="28"/>
          <w:lang w:val="uk-UA"/>
        </w:rPr>
      </w:pPr>
      <w:r w:rsidRPr="002E6ECA">
        <w:rPr>
          <w:sz w:val="28"/>
          <w:szCs w:val="28"/>
          <w:lang w:val="uk-UA"/>
        </w:rPr>
        <w:t>Одним з головних критеріїв здоров’я постає рівень патологічної ураженості дітей та підлітків. Українськими дослідниками встановлено негативну хронодинаміку стану здоров’я школярів та найвищий рівень захворюваності серед учнів середнього шкільного віку [</w:t>
      </w:r>
      <w:r w:rsidR="00CF1C2E" w:rsidRPr="002E6ECA">
        <w:rPr>
          <w:bCs/>
          <w:sz w:val="28"/>
          <w:szCs w:val="28"/>
          <w:lang w:val="uk-UA"/>
        </w:rPr>
        <w:t>208</w:t>
      </w:r>
      <w:r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На початку навчання у базовій школі загальна патологічна ураженість складала 1683,5‰, а найвищий рівень було встановлено за хворобами </w:t>
      </w:r>
      <w:r w:rsidRPr="002E6ECA">
        <w:rPr>
          <w:sz w:val="28"/>
          <w:szCs w:val="28"/>
          <w:lang w:val="uk-UA"/>
        </w:rPr>
        <w:lastRenderedPageBreak/>
        <w:t xml:space="preserve">ендокринної системи (468,4±39,7‰), органу зору та придаткового апарату (322,8±37,2‰), системи кровообігу (310,1±36,8‰) та дихання (303,8±36,6‰). </w:t>
      </w:r>
    </w:p>
    <w:p w:rsidR="00671012" w:rsidRPr="002E6ECA" w:rsidRDefault="00671012" w:rsidP="00671012">
      <w:pPr>
        <w:spacing w:line="360" w:lineRule="auto"/>
        <w:ind w:firstLine="709"/>
        <w:jc w:val="both"/>
        <w:rPr>
          <w:sz w:val="28"/>
          <w:szCs w:val="28"/>
          <w:lang w:val="uk-UA"/>
        </w:rPr>
      </w:pPr>
      <w:r w:rsidRPr="002E6ECA">
        <w:rPr>
          <w:spacing w:val="-4"/>
          <w:sz w:val="28"/>
          <w:szCs w:val="28"/>
          <w:lang w:val="uk-UA"/>
        </w:rPr>
        <w:t>Визначались і деякі статеві відмінності у структурі захворювань (рис.</w:t>
      </w:r>
      <w:r w:rsidR="00C406F3" w:rsidRPr="002E6ECA">
        <w:rPr>
          <w:spacing w:val="-4"/>
          <w:sz w:val="28"/>
          <w:szCs w:val="28"/>
          <w:lang w:val="uk-UA"/>
        </w:rPr>
        <w:t> </w:t>
      </w:r>
      <w:r w:rsidRPr="002E6ECA">
        <w:rPr>
          <w:spacing w:val="-4"/>
          <w:sz w:val="28"/>
          <w:szCs w:val="28"/>
          <w:lang w:val="uk-UA"/>
        </w:rPr>
        <w:t>3.</w:t>
      </w:r>
      <w:r w:rsidR="00A65FFA" w:rsidRPr="002E6ECA">
        <w:rPr>
          <w:spacing w:val="-4"/>
          <w:sz w:val="28"/>
          <w:szCs w:val="28"/>
          <w:lang w:val="uk-UA"/>
        </w:rPr>
        <w:t>8</w:t>
      </w:r>
      <w:r w:rsidRPr="002E6ECA">
        <w:rPr>
          <w:spacing w:val="-4"/>
          <w:sz w:val="28"/>
          <w:szCs w:val="28"/>
          <w:lang w:val="uk-UA"/>
        </w:rPr>
        <w:t>).</w:t>
      </w:r>
      <w:r w:rsidRPr="002E6ECA">
        <w:rPr>
          <w:spacing w:val="-2"/>
          <w:sz w:val="28"/>
          <w:szCs w:val="28"/>
          <w:lang w:val="uk-UA"/>
        </w:rPr>
        <w:t xml:space="preserve"> </w:t>
      </w:r>
      <w:r w:rsidRPr="002E6ECA">
        <w:rPr>
          <w:sz w:val="28"/>
          <w:szCs w:val="28"/>
          <w:lang w:val="uk-UA"/>
        </w:rPr>
        <w:t xml:space="preserve">Так, якщо у обох статевих групах перше рангове місце посідали хвороби ендокринної системи, то серед хлопців друге та третє рангові місця посіли патологія дихальної системи (361,4±51,9‰) і хвороби ока та придаткового апарату (313,3±51,4‰), а у дівчат відповідно офтальмологічна (386,7±56,2‰) та серцево-судинна патології (306,7±53,2‰).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Крім того, звертає увагу і вища поширеність серед дівчат патології ендокринної </w:t>
      </w:r>
      <w:r w:rsidR="00AD5091" w:rsidRPr="002E6ECA">
        <w:rPr>
          <w:sz w:val="28"/>
          <w:szCs w:val="28"/>
          <w:lang w:val="uk-UA"/>
        </w:rPr>
        <w:t xml:space="preserve">системи </w:t>
      </w:r>
      <w:r w:rsidRPr="002E6ECA">
        <w:rPr>
          <w:sz w:val="28"/>
          <w:szCs w:val="28"/>
          <w:lang w:val="uk-UA"/>
        </w:rPr>
        <w:t xml:space="preserve">(520,7±57,7‰ проти 421,7±54,7‰ у хлопців) і органу зору та придаткового апарату (відповідно 386,7±56,2‰ і 265,1±52,7‰). Серед </w:t>
      </w:r>
      <w:r w:rsidR="007C55A6" w:rsidRPr="002E6ECA">
        <w:rPr>
          <w:sz w:val="28"/>
          <w:szCs w:val="28"/>
          <w:lang w:val="uk-UA"/>
        </w:rPr>
        <w:t>хлопців</w:t>
      </w:r>
      <w:r w:rsidR="00954AF9" w:rsidRPr="002E6ECA">
        <w:rPr>
          <w:sz w:val="28"/>
          <w:szCs w:val="28"/>
          <w:lang w:val="uk-UA"/>
        </w:rPr>
        <w:t xml:space="preserve"> частіше у порівнянні з дівчатами реєструвались розлади психіки та поведінки (відповідно 168,7±39,9‰ і 40,0±22,6‰; р&lt;0,05).</w:t>
      </w:r>
    </w:p>
    <w:p w:rsidR="00D31198" w:rsidRPr="002E6ECA" w:rsidRDefault="00D31198" w:rsidP="00C406F3">
      <w:pPr>
        <w:spacing w:line="360" w:lineRule="auto"/>
        <w:ind w:firstLine="709"/>
        <w:rPr>
          <w:sz w:val="28"/>
          <w:szCs w:val="28"/>
          <w:lang w:val="uk-UA"/>
        </w:rPr>
      </w:pPr>
      <w:r w:rsidRPr="002E6ECA">
        <w:rPr>
          <w:noProof/>
          <w:lang w:val="uk-UA" w:eastAsia="uk-UA"/>
        </w:rPr>
        <w:drawing>
          <wp:inline distT="0" distB="0" distL="0" distR="0" wp14:anchorId="44211D9C" wp14:editId="4579BA85">
            <wp:extent cx="5563968" cy="3460750"/>
            <wp:effectExtent l="0" t="0" r="0" b="635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l="59336" t="27773" r="10477" b="15103"/>
                    <a:stretch/>
                  </pic:blipFill>
                  <pic:spPr bwMode="auto">
                    <a:xfrm>
                      <a:off x="0" y="0"/>
                      <a:ext cx="5565454" cy="3461675"/>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C406F3">
      <w:pPr>
        <w:spacing w:line="360" w:lineRule="auto"/>
        <w:ind w:firstLine="709"/>
        <w:rPr>
          <w:sz w:val="28"/>
          <w:szCs w:val="28"/>
          <w:lang w:val="uk-UA"/>
        </w:rPr>
      </w:pPr>
      <w:r w:rsidRPr="002E6ECA">
        <w:rPr>
          <w:sz w:val="28"/>
          <w:szCs w:val="28"/>
          <w:lang w:val="uk-UA"/>
        </w:rPr>
        <w:t>Рис. 3.</w:t>
      </w:r>
      <w:r w:rsidR="00A65FFA" w:rsidRPr="002E6ECA">
        <w:rPr>
          <w:sz w:val="28"/>
          <w:szCs w:val="28"/>
          <w:lang w:val="uk-UA"/>
        </w:rPr>
        <w:t>8</w:t>
      </w:r>
      <w:r w:rsidRPr="002E6ECA">
        <w:rPr>
          <w:sz w:val="28"/>
          <w:szCs w:val="28"/>
          <w:lang w:val="uk-UA"/>
        </w:rPr>
        <w:t>. Структура захворюваності учнів середнього шкільного віку</w:t>
      </w:r>
    </w:p>
    <w:p w:rsidR="00671012" w:rsidRPr="002E6ECA" w:rsidRDefault="00671012" w:rsidP="00671012">
      <w:pPr>
        <w:spacing w:line="360" w:lineRule="auto"/>
        <w:jc w:val="both"/>
        <w:rPr>
          <w:sz w:val="28"/>
          <w:szCs w:val="28"/>
          <w:lang w:val="uk-UA"/>
        </w:rPr>
      </w:pPr>
    </w:p>
    <w:p w:rsidR="00C406F3" w:rsidRPr="002E6ECA" w:rsidRDefault="00671012" w:rsidP="00C406F3">
      <w:pPr>
        <w:spacing w:line="360" w:lineRule="auto"/>
        <w:ind w:firstLine="709"/>
        <w:jc w:val="both"/>
        <w:rPr>
          <w:sz w:val="28"/>
          <w:szCs w:val="28"/>
          <w:lang w:val="uk-UA"/>
        </w:rPr>
      </w:pPr>
      <w:r w:rsidRPr="002E6ECA">
        <w:rPr>
          <w:sz w:val="28"/>
          <w:szCs w:val="28"/>
          <w:lang w:val="uk-UA"/>
        </w:rPr>
        <w:t xml:space="preserve">Протягом навчання у базовій школі </w:t>
      </w:r>
      <w:r w:rsidR="00C406F3" w:rsidRPr="002E6ECA">
        <w:rPr>
          <w:sz w:val="28"/>
          <w:szCs w:val="28"/>
          <w:lang w:val="uk-UA"/>
        </w:rPr>
        <w:t xml:space="preserve">(табл. 3.3-3.4) </w:t>
      </w:r>
      <w:r w:rsidRPr="002E6ECA">
        <w:rPr>
          <w:sz w:val="28"/>
          <w:szCs w:val="28"/>
          <w:lang w:val="uk-UA"/>
        </w:rPr>
        <w:t xml:space="preserve">визначалась негативна динаміка за хворобами ендокринної системи за рахунок їх зростання серед хлопців (р&lt;0,05), хвороб ока та придаткового апарату і органів травлення за </w:t>
      </w:r>
      <w:r w:rsidRPr="002E6ECA">
        <w:rPr>
          <w:sz w:val="28"/>
          <w:szCs w:val="28"/>
          <w:lang w:val="uk-UA"/>
        </w:rPr>
        <w:lastRenderedPageBreak/>
        <w:t xml:space="preserve">рахунок обох статевих груп (р&lt;0,01). </w:t>
      </w:r>
      <w:r w:rsidR="00C406F3" w:rsidRPr="002E6ECA">
        <w:rPr>
          <w:sz w:val="28"/>
          <w:szCs w:val="28"/>
          <w:lang w:val="uk-UA"/>
        </w:rPr>
        <w:t>У той же час відмічалось зниження патологічної ураженості за хворобами дихальної системи (р&lt;0,05) за рахунок їх зниження серед дівчат.</w:t>
      </w:r>
    </w:p>
    <w:p w:rsidR="002060DA" w:rsidRPr="002E6ECA" w:rsidRDefault="002060DA" w:rsidP="002060DA">
      <w:pPr>
        <w:spacing w:line="360" w:lineRule="auto"/>
        <w:jc w:val="right"/>
        <w:rPr>
          <w:i/>
          <w:sz w:val="28"/>
          <w:szCs w:val="28"/>
          <w:lang w:val="uk-UA"/>
        </w:rPr>
      </w:pPr>
      <w:r w:rsidRPr="002E6ECA">
        <w:rPr>
          <w:i/>
          <w:sz w:val="28"/>
          <w:szCs w:val="28"/>
          <w:lang w:val="uk-UA"/>
        </w:rPr>
        <w:t>Таблиця 3.3</w:t>
      </w:r>
    </w:p>
    <w:p w:rsidR="002060DA" w:rsidRPr="002E6ECA" w:rsidRDefault="002060DA" w:rsidP="002060DA">
      <w:pPr>
        <w:spacing w:line="360" w:lineRule="auto"/>
        <w:jc w:val="center"/>
        <w:rPr>
          <w:b/>
          <w:lang w:val="uk-UA" w:eastAsia="uk-UA"/>
        </w:rPr>
      </w:pPr>
      <w:r w:rsidRPr="002E6ECA">
        <w:rPr>
          <w:b/>
          <w:sz w:val="28"/>
          <w:szCs w:val="28"/>
          <w:lang w:val="uk-UA"/>
        </w:rPr>
        <w:t>Рівень патологічної ураженості учнів упродовж навчання у базовій школі, ‰, M</w:t>
      </w:r>
      <w:r w:rsidRPr="002E6ECA">
        <w:rPr>
          <w:b/>
          <w:lang w:val="uk-UA" w:eastAsia="uk-UA"/>
        </w:rPr>
        <w:t>±m</w:t>
      </w:r>
    </w:p>
    <w:tbl>
      <w:tblPr>
        <w:tblW w:w="9465" w:type="dxa"/>
        <w:tblInd w:w="227" w:type="dxa"/>
        <w:tblLayout w:type="fixed"/>
        <w:tblLook w:val="04A0" w:firstRow="1" w:lastRow="0" w:firstColumn="1" w:lastColumn="0" w:noHBand="0" w:noVBand="1"/>
      </w:tblPr>
      <w:tblGrid>
        <w:gridCol w:w="3086"/>
        <w:gridCol w:w="2126"/>
        <w:gridCol w:w="2126"/>
        <w:gridCol w:w="2127"/>
      </w:tblGrid>
      <w:tr w:rsidR="002060DA" w:rsidRPr="002E6ECA" w:rsidTr="002060DA">
        <w:trPr>
          <w:trHeight w:val="511"/>
        </w:trPr>
        <w:tc>
          <w:tcPr>
            <w:tcW w:w="3086" w:type="dxa"/>
            <w:tcBorders>
              <w:top w:val="single" w:sz="4" w:space="0" w:color="auto"/>
              <w:left w:val="single" w:sz="4" w:space="0" w:color="auto"/>
              <w:bottom w:val="single" w:sz="4" w:space="0" w:color="auto"/>
              <w:right w:val="single" w:sz="4" w:space="0" w:color="auto"/>
            </w:tcBorders>
            <w:shd w:val="clear" w:color="auto" w:fill="auto"/>
            <w:noWrap/>
            <w:tcMar>
              <w:left w:w="85" w:type="dxa"/>
              <w:right w:w="85" w:type="dxa"/>
            </w:tcMar>
            <w:vAlign w:val="center"/>
          </w:tcPr>
          <w:p w:rsidR="002060DA" w:rsidRPr="002E6ECA" w:rsidRDefault="002060DA" w:rsidP="00A87A9F">
            <w:pPr>
              <w:spacing w:line="276" w:lineRule="auto"/>
              <w:jc w:val="center"/>
              <w:rPr>
                <w:sz w:val="26"/>
                <w:szCs w:val="26"/>
                <w:lang w:val="uk-UA"/>
              </w:rPr>
            </w:pPr>
            <w:r w:rsidRPr="002E6ECA">
              <w:rPr>
                <w:sz w:val="26"/>
                <w:szCs w:val="26"/>
                <w:lang w:val="uk-UA"/>
              </w:rPr>
              <w:t>Група хвороб</w:t>
            </w:r>
          </w:p>
        </w:tc>
        <w:tc>
          <w:tcPr>
            <w:tcW w:w="2126" w:type="dxa"/>
            <w:tcBorders>
              <w:top w:val="single" w:sz="4" w:space="0" w:color="auto"/>
              <w:left w:val="nil"/>
              <w:bottom w:val="single" w:sz="4" w:space="0" w:color="auto"/>
              <w:right w:val="single" w:sz="4" w:space="0" w:color="auto"/>
            </w:tcBorders>
            <w:shd w:val="clear" w:color="auto" w:fill="auto"/>
            <w:noWrap/>
            <w:tcMar>
              <w:left w:w="85" w:type="dxa"/>
              <w:right w:w="85" w:type="dxa"/>
            </w:tcMar>
            <w:vAlign w:val="bottom"/>
          </w:tcPr>
          <w:p w:rsidR="002060DA" w:rsidRPr="002E6ECA" w:rsidRDefault="002060DA" w:rsidP="00A87A9F">
            <w:pPr>
              <w:spacing w:line="276" w:lineRule="auto"/>
              <w:ind w:left="-61" w:right="-61"/>
              <w:jc w:val="center"/>
              <w:rPr>
                <w:sz w:val="26"/>
                <w:szCs w:val="26"/>
                <w:lang w:val="uk-UA"/>
              </w:rPr>
            </w:pPr>
            <w:r w:rsidRPr="002E6ECA">
              <w:rPr>
                <w:sz w:val="26"/>
                <w:szCs w:val="26"/>
                <w:lang w:val="uk-UA"/>
              </w:rPr>
              <w:t xml:space="preserve">На  початку </w:t>
            </w:r>
          </w:p>
          <w:p w:rsidR="002060DA" w:rsidRPr="002E6ECA" w:rsidRDefault="002060DA" w:rsidP="00A87A9F">
            <w:pPr>
              <w:spacing w:line="276" w:lineRule="auto"/>
              <w:ind w:left="-61" w:right="-61"/>
              <w:jc w:val="center"/>
              <w:rPr>
                <w:sz w:val="26"/>
                <w:szCs w:val="26"/>
                <w:lang w:val="uk-UA"/>
              </w:rPr>
            </w:pPr>
            <w:r w:rsidRPr="002E6ECA">
              <w:rPr>
                <w:sz w:val="26"/>
                <w:szCs w:val="26"/>
                <w:lang w:val="uk-UA"/>
              </w:rPr>
              <w:t>навчання</w:t>
            </w:r>
          </w:p>
        </w:tc>
        <w:tc>
          <w:tcPr>
            <w:tcW w:w="2126" w:type="dxa"/>
            <w:tcBorders>
              <w:top w:val="single" w:sz="4" w:space="0" w:color="auto"/>
              <w:left w:val="nil"/>
              <w:bottom w:val="single" w:sz="4" w:space="0" w:color="auto"/>
              <w:right w:val="single" w:sz="4" w:space="0" w:color="auto"/>
            </w:tcBorders>
            <w:shd w:val="clear" w:color="auto" w:fill="auto"/>
            <w:noWrap/>
            <w:tcMar>
              <w:left w:w="85" w:type="dxa"/>
              <w:right w:w="85" w:type="dxa"/>
            </w:tcMar>
            <w:vAlign w:val="bottom"/>
          </w:tcPr>
          <w:p w:rsidR="002060DA" w:rsidRPr="002E6ECA" w:rsidRDefault="002060DA" w:rsidP="00A87A9F">
            <w:pPr>
              <w:spacing w:line="276" w:lineRule="auto"/>
              <w:ind w:left="-61" w:right="-61"/>
              <w:jc w:val="center"/>
              <w:rPr>
                <w:sz w:val="26"/>
                <w:szCs w:val="26"/>
                <w:lang w:val="uk-UA"/>
              </w:rPr>
            </w:pPr>
            <w:r w:rsidRPr="002E6ECA">
              <w:rPr>
                <w:sz w:val="26"/>
                <w:szCs w:val="26"/>
                <w:lang w:val="uk-UA"/>
              </w:rPr>
              <w:t xml:space="preserve">У  середині </w:t>
            </w:r>
          </w:p>
          <w:p w:rsidR="002060DA" w:rsidRPr="002E6ECA" w:rsidRDefault="002060DA" w:rsidP="00A87A9F">
            <w:pPr>
              <w:spacing w:line="276" w:lineRule="auto"/>
              <w:ind w:left="-61" w:right="-61"/>
              <w:jc w:val="center"/>
              <w:rPr>
                <w:sz w:val="26"/>
                <w:szCs w:val="26"/>
                <w:lang w:val="uk-UA"/>
              </w:rPr>
            </w:pPr>
            <w:r w:rsidRPr="002E6ECA">
              <w:rPr>
                <w:sz w:val="26"/>
                <w:szCs w:val="26"/>
                <w:lang w:val="uk-UA"/>
              </w:rPr>
              <w:t>навчання</w:t>
            </w:r>
          </w:p>
        </w:tc>
        <w:tc>
          <w:tcPr>
            <w:tcW w:w="2127" w:type="dxa"/>
            <w:tcBorders>
              <w:top w:val="single" w:sz="4" w:space="0" w:color="auto"/>
              <w:left w:val="nil"/>
              <w:bottom w:val="single" w:sz="4" w:space="0" w:color="auto"/>
              <w:right w:val="single" w:sz="4" w:space="0" w:color="auto"/>
            </w:tcBorders>
            <w:shd w:val="clear" w:color="auto" w:fill="auto"/>
            <w:noWrap/>
            <w:tcMar>
              <w:left w:w="85" w:type="dxa"/>
              <w:right w:w="85" w:type="dxa"/>
            </w:tcMar>
            <w:vAlign w:val="bottom"/>
          </w:tcPr>
          <w:p w:rsidR="002060DA" w:rsidRPr="002E6ECA" w:rsidRDefault="002060DA" w:rsidP="00A87A9F">
            <w:pPr>
              <w:spacing w:line="276" w:lineRule="auto"/>
              <w:ind w:left="-61" w:right="-61"/>
              <w:jc w:val="center"/>
              <w:rPr>
                <w:sz w:val="26"/>
                <w:szCs w:val="26"/>
                <w:lang w:val="uk-UA"/>
              </w:rPr>
            </w:pPr>
            <w:r w:rsidRPr="002E6ECA">
              <w:rPr>
                <w:sz w:val="26"/>
                <w:szCs w:val="26"/>
                <w:lang w:val="uk-UA"/>
              </w:rPr>
              <w:t xml:space="preserve">Наприкінці  </w:t>
            </w:r>
          </w:p>
          <w:p w:rsidR="002060DA" w:rsidRPr="002E6ECA" w:rsidRDefault="002060DA" w:rsidP="00A87A9F">
            <w:pPr>
              <w:spacing w:line="276" w:lineRule="auto"/>
              <w:ind w:left="-61" w:right="-61"/>
              <w:jc w:val="center"/>
              <w:rPr>
                <w:sz w:val="26"/>
                <w:szCs w:val="26"/>
                <w:lang w:val="uk-UA"/>
              </w:rPr>
            </w:pPr>
            <w:r w:rsidRPr="002E6ECA">
              <w:rPr>
                <w:sz w:val="26"/>
                <w:szCs w:val="26"/>
                <w:lang w:val="uk-UA"/>
              </w:rPr>
              <w:t>навчання</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ендокринної системи</w:t>
            </w:r>
          </w:p>
        </w:tc>
        <w:tc>
          <w:tcPr>
            <w:tcW w:w="2126" w:type="dxa"/>
            <w:tcBorders>
              <w:top w:val="single" w:sz="4" w:space="0" w:color="auto"/>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468,4±39,7</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449,4±39,6</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601,3±39,0</w:t>
            </w:r>
            <w:r w:rsidRPr="002E6ECA">
              <w:rPr>
                <w:sz w:val="26"/>
                <w:szCs w:val="26"/>
                <w:vertAlign w:val="superscript"/>
                <w:lang w:val="uk-UA"/>
              </w:rPr>
              <w:t>#</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ока та придаткового апарату</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322,8±37,2</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398,7±39,0</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512,7±39,8</w:t>
            </w:r>
            <w:r w:rsidRPr="002E6ECA">
              <w:rPr>
                <w:sz w:val="26"/>
                <w:szCs w:val="26"/>
                <w:vertAlign w:val="superscript"/>
                <w:lang w:val="uk-UA"/>
              </w:rPr>
              <w:t>##</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системи кровообігу</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310,1±36,8</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405,1±39,1</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392,4±38,8</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дихальної системи</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303,8±36,6</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259,5±34,9</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183,5±30,8</w:t>
            </w:r>
            <w:r w:rsidRPr="002E6ECA">
              <w:rPr>
                <w:sz w:val="26"/>
                <w:szCs w:val="26"/>
                <w:vertAlign w:val="superscript"/>
                <w:lang w:val="uk-UA"/>
              </w:rPr>
              <w:t>#</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Розлади психіки та поведінки</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107,6±24,7</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94,9±23,3</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63,3±19,4</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нервової системи</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63,3±19,4</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113,9±25,3</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88,6±22,6</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органів травлення</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38,0±15,2</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6,3±6,3</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170,9±29,9</w:t>
            </w:r>
            <w:r w:rsidRPr="002E6ECA">
              <w:rPr>
                <w:sz w:val="26"/>
                <w:szCs w:val="26"/>
                <w:vertAlign w:val="superscript"/>
                <w:lang w:val="uk-UA"/>
              </w:rPr>
              <w:t>##</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шкіри та підшкірної клітковини</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19,0±10,9</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6,3±6,3</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6,3±6,3</w:t>
            </w:r>
          </w:p>
        </w:tc>
      </w:tr>
      <w:tr w:rsidR="002060DA" w:rsidRPr="002E6ECA" w:rsidTr="002060DA">
        <w:trPr>
          <w:trHeight w:val="288"/>
        </w:trPr>
        <w:tc>
          <w:tcPr>
            <w:tcW w:w="3086" w:type="dxa"/>
            <w:tcBorders>
              <w:top w:val="nil"/>
              <w:left w:val="single" w:sz="4" w:space="0" w:color="auto"/>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rPr>
                <w:sz w:val="26"/>
                <w:szCs w:val="26"/>
                <w:lang w:val="uk-UA"/>
              </w:rPr>
            </w:pPr>
            <w:r w:rsidRPr="002E6ECA">
              <w:rPr>
                <w:sz w:val="26"/>
                <w:szCs w:val="26"/>
                <w:lang w:val="uk-UA"/>
              </w:rPr>
              <w:t>Хвороби кістково-м`язової системи і сполучних тканин</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50,6±17,4</w:t>
            </w:r>
          </w:p>
        </w:tc>
        <w:tc>
          <w:tcPr>
            <w:tcW w:w="2126"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12,7±8,9</w:t>
            </w:r>
          </w:p>
        </w:tc>
        <w:tc>
          <w:tcPr>
            <w:tcW w:w="2127" w:type="dxa"/>
            <w:tcBorders>
              <w:top w:val="nil"/>
              <w:left w:val="nil"/>
              <w:bottom w:val="single" w:sz="4" w:space="0" w:color="auto"/>
              <w:right w:val="single" w:sz="4" w:space="0" w:color="auto"/>
            </w:tcBorders>
            <w:shd w:val="clear" w:color="auto" w:fill="auto"/>
            <w:noWrap/>
            <w:tcMar>
              <w:left w:w="85" w:type="dxa"/>
              <w:right w:w="85" w:type="dxa"/>
            </w:tcMar>
            <w:vAlign w:val="center"/>
            <w:hideMark/>
          </w:tcPr>
          <w:p w:rsidR="002060DA" w:rsidRPr="002E6ECA" w:rsidRDefault="002060DA" w:rsidP="00A87A9F">
            <w:pPr>
              <w:spacing w:line="276" w:lineRule="auto"/>
              <w:ind w:right="-234"/>
              <w:jc w:val="center"/>
              <w:rPr>
                <w:sz w:val="26"/>
                <w:szCs w:val="26"/>
                <w:lang w:val="uk-UA"/>
              </w:rPr>
            </w:pPr>
            <w:r w:rsidRPr="002E6ECA">
              <w:rPr>
                <w:sz w:val="26"/>
                <w:szCs w:val="26"/>
                <w:lang w:val="uk-UA"/>
              </w:rPr>
              <w:t>12,7±8,9</w:t>
            </w:r>
          </w:p>
        </w:tc>
      </w:tr>
    </w:tbl>
    <w:p w:rsidR="00C406F3" w:rsidRPr="002E6ECA" w:rsidRDefault="002060DA" w:rsidP="00764728">
      <w:pPr>
        <w:spacing w:line="276" w:lineRule="auto"/>
        <w:ind w:firstLine="709"/>
        <w:rPr>
          <w:lang w:val="uk-UA"/>
        </w:rPr>
      </w:pPr>
      <w:r w:rsidRPr="002E6ECA">
        <w:rPr>
          <w:lang w:val="uk-UA"/>
        </w:rPr>
        <w:t>Примітки: наявність статистично значущих відмінностей у динаміці навчання (</w:t>
      </w:r>
      <w:r w:rsidRPr="002E6ECA">
        <w:rPr>
          <w:vertAlign w:val="superscript"/>
          <w:lang w:val="uk-UA"/>
        </w:rPr>
        <w:t xml:space="preserve">#  </w:t>
      </w:r>
      <w:r w:rsidR="00764728" w:rsidRPr="002E6ECA">
        <w:rPr>
          <w:lang w:val="uk-UA"/>
        </w:rPr>
        <w:t>–</w:t>
      </w:r>
      <w:r w:rsidRPr="002E6ECA">
        <w:rPr>
          <w:lang w:val="uk-UA"/>
        </w:rPr>
        <w:t xml:space="preserve"> р&lt;0,05; </w:t>
      </w:r>
      <w:r w:rsidRPr="002E6ECA">
        <w:rPr>
          <w:vertAlign w:val="superscript"/>
          <w:lang w:val="uk-UA"/>
        </w:rPr>
        <w:t xml:space="preserve">## </w:t>
      </w:r>
      <w:r w:rsidR="00764728" w:rsidRPr="002E6ECA">
        <w:rPr>
          <w:lang w:val="uk-UA"/>
        </w:rPr>
        <w:t>–</w:t>
      </w:r>
      <w:r w:rsidRPr="002E6ECA">
        <w:rPr>
          <w:lang w:val="uk-UA"/>
        </w:rPr>
        <w:t xml:space="preserve"> р&lt;0,01)</w:t>
      </w:r>
      <w:r w:rsidR="00C406F3" w:rsidRPr="002E6ECA">
        <w:rPr>
          <w:lang w:val="uk-UA"/>
        </w:rPr>
        <w:t>.</w:t>
      </w:r>
    </w:p>
    <w:p w:rsidR="00C406F3" w:rsidRPr="002E6ECA" w:rsidRDefault="00C406F3" w:rsidP="00C406F3">
      <w:pPr>
        <w:spacing w:line="360" w:lineRule="auto"/>
        <w:ind w:firstLine="709"/>
        <w:rPr>
          <w:lang w:val="uk-UA"/>
        </w:rPr>
      </w:pPr>
    </w:p>
    <w:p w:rsidR="00A87A9F" w:rsidRPr="002E6ECA" w:rsidRDefault="00A87A9F" w:rsidP="00A87A9F">
      <w:pPr>
        <w:spacing w:line="360" w:lineRule="auto"/>
        <w:ind w:firstLine="709"/>
        <w:jc w:val="both"/>
        <w:rPr>
          <w:sz w:val="28"/>
          <w:szCs w:val="28"/>
          <w:lang w:val="uk-UA"/>
        </w:rPr>
      </w:pPr>
      <w:r w:rsidRPr="002E6ECA">
        <w:rPr>
          <w:sz w:val="28"/>
          <w:szCs w:val="28"/>
          <w:lang w:val="uk-UA"/>
        </w:rPr>
        <w:t>Додатково проаналізовано структуру ендокринної патології як найбільш поширеного класу хвороб серед дітей середнього шкільного віку (рис. 3.</w:t>
      </w:r>
      <w:r w:rsidR="00AC32C1" w:rsidRPr="002E6ECA">
        <w:rPr>
          <w:sz w:val="28"/>
          <w:szCs w:val="28"/>
          <w:lang w:val="uk-UA"/>
        </w:rPr>
        <w:t>9</w:t>
      </w:r>
      <w:r w:rsidRPr="002E6ECA">
        <w:rPr>
          <w:sz w:val="28"/>
          <w:szCs w:val="28"/>
          <w:lang w:val="uk-UA"/>
        </w:rPr>
        <w:t xml:space="preserve">). Встановлено, що провідною патологією виступають захворювання щитоподібної залози, які складають понад 60% у школярів обох статей незалежно від етапу навчання за винятком хлопців 14-15-річного віку. Рівень поширеності дифузного зобу 1 ступеню складав від 265,1±48,5‰ у хлопців та </w:t>
      </w:r>
      <w:r w:rsidRPr="002E6ECA">
        <w:rPr>
          <w:sz w:val="28"/>
          <w:szCs w:val="28"/>
          <w:lang w:val="uk-UA"/>
        </w:rPr>
        <w:lastRenderedPageBreak/>
        <w:t xml:space="preserve">413,3±56,9‰ у дівчат на початку навчання у середній школі до 241,0±46,9‰ та 373,3±55,9‰ відповідно – наприкінці навчання. </w:t>
      </w:r>
    </w:p>
    <w:p w:rsidR="00C406F3" w:rsidRPr="002E6ECA" w:rsidRDefault="00C406F3" w:rsidP="00C406F3">
      <w:pPr>
        <w:spacing w:after="200" w:line="276" w:lineRule="auto"/>
        <w:jc w:val="right"/>
        <w:rPr>
          <w:i/>
          <w:sz w:val="28"/>
          <w:szCs w:val="28"/>
          <w:lang w:val="uk-UA"/>
        </w:rPr>
      </w:pPr>
      <w:r w:rsidRPr="002E6ECA">
        <w:rPr>
          <w:i/>
          <w:sz w:val="28"/>
          <w:szCs w:val="28"/>
          <w:lang w:val="uk-UA"/>
        </w:rPr>
        <w:t>Таблиця 3.</w:t>
      </w:r>
      <w:r w:rsidR="00A87A9F" w:rsidRPr="002E6ECA">
        <w:rPr>
          <w:i/>
          <w:sz w:val="28"/>
          <w:szCs w:val="28"/>
          <w:lang w:val="uk-UA"/>
        </w:rPr>
        <w:t>4</w:t>
      </w:r>
    </w:p>
    <w:p w:rsidR="00C406F3" w:rsidRPr="002E6ECA" w:rsidRDefault="00C406F3" w:rsidP="00C406F3">
      <w:pPr>
        <w:spacing w:line="360" w:lineRule="auto"/>
        <w:jc w:val="center"/>
        <w:rPr>
          <w:b/>
          <w:lang w:val="uk-UA" w:eastAsia="uk-UA"/>
        </w:rPr>
      </w:pPr>
      <w:r w:rsidRPr="002E6ECA">
        <w:rPr>
          <w:b/>
          <w:sz w:val="28"/>
          <w:szCs w:val="28"/>
          <w:lang w:val="uk-UA"/>
        </w:rPr>
        <w:t>Статево-вікові особливості патологічної ураженості учнів базової школи, ‰, M</w:t>
      </w:r>
      <w:r w:rsidRPr="002E6ECA">
        <w:rPr>
          <w:b/>
          <w:lang w:val="uk-UA" w:eastAsia="uk-UA"/>
        </w:rPr>
        <w:t>±m</w:t>
      </w:r>
    </w:p>
    <w:tbl>
      <w:tblPr>
        <w:tblW w:w="9662" w:type="dxa"/>
        <w:tblInd w:w="-114" w:type="dxa"/>
        <w:tblLayout w:type="fixed"/>
        <w:tblLook w:val="04A0" w:firstRow="1" w:lastRow="0" w:firstColumn="1" w:lastColumn="0" w:noHBand="0" w:noVBand="1"/>
      </w:tblPr>
      <w:tblGrid>
        <w:gridCol w:w="1575"/>
        <w:gridCol w:w="1347"/>
        <w:gridCol w:w="1348"/>
        <w:gridCol w:w="1348"/>
        <w:gridCol w:w="1348"/>
        <w:gridCol w:w="1348"/>
        <w:gridCol w:w="1348"/>
      </w:tblGrid>
      <w:tr w:rsidR="00C406F3" w:rsidRPr="002E6ECA" w:rsidTr="00E22F2B">
        <w:trPr>
          <w:trHeight w:val="288"/>
        </w:trPr>
        <w:tc>
          <w:tcPr>
            <w:tcW w:w="1575" w:type="dxa"/>
            <w:vMerge w:val="restart"/>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bottom"/>
          </w:tcPr>
          <w:p w:rsidR="00C406F3" w:rsidRPr="002E6ECA" w:rsidRDefault="00C406F3" w:rsidP="00E22F2B">
            <w:pPr>
              <w:ind w:left="-61"/>
              <w:jc w:val="center"/>
              <w:rPr>
                <w:lang w:val="uk-UA"/>
              </w:rPr>
            </w:pPr>
            <w:r w:rsidRPr="002E6ECA">
              <w:rPr>
                <w:sz w:val="28"/>
                <w:szCs w:val="28"/>
                <w:lang w:val="uk-UA"/>
              </w:rPr>
              <w:t>Група хвороб</w:t>
            </w:r>
          </w:p>
        </w:tc>
        <w:tc>
          <w:tcPr>
            <w:tcW w:w="2695" w:type="dxa"/>
            <w:gridSpan w:val="2"/>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tcPr>
          <w:p w:rsidR="00C406F3" w:rsidRPr="002E6ECA" w:rsidRDefault="00C406F3" w:rsidP="00E22F2B">
            <w:pPr>
              <w:ind w:left="-61" w:right="-234"/>
              <w:jc w:val="center"/>
              <w:rPr>
                <w:lang w:val="uk-UA"/>
              </w:rPr>
            </w:pPr>
            <w:r w:rsidRPr="002E6ECA">
              <w:rPr>
                <w:lang w:val="uk-UA"/>
              </w:rPr>
              <w:t>На  початку навчання</w:t>
            </w:r>
          </w:p>
        </w:tc>
        <w:tc>
          <w:tcPr>
            <w:tcW w:w="2696" w:type="dxa"/>
            <w:gridSpan w:val="2"/>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tcPr>
          <w:p w:rsidR="00C406F3" w:rsidRPr="002E6ECA" w:rsidRDefault="00C406F3" w:rsidP="00E22F2B">
            <w:pPr>
              <w:ind w:left="-61" w:right="-234"/>
              <w:jc w:val="center"/>
              <w:rPr>
                <w:lang w:val="uk-UA"/>
              </w:rPr>
            </w:pPr>
            <w:r w:rsidRPr="002E6ECA">
              <w:rPr>
                <w:lang w:val="uk-UA"/>
              </w:rPr>
              <w:t>У  середині навчання</w:t>
            </w:r>
          </w:p>
        </w:tc>
        <w:tc>
          <w:tcPr>
            <w:tcW w:w="2696" w:type="dxa"/>
            <w:gridSpan w:val="2"/>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tcPr>
          <w:p w:rsidR="00C406F3" w:rsidRPr="002E6ECA" w:rsidRDefault="00C406F3" w:rsidP="00E22F2B">
            <w:pPr>
              <w:ind w:left="-61" w:right="-234"/>
              <w:jc w:val="center"/>
              <w:rPr>
                <w:lang w:val="uk-UA"/>
              </w:rPr>
            </w:pPr>
            <w:r w:rsidRPr="002E6ECA">
              <w:rPr>
                <w:lang w:val="uk-UA"/>
              </w:rPr>
              <w:t>Наприкінці  навчання</w:t>
            </w:r>
          </w:p>
        </w:tc>
      </w:tr>
      <w:tr w:rsidR="00C406F3" w:rsidRPr="002E6ECA" w:rsidTr="00C406F3">
        <w:trPr>
          <w:trHeight w:val="523"/>
        </w:trPr>
        <w:tc>
          <w:tcPr>
            <w:tcW w:w="1575" w:type="dxa"/>
            <w:vMerge/>
            <w:tcBorders>
              <w:left w:val="single" w:sz="4" w:space="0" w:color="auto"/>
              <w:bottom w:val="single" w:sz="4" w:space="0" w:color="auto"/>
              <w:right w:val="single" w:sz="4" w:space="0" w:color="auto"/>
            </w:tcBorders>
            <w:shd w:val="clear" w:color="auto" w:fill="auto"/>
            <w:noWrap/>
            <w:tcMar>
              <w:left w:w="28" w:type="dxa"/>
              <w:right w:w="28" w:type="dxa"/>
            </w:tcMar>
            <w:vAlign w:val="bottom"/>
            <w:hideMark/>
          </w:tcPr>
          <w:p w:rsidR="00C406F3" w:rsidRPr="002E6ECA" w:rsidRDefault="00C406F3" w:rsidP="00E22F2B">
            <w:pPr>
              <w:ind w:left="-61"/>
              <w:jc w:val="center"/>
              <w:rPr>
                <w:lang w:val="uk-UA"/>
              </w:rPr>
            </w:pPr>
          </w:p>
        </w:tc>
        <w:tc>
          <w:tcPr>
            <w:tcW w:w="1347"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C406F3">
            <w:pPr>
              <w:ind w:left="-61" w:right="-234"/>
              <w:jc w:val="center"/>
              <w:rPr>
                <w:lang w:val="uk-UA"/>
              </w:rPr>
            </w:pPr>
            <w:r w:rsidRPr="002E6ECA">
              <w:rPr>
                <w:lang w:val="uk-UA"/>
              </w:rPr>
              <w:t>хлопці</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C406F3">
            <w:pPr>
              <w:ind w:left="-61" w:right="-234"/>
              <w:jc w:val="center"/>
              <w:rPr>
                <w:lang w:val="uk-UA"/>
              </w:rPr>
            </w:pPr>
            <w:r w:rsidRPr="002E6ECA">
              <w:rPr>
                <w:lang w:val="uk-UA"/>
              </w:rPr>
              <w:t>дівчата</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C406F3">
            <w:pPr>
              <w:ind w:left="-61" w:right="-234"/>
              <w:jc w:val="center"/>
              <w:rPr>
                <w:lang w:val="uk-UA"/>
              </w:rPr>
            </w:pPr>
            <w:r w:rsidRPr="002E6ECA">
              <w:rPr>
                <w:lang w:val="uk-UA"/>
              </w:rPr>
              <w:t>хлопці</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C406F3">
            <w:pPr>
              <w:ind w:left="-61" w:right="-234"/>
              <w:jc w:val="center"/>
              <w:rPr>
                <w:lang w:val="uk-UA"/>
              </w:rPr>
            </w:pPr>
            <w:r w:rsidRPr="002E6ECA">
              <w:rPr>
                <w:lang w:val="uk-UA"/>
              </w:rPr>
              <w:t>дівчата</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C406F3">
            <w:pPr>
              <w:ind w:left="-61" w:right="-234"/>
              <w:jc w:val="center"/>
              <w:rPr>
                <w:lang w:val="uk-UA"/>
              </w:rPr>
            </w:pPr>
            <w:r w:rsidRPr="002E6ECA">
              <w:rPr>
                <w:lang w:val="uk-UA"/>
              </w:rPr>
              <w:t>хлопці</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C406F3">
            <w:pPr>
              <w:ind w:left="-61" w:right="-234"/>
              <w:jc w:val="center"/>
              <w:rPr>
                <w:lang w:val="uk-UA"/>
              </w:rPr>
            </w:pPr>
            <w:r w:rsidRPr="002E6ECA">
              <w:rPr>
                <w:lang w:val="uk-UA"/>
              </w:rPr>
              <w:t>дівчата</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ендокринної системи</w:t>
            </w:r>
          </w:p>
        </w:tc>
        <w:tc>
          <w:tcPr>
            <w:tcW w:w="1347"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421,7±54,7</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520±57,7</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457,8±54,2</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440,0±57,3</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602,4±53,7</w:t>
            </w:r>
            <w:r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600,0±56,6</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ока та придаткового апарату</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265,1±52,7</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386,7±56,2</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361,4±48,4</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440,0±57,3</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433,7±54,4</w:t>
            </w:r>
            <w:r w:rsidR="00A87A9F" w:rsidRPr="002E6ECA">
              <w:rPr>
                <w:vertAlign w:val="superscript"/>
                <w:lang w:val="uk-UA"/>
              </w:rPr>
              <w:t>*</w:t>
            </w:r>
            <w:r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600,0±56,6</w:t>
            </w:r>
            <w:r w:rsidR="00A87A9F" w:rsidRPr="002E6ECA">
              <w:rPr>
                <w:vertAlign w:val="superscript"/>
                <w:lang w:val="uk-UA"/>
              </w:rPr>
              <w:t>*</w:t>
            </w:r>
            <w:r w:rsidRPr="002E6ECA">
              <w:rPr>
                <w:vertAlign w:val="superscript"/>
                <w:lang w:val="uk-UA"/>
              </w:rPr>
              <w:t>#</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системи кровообігу</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313,3±51,4</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306,7±53,2</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325,3±50,9</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493,3±57,7</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373,5±53,1</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413,3±56,9</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дихальної системи</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361,4±51,9</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240,0±49,3</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337,3±52,7</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173,3±43,7</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253,0±47,7*</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106,7±35,6</w:t>
            </w:r>
            <w:r w:rsidRPr="002E6ECA">
              <w:rPr>
                <w:vertAlign w:val="superscript"/>
                <w:lang w:val="uk-UA"/>
              </w:rPr>
              <w:t>*#</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Розлади психіки та поведінки</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168,7±39,9</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40,0±22,6</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156,6±41,1</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26,7±18,6</w:t>
            </w:r>
            <w:r w:rsidR="00A87A9F"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84,3±30,5</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40,0±22,6</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нервової системи</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48,2±28,4</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80,0±31,3</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72,3±23,5</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160,0±42,3</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60,2±26,1</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120,0±37,5</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органів травлення</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36,1±12,0</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40,0±22,6</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12,0±20,5</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0,0</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192,8±43,3</w:t>
            </w:r>
            <w:r w:rsidRPr="002E6ECA">
              <w:rPr>
                <w:vertAlign w:val="superscript"/>
                <w:lang w:val="uk-UA"/>
              </w:rPr>
              <w:t>##</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146,7±40,9</w:t>
            </w:r>
            <w:r w:rsidRPr="002E6ECA">
              <w:rPr>
                <w:vertAlign w:val="superscript"/>
                <w:lang w:val="uk-UA"/>
              </w:rPr>
              <w:t>#</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шкіри та підшкірної клітковини</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24,1±12,0</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13,3±13,2</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12,0±16,8</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0,0</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12,0±12,0</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0,0</w:t>
            </w:r>
          </w:p>
        </w:tc>
      </w:tr>
      <w:tr w:rsidR="00C406F3" w:rsidRPr="002E6ECA" w:rsidTr="00E22F2B">
        <w:trPr>
          <w:trHeight w:val="288"/>
        </w:trPr>
        <w:tc>
          <w:tcPr>
            <w:tcW w:w="1575"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jc w:val="center"/>
              <w:rPr>
                <w:lang w:val="uk-UA"/>
              </w:rPr>
            </w:pPr>
            <w:r w:rsidRPr="002E6ECA">
              <w:rPr>
                <w:lang w:val="uk-UA"/>
              </w:rPr>
              <w:t>Хвороби кістково-м`язової системи і сполучних тканин</w:t>
            </w:r>
          </w:p>
        </w:tc>
        <w:tc>
          <w:tcPr>
            <w:tcW w:w="1347"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60,2±12,0</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40,0±22,6</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12,0±26,1</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13,3±13,2</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24,1±16,8</w:t>
            </w:r>
          </w:p>
        </w:tc>
        <w:tc>
          <w:tcPr>
            <w:tcW w:w="134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406F3" w:rsidRPr="002E6ECA" w:rsidRDefault="00C406F3" w:rsidP="00E22F2B">
            <w:pPr>
              <w:ind w:left="-61"/>
              <w:jc w:val="center"/>
              <w:rPr>
                <w:lang w:val="uk-UA"/>
              </w:rPr>
            </w:pPr>
            <w:r w:rsidRPr="002E6ECA">
              <w:rPr>
                <w:lang w:val="uk-UA"/>
              </w:rPr>
              <w:t>0,0</w:t>
            </w:r>
          </w:p>
        </w:tc>
      </w:tr>
    </w:tbl>
    <w:p w:rsidR="00C406F3" w:rsidRPr="002E6ECA" w:rsidRDefault="00A87A9F" w:rsidP="00764728">
      <w:pPr>
        <w:spacing w:line="276" w:lineRule="auto"/>
        <w:ind w:firstLine="709"/>
        <w:rPr>
          <w:i/>
          <w:lang w:val="uk-UA"/>
        </w:rPr>
      </w:pPr>
      <w:r w:rsidRPr="002E6ECA">
        <w:rPr>
          <w:lang w:val="uk-UA"/>
        </w:rPr>
        <w:t>Примітки: наявність статистично значущих відмінностей муж хлопцями та дівчатами (</w:t>
      </w:r>
      <w:r w:rsidRPr="002E6ECA">
        <w:rPr>
          <w:vertAlign w:val="superscript"/>
          <w:lang w:val="uk-UA"/>
        </w:rPr>
        <w:t>*</w:t>
      </w:r>
      <w:r w:rsidR="00764728" w:rsidRPr="002E6ECA">
        <w:rPr>
          <w:lang w:val="uk-UA"/>
        </w:rPr>
        <w:t>–</w:t>
      </w:r>
      <w:r w:rsidRPr="002E6ECA">
        <w:rPr>
          <w:lang w:val="uk-UA"/>
        </w:rPr>
        <w:t xml:space="preserve"> р&lt;0,05); у динаміці навчання (</w:t>
      </w:r>
      <w:r w:rsidRPr="002E6ECA">
        <w:rPr>
          <w:vertAlign w:val="superscript"/>
          <w:lang w:val="uk-UA"/>
        </w:rPr>
        <w:t xml:space="preserve">#  </w:t>
      </w:r>
      <w:r w:rsidR="00764728" w:rsidRPr="002E6ECA">
        <w:rPr>
          <w:lang w:val="uk-UA"/>
        </w:rPr>
        <w:t>–</w:t>
      </w:r>
      <w:r w:rsidRPr="002E6ECA">
        <w:rPr>
          <w:lang w:val="uk-UA"/>
        </w:rPr>
        <w:t xml:space="preserve">  р&lt;0,05; </w:t>
      </w:r>
      <w:r w:rsidRPr="002E6ECA">
        <w:rPr>
          <w:vertAlign w:val="superscript"/>
          <w:lang w:val="uk-UA"/>
        </w:rPr>
        <w:t xml:space="preserve">## </w:t>
      </w:r>
      <w:r w:rsidR="00764728" w:rsidRPr="002E6ECA">
        <w:rPr>
          <w:lang w:val="uk-UA"/>
        </w:rPr>
        <w:t>–</w:t>
      </w:r>
      <w:r w:rsidRPr="002E6ECA">
        <w:rPr>
          <w:lang w:val="uk-UA"/>
        </w:rPr>
        <w:t xml:space="preserve"> р&lt;0,01).</w:t>
      </w:r>
    </w:p>
    <w:p w:rsidR="00C406F3" w:rsidRPr="002E6ECA" w:rsidRDefault="00954AF9" w:rsidP="00C406F3">
      <w:pPr>
        <w:spacing w:line="360" w:lineRule="auto"/>
        <w:ind w:firstLine="709"/>
        <w:jc w:val="both"/>
        <w:rPr>
          <w:sz w:val="28"/>
          <w:szCs w:val="28"/>
          <w:lang w:val="uk-UA"/>
        </w:rPr>
      </w:pPr>
      <w:r w:rsidRPr="002E6ECA">
        <w:rPr>
          <w:sz w:val="28"/>
          <w:szCs w:val="28"/>
          <w:lang w:val="uk-UA"/>
        </w:rPr>
        <w:t>Друге рангове місце займало ожиріння 1 ступеню, рівень розповсюдженості якого був вищим серед хлопців, але істотно лише наприкінці навчання: 156,6±39,9‰ проти 40,0±22,6‰ у дівчат (р&lt;0,05).</w:t>
      </w:r>
    </w:p>
    <w:p w:rsidR="00D31198" w:rsidRPr="002E6ECA" w:rsidRDefault="00D31198" w:rsidP="00764728">
      <w:pPr>
        <w:spacing w:line="360" w:lineRule="auto"/>
        <w:ind w:firstLine="709"/>
        <w:jc w:val="both"/>
        <w:rPr>
          <w:spacing w:val="-4"/>
          <w:sz w:val="28"/>
          <w:szCs w:val="28"/>
          <w:lang w:val="uk-UA"/>
        </w:rPr>
      </w:pPr>
      <w:r w:rsidRPr="002E6ECA">
        <w:rPr>
          <w:noProof/>
          <w:spacing w:val="-4"/>
          <w:sz w:val="28"/>
          <w:szCs w:val="28"/>
          <w:lang w:val="uk-UA" w:eastAsia="uk-UA"/>
        </w:rPr>
        <w:lastRenderedPageBreak/>
        <w:drawing>
          <wp:inline distT="0" distB="0" distL="0" distR="0" wp14:anchorId="69F559C7" wp14:editId="048222DB">
            <wp:extent cx="5718810" cy="4432300"/>
            <wp:effectExtent l="0" t="0" r="0" b="635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18810" cy="4432300"/>
                    </a:xfrm>
                    <a:prstGeom prst="rect">
                      <a:avLst/>
                    </a:prstGeom>
                    <a:noFill/>
                  </pic:spPr>
                </pic:pic>
              </a:graphicData>
            </a:graphic>
          </wp:inline>
        </w:drawing>
      </w:r>
    </w:p>
    <w:p w:rsidR="00671012" w:rsidRPr="002E6ECA" w:rsidRDefault="00671012" w:rsidP="00764728">
      <w:pPr>
        <w:spacing w:line="360" w:lineRule="auto"/>
        <w:ind w:firstLine="709"/>
        <w:jc w:val="both"/>
        <w:rPr>
          <w:spacing w:val="-4"/>
          <w:sz w:val="28"/>
          <w:szCs w:val="28"/>
          <w:lang w:val="uk-UA"/>
        </w:rPr>
      </w:pPr>
      <w:r w:rsidRPr="002E6ECA">
        <w:rPr>
          <w:spacing w:val="-4"/>
          <w:sz w:val="28"/>
          <w:szCs w:val="28"/>
          <w:lang w:val="uk-UA"/>
        </w:rPr>
        <w:t>Рис. 3.</w:t>
      </w:r>
      <w:r w:rsidR="00AC32C1" w:rsidRPr="002E6ECA">
        <w:rPr>
          <w:spacing w:val="-4"/>
          <w:sz w:val="28"/>
          <w:szCs w:val="28"/>
          <w:lang w:val="uk-UA"/>
        </w:rPr>
        <w:t>9</w:t>
      </w:r>
      <w:r w:rsidRPr="002E6ECA">
        <w:rPr>
          <w:spacing w:val="-4"/>
          <w:sz w:val="28"/>
          <w:szCs w:val="28"/>
          <w:lang w:val="uk-UA"/>
        </w:rPr>
        <w:t>. Структура ендокринної патології в учнів середнього шкільного віку</w:t>
      </w:r>
    </w:p>
    <w:p w:rsidR="00671012" w:rsidRPr="002E6ECA" w:rsidRDefault="00671012" w:rsidP="00671012">
      <w:pPr>
        <w:spacing w:line="360" w:lineRule="auto"/>
        <w:jc w:val="both"/>
        <w:rPr>
          <w:sz w:val="28"/>
          <w:szCs w:val="28"/>
          <w:lang w:val="uk-UA"/>
        </w:rPr>
      </w:pPr>
    </w:p>
    <w:p w:rsidR="00954AF9" w:rsidRPr="002E6ECA" w:rsidRDefault="00954AF9" w:rsidP="00954AF9">
      <w:pPr>
        <w:spacing w:line="360" w:lineRule="auto"/>
        <w:ind w:firstLine="709"/>
        <w:jc w:val="both"/>
        <w:rPr>
          <w:sz w:val="28"/>
          <w:szCs w:val="28"/>
          <w:lang w:val="uk-UA"/>
        </w:rPr>
      </w:pPr>
      <w:r w:rsidRPr="002E6ECA">
        <w:rPr>
          <w:sz w:val="28"/>
          <w:szCs w:val="28"/>
          <w:lang w:val="uk-UA"/>
        </w:rPr>
        <w:t xml:space="preserve">До порушень темпів зросту було віднесено лише його затримку, що реєструвалась у 8,6% хлопців на початку та у 13,2% – у середині навчання, а наприкінці – затримку у 8,0% та високорослість – у 4,0% учнів. У жіночій статевій групі визначалось зворотнє співвідношення цих порушень, а саме: дівчат із високорослістю було удвічі-тричі більше, ніж із затримкою темпів зросту. </w:t>
      </w:r>
    </w:p>
    <w:p w:rsidR="00A87A9F" w:rsidRPr="002E6ECA" w:rsidRDefault="00A87A9F" w:rsidP="00A87A9F">
      <w:pPr>
        <w:spacing w:line="360" w:lineRule="auto"/>
        <w:ind w:firstLine="709"/>
        <w:jc w:val="both"/>
        <w:rPr>
          <w:sz w:val="28"/>
          <w:szCs w:val="28"/>
          <w:lang w:val="uk-UA"/>
        </w:rPr>
      </w:pPr>
      <w:r w:rsidRPr="002E6ECA">
        <w:rPr>
          <w:sz w:val="28"/>
          <w:szCs w:val="28"/>
          <w:lang w:val="uk-UA"/>
        </w:rPr>
        <w:t>Серед порушень статевого розвитку реєструвався ризик його затримки у 36,1±20,5‰ хлопців та у 13,3±13,2‰ дівчат у середині навчання, а наприкінці навчання у базовій школі у 6,0</w:t>
      </w:r>
      <w:r w:rsidR="0080667E" w:rsidRPr="002E6ECA">
        <w:rPr>
          <w:sz w:val="28"/>
          <w:szCs w:val="28"/>
          <w:lang w:val="uk-UA"/>
        </w:rPr>
        <w:t>%</w:t>
      </w:r>
      <w:r w:rsidRPr="002E6ECA">
        <w:rPr>
          <w:sz w:val="28"/>
          <w:szCs w:val="28"/>
          <w:lang w:val="uk-UA"/>
        </w:rPr>
        <w:t xml:space="preserve"> хлопців затримка статевого розвитку і у 6,7% дівчат із ендокринною патологією – гіпоталамічний синдром, диспітуїтризм.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Важливу роль в період статевого розвитку, що співпадає із середнім шкільним віком, відіграють гормони щитоподібної залози, які беруть участь в </w:t>
      </w:r>
      <w:r w:rsidRPr="002E6ECA">
        <w:rPr>
          <w:sz w:val="28"/>
          <w:szCs w:val="28"/>
          <w:lang w:val="uk-UA"/>
        </w:rPr>
        <w:lastRenderedPageBreak/>
        <w:t>обмінних процесах, формуванні кісткової тканини і скелета, процесі росту, розвитку статевих ознак [</w:t>
      </w:r>
      <w:r w:rsidR="00CF1C2E" w:rsidRPr="002E6ECA">
        <w:rPr>
          <w:sz w:val="28"/>
          <w:szCs w:val="28"/>
          <w:lang w:val="uk-UA"/>
        </w:rPr>
        <w:t xml:space="preserve">96, </w:t>
      </w:r>
      <w:r w:rsidR="00CF1C2E" w:rsidRPr="002E6ECA">
        <w:rPr>
          <w:sz w:val="28"/>
          <w:szCs w:val="28"/>
          <w:shd w:val="clear" w:color="auto" w:fill="FFFFFF"/>
          <w:lang w:val="uk-UA"/>
        </w:rPr>
        <w:t>385</w:t>
      </w:r>
      <w:r w:rsidRPr="002E6ECA">
        <w:rPr>
          <w:sz w:val="28"/>
          <w:szCs w:val="28"/>
          <w:lang w:val="uk-UA"/>
        </w:rPr>
        <w:t xml:space="preserve">].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У нашому дослідженні встановлено, що найбільш поширеними визначаються захворювання ендокринної системи, а перше рангове місце в учнів середнього шкільного віку обох статей займають хвороби щитоподібної залози і складають </w:t>
      </w:r>
      <w:r w:rsidR="007C55A6" w:rsidRPr="002E6ECA">
        <w:rPr>
          <w:sz w:val="28"/>
          <w:szCs w:val="28"/>
          <w:lang w:val="uk-UA"/>
        </w:rPr>
        <w:t>⅔</w:t>
      </w:r>
      <w:r w:rsidRPr="002E6ECA">
        <w:rPr>
          <w:sz w:val="28"/>
          <w:szCs w:val="28"/>
          <w:lang w:val="uk-UA"/>
        </w:rPr>
        <w:t xml:space="preserve"> усієї ендокринної патології. При цьому затримка темпів зросту реєструвалась майже у 10</w:t>
      </w:r>
      <w:r w:rsidR="0080667E" w:rsidRPr="002E6ECA">
        <w:rPr>
          <w:sz w:val="28"/>
          <w:szCs w:val="28"/>
          <w:lang w:val="uk-UA"/>
        </w:rPr>
        <w:t>%</w:t>
      </w:r>
      <w:r w:rsidRPr="002E6ECA">
        <w:rPr>
          <w:sz w:val="28"/>
          <w:szCs w:val="28"/>
          <w:lang w:val="uk-UA"/>
        </w:rPr>
        <w:t xml:space="preserve"> хлопців, порушення статевого розвитку – у кожного 6-го хлопчика-підлітка, що удвічі частіше ніж серед дівчат тієї ж вікової групи. </w:t>
      </w:r>
      <w:r w:rsidR="00954AF9" w:rsidRPr="002E6ECA">
        <w:rPr>
          <w:sz w:val="28"/>
          <w:szCs w:val="28"/>
          <w:lang w:val="uk-UA"/>
        </w:rPr>
        <w:t>У попередніх дослідженнях було доведено, що оксидативний стрес, спричинений дисбалансом гормонів щитоподібної залози при гіпотиреозі, впливає на рівень тестостерону і, відповідно на формування гіпоандрогенії у хлопців [</w:t>
      </w:r>
      <w:r w:rsidR="00CF1C2E" w:rsidRPr="002E6ECA">
        <w:rPr>
          <w:sz w:val="28"/>
          <w:szCs w:val="28"/>
          <w:lang w:val="uk-UA"/>
        </w:rPr>
        <w:t xml:space="preserve">96, </w:t>
      </w:r>
      <w:r w:rsidR="00CF1C2E" w:rsidRPr="002E6ECA">
        <w:rPr>
          <w:sz w:val="28"/>
          <w:szCs w:val="28"/>
          <w:shd w:val="clear" w:color="auto" w:fill="FFFFFF"/>
          <w:lang w:val="uk-UA"/>
        </w:rPr>
        <w:t>200, 278</w:t>
      </w:r>
      <w:r w:rsidR="00CF1C2E" w:rsidRPr="002E6ECA">
        <w:rPr>
          <w:sz w:val="28"/>
          <w:szCs w:val="28"/>
          <w:lang w:val="uk-UA"/>
        </w:rPr>
        <w:t xml:space="preserve">, </w:t>
      </w:r>
      <w:r w:rsidR="009A04FD" w:rsidRPr="002E6ECA">
        <w:rPr>
          <w:sz w:val="28"/>
          <w:szCs w:val="28"/>
          <w:shd w:val="clear" w:color="auto" w:fill="FFFFFF"/>
          <w:lang w:val="uk-UA"/>
        </w:rPr>
        <w:t>306</w:t>
      </w:r>
      <w:r w:rsidR="00954AF9" w:rsidRPr="002E6ECA">
        <w:rPr>
          <w:sz w:val="28"/>
          <w:szCs w:val="28"/>
          <w:lang w:val="uk-UA"/>
        </w:rPr>
        <w:t xml:space="preserve">]. Встановлено пряму кореляцію між вмістом тиреоїдних гормонів та харчовим статусом, вмістом жиру в організмі </w:t>
      </w:r>
      <w:r w:rsidR="00954AF9" w:rsidRPr="002E6ECA">
        <w:rPr>
          <w:sz w:val="28"/>
          <w:szCs w:val="28"/>
          <w:lang w:val="uk-UA" w:eastAsia="uk-UA"/>
        </w:rPr>
        <w:t>[</w:t>
      </w:r>
      <w:hyperlink r:id="rId38" w:history="1">
        <w:r w:rsidR="00CF1C2E" w:rsidRPr="002E6ECA">
          <w:rPr>
            <w:bCs/>
            <w:sz w:val="28"/>
            <w:szCs w:val="28"/>
            <w:lang w:val="uk-UA"/>
          </w:rPr>
          <w:t>288</w:t>
        </w:r>
      </w:hyperlink>
      <w:r w:rsidR="00954AF9" w:rsidRPr="002E6ECA">
        <w:rPr>
          <w:sz w:val="28"/>
          <w:szCs w:val="28"/>
          <w:lang w:val="uk-UA" w:eastAsia="uk-UA"/>
        </w:rPr>
        <w:t>]</w:t>
      </w:r>
      <w:r w:rsidR="00954AF9" w:rsidRPr="002E6ECA">
        <w:rPr>
          <w:sz w:val="28"/>
          <w:szCs w:val="28"/>
          <w:lang w:val="uk-UA"/>
        </w:rPr>
        <w:t>. У той же час доведено вплив нейроендокринних, генетичних та екологічних факторів, а також харчування, у т.ч. у ранньому дитинстві на  розвиток пубертату [</w:t>
      </w:r>
      <w:r w:rsidR="00CF1C2E" w:rsidRPr="002E6ECA">
        <w:rPr>
          <w:sz w:val="28"/>
          <w:szCs w:val="28"/>
        </w:rPr>
        <w:t>365, 440,</w:t>
      </w:r>
      <w:r w:rsidR="00CF1C2E" w:rsidRPr="002E6ECA">
        <w:rPr>
          <w:sz w:val="28"/>
          <w:szCs w:val="28"/>
          <w:lang w:val="uk-UA" w:eastAsia="uk-UA"/>
        </w:rPr>
        <w:t xml:space="preserve"> </w:t>
      </w:r>
      <w:r w:rsidR="00CF1C2E" w:rsidRPr="002E6ECA">
        <w:rPr>
          <w:sz w:val="28"/>
          <w:szCs w:val="28"/>
        </w:rPr>
        <w:t>498</w:t>
      </w:r>
      <w:r w:rsidR="00954AF9"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Розлади психіки та поведінки, що були більш поширеними у хлопців середнього шкільного віку, в </w:t>
      </w:r>
      <w:r w:rsidR="007C55A6" w:rsidRPr="002E6ECA">
        <w:rPr>
          <w:sz w:val="28"/>
          <w:szCs w:val="28"/>
          <w:lang w:val="uk-UA"/>
        </w:rPr>
        <w:t>⅓</w:t>
      </w:r>
      <w:r w:rsidRPr="002E6ECA">
        <w:rPr>
          <w:sz w:val="28"/>
          <w:szCs w:val="28"/>
          <w:lang w:val="uk-UA"/>
        </w:rPr>
        <w:t xml:space="preserve"> випадків були представлені порушеннями активності та уваги, а у 20-30% учнів – гіперкинетичними розладами поведінки. Серед дівчат протягом навчання удвічі зростала доля розладів сну, а 50% учениць у середині навчання мали ознаки гіперкінетичних розладів.</w:t>
      </w:r>
    </w:p>
    <w:p w:rsidR="00671012" w:rsidRPr="002E6ECA" w:rsidRDefault="00671012" w:rsidP="00671012">
      <w:pPr>
        <w:spacing w:line="360" w:lineRule="auto"/>
        <w:ind w:firstLine="709"/>
        <w:jc w:val="both"/>
        <w:rPr>
          <w:sz w:val="28"/>
          <w:szCs w:val="28"/>
          <w:lang w:val="uk-UA"/>
        </w:rPr>
      </w:pPr>
      <w:r w:rsidRPr="002E6ECA">
        <w:rPr>
          <w:sz w:val="28"/>
          <w:szCs w:val="28"/>
          <w:lang w:val="uk-UA"/>
        </w:rPr>
        <w:t>Поширеність хвороб ока та придаткового апарату була істотно вищою серед дівчат (р&lt;0,05) протягом всього навчання за рахунок зниження гостроти зору, яка прогресувала у обох статевих групах з 272±35,4‰ до 430,4±39,4‰ (р&lt;0,01). Розповсюдженість порушення акомодації зростала упродовж навчання у базовій школі, але неістотно і складала до 15% всієї офтальмологічної патології.</w:t>
      </w:r>
    </w:p>
    <w:p w:rsidR="00671012" w:rsidRPr="002E6ECA" w:rsidRDefault="00671012" w:rsidP="00671012">
      <w:pPr>
        <w:spacing w:line="360" w:lineRule="auto"/>
        <w:ind w:firstLine="709"/>
        <w:jc w:val="both"/>
        <w:rPr>
          <w:sz w:val="28"/>
          <w:szCs w:val="28"/>
          <w:lang w:val="uk-UA" w:eastAsia="uk-UA"/>
        </w:rPr>
      </w:pPr>
      <w:r w:rsidRPr="002E6ECA">
        <w:rPr>
          <w:sz w:val="28"/>
          <w:szCs w:val="28"/>
          <w:lang w:val="uk-UA" w:eastAsia="uk-UA"/>
        </w:rPr>
        <w:t xml:space="preserve">Слід звернути увагу і на зростання майже удвічі рівня поширеності офтальмологічної патології, де провідне місце займає короткозорість, яка згідно з наявними джерелами літератури формується переважно у середньому </w:t>
      </w:r>
      <w:r w:rsidRPr="002E6ECA">
        <w:rPr>
          <w:sz w:val="28"/>
          <w:szCs w:val="28"/>
          <w:lang w:val="uk-UA" w:eastAsia="uk-UA"/>
        </w:rPr>
        <w:lastRenderedPageBreak/>
        <w:t xml:space="preserve">шкільному віці. </w:t>
      </w:r>
      <w:r w:rsidRPr="002E6ECA">
        <w:rPr>
          <w:bCs/>
          <w:sz w:val="28"/>
          <w:szCs w:val="28"/>
          <w:lang w:val="uk-UA" w:eastAsia="uk-UA"/>
        </w:rPr>
        <w:t>Зарубіжними дослідниками в</w:t>
      </w:r>
      <w:r w:rsidRPr="002E6ECA">
        <w:rPr>
          <w:sz w:val="28"/>
          <w:szCs w:val="28"/>
          <w:lang w:val="uk-UA" w:eastAsia="uk-UA"/>
        </w:rPr>
        <w:t xml:space="preserve">становлено зростання </w:t>
      </w:r>
      <w:r w:rsidRPr="002E6ECA">
        <w:rPr>
          <w:spacing w:val="-2"/>
          <w:sz w:val="28"/>
          <w:szCs w:val="28"/>
          <w:lang w:val="uk-UA" w:eastAsia="uk-UA"/>
        </w:rPr>
        <w:t xml:space="preserve">поширеності короткозорості упродовж навчання та пряма кореляція з віком, жіночою статтю, ІМТ та типом навчального закладу, що співпадає з нашими дослідженнями стосовно переважання патології органу зору серед дівчат та її істотного зростання упродовж навчання </w:t>
      </w:r>
      <w:r w:rsidR="00954AF9" w:rsidRPr="002E6ECA">
        <w:rPr>
          <w:spacing w:val="-2"/>
          <w:sz w:val="28"/>
          <w:szCs w:val="28"/>
          <w:lang w:val="uk-UA" w:eastAsia="uk-UA"/>
        </w:rPr>
        <w:t>[</w:t>
      </w:r>
      <w:r w:rsidR="00C5748A" w:rsidRPr="002E6ECA">
        <w:rPr>
          <w:sz w:val="28"/>
          <w:szCs w:val="28"/>
          <w:lang w:val="uk-UA"/>
        </w:rPr>
        <w:t xml:space="preserve">281, </w:t>
      </w:r>
      <w:r w:rsidR="00C5748A" w:rsidRPr="002E6ECA">
        <w:rPr>
          <w:bCs/>
          <w:sz w:val="28"/>
          <w:szCs w:val="28"/>
          <w:lang w:val="uk-UA"/>
        </w:rPr>
        <w:t>350</w:t>
      </w:r>
      <w:r w:rsidR="00C5748A" w:rsidRPr="002E6ECA">
        <w:rPr>
          <w:sz w:val="28"/>
          <w:szCs w:val="28"/>
          <w:lang w:val="uk-UA" w:eastAsia="uk-UA"/>
        </w:rPr>
        <w:t xml:space="preserve">, </w:t>
      </w:r>
      <w:r w:rsidR="00C5748A" w:rsidRPr="002E6ECA">
        <w:rPr>
          <w:sz w:val="28"/>
          <w:szCs w:val="28"/>
          <w:lang w:val="uk-UA"/>
        </w:rPr>
        <w:t>353</w:t>
      </w:r>
      <w:r w:rsidR="00954AF9" w:rsidRPr="002E6ECA">
        <w:rPr>
          <w:spacing w:val="-2"/>
          <w:sz w:val="28"/>
          <w:szCs w:val="28"/>
          <w:lang w:val="uk-UA" w:eastAsia="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eastAsia="uk-UA"/>
        </w:rPr>
        <w:t xml:space="preserve">Когортні </w:t>
      </w:r>
      <w:r w:rsidRPr="002E6ECA">
        <w:rPr>
          <w:spacing w:val="-2"/>
          <w:sz w:val="28"/>
          <w:szCs w:val="28"/>
          <w:lang w:val="uk-UA" w:eastAsia="uk-UA"/>
        </w:rPr>
        <w:t>дослідження дозволили встановити, що</w:t>
      </w:r>
      <w:r w:rsidRPr="002E6ECA">
        <w:rPr>
          <w:bCs/>
          <w:spacing w:val="-2"/>
          <w:sz w:val="28"/>
          <w:szCs w:val="28"/>
          <w:lang w:val="uk-UA" w:eastAsia="uk-UA"/>
        </w:rPr>
        <w:t xml:space="preserve"> чинниками ризику розвитку набутої короткозорості виступають інтенсифікація освітнього процесу, навчальні досягнення, </w:t>
      </w:r>
      <w:r w:rsidRPr="002E6ECA">
        <w:rPr>
          <w:spacing w:val="-2"/>
          <w:sz w:val="28"/>
          <w:szCs w:val="28"/>
          <w:lang w:val="uk-UA"/>
        </w:rPr>
        <w:t xml:space="preserve">низький рівень природнього та штучного освітлення, використання світлодіодних ламп під час виконання домашніх завдань, порушення режиму читання (відстань менше за 25 см), недостатня тривалість нічного сну та </w:t>
      </w:r>
      <w:r w:rsidRPr="002E6ECA">
        <w:rPr>
          <w:bCs/>
          <w:spacing w:val="-2"/>
          <w:sz w:val="28"/>
          <w:szCs w:val="28"/>
          <w:lang w:val="uk-UA" w:eastAsia="uk-UA"/>
        </w:rPr>
        <w:t>часу перебування</w:t>
      </w:r>
      <w:r w:rsidRPr="002E6ECA">
        <w:rPr>
          <w:bCs/>
          <w:sz w:val="28"/>
          <w:szCs w:val="28"/>
          <w:lang w:val="uk-UA" w:eastAsia="uk-UA"/>
        </w:rPr>
        <w:t xml:space="preserve"> на свіжому повітрі, низький рівень фізичної активності, </w:t>
      </w:r>
      <w:r w:rsidRPr="002E6ECA">
        <w:rPr>
          <w:sz w:val="28"/>
          <w:szCs w:val="28"/>
          <w:lang w:val="uk-UA"/>
        </w:rPr>
        <w:t>проживання у міському середовищі [</w:t>
      </w:r>
      <w:r w:rsidR="004502D6" w:rsidRPr="002E6ECA">
        <w:rPr>
          <w:sz w:val="28"/>
          <w:szCs w:val="28"/>
          <w:lang w:val="uk-UA"/>
        </w:rPr>
        <w:t xml:space="preserve">281, </w:t>
      </w:r>
      <w:r w:rsidR="00C5748A" w:rsidRPr="002E6ECA">
        <w:rPr>
          <w:bCs/>
          <w:sz w:val="28"/>
          <w:szCs w:val="28"/>
          <w:lang w:val="uk-UA"/>
        </w:rPr>
        <w:t>341</w:t>
      </w:r>
      <w:r w:rsidR="00C5748A" w:rsidRPr="002E6ECA">
        <w:rPr>
          <w:sz w:val="28"/>
          <w:szCs w:val="28"/>
          <w:lang w:val="uk-UA" w:eastAsia="uk-UA"/>
        </w:rPr>
        <w:t xml:space="preserve">, </w:t>
      </w:r>
      <w:r w:rsidR="00C5748A" w:rsidRPr="002E6ECA">
        <w:rPr>
          <w:bCs/>
          <w:sz w:val="28"/>
          <w:szCs w:val="28"/>
          <w:lang w:val="uk-UA"/>
        </w:rPr>
        <w:t>346,</w:t>
      </w:r>
      <w:r w:rsidR="00C5748A" w:rsidRPr="002E6ECA">
        <w:rPr>
          <w:sz w:val="28"/>
          <w:szCs w:val="28"/>
          <w:lang w:val="uk-UA" w:eastAsia="uk-UA"/>
        </w:rPr>
        <w:t xml:space="preserve"> </w:t>
      </w:r>
      <w:r w:rsidR="00C5748A" w:rsidRPr="002E6ECA">
        <w:rPr>
          <w:lang w:val="uk-UA"/>
        </w:rPr>
        <w:t>412,</w:t>
      </w:r>
      <w:r w:rsidR="00C5748A" w:rsidRPr="002E6ECA">
        <w:rPr>
          <w:sz w:val="28"/>
          <w:szCs w:val="28"/>
          <w:lang w:val="uk-UA" w:eastAsia="uk-UA"/>
        </w:rPr>
        <w:t xml:space="preserve"> </w:t>
      </w:r>
      <w:hyperlink r:id="rId39" w:history="1">
        <w:r w:rsidR="00C5748A" w:rsidRPr="002E6ECA">
          <w:rPr>
            <w:bCs/>
            <w:sz w:val="28"/>
            <w:szCs w:val="28"/>
            <w:lang w:val="uk-UA"/>
          </w:rPr>
          <w:t>423</w:t>
        </w:r>
      </w:hyperlink>
      <w:r w:rsidR="00C5748A" w:rsidRPr="002E6ECA">
        <w:rPr>
          <w:sz w:val="28"/>
          <w:szCs w:val="28"/>
          <w:lang w:val="uk-UA"/>
        </w:rPr>
        <w:t>, 504</w:t>
      </w:r>
      <w:r w:rsidRPr="002E6ECA">
        <w:rPr>
          <w:sz w:val="28"/>
          <w:szCs w:val="28"/>
          <w:lang w:val="uk-UA"/>
        </w:rPr>
        <w:t>].</w:t>
      </w:r>
    </w:p>
    <w:p w:rsidR="00FE6D70" w:rsidRPr="002E6ECA" w:rsidRDefault="00671012" w:rsidP="00FE6D70">
      <w:pPr>
        <w:spacing w:line="360" w:lineRule="auto"/>
        <w:ind w:firstLine="709"/>
        <w:jc w:val="both"/>
        <w:rPr>
          <w:sz w:val="28"/>
          <w:szCs w:val="28"/>
          <w:lang w:val="uk-UA"/>
        </w:rPr>
      </w:pPr>
      <w:r w:rsidRPr="002E6ECA">
        <w:rPr>
          <w:sz w:val="28"/>
          <w:szCs w:val="28"/>
          <w:lang w:val="uk-UA"/>
        </w:rPr>
        <w:t xml:space="preserve">Аналіз рівня патологічної ураженості та її динаміки при навчанні за різних освітніх програм встановив </w:t>
      </w:r>
      <w:r w:rsidR="00A87A9F" w:rsidRPr="002E6ECA">
        <w:rPr>
          <w:sz w:val="28"/>
          <w:szCs w:val="28"/>
          <w:lang w:val="uk-UA"/>
        </w:rPr>
        <w:t>н</w:t>
      </w:r>
      <w:r w:rsidRPr="002E6ECA">
        <w:rPr>
          <w:sz w:val="28"/>
          <w:szCs w:val="28"/>
          <w:lang w:val="uk-UA"/>
        </w:rPr>
        <w:t>айвищий рівень для хвороб ендокринної системи, на третьому ранговому місці були хвороби системи кровообігу, але виявлено деякі відмінності у рангових місцях інших хвороб</w:t>
      </w:r>
      <w:r w:rsidR="00A87A9F" w:rsidRPr="002E6ECA">
        <w:rPr>
          <w:sz w:val="28"/>
          <w:szCs w:val="28"/>
          <w:lang w:val="uk-UA"/>
        </w:rPr>
        <w:t xml:space="preserve"> (табл. 3.5)</w:t>
      </w:r>
      <w:r w:rsidRPr="002E6ECA">
        <w:rPr>
          <w:sz w:val="28"/>
          <w:szCs w:val="28"/>
          <w:lang w:val="uk-UA"/>
        </w:rPr>
        <w:t xml:space="preserve">. </w:t>
      </w:r>
      <w:r w:rsidR="00FE6D70" w:rsidRPr="002E6ECA">
        <w:rPr>
          <w:sz w:val="28"/>
          <w:szCs w:val="28"/>
          <w:lang w:val="uk-UA"/>
        </w:rPr>
        <w:t xml:space="preserve">Для учнів, що навчались за меритократичною системою освіти 2-е рангове місце на початку 5-го класу посідали хвороби ока та придаткового апарату (376,6±55,2‰), які протягом навчання піднялись на перше рангове місце, що пов’язано зі зростанням їх поширеності на 220,8‰ (p&lt;0,05). </w:t>
      </w:r>
    </w:p>
    <w:p w:rsidR="00FE6D70" w:rsidRPr="002E6ECA" w:rsidRDefault="00FE6D70" w:rsidP="00FE6D70">
      <w:pPr>
        <w:spacing w:line="360" w:lineRule="auto"/>
        <w:ind w:firstLine="709"/>
        <w:jc w:val="both"/>
        <w:rPr>
          <w:sz w:val="28"/>
          <w:szCs w:val="28"/>
          <w:lang w:val="uk-UA"/>
        </w:rPr>
      </w:pPr>
      <w:r w:rsidRPr="002E6ECA">
        <w:rPr>
          <w:sz w:val="28"/>
          <w:szCs w:val="28"/>
          <w:lang w:val="uk-UA"/>
        </w:rPr>
        <w:t xml:space="preserve">Подібна тенденція спостерігалась і при навчанні за традиційною системою: офтальмологічна патологія з 4-го рангового місця на початку навчання (271,6±49,4‰) пересувалася на третє (284,0±50,1‰), а потім – на друге рангове місце (432,1±55,0‰) із загальним зростанням її поширеності на 160,5‰ (p&lt;0,05). При цьому хвороби ендокринної системи залишались незмінним «лідером» у структурі патологічної ураженості та зростали протягом навчання у базовій школі на 172,8‰ (p&lt;0,05). </w:t>
      </w:r>
    </w:p>
    <w:p w:rsidR="00236EA6" w:rsidRPr="002E6ECA" w:rsidRDefault="00236EA6" w:rsidP="00236EA6">
      <w:pPr>
        <w:spacing w:line="360" w:lineRule="auto"/>
        <w:ind w:firstLine="709"/>
        <w:jc w:val="both"/>
        <w:rPr>
          <w:sz w:val="28"/>
          <w:szCs w:val="28"/>
          <w:lang w:val="uk-UA"/>
        </w:rPr>
      </w:pPr>
      <w:r w:rsidRPr="002E6ECA">
        <w:rPr>
          <w:sz w:val="28"/>
          <w:szCs w:val="28"/>
          <w:lang w:val="uk-UA"/>
        </w:rPr>
        <w:t xml:space="preserve">Суттєво зростала і розповсюдженість захворювань органів травлення – на 148,1‰ (p&lt;0,01). При навчанні за меритократичною системою упродовж перебування у базовій школі суттєво зростала поширеність хвороби ока та </w:t>
      </w:r>
      <w:r w:rsidRPr="002E6ECA">
        <w:rPr>
          <w:sz w:val="28"/>
          <w:szCs w:val="28"/>
          <w:lang w:val="uk-UA"/>
        </w:rPr>
        <w:lastRenderedPageBreak/>
        <w:t>придаткового апарату і органів травлення та знижувалась – за патологією дихальної системи (p&lt;0,05). Саме офтальмологічна патологія була більш поширена серед учнів при меритократичній програмі протягом всього навчання (p&lt;0,05-0,01).</w:t>
      </w:r>
    </w:p>
    <w:p w:rsidR="00A87A9F" w:rsidRPr="002E6ECA" w:rsidRDefault="00A87A9F" w:rsidP="00A87A9F">
      <w:pPr>
        <w:spacing w:line="360" w:lineRule="auto"/>
        <w:ind w:firstLine="709"/>
        <w:jc w:val="right"/>
        <w:rPr>
          <w:sz w:val="28"/>
          <w:szCs w:val="28"/>
          <w:lang w:val="uk-UA"/>
        </w:rPr>
      </w:pPr>
      <w:r w:rsidRPr="002E6ECA">
        <w:rPr>
          <w:i/>
          <w:sz w:val="28"/>
          <w:szCs w:val="28"/>
          <w:lang w:val="uk-UA"/>
        </w:rPr>
        <w:t>Таблиця 3.5</w:t>
      </w:r>
    </w:p>
    <w:p w:rsidR="00A87A9F" w:rsidRPr="002E6ECA" w:rsidRDefault="00A87A9F" w:rsidP="00A87A9F">
      <w:pPr>
        <w:spacing w:line="360" w:lineRule="auto"/>
        <w:ind w:firstLine="709"/>
        <w:jc w:val="center"/>
        <w:rPr>
          <w:b/>
          <w:sz w:val="28"/>
          <w:szCs w:val="28"/>
          <w:lang w:val="uk-UA"/>
        </w:rPr>
      </w:pPr>
      <w:r w:rsidRPr="002E6ECA">
        <w:rPr>
          <w:b/>
          <w:sz w:val="28"/>
          <w:szCs w:val="28"/>
          <w:lang w:val="uk-UA"/>
        </w:rPr>
        <w:t>Патологічна ураженість учнів за умов навчання за різними освітніми програмами, ‰</w:t>
      </w:r>
      <w:r w:rsidRPr="002E6ECA">
        <w:rPr>
          <w:b/>
          <w:lang w:val="uk-UA" w:eastAsia="uk-UA"/>
        </w:rPr>
        <w:t>±m</w:t>
      </w:r>
    </w:p>
    <w:tbl>
      <w:tblPr>
        <w:tblW w:w="9480" w:type="dxa"/>
        <w:tblInd w:w="93" w:type="dxa"/>
        <w:tblLayout w:type="fixed"/>
        <w:tblLook w:val="04A0" w:firstRow="1" w:lastRow="0" w:firstColumn="1" w:lastColumn="0" w:noHBand="0" w:noVBand="1"/>
      </w:tblPr>
      <w:tblGrid>
        <w:gridCol w:w="1920"/>
        <w:gridCol w:w="1228"/>
        <w:gridCol w:w="1229"/>
        <w:gridCol w:w="1228"/>
        <w:gridCol w:w="1276"/>
        <w:gridCol w:w="1228"/>
        <w:gridCol w:w="1371"/>
      </w:tblGrid>
      <w:tr w:rsidR="00A87A9F" w:rsidRPr="002E6ECA" w:rsidTr="00575F9D">
        <w:trPr>
          <w:trHeight w:val="300"/>
        </w:trPr>
        <w:tc>
          <w:tcPr>
            <w:tcW w:w="1920" w:type="dxa"/>
            <w:vMerge w:val="restart"/>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jc w:val="center"/>
              <w:rPr>
                <w:lang w:val="uk-UA" w:eastAsia="uk-UA"/>
              </w:rPr>
            </w:pPr>
            <w:r w:rsidRPr="002E6ECA">
              <w:rPr>
                <w:lang w:val="uk-UA" w:eastAsia="uk-UA"/>
              </w:rPr>
              <w:t>Група хвороб</w:t>
            </w:r>
          </w:p>
        </w:tc>
        <w:tc>
          <w:tcPr>
            <w:tcW w:w="2457" w:type="dxa"/>
            <w:gridSpan w:val="2"/>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bottom"/>
            <w:hideMark/>
          </w:tcPr>
          <w:p w:rsidR="00A87A9F" w:rsidRPr="002E6ECA" w:rsidRDefault="00575F9D" w:rsidP="00FE6D70">
            <w:pPr>
              <w:spacing w:line="276" w:lineRule="auto"/>
              <w:jc w:val="center"/>
              <w:rPr>
                <w:lang w:val="uk-UA"/>
              </w:rPr>
            </w:pPr>
            <w:r w:rsidRPr="002E6ECA">
              <w:rPr>
                <w:lang w:val="uk-UA"/>
              </w:rPr>
              <w:t>На початку навчання</w:t>
            </w:r>
          </w:p>
        </w:tc>
        <w:tc>
          <w:tcPr>
            <w:tcW w:w="2504" w:type="dxa"/>
            <w:gridSpan w:val="2"/>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hideMark/>
          </w:tcPr>
          <w:p w:rsidR="00A87A9F" w:rsidRPr="002E6ECA" w:rsidRDefault="00575F9D" w:rsidP="00FE6D70">
            <w:pPr>
              <w:spacing w:line="276" w:lineRule="auto"/>
              <w:jc w:val="center"/>
              <w:rPr>
                <w:lang w:val="uk-UA"/>
              </w:rPr>
            </w:pPr>
            <w:r w:rsidRPr="002E6ECA">
              <w:rPr>
                <w:lang w:val="uk-UA"/>
              </w:rPr>
              <w:t xml:space="preserve">У середині </w:t>
            </w:r>
            <w:r w:rsidR="00A87A9F" w:rsidRPr="002E6ECA">
              <w:rPr>
                <w:lang w:val="uk-UA"/>
              </w:rPr>
              <w:t>навчання</w:t>
            </w:r>
          </w:p>
        </w:tc>
        <w:tc>
          <w:tcPr>
            <w:tcW w:w="2599" w:type="dxa"/>
            <w:gridSpan w:val="2"/>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hideMark/>
          </w:tcPr>
          <w:p w:rsidR="00A87A9F" w:rsidRPr="002E6ECA" w:rsidRDefault="00575F9D" w:rsidP="00FE6D70">
            <w:pPr>
              <w:spacing w:line="276" w:lineRule="auto"/>
              <w:jc w:val="center"/>
              <w:rPr>
                <w:lang w:val="uk-UA"/>
              </w:rPr>
            </w:pPr>
            <w:r w:rsidRPr="002E6ECA">
              <w:rPr>
                <w:lang w:val="uk-UA"/>
              </w:rPr>
              <w:t>Наприкінці навчання</w:t>
            </w:r>
          </w:p>
        </w:tc>
      </w:tr>
      <w:tr w:rsidR="00575F9D" w:rsidRPr="002E6ECA" w:rsidTr="00575F9D">
        <w:trPr>
          <w:trHeight w:val="300"/>
        </w:trPr>
        <w:tc>
          <w:tcPr>
            <w:tcW w:w="1920"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75F9D" w:rsidRPr="002E6ECA" w:rsidRDefault="00575F9D" w:rsidP="00FE6D70">
            <w:pPr>
              <w:spacing w:line="276" w:lineRule="auto"/>
              <w:jc w:val="center"/>
              <w:rPr>
                <w:lang w:val="uk-UA" w:eastAsia="uk-UA"/>
              </w:rPr>
            </w:pPr>
          </w:p>
        </w:tc>
        <w:tc>
          <w:tcPr>
            <w:tcW w:w="1228"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bottom"/>
            <w:hideMark/>
          </w:tcPr>
          <w:p w:rsidR="00575F9D" w:rsidRPr="002E6ECA" w:rsidRDefault="00575F9D" w:rsidP="00FE6D70">
            <w:pPr>
              <w:spacing w:line="276" w:lineRule="auto"/>
              <w:jc w:val="center"/>
              <w:rPr>
                <w:spacing w:val="-6"/>
                <w:lang w:val="uk-UA" w:eastAsia="uk-UA"/>
              </w:rPr>
            </w:pPr>
            <w:r w:rsidRPr="002E6ECA">
              <w:rPr>
                <w:spacing w:val="-6"/>
                <w:lang w:val="uk-UA" w:eastAsia="uk-UA"/>
              </w:rPr>
              <w:t>Меритокра-тична</w:t>
            </w:r>
          </w:p>
        </w:tc>
        <w:tc>
          <w:tcPr>
            <w:tcW w:w="1229"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575F9D" w:rsidRPr="002E6ECA" w:rsidRDefault="00575F9D" w:rsidP="00FE6D70">
            <w:pPr>
              <w:spacing w:line="276" w:lineRule="auto"/>
              <w:jc w:val="center"/>
              <w:rPr>
                <w:spacing w:val="-6"/>
                <w:lang w:val="uk-UA" w:eastAsia="uk-UA"/>
              </w:rPr>
            </w:pPr>
            <w:r w:rsidRPr="002E6ECA">
              <w:rPr>
                <w:spacing w:val="-6"/>
                <w:lang w:val="uk-UA" w:eastAsia="uk-UA"/>
              </w:rPr>
              <w:t>Традиційна</w:t>
            </w:r>
          </w:p>
        </w:tc>
        <w:tc>
          <w:tcPr>
            <w:tcW w:w="1228"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hideMark/>
          </w:tcPr>
          <w:p w:rsidR="00575F9D" w:rsidRPr="002E6ECA" w:rsidRDefault="00575F9D" w:rsidP="00FE6D70">
            <w:pPr>
              <w:spacing w:line="276" w:lineRule="auto"/>
              <w:jc w:val="center"/>
              <w:rPr>
                <w:spacing w:val="-6"/>
                <w:lang w:val="uk-UA" w:eastAsia="uk-UA"/>
              </w:rPr>
            </w:pPr>
            <w:r w:rsidRPr="002E6ECA">
              <w:rPr>
                <w:spacing w:val="-6"/>
                <w:lang w:val="uk-UA" w:eastAsia="uk-UA"/>
              </w:rPr>
              <w:t>Меритокра-тична</w:t>
            </w:r>
          </w:p>
        </w:tc>
        <w:tc>
          <w:tcPr>
            <w:tcW w:w="1276"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575F9D" w:rsidRPr="002E6ECA" w:rsidRDefault="00575F9D" w:rsidP="00FE6D70">
            <w:pPr>
              <w:spacing w:line="276" w:lineRule="auto"/>
              <w:jc w:val="center"/>
              <w:rPr>
                <w:spacing w:val="-6"/>
                <w:lang w:val="uk-UA" w:eastAsia="uk-UA"/>
              </w:rPr>
            </w:pPr>
            <w:r w:rsidRPr="002E6ECA">
              <w:rPr>
                <w:spacing w:val="-6"/>
                <w:lang w:val="uk-UA" w:eastAsia="uk-UA"/>
              </w:rPr>
              <w:t>Традиційна</w:t>
            </w:r>
          </w:p>
        </w:tc>
        <w:tc>
          <w:tcPr>
            <w:tcW w:w="1228"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bottom"/>
            <w:hideMark/>
          </w:tcPr>
          <w:p w:rsidR="00575F9D" w:rsidRPr="002E6ECA" w:rsidRDefault="00575F9D" w:rsidP="00FE6D70">
            <w:pPr>
              <w:spacing w:line="276" w:lineRule="auto"/>
              <w:jc w:val="center"/>
              <w:rPr>
                <w:spacing w:val="-6"/>
                <w:lang w:val="uk-UA" w:eastAsia="uk-UA"/>
              </w:rPr>
            </w:pPr>
            <w:r w:rsidRPr="002E6ECA">
              <w:rPr>
                <w:spacing w:val="-6"/>
                <w:lang w:val="uk-UA" w:eastAsia="uk-UA"/>
              </w:rPr>
              <w:t>Меритокра-тична</w:t>
            </w:r>
          </w:p>
        </w:tc>
        <w:tc>
          <w:tcPr>
            <w:tcW w:w="1371"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575F9D" w:rsidRPr="002E6ECA" w:rsidRDefault="00575F9D" w:rsidP="00FE6D70">
            <w:pPr>
              <w:spacing w:line="276" w:lineRule="auto"/>
              <w:jc w:val="center"/>
              <w:rPr>
                <w:spacing w:val="-6"/>
                <w:lang w:val="uk-UA" w:eastAsia="uk-UA"/>
              </w:rPr>
            </w:pPr>
            <w:r w:rsidRPr="002E6ECA">
              <w:rPr>
                <w:spacing w:val="-6"/>
                <w:lang w:val="uk-UA" w:eastAsia="uk-UA"/>
              </w:rPr>
              <w:t>Традиційна</w:t>
            </w:r>
          </w:p>
        </w:tc>
      </w:tr>
      <w:tr w:rsidR="00A87A9F" w:rsidRPr="002E6ECA" w:rsidTr="00575F9D">
        <w:trPr>
          <w:trHeight w:val="300"/>
        </w:trPr>
        <w:tc>
          <w:tcPr>
            <w:tcW w:w="1920"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ендокринної системи</w:t>
            </w:r>
          </w:p>
        </w:tc>
        <w:tc>
          <w:tcPr>
            <w:tcW w:w="1228"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441,6±56,6</w:t>
            </w:r>
          </w:p>
        </w:tc>
        <w:tc>
          <w:tcPr>
            <w:tcW w:w="1229"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493,8±55,6</w:t>
            </w:r>
          </w:p>
        </w:tc>
        <w:tc>
          <w:tcPr>
            <w:tcW w:w="1228"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454,5±56,7</w:t>
            </w:r>
          </w:p>
        </w:tc>
        <w:tc>
          <w:tcPr>
            <w:tcW w:w="1276"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444,4±55,2</w:t>
            </w:r>
          </w:p>
        </w:tc>
        <w:tc>
          <w:tcPr>
            <w:tcW w:w="1228"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532,5±56,9</w:t>
            </w:r>
          </w:p>
        </w:tc>
        <w:tc>
          <w:tcPr>
            <w:tcW w:w="1371"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666,7±52,4</w:t>
            </w:r>
            <w:r w:rsidRPr="002E6ECA">
              <w:rPr>
                <w:spacing w:val="-4"/>
                <w:sz w:val="23"/>
                <w:szCs w:val="23"/>
                <w:vertAlign w:val="superscript"/>
                <w:lang w:val="uk-UA" w:eastAsia="uk-UA"/>
              </w:rPr>
              <w:t>#</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ока та придаткового апарату</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376,6±55,2</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271,6±49,4</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519,5±56,9</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284,0±50,1</w:t>
            </w:r>
            <w:r w:rsidRPr="002E6ECA">
              <w:rPr>
                <w:spacing w:val="-4"/>
                <w:sz w:val="23"/>
                <w:szCs w:val="23"/>
                <w:vertAlign w:val="superscript"/>
                <w:lang w:val="uk-UA" w:eastAsia="uk-UA"/>
              </w:rPr>
              <w:t>**</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597,4±55,9</w:t>
            </w:r>
            <w:r w:rsidRPr="002E6ECA">
              <w:rPr>
                <w:spacing w:val="-4"/>
                <w:sz w:val="23"/>
                <w:szCs w:val="23"/>
                <w:vertAlign w:val="superscript"/>
                <w:lang w:val="uk-UA" w:eastAsia="uk-UA"/>
              </w:rPr>
              <w:t>#</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432,1±55,0</w:t>
            </w:r>
            <w:r w:rsidRPr="002E6ECA">
              <w:rPr>
                <w:spacing w:val="-4"/>
                <w:sz w:val="23"/>
                <w:szCs w:val="23"/>
                <w:vertAlign w:val="superscript"/>
                <w:lang w:val="uk-UA" w:eastAsia="uk-UA"/>
              </w:rPr>
              <w:t>*#</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системи кровообігу</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337,7±53,9</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284,0±50,1</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454,5±56,7</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358,0±53,3</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376,6±55,2</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407,4±54,6</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дихальної системи</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311,7±52,8</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296,3±50,7</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272,7±50,8</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246,9±47,9</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168,8±42,7</w:t>
            </w:r>
            <w:r w:rsidRPr="002E6ECA">
              <w:rPr>
                <w:spacing w:val="-4"/>
                <w:sz w:val="23"/>
                <w:szCs w:val="23"/>
                <w:vertAlign w:val="superscript"/>
                <w:lang w:val="uk-UA" w:eastAsia="uk-UA"/>
              </w:rPr>
              <w:t>#</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197,5±44,2</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Розлади психіки та поведінки</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129,9±38,3</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86,4±31,2</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116,9±36,6</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74,1±29,1</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77,9±30,5</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49,4±24,1</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нервової системи</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64,9±28,1</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61,7±26,7</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155,8±41,3</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74,1±29,1</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90,9±32,8</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86,4±31,2</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органів травлення</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39,0±22,1</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37,0±21,0</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13,0±12,9</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0,0</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155,8±41,3</w:t>
            </w:r>
            <w:r w:rsidRPr="002E6ECA">
              <w:rPr>
                <w:spacing w:val="-4"/>
                <w:sz w:val="23"/>
                <w:szCs w:val="23"/>
                <w:vertAlign w:val="superscript"/>
                <w:lang w:val="uk-UA" w:eastAsia="uk-UA"/>
              </w:rPr>
              <w:t>#</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185,2±43,2</w:t>
            </w:r>
            <w:r w:rsidRPr="002E6ECA">
              <w:rPr>
                <w:spacing w:val="-4"/>
                <w:sz w:val="23"/>
                <w:szCs w:val="23"/>
                <w:vertAlign w:val="superscript"/>
                <w:lang w:val="uk-UA" w:eastAsia="uk-UA"/>
              </w:rPr>
              <w:t>##</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шкіри та підшкірної клітковини</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0,0</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37,0±21,0</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0,0</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12,3±12,3</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0,0</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12,3±12,3</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rPr>
                <w:lang w:val="uk-UA" w:eastAsia="uk-UA"/>
              </w:rPr>
            </w:pPr>
            <w:r w:rsidRPr="002E6ECA">
              <w:rPr>
                <w:lang w:val="uk-UA" w:eastAsia="uk-UA"/>
              </w:rPr>
              <w:t>Хвороби кістково-м`язової системи і сполучних тканин</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64,9±28,1</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37,0±21,0</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13,0</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12,3±12,3</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0,0</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24,7±17,2</w:t>
            </w:r>
          </w:p>
        </w:tc>
      </w:tr>
      <w:tr w:rsidR="00A87A9F" w:rsidRPr="002E6ECA" w:rsidTr="00575F9D">
        <w:trPr>
          <w:trHeight w:val="300"/>
        </w:trPr>
        <w:tc>
          <w:tcPr>
            <w:tcW w:w="1920" w:type="dxa"/>
            <w:tcBorders>
              <w:top w:val="nil"/>
              <w:left w:val="single" w:sz="4" w:space="0" w:color="auto"/>
              <w:bottom w:val="single" w:sz="4" w:space="0" w:color="auto"/>
              <w:right w:val="single" w:sz="4" w:space="0" w:color="auto"/>
            </w:tcBorders>
            <w:shd w:val="clear" w:color="auto" w:fill="auto"/>
            <w:noWrap/>
            <w:tcMar>
              <w:left w:w="28" w:type="dxa"/>
              <w:right w:w="28" w:type="dxa"/>
            </w:tcMar>
            <w:hideMark/>
          </w:tcPr>
          <w:p w:rsidR="00A87A9F" w:rsidRPr="002E6ECA" w:rsidRDefault="00575F9D" w:rsidP="00FE6D70">
            <w:pPr>
              <w:spacing w:line="276" w:lineRule="auto"/>
              <w:rPr>
                <w:lang w:val="uk-UA" w:eastAsia="uk-UA"/>
              </w:rPr>
            </w:pPr>
            <w:r w:rsidRPr="002E6ECA">
              <w:rPr>
                <w:lang w:val="uk-UA" w:eastAsia="uk-UA"/>
              </w:rPr>
              <w:t>Разом</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1766,2</w:t>
            </w:r>
          </w:p>
        </w:tc>
        <w:tc>
          <w:tcPr>
            <w:tcW w:w="1229"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1604,9</w:t>
            </w:r>
          </w:p>
        </w:tc>
        <w:tc>
          <w:tcPr>
            <w:tcW w:w="1228"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2000,0</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1506,2</w:t>
            </w:r>
          </w:p>
        </w:tc>
        <w:tc>
          <w:tcPr>
            <w:tcW w:w="1228" w:type="dxa"/>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2026,0</w:t>
            </w:r>
          </w:p>
        </w:tc>
        <w:tc>
          <w:tcPr>
            <w:tcW w:w="137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A87A9F" w:rsidRPr="002E6ECA" w:rsidRDefault="00A87A9F" w:rsidP="00FE6D70">
            <w:pPr>
              <w:spacing w:line="276" w:lineRule="auto"/>
              <w:ind w:left="-168" w:right="-68" w:firstLine="168"/>
              <w:jc w:val="center"/>
              <w:rPr>
                <w:spacing w:val="-4"/>
                <w:sz w:val="23"/>
                <w:szCs w:val="23"/>
                <w:lang w:val="uk-UA" w:eastAsia="uk-UA"/>
              </w:rPr>
            </w:pPr>
            <w:r w:rsidRPr="002E6ECA">
              <w:rPr>
                <w:spacing w:val="-4"/>
                <w:sz w:val="23"/>
                <w:szCs w:val="23"/>
                <w:lang w:val="uk-UA" w:eastAsia="uk-UA"/>
              </w:rPr>
              <w:t>2111,1</w:t>
            </w:r>
          </w:p>
        </w:tc>
      </w:tr>
    </w:tbl>
    <w:p w:rsidR="00A87A9F" w:rsidRPr="002E6ECA" w:rsidRDefault="00A87A9F" w:rsidP="00575F9D">
      <w:pPr>
        <w:spacing w:line="276" w:lineRule="auto"/>
        <w:ind w:firstLine="709"/>
        <w:rPr>
          <w:lang w:val="uk-UA"/>
        </w:rPr>
      </w:pPr>
      <w:r w:rsidRPr="002E6ECA">
        <w:rPr>
          <w:lang w:val="uk-UA"/>
        </w:rPr>
        <w:t>Примітка:</w:t>
      </w:r>
      <w:r w:rsidR="00575F9D" w:rsidRPr="002E6ECA">
        <w:rPr>
          <w:lang w:val="uk-UA"/>
        </w:rPr>
        <w:t xml:space="preserve"> істотна різниця при порівнянні учнів за умов навчання за різними освітніми програмами (</w:t>
      </w:r>
      <w:r w:rsidRPr="002E6ECA">
        <w:rPr>
          <w:vertAlign w:val="superscript"/>
          <w:lang w:val="uk-UA"/>
        </w:rPr>
        <w:t>*</w:t>
      </w:r>
      <w:r w:rsidRPr="002E6ECA">
        <w:rPr>
          <w:lang w:val="uk-UA"/>
        </w:rPr>
        <w:t xml:space="preserve"> – р&lt;0,05</w:t>
      </w:r>
      <w:r w:rsidR="00575F9D" w:rsidRPr="002E6ECA">
        <w:rPr>
          <w:lang w:val="uk-UA"/>
        </w:rPr>
        <w:t xml:space="preserve">; </w:t>
      </w:r>
      <w:r w:rsidRPr="002E6ECA">
        <w:rPr>
          <w:vertAlign w:val="superscript"/>
          <w:lang w:val="uk-UA"/>
        </w:rPr>
        <w:t>**</w:t>
      </w:r>
      <w:r w:rsidRPr="002E6ECA">
        <w:rPr>
          <w:lang w:val="uk-UA"/>
        </w:rPr>
        <w:t xml:space="preserve"> – р&lt;0,01</w:t>
      </w:r>
      <w:r w:rsidR="00575F9D" w:rsidRPr="002E6ECA">
        <w:rPr>
          <w:lang w:val="uk-UA"/>
        </w:rPr>
        <w:t>), у динаміці навчання (</w:t>
      </w:r>
      <w:r w:rsidR="00575F9D" w:rsidRPr="002E6ECA">
        <w:rPr>
          <w:vertAlign w:val="superscript"/>
          <w:lang w:val="uk-UA"/>
        </w:rPr>
        <w:t xml:space="preserve"># </w:t>
      </w:r>
      <w:r w:rsidRPr="002E6ECA">
        <w:rPr>
          <w:vertAlign w:val="superscript"/>
          <w:lang w:val="uk-UA"/>
        </w:rPr>
        <w:t xml:space="preserve"> </w:t>
      </w:r>
      <w:r w:rsidRPr="002E6ECA">
        <w:rPr>
          <w:lang w:val="uk-UA"/>
        </w:rPr>
        <w:t>– р&lt;0,05</w:t>
      </w:r>
      <w:r w:rsidR="00575F9D" w:rsidRPr="002E6ECA">
        <w:rPr>
          <w:lang w:val="uk-UA"/>
        </w:rPr>
        <w:t xml:space="preserve">; </w:t>
      </w:r>
      <w:r w:rsidRPr="002E6ECA">
        <w:rPr>
          <w:vertAlign w:val="superscript"/>
          <w:lang w:val="uk-UA"/>
        </w:rPr>
        <w:t xml:space="preserve">## </w:t>
      </w:r>
      <w:r w:rsidRPr="002E6ECA">
        <w:rPr>
          <w:lang w:val="uk-UA"/>
        </w:rPr>
        <w:t>– р&lt;0,01</w:t>
      </w:r>
      <w:r w:rsidR="00575F9D" w:rsidRPr="002E6ECA">
        <w:rPr>
          <w:lang w:val="uk-UA"/>
        </w:rPr>
        <w:t>)</w:t>
      </w:r>
    </w:p>
    <w:p w:rsidR="00954AF9" w:rsidRPr="002E6ECA" w:rsidRDefault="00954AF9" w:rsidP="00764728">
      <w:pPr>
        <w:spacing w:line="360" w:lineRule="auto"/>
        <w:ind w:firstLine="709"/>
        <w:jc w:val="both"/>
        <w:rPr>
          <w:sz w:val="28"/>
          <w:szCs w:val="28"/>
          <w:lang w:val="uk-UA"/>
        </w:rPr>
      </w:pPr>
    </w:p>
    <w:p w:rsidR="00671012" w:rsidRPr="002E6ECA" w:rsidRDefault="00671012" w:rsidP="00671012">
      <w:pPr>
        <w:spacing w:line="360" w:lineRule="auto"/>
        <w:ind w:firstLine="709"/>
        <w:jc w:val="both"/>
        <w:rPr>
          <w:sz w:val="28"/>
          <w:szCs w:val="28"/>
          <w:lang w:val="uk-UA"/>
        </w:rPr>
      </w:pPr>
      <w:r w:rsidRPr="002E6ECA">
        <w:rPr>
          <w:sz w:val="28"/>
          <w:szCs w:val="28"/>
          <w:lang w:val="uk-UA"/>
        </w:rPr>
        <w:lastRenderedPageBreak/>
        <w:t>Проаналізовано розподіл учнів за групами здоров’я упродовж навчання у базовій школі (рис. 3.</w:t>
      </w:r>
      <w:r w:rsidR="00AC32C1" w:rsidRPr="002E6ECA">
        <w:rPr>
          <w:sz w:val="28"/>
          <w:szCs w:val="28"/>
          <w:lang w:val="uk-UA"/>
        </w:rPr>
        <w:t>10</w:t>
      </w:r>
      <w:r w:rsidRPr="002E6ECA">
        <w:rPr>
          <w:sz w:val="28"/>
          <w:szCs w:val="28"/>
          <w:lang w:val="uk-UA"/>
        </w:rPr>
        <w:t>). Встановлено, що незалежно від статі та етапу навчання до 1-ої та 2-ої групи здоров’я увійшли понад 80</w:t>
      </w:r>
      <w:r w:rsidR="0080667E" w:rsidRPr="002E6ECA">
        <w:rPr>
          <w:sz w:val="28"/>
          <w:szCs w:val="28"/>
          <w:lang w:val="uk-UA"/>
        </w:rPr>
        <w:t>%</w:t>
      </w:r>
      <w:r w:rsidRPr="002E6ECA">
        <w:rPr>
          <w:sz w:val="28"/>
          <w:szCs w:val="28"/>
          <w:lang w:val="uk-UA"/>
        </w:rPr>
        <w:t xml:space="preserve"> школярів. </w:t>
      </w:r>
    </w:p>
    <w:p w:rsidR="000019C7" w:rsidRPr="002E6ECA" w:rsidRDefault="000019C7" w:rsidP="00671012">
      <w:pPr>
        <w:spacing w:line="360" w:lineRule="auto"/>
        <w:ind w:firstLine="709"/>
        <w:jc w:val="both"/>
        <w:rPr>
          <w:sz w:val="28"/>
          <w:szCs w:val="28"/>
          <w:lang w:val="uk-UA"/>
        </w:rPr>
      </w:pPr>
      <w:r w:rsidRPr="002E6ECA">
        <w:rPr>
          <w:noProof/>
          <w:lang w:val="uk-UA" w:eastAsia="uk-UA"/>
        </w:rPr>
        <w:drawing>
          <wp:inline distT="0" distB="0" distL="0" distR="0" wp14:anchorId="0F7FCCD4" wp14:editId="34E1AD5E">
            <wp:extent cx="5384770" cy="4476750"/>
            <wp:effectExtent l="0" t="0" r="698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61929" t="23355" r="11618" b="9738"/>
                    <a:stretch/>
                  </pic:blipFill>
                  <pic:spPr bwMode="auto">
                    <a:xfrm>
                      <a:off x="0" y="0"/>
                      <a:ext cx="5386867" cy="4478493"/>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671012">
      <w:pPr>
        <w:spacing w:line="360" w:lineRule="auto"/>
        <w:ind w:firstLine="709"/>
        <w:jc w:val="both"/>
        <w:rPr>
          <w:sz w:val="28"/>
          <w:szCs w:val="28"/>
          <w:lang w:val="uk-UA"/>
        </w:rPr>
      </w:pPr>
      <w:r w:rsidRPr="002E6ECA">
        <w:rPr>
          <w:sz w:val="28"/>
          <w:szCs w:val="28"/>
          <w:lang w:val="uk-UA"/>
        </w:rPr>
        <w:t>Рис. 3.</w:t>
      </w:r>
      <w:r w:rsidR="00AC32C1" w:rsidRPr="002E6ECA">
        <w:rPr>
          <w:sz w:val="28"/>
          <w:szCs w:val="28"/>
          <w:lang w:val="uk-UA"/>
        </w:rPr>
        <w:t>10</w:t>
      </w:r>
      <w:r w:rsidRPr="002E6ECA">
        <w:rPr>
          <w:sz w:val="28"/>
          <w:szCs w:val="28"/>
          <w:lang w:val="uk-UA"/>
        </w:rPr>
        <w:t xml:space="preserve">. Розподіл учнів середнього шкільного віку за групами –здоров’я </w:t>
      </w:r>
    </w:p>
    <w:p w:rsidR="00FE6D70" w:rsidRPr="002E6ECA" w:rsidRDefault="00FE6D70" w:rsidP="00FE6D70">
      <w:pPr>
        <w:spacing w:line="360" w:lineRule="auto"/>
        <w:ind w:firstLine="709"/>
        <w:jc w:val="both"/>
        <w:rPr>
          <w:sz w:val="28"/>
          <w:szCs w:val="28"/>
          <w:lang w:val="uk-UA"/>
        </w:rPr>
      </w:pPr>
    </w:p>
    <w:p w:rsidR="00FE6D70" w:rsidRPr="002E6ECA" w:rsidRDefault="00FE6D70" w:rsidP="00FE6D70">
      <w:pPr>
        <w:spacing w:line="360" w:lineRule="auto"/>
        <w:ind w:firstLine="709"/>
        <w:jc w:val="both"/>
        <w:rPr>
          <w:sz w:val="28"/>
          <w:szCs w:val="28"/>
          <w:lang w:val="uk-UA"/>
        </w:rPr>
      </w:pPr>
      <w:r w:rsidRPr="002E6ECA">
        <w:rPr>
          <w:sz w:val="28"/>
          <w:szCs w:val="28"/>
          <w:lang w:val="uk-UA"/>
        </w:rPr>
        <w:t xml:space="preserve">При цьому серед хлопців цей розподіл вірогідно не змінився, але істотно збільшився відсоток дівчат на 9,3%, які увійшли до 2-ої групи за рахунок 1-ої групи здоров’я (р&lt;0,05). Вірогідної різниці між учнями різних статей щодо розподілу за групами здоров’я не встановлено.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Порівняння розподілу учнів за групами здоров’я за умов навчання за різними освітніми програмами встановив істотне збільшення відсотку другої групи (з 62,3±5,5% до 77,9±4,7%) за рахунок зменшення першої групи при навчанні за меритократичною системою у середині навчання (р&lt;0,05) та неістотне зменшення кількості учнів у третій і збільшення у першій групі здоров’я наприкінці навчання у базовій школі (р&gt;0,05). При реалізації </w:t>
      </w:r>
      <w:r w:rsidRPr="002E6ECA">
        <w:rPr>
          <w:sz w:val="28"/>
          <w:szCs w:val="28"/>
          <w:lang w:val="uk-UA"/>
        </w:rPr>
        <w:lastRenderedPageBreak/>
        <w:t>традиційної освітньої програми перерозподіл учнів за групами здоров’я упродовж навчання у базовій школі був неістотним, але із поступовим зростанням кількості учнів 2-ої групи за рахунок скорочення частки здорових дітей (р&gt;0,05).</w:t>
      </w:r>
    </w:p>
    <w:p w:rsidR="00671012" w:rsidRPr="002E6ECA" w:rsidRDefault="00671012" w:rsidP="00671012">
      <w:pPr>
        <w:spacing w:line="360" w:lineRule="auto"/>
        <w:ind w:firstLine="709"/>
        <w:jc w:val="both"/>
        <w:rPr>
          <w:b/>
          <w:sz w:val="28"/>
          <w:szCs w:val="28"/>
          <w:lang w:val="uk-UA"/>
        </w:rPr>
      </w:pPr>
      <w:r w:rsidRPr="002E6ECA">
        <w:rPr>
          <w:b/>
          <w:sz w:val="28"/>
          <w:szCs w:val="28"/>
          <w:lang w:val="uk-UA"/>
        </w:rPr>
        <w:t xml:space="preserve"> </w:t>
      </w:r>
    </w:p>
    <w:p w:rsidR="00671012" w:rsidRPr="002E6ECA" w:rsidRDefault="00671012" w:rsidP="00FE6D70">
      <w:pPr>
        <w:spacing w:line="360" w:lineRule="auto"/>
        <w:ind w:firstLine="709"/>
        <w:rPr>
          <w:b/>
          <w:sz w:val="28"/>
          <w:szCs w:val="28"/>
          <w:lang w:val="uk-UA"/>
        </w:rPr>
      </w:pPr>
      <w:r w:rsidRPr="002E6ECA">
        <w:rPr>
          <w:b/>
          <w:sz w:val="28"/>
          <w:szCs w:val="28"/>
          <w:lang w:val="uk-UA"/>
        </w:rPr>
        <w:t>3.3. Гостра захворюваність дітей середнього шкільного віку</w:t>
      </w:r>
    </w:p>
    <w:p w:rsidR="00671012" w:rsidRPr="002E6ECA" w:rsidRDefault="00671012" w:rsidP="00671012">
      <w:pPr>
        <w:spacing w:line="360" w:lineRule="auto"/>
        <w:ind w:firstLine="709"/>
        <w:jc w:val="both"/>
        <w:rPr>
          <w:sz w:val="28"/>
          <w:szCs w:val="28"/>
          <w:lang w:val="uk-UA"/>
        </w:rPr>
      </w:pPr>
      <w:r w:rsidRPr="002E6ECA">
        <w:rPr>
          <w:sz w:val="28"/>
          <w:szCs w:val="28"/>
          <w:lang w:val="uk-UA"/>
        </w:rPr>
        <w:t>Аналіз показників гострої захворюваності за кількістю пропущених днів, кількістю випадків та їх тривалістю встановив певні вікові та статеві відмінності (табл. 3.</w:t>
      </w:r>
      <w:r w:rsidR="00FE6D70" w:rsidRPr="002E6ECA">
        <w:rPr>
          <w:sz w:val="28"/>
          <w:szCs w:val="28"/>
          <w:lang w:val="uk-UA"/>
        </w:rPr>
        <w:t>6</w:t>
      </w:r>
      <w:r w:rsidRPr="002E6ECA">
        <w:rPr>
          <w:sz w:val="28"/>
          <w:szCs w:val="28"/>
          <w:lang w:val="uk-UA"/>
        </w:rPr>
        <w:t xml:space="preserve">). </w:t>
      </w:r>
      <w:r w:rsidR="00385B85" w:rsidRPr="002E6ECA">
        <w:rPr>
          <w:sz w:val="28"/>
          <w:szCs w:val="28"/>
          <w:lang w:val="uk-UA"/>
        </w:rPr>
        <w:t xml:space="preserve">Так, встановлено, що протягом навчання гостра захворюваність вірогідно зростала при переході з 5-го до 6-го класу та зберігалась на цьому рівні протягом 3-х років із подальшим спадом у 9-класників за всіма показниками (p&lt;0,05-0,01). </w:t>
      </w:r>
    </w:p>
    <w:p w:rsidR="003E234B" w:rsidRPr="002E6ECA" w:rsidRDefault="003E234B" w:rsidP="003E234B">
      <w:pPr>
        <w:spacing w:line="360" w:lineRule="auto"/>
        <w:ind w:firstLine="709"/>
        <w:jc w:val="both"/>
        <w:rPr>
          <w:sz w:val="28"/>
          <w:szCs w:val="28"/>
          <w:lang w:val="uk-UA"/>
        </w:rPr>
      </w:pPr>
      <w:r w:rsidRPr="002E6ECA">
        <w:rPr>
          <w:sz w:val="28"/>
          <w:szCs w:val="28"/>
          <w:lang w:val="uk-UA"/>
        </w:rPr>
        <w:t>Найвищими реєструвалась загальна тривалість гострих захворювань та одного епізоду серед учнів 8-х класів і складала, відповідно 18,1±1,1 та 4,8±0,2 дні, а найбільша кількість випадків визначалась у 6-му та 8-му класах. Аналіз цих показників посеместрово продемонстрував більш точні закономірності зміни гострої захворюваності упродовж навчання у базовій школі як взагалі, так і за окремими статевими та навчальними групами (рис.  3.11-3.12).</w:t>
      </w:r>
    </w:p>
    <w:p w:rsidR="00671012" w:rsidRPr="002E6ECA" w:rsidRDefault="00671012" w:rsidP="00385B85">
      <w:pPr>
        <w:spacing w:line="360" w:lineRule="auto"/>
        <w:jc w:val="right"/>
        <w:rPr>
          <w:i/>
          <w:sz w:val="28"/>
          <w:szCs w:val="28"/>
          <w:lang w:val="uk-UA"/>
        </w:rPr>
      </w:pPr>
      <w:r w:rsidRPr="002E6ECA">
        <w:rPr>
          <w:i/>
          <w:sz w:val="28"/>
          <w:szCs w:val="28"/>
          <w:lang w:val="uk-UA"/>
        </w:rPr>
        <w:t>Таблиця 3.</w:t>
      </w:r>
      <w:r w:rsidR="00FE6D70" w:rsidRPr="002E6ECA">
        <w:rPr>
          <w:i/>
          <w:sz w:val="28"/>
          <w:szCs w:val="28"/>
          <w:lang w:val="uk-UA"/>
        </w:rPr>
        <w:t>6</w:t>
      </w:r>
      <w:r w:rsidRPr="002E6ECA">
        <w:rPr>
          <w:i/>
          <w:sz w:val="28"/>
          <w:szCs w:val="28"/>
          <w:lang w:val="uk-UA"/>
        </w:rPr>
        <w:t xml:space="preserve"> </w:t>
      </w:r>
    </w:p>
    <w:p w:rsidR="00671012" w:rsidRPr="002E6ECA" w:rsidRDefault="00671012" w:rsidP="00385B85">
      <w:pPr>
        <w:spacing w:line="360" w:lineRule="auto"/>
        <w:jc w:val="center"/>
        <w:rPr>
          <w:b/>
          <w:lang w:val="uk-UA" w:eastAsia="uk-UA"/>
        </w:rPr>
      </w:pPr>
      <w:r w:rsidRPr="002E6ECA">
        <w:rPr>
          <w:b/>
          <w:sz w:val="28"/>
          <w:szCs w:val="28"/>
          <w:lang w:val="uk-UA"/>
        </w:rPr>
        <w:t>Статево-вікові особливості гострої захворюваності учнів базової школи, M</w:t>
      </w:r>
      <w:r w:rsidRPr="002E6ECA">
        <w:rPr>
          <w:b/>
          <w:lang w:val="uk-UA" w:eastAsia="uk-UA"/>
        </w:rPr>
        <w:t>±m</w:t>
      </w:r>
    </w:p>
    <w:tbl>
      <w:tblPr>
        <w:tblW w:w="9096" w:type="dxa"/>
        <w:jc w:val="center"/>
        <w:tblLayout w:type="fixed"/>
        <w:tblLook w:val="04A0" w:firstRow="1" w:lastRow="0" w:firstColumn="1" w:lastColumn="0" w:noHBand="0" w:noVBand="1"/>
      </w:tblPr>
      <w:tblGrid>
        <w:gridCol w:w="1736"/>
        <w:gridCol w:w="1851"/>
        <w:gridCol w:w="1836"/>
        <w:gridCol w:w="1836"/>
        <w:gridCol w:w="1837"/>
      </w:tblGrid>
      <w:tr w:rsidR="00671012" w:rsidRPr="002E6ECA" w:rsidTr="003E234B">
        <w:trPr>
          <w:trHeight w:val="587"/>
          <w:jc w:val="center"/>
        </w:trPr>
        <w:tc>
          <w:tcPr>
            <w:tcW w:w="1736" w:type="dxa"/>
            <w:vMerge w:val="restart"/>
            <w:tcBorders>
              <w:top w:val="single" w:sz="4" w:space="0" w:color="auto"/>
              <w:left w:val="single" w:sz="4" w:space="0" w:color="auto"/>
              <w:right w:val="single" w:sz="4" w:space="0" w:color="auto"/>
            </w:tcBorders>
            <w:shd w:val="clear" w:color="auto" w:fill="auto"/>
            <w:noWrap/>
            <w:vAlign w:val="center"/>
          </w:tcPr>
          <w:p w:rsidR="00671012" w:rsidRPr="002E6ECA" w:rsidRDefault="00671012" w:rsidP="003E234B">
            <w:pPr>
              <w:spacing w:line="276" w:lineRule="auto"/>
              <w:jc w:val="center"/>
              <w:rPr>
                <w:sz w:val="28"/>
                <w:szCs w:val="28"/>
                <w:lang w:val="uk-UA" w:eastAsia="uk-UA"/>
              </w:rPr>
            </w:pPr>
            <w:r w:rsidRPr="002E6ECA">
              <w:rPr>
                <w:sz w:val="28"/>
                <w:szCs w:val="28"/>
                <w:lang w:val="uk-UA" w:eastAsia="uk-UA"/>
              </w:rPr>
              <w:t>Рік навчання</w:t>
            </w:r>
          </w:p>
        </w:tc>
        <w:tc>
          <w:tcPr>
            <w:tcW w:w="1851" w:type="dxa"/>
            <w:vMerge w:val="restart"/>
            <w:tcBorders>
              <w:top w:val="single" w:sz="4" w:space="0" w:color="auto"/>
              <w:left w:val="nil"/>
              <w:right w:val="single" w:sz="4" w:space="0" w:color="auto"/>
            </w:tcBorders>
            <w:shd w:val="clear" w:color="auto" w:fill="auto"/>
            <w:noWrap/>
            <w:vAlign w:val="center"/>
          </w:tcPr>
          <w:p w:rsidR="00671012" w:rsidRPr="002E6ECA" w:rsidRDefault="00671012" w:rsidP="003E234B">
            <w:pPr>
              <w:spacing w:line="276" w:lineRule="auto"/>
              <w:jc w:val="center"/>
              <w:rPr>
                <w:sz w:val="28"/>
                <w:szCs w:val="28"/>
                <w:lang w:val="uk-UA" w:eastAsia="uk-UA"/>
              </w:rPr>
            </w:pPr>
            <w:r w:rsidRPr="002E6ECA">
              <w:rPr>
                <w:sz w:val="28"/>
                <w:szCs w:val="28"/>
                <w:lang w:val="uk-UA" w:eastAsia="uk-UA"/>
              </w:rPr>
              <w:t>Група порівняння</w:t>
            </w:r>
          </w:p>
        </w:tc>
        <w:tc>
          <w:tcPr>
            <w:tcW w:w="5509" w:type="dxa"/>
            <w:gridSpan w:val="3"/>
            <w:tcBorders>
              <w:top w:val="single" w:sz="4" w:space="0" w:color="auto"/>
              <w:left w:val="nil"/>
              <w:bottom w:val="single" w:sz="4" w:space="0" w:color="auto"/>
              <w:right w:val="single" w:sz="4" w:space="0" w:color="auto"/>
            </w:tcBorders>
            <w:shd w:val="clear" w:color="auto" w:fill="auto"/>
            <w:vAlign w:val="center"/>
          </w:tcPr>
          <w:p w:rsidR="00671012" w:rsidRPr="002E6ECA" w:rsidRDefault="00671012" w:rsidP="003E234B">
            <w:pPr>
              <w:spacing w:line="276" w:lineRule="auto"/>
              <w:jc w:val="center"/>
              <w:rPr>
                <w:sz w:val="28"/>
                <w:szCs w:val="28"/>
                <w:lang w:val="uk-UA" w:eastAsia="uk-UA"/>
              </w:rPr>
            </w:pPr>
            <w:r w:rsidRPr="002E6ECA">
              <w:rPr>
                <w:sz w:val="28"/>
                <w:szCs w:val="28"/>
                <w:lang w:val="uk-UA" w:eastAsia="uk-UA"/>
              </w:rPr>
              <w:t>Показник гострої захворюваності</w:t>
            </w:r>
          </w:p>
        </w:tc>
      </w:tr>
      <w:tr w:rsidR="00671012" w:rsidRPr="002E6ECA" w:rsidTr="00607CD3">
        <w:trPr>
          <w:trHeight w:val="720"/>
          <w:jc w:val="center"/>
        </w:trPr>
        <w:tc>
          <w:tcPr>
            <w:tcW w:w="1736" w:type="dxa"/>
            <w:vMerge/>
            <w:tcBorders>
              <w:left w:val="single" w:sz="4" w:space="0" w:color="auto"/>
              <w:bottom w:val="single" w:sz="4" w:space="0" w:color="auto"/>
              <w:right w:val="single" w:sz="4" w:space="0" w:color="auto"/>
            </w:tcBorders>
            <w:shd w:val="clear" w:color="auto" w:fill="auto"/>
            <w:noWrap/>
            <w:vAlign w:val="bottom"/>
            <w:hideMark/>
          </w:tcPr>
          <w:p w:rsidR="00671012" w:rsidRPr="002E6ECA" w:rsidRDefault="00671012" w:rsidP="003E234B">
            <w:pPr>
              <w:spacing w:line="276" w:lineRule="auto"/>
              <w:rPr>
                <w:sz w:val="28"/>
                <w:szCs w:val="28"/>
                <w:lang w:val="uk-UA" w:eastAsia="uk-UA"/>
              </w:rPr>
            </w:pPr>
          </w:p>
        </w:tc>
        <w:tc>
          <w:tcPr>
            <w:tcW w:w="1851" w:type="dxa"/>
            <w:vMerge/>
            <w:tcBorders>
              <w:left w:val="nil"/>
              <w:bottom w:val="single" w:sz="4" w:space="0" w:color="auto"/>
              <w:right w:val="single" w:sz="4" w:space="0" w:color="auto"/>
            </w:tcBorders>
            <w:shd w:val="clear" w:color="auto" w:fill="auto"/>
            <w:noWrap/>
            <w:vAlign w:val="bottom"/>
            <w:hideMark/>
          </w:tcPr>
          <w:p w:rsidR="00671012" w:rsidRPr="002E6ECA" w:rsidRDefault="00671012" w:rsidP="003E234B">
            <w:pPr>
              <w:spacing w:line="276" w:lineRule="auto"/>
              <w:rPr>
                <w:sz w:val="28"/>
                <w:szCs w:val="28"/>
                <w:lang w:val="uk-UA" w:eastAsia="uk-UA"/>
              </w:rPr>
            </w:pPr>
          </w:p>
        </w:tc>
        <w:tc>
          <w:tcPr>
            <w:tcW w:w="1836" w:type="dxa"/>
            <w:tcBorders>
              <w:top w:val="single" w:sz="4" w:space="0" w:color="auto"/>
              <w:left w:val="nil"/>
              <w:bottom w:val="single" w:sz="4" w:space="0" w:color="auto"/>
              <w:right w:val="single" w:sz="4" w:space="0" w:color="auto"/>
            </w:tcBorders>
            <w:shd w:val="clear" w:color="auto" w:fill="auto"/>
            <w:vAlign w:val="center"/>
            <w:hideMark/>
          </w:tcPr>
          <w:p w:rsidR="00671012" w:rsidRPr="002E6ECA" w:rsidRDefault="00671012" w:rsidP="003E234B">
            <w:pPr>
              <w:spacing w:line="276" w:lineRule="auto"/>
              <w:jc w:val="center"/>
              <w:rPr>
                <w:sz w:val="28"/>
                <w:szCs w:val="28"/>
                <w:lang w:val="uk-UA" w:eastAsia="uk-UA"/>
              </w:rPr>
            </w:pPr>
            <w:r w:rsidRPr="002E6ECA">
              <w:rPr>
                <w:sz w:val="28"/>
                <w:szCs w:val="28"/>
                <w:lang w:val="uk-UA" w:eastAsia="uk-UA"/>
              </w:rPr>
              <w:t>кількість пропущених днів</w:t>
            </w:r>
          </w:p>
        </w:tc>
        <w:tc>
          <w:tcPr>
            <w:tcW w:w="1836" w:type="dxa"/>
            <w:tcBorders>
              <w:top w:val="single" w:sz="4" w:space="0" w:color="auto"/>
              <w:left w:val="nil"/>
              <w:bottom w:val="single" w:sz="4" w:space="0" w:color="auto"/>
              <w:right w:val="single" w:sz="4" w:space="0" w:color="auto"/>
            </w:tcBorders>
            <w:shd w:val="clear" w:color="auto" w:fill="auto"/>
            <w:vAlign w:val="center"/>
            <w:hideMark/>
          </w:tcPr>
          <w:p w:rsidR="00671012" w:rsidRPr="002E6ECA" w:rsidRDefault="00671012" w:rsidP="003E234B">
            <w:pPr>
              <w:spacing w:line="276" w:lineRule="auto"/>
              <w:jc w:val="center"/>
              <w:rPr>
                <w:sz w:val="28"/>
                <w:szCs w:val="28"/>
                <w:lang w:val="uk-UA" w:eastAsia="uk-UA"/>
              </w:rPr>
            </w:pPr>
            <w:r w:rsidRPr="002E6ECA">
              <w:rPr>
                <w:sz w:val="28"/>
                <w:szCs w:val="28"/>
                <w:lang w:val="uk-UA" w:eastAsia="uk-UA"/>
              </w:rPr>
              <w:t>кількість випадків</w:t>
            </w:r>
          </w:p>
        </w:tc>
        <w:tc>
          <w:tcPr>
            <w:tcW w:w="1837" w:type="dxa"/>
            <w:tcBorders>
              <w:top w:val="single" w:sz="4" w:space="0" w:color="auto"/>
              <w:left w:val="nil"/>
              <w:bottom w:val="single" w:sz="4" w:space="0" w:color="auto"/>
              <w:right w:val="single" w:sz="4" w:space="0" w:color="auto"/>
            </w:tcBorders>
            <w:shd w:val="clear" w:color="auto" w:fill="auto"/>
            <w:vAlign w:val="center"/>
            <w:hideMark/>
          </w:tcPr>
          <w:p w:rsidR="00671012" w:rsidRPr="002E6ECA" w:rsidRDefault="00671012" w:rsidP="003E234B">
            <w:pPr>
              <w:spacing w:line="276" w:lineRule="auto"/>
              <w:jc w:val="center"/>
              <w:rPr>
                <w:sz w:val="28"/>
                <w:szCs w:val="28"/>
                <w:lang w:val="uk-UA" w:eastAsia="uk-UA"/>
              </w:rPr>
            </w:pPr>
            <w:r w:rsidRPr="002E6ECA">
              <w:rPr>
                <w:sz w:val="28"/>
                <w:szCs w:val="28"/>
                <w:lang w:val="uk-UA" w:eastAsia="uk-UA"/>
              </w:rPr>
              <w:t>тривалість 1 випадку</w:t>
            </w:r>
          </w:p>
        </w:tc>
      </w:tr>
      <w:tr w:rsidR="00671012" w:rsidRPr="002E6ECA" w:rsidTr="00607CD3">
        <w:trPr>
          <w:trHeight w:val="300"/>
          <w:jc w:val="center"/>
        </w:trPr>
        <w:tc>
          <w:tcPr>
            <w:tcW w:w="173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5 рік навчання</w:t>
            </w: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хлопці</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11,25±1,43</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2,27±0,25</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3,86±0,35</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дівчата</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13,0±1,04</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2,62±0,19</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4,37±0,23</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разом</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12,39±0,84</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2,49±0,15</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4,19±0,19</w:t>
            </w:r>
          </w:p>
        </w:tc>
      </w:tr>
      <w:tr w:rsidR="00671012" w:rsidRPr="002E6ECA" w:rsidTr="00607CD3">
        <w:trPr>
          <w:trHeight w:val="300"/>
          <w:jc w:val="center"/>
        </w:trPr>
        <w:tc>
          <w:tcPr>
            <w:tcW w:w="173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6  рік навчання</w:t>
            </w: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хлопці</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16,22±1,69</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3,9±0,73</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4,73±0,37</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дівчата</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18,49±1,28</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3,55±0,22</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4,59±0,21</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разом</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17,67±1,02</w:t>
            </w:r>
            <w:r w:rsidRPr="002E6ECA">
              <w:rPr>
                <w:sz w:val="28"/>
                <w:szCs w:val="28"/>
                <w:vertAlign w:val="superscript"/>
                <w:lang w:val="uk-UA"/>
              </w:rPr>
              <w:t>##</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3,65±0,30</w:t>
            </w:r>
            <w:r w:rsidRPr="002E6ECA">
              <w:rPr>
                <w:sz w:val="28"/>
                <w:szCs w:val="28"/>
                <w:vertAlign w:val="superscript"/>
                <w:lang w:val="uk-UA"/>
              </w:rPr>
              <w:t>##</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4,64±0,19</w:t>
            </w:r>
          </w:p>
        </w:tc>
      </w:tr>
    </w:tbl>
    <w:p w:rsidR="00385B85" w:rsidRPr="002E6ECA" w:rsidRDefault="00385B85" w:rsidP="00385B85">
      <w:pPr>
        <w:spacing w:line="360" w:lineRule="auto"/>
        <w:jc w:val="right"/>
        <w:rPr>
          <w:i/>
          <w:lang w:val="uk-UA"/>
        </w:rPr>
      </w:pPr>
      <w:r w:rsidRPr="002E6ECA">
        <w:rPr>
          <w:i/>
          <w:lang w:val="uk-UA"/>
        </w:rPr>
        <w:lastRenderedPageBreak/>
        <w:t>Продовження таблиці 3.6</w:t>
      </w:r>
    </w:p>
    <w:tbl>
      <w:tblPr>
        <w:tblW w:w="9096" w:type="dxa"/>
        <w:jc w:val="center"/>
        <w:tblLayout w:type="fixed"/>
        <w:tblLook w:val="04A0" w:firstRow="1" w:lastRow="0" w:firstColumn="1" w:lastColumn="0" w:noHBand="0" w:noVBand="1"/>
      </w:tblPr>
      <w:tblGrid>
        <w:gridCol w:w="1736"/>
        <w:gridCol w:w="1851"/>
        <w:gridCol w:w="1836"/>
        <w:gridCol w:w="1836"/>
        <w:gridCol w:w="1837"/>
      </w:tblGrid>
      <w:tr w:rsidR="00385B85" w:rsidRPr="002E6ECA" w:rsidTr="0001534C">
        <w:trPr>
          <w:trHeight w:val="720"/>
          <w:jc w:val="center"/>
        </w:trPr>
        <w:tc>
          <w:tcPr>
            <w:tcW w:w="1736" w:type="dxa"/>
            <w:vMerge w:val="restart"/>
            <w:tcBorders>
              <w:top w:val="single" w:sz="4" w:space="0" w:color="auto"/>
              <w:left w:val="single" w:sz="4" w:space="0" w:color="auto"/>
              <w:right w:val="single" w:sz="4" w:space="0" w:color="auto"/>
            </w:tcBorders>
            <w:shd w:val="clear" w:color="auto" w:fill="auto"/>
            <w:noWrap/>
            <w:vAlign w:val="center"/>
          </w:tcPr>
          <w:p w:rsidR="00385B85" w:rsidRPr="002E6ECA" w:rsidRDefault="00385B85" w:rsidP="0001534C">
            <w:pPr>
              <w:spacing w:line="312" w:lineRule="auto"/>
              <w:jc w:val="center"/>
              <w:rPr>
                <w:sz w:val="28"/>
                <w:szCs w:val="28"/>
                <w:lang w:val="uk-UA" w:eastAsia="uk-UA"/>
              </w:rPr>
            </w:pPr>
            <w:r w:rsidRPr="002E6ECA">
              <w:rPr>
                <w:sz w:val="28"/>
                <w:szCs w:val="28"/>
                <w:lang w:val="uk-UA" w:eastAsia="uk-UA"/>
              </w:rPr>
              <w:t>Рік навчання</w:t>
            </w:r>
          </w:p>
        </w:tc>
        <w:tc>
          <w:tcPr>
            <w:tcW w:w="1851" w:type="dxa"/>
            <w:vMerge w:val="restart"/>
            <w:tcBorders>
              <w:top w:val="single" w:sz="4" w:space="0" w:color="auto"/>
              <w:left w:val="nil"/>
              <w:right w:val="single" w:sz="4" w:space="0" w:color="auto"/>
            </w:tcBorders>
            <w:shd w:val="clear" w:color="auto" w:fill="auto"/>
            <w:noWrap/>
            <w:vAlign w:val="center"/>
          </w:tcPr>
          <w:p w:rsidR="00385B85" w:rsidRPr="002E6ECA" w:rsidRDefault="00385B85" w:rsidP="0001534C">
            <w:pPr>
              <w:spacing w:line="312" w:lineRule="auto"/>
              <w:jc w:val="center"/>
              <w:rPr>
                <w:sz w:val="28"/>
                <w:szCs w:val="28"/>
                <w:lang w:val="uk-UA" w:eastAsia="uk-UA"/>
              </w:rPr>
            </w:pPr>
            <w:r w:rsidRPr="002E6ECA">
              <w:rPr>
                <w:sz w:val="28"/>
                <w:szCs w:val="28"/>
                <w:lang w:val="uk-UA" w:eastAsia="uk-UA"/>
              </w:rPr>
              <w:t>Група порівняння</w:t>
            </w:r>
          </w:p>
        </w:tc>
        <w:tc>
          <w:tcPr>
            <w:tcW w:w="5509" w:type="dxa"/>
            <w:gridSpan w:val="3"/>
            <w:tcBorders>
              <w:top w:val="single" w:sz="4" w:space="0" w:color="auto"/>
              <w:left w:val="nil"/>
              <w:bottom w:val="single" w:sz="4" w:space="0" w:color="auto"/>
              <w:right w:val="single" w:sz="4" w:space="0" w:color="auto"/>
            </w:tcBorders>
            <w:shd w:val="clear" w:color="auto" w:fill="auto"/>
            <w:vAlign w:val="center"/>
          </w:tcPr>
          <w:p w:rsidR="00385B85" w:rsidRPr="002E6ECA" w:rsidRDefault="00385B85" w:rsidP="0001534C">
            <w:pPr>
              <w:spacing w:line="312" w:lineRule="auto"/>
              <w:jc w:val="center"/>
              <w:rPr>
                <w:sz w:val="28"/>
                <w:szCs w:val="28"/>
                <w:lang w:val="uk-UA" w:eastAsia="uk-UA"/>
              </w:rPr>
            </w:pPr>
            <w:r w:rsidRPr="002E6ECA">
              <w:rPr>
                <w:sz w:val="28"/>
                <w:szCs w:val="28"/>
                <w:lang w:val="uk-UA" w:eastAsia="uk-UA"/>
              </w:rPr>
              <w:t>Показник гострої захворюваності</w:t>
            </w:r>
          </w:p>
        </w:tc>
      </w:tr>
      <w:tr w:rsidR="00385B85" w:rsidRPr="002E6ECA" w:rsidTr="0001534C">
        <w:trPr>
          <w:trHeight w:val="720"/>
          <w:jc w:val="center"/>
        </w:trPr>
        <w:tc>
          <w:tcPr>
            <w:tcW w:w="1736" w:type="dxa"/>
            <w:vMerge/>
            <w:tcBorders>
              <w:left w:val="single" w:sz="4" w:space="0" w:color="auto"/>
              <w:bottom w:val="single" w:sz="4" w:space="0" w:color="auto"/>
              <w:right w:val="single" w:sz="4" w:space="0" w:color="auto"/>
            </w:tcBorders>
            <w:shd w:val="clear" w:color="auto" w:fill="auto"/>
            <w:noWrap/>
            <w:vAlign w:val="bottom"/>
            <w:hideMark/>
          </w:tcPr>
          <w:p w:rsidR="00385B85" w:rsidRPr="002E6ECA" w:rsidRDefault="00385B85" w:rsidP="0001534C">
            <w:pPr>
              <w:spacing w:line="312" w:lineRule="auto"/>
              <w:rPr>
                <w:sz w:val="28"/>
                <w:szCs w:val="28"/>
                <w:lang w:val="uk-UA" w:eastAsia="uk-UA"/>
              </w:rPr>
            </w:pPr>
          </w:p>
        </w:tc>
        <w:tc>
          <w:tcPr>
            <w:tcW w:w="1851" w:type="dxa"/>
            <w:vMerge/>
            <w:tcBorders>
              <w:left w:val="nil"/>
              <w:bottom w:val="single" w:sz="4" w:space="0" w:color="auto"/>
              <w:right w:val="single" w:sz="4" w:space="0" w:color="auto"/>
            </w:tcBorders>
            <w:shd w:val="clear" w:color="auto" w:fill="auto"/>
            <w:noWrap/>
            <w:vAlign w:val="bottom"/>
            <w:hideMark/>
          </w:tcPr>
          <w:p w:rsidR="00385B85" w:rsidRPr="002E6ECA" w:rsidRDefault="00385B85" w:rsidP="0001534C">
            <w:pPr>
              <w:spacing w:line="312" w:lineRule="auto"/>
              <w:rPr>
                <w:sz w:val="28"/>
                <w:szCs w:val="28"/>
                <w:lang w:val="uk-UA" w:eastAsia="uk-UA"/>
              </w:rPr>
            </w:pPr>
          </w:p>
        </w:tc>
        <w:tc>
          <w:tcPr>
            <w:tcW w:w="1836" w:type="dxa"/>
            <w:tcBorders>
              <w:top w:val="single" w:sz="4" w:space="0" w:color="auto"/>
              <w:left w:val="nil"/>
              <w:bottom w:val="single" w:sz="4" w:space="0" w:color="auto"/>
              <w:right w:val="single" w:sz="4" w:space="0" w:color="auto"/>
            </w:tcBorders>
            <w:shd w:val="clear" w:color="auto" w:fill="auto"/>
            <w:vAlign w:val="center"/>
            <w:hideMark/>
          </w:tcPr>
          <w:p w:rsidR="00385B85" w:rsidRPr="002E6ECA" w:rsidRDefault="00385B85" w:rsidP="0001534C">
            <w:pPr>
              <w:spacing w:line="312" w:lineRule="auto"/>
              <w:jc w:val="center"/>
              <w:rPr>
                <w:sz w:val="28"/>
                <w:szCs w:val="28"/>
                <w:lang w:val="uk-UA" w:eastAsia="uk-UA"/>
              </w:rPr>
            </w:pPr>
            <w:r w:rsidRPr="002E6ECA">
              <w:rPr>
                <w:sz w:val="28"/>
                <w:szCs w:val="28"/>
                <w:lang w:val="uk-UA" w:eastAsia="uk-UA"/>
              </w:rPr>
              <w:t>кількість пропущених днів</w:t>
            </w:r>
          </w:p>
        </w:tc>
        <w:tc>
          <w:tcPr>
            <w:tcW w:w="1836" w:type="dxa"/>
            <w:tcBorders>
              <w:top w:val="single" w:sz="4" w:space="0" w:color="auto"/>
              <w:left w:val="nil"/>
              <w:bottom w:val="single" w:sz="4" w:space="0" w:color="auto"/>
              <w:right w:val="single" w:sz="4" w:space="0" w:color="auto"/>
            </w:tcBorders>
            <w:shd w:val="clear" w:color="auto" w:fill="auto"/>
            <w:vAlign w:val="center"/>
            <w:hideMark/>
          </w:tcPr>
          <w:p w:rsidR="00385B85" w:rsidRPr="002E6ECA" w:rsidRDefault="00385B85" w:rsidP="0001534C">
            <w:pPr>
              <w:spacing w:line="312" w:lineRule="auto"/>
              <w:jc w:val="center"/>
              <w:rPr>
                <w:sz w:val="28"/>
                <w:szCs w:val="28"/>
                <w:lang w:val="uk-UA" w:eastAsia="uk-UA"/>
              </w:rPr>
            </w:pPr>
            <w:r w:rsidRPr="002E6ECA">
              <w:rPr>
                <w:sz w:val="28"/>
                <w:szCs w:val="28"/>
                <w:lang w:val="uk-UA" w:eastAsia="uk-UA"/>
              </w:rPr>
              <w:t>кількість випадків</w:t>
            </w:r>
          </w:p>
        </w:tc>
        <w:tc>
          <w:tcPr>
            <w:tcW w:w="1837" w:type="dxa"/>
            <w:tcBorders>
              <w:top w:val="single" w:sz="4" w:space="0" w:color="auto"/>
              <w:left w:val="nil"/>
              <w:bottom w:val="single" w:sz="4" w:space="0" w:color="auto"/>
              <w:right w:val="single" w:sz="4" w:space="0" w:color="auto"/>
            </w:tcBorders>
            <w:shd w:val="clear" w:color="auto" w:fill="auto"/>
            <w:vAlign w:val="center"/>
            <w:hideMark/>
          </w:tcPr>
          <w:p w:rsidR="00385B85" w:rsidRPr="002E6ECA" w:rsidRDefault="00385B85" w:rsidP="0001534C">
            <w:pPr>
              <w:spacing w:line="312" w:lineRule="auto"/>
              <w:jc w:val="center"/>
              <w:rPr>
                <w:sz w:val="28"/>
                <w:szCs w:val="28"/>
                <w:lang w:val="uk-UA" w:eastAsia="uk-UA"/>
              </w:rPr>
            </w:pPr>
            <w:r w:rsidRPr="002E6ECA">
              <w:rPr>
                <w:sz w:val="28"/>
                <w:szCs w:val="28"/>
                <w:lang w:val="uk-UA" w:eastAsia="uk-UA"/>
              </w:rPr>
              <w:t>тривалість 1 випадку</w:t>
            </w:r>
          </w:p>
        </w:tc>
      </w:tr>
      <w:tr w:rsidR="00671012" w:rsidRPr="002E6ECA" w:rsidTr="00607CD3">
        <w:trPr>
          <w:trHeight w:val="300"/>
          <w:jc w:val="center"/>
        </w:trPr>
        <w:tc>
          <w:tcPr>
            <w:tcW w:w="173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7  рік навчання</w:t>
            </w: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хлопці</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15,94±1,46</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2,84±0,23</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4,75±0,34</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дівчата</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16,74±1,17</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3,32±0,21</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4,42±0,26</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разом</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16,49±0,91</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3,15±0,16</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4,54±0,21</w:t>
            </w:r>
          </w:p>
        </w:tc>
      </w:tr>
      <w:tr w:rsidR="00671012" w:rsidRPr="002E6ECA" w:rsidTr="00607CD3">
        <w:trPr>
          <w:trHeight w:val="300"/>
          <w:jc w:val="center"/>
        </w:trPr>
        <w:tc>
          <w:tcPr>
            <w:tcW w:w="173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8  рік навчання</w:t>
            </w: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хлопці</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17,84±1,57</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3,48±0,27</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4,66±0,24</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дівчата</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18,47±1,16</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3,76±0,22</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4,72±0,21</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разом</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18,21±0,94</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3,64±0,17</w:t>
            </w:r>
            <w:r w:rsidRPr="002E6ECA">
              <w:rPr>
                <w:sz w:val="28"/>
                <w:szCs w:val="28"/>
                <w:vertAlign w:val="superscript"/>
                <w:lang w:val="uk-UA"/>
              </w:rPr>
              <w:t>#</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4,70±0,16</w:t>
            </w:r>
          </w:p>
        </w:tc>
      </w:tr>
      <w:tr w:rsidR="00671012" w:rsidRPr="002E6ECA" w:rsidTr="00607CD3">
        <w:trPr>
          <w:trHeight w:val="300"/>
          <w:jc w:val="center"/>
        </w:trPr>
        <w:tc>
          <w:tcPr>
            <w:tcW w:w="173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9  рік навчання</w:t>
            </w: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хлопці</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12,37±1,11</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2,47±0,20</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4,09±0,29</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дівчата</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13,98±0,96</w:t>
            </w:r>
            <w:r w:rsidRPr="002E6ECA">
              <w:rPr>
                <w:sz w:val="28"/>
                <w:szCs w:val="28"/>
                <w:vertAlign w:val="superscript"/>
                <w:lang w:val="uk-UA"/>
              </w:rPr>
              <w:t>##</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3,09±0,19*</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4,08±0,21</w:t>
            </w:r>
          </w:p>
        </w:tc>
      </w:tr>
      <w:tr w:rsidR="00671012" w:rsidRPr="002E6ECA" w:rsidTr="00607CD3">
        <w:trPr>
          <w:trHeight w:val="300"/>
          <w:jc w:val="center"/>
        </w:trPr>
        <w:tc>
          <w:tcPr>
            <w:tcW w:w="1736" w:type="dxa"/>
            <w:vMerge/>
            <w:tcBorders>
              <w:top w:val="nil"/>
              <w:left w:val="single" w:sz="4" w:space="0" w:color="auto"/>
              <w:bottom w:val="single" w:sz="4" w:space="0" w:color="auto"/>
              <w:right w:val="single" w:sz="4" w:space="0" w:color="auto"/>
            </w:tcBorders>
            <w:vAlign w:val="center"/>
            <w:hideMark/>
          </w:tcPr>
          <w:p w:rsidR="00671012" w:rsidRPr="002E6ECA" w:rsidRDefault="00671012" w:rsidP="00385B85">
            <w:pPr>
              <w:spacing w:line="312" w:lineRule="auto"/>
              <w:rPr>
                <w:sz w:val="28"/>
                <w:szCs w:val="28"/>
                <w:lang w:val="uk-UA" w:eastAsia="uk-UA"/>
              </w:rPr>
            </w:pPr>
          </w:p>
        </w:tc>
        <w:tc>
          <w:tcPr>
            <w:tcW w:w="1851" w:type="dxa"/>
            <w:tcBorders>
              <w:top w:val="nil"/>
              <w:left w:val="nil"/>
              <w:bottom w:val="single" w:sz="4" w:space="0" w:color="auto"/>
              <w:right w:val="single" w:sz="4" w:space="0" w:color="auto"/>
            </w:tcBorders>
            <w:shd w:val="clear" w:color="auto" w:fill="auto"/>
            <w:noWrap/>
            <w:vAlign w:val="bottom"/>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разом</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13,31±0,73</w:t>
            </w:r>
          </w:p>
        </w:tc>
        <w:tc>
          <w:tcPr>
            <w:tcW w:w="1836"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2,83±0,14</w:t>
            </w:r>
            <w:r w:rsidRPr="002E6ECA">
              <w:rPr>
                <w:sz w:val="28"/>
                <w:szCs w:val="28"/>
                <w:vertAlign w:val="superscript"/>
                <w:lang w:val="uk-UA"/>
              </w:rPr>
              <w:t>##</w:t>
            </w:r>
          </w:p>
        </w:tc>
        <w:tc>
          <w:tcPr>
            <w:tcW w:w="1837" w:type="dxa"/>
            <w:tcBorders>
              <w:top w:val="nil"/>
              <w:left w:val="nil"/>
              <w:bottom w:val="single" w:sz="4" w:space="0" w:color="auto"/>
              <w:right w:val="single" w:sz="4" w:space="0" w:color="auto"/>
            </w:tcBorders>
            <w:shd w:val="clear" w:color="auto" w:fill="auto"/>
            <w:noWrap/>
            <w:vAlign w:val="center"/>
            <w:hideMark/>
          </w:tcPr>
          <w:p w:rsidR="00671012" w:rsidRPr="002E6ECA" w:rsidRDefault="00671012" w:rsidP="00385B85">
            <w:pPr>
              <w:spacing w:line="312" w:lineRule="auto"/>
              <w:jc w:val="center"/>
              <w:rPr>
                <w:sz w:val="28"/>
                <w:szCs w:val="28"/>
                <w:lang w:val="uk-UA" w:eastAsia="uk-UA"/>
              </w:rPr>
            </w:pPr>
            <w:r w:rsidRPr="002E6ECA">
              <w:rPr>
                <w:sz w:val="28"/>
                <w:szCs w:val="28"/>
                <w:lang w:val="uk-UA" w:eastAsia="uk-UA"/>
              </w:rPr>
              <w:t>4,09±0,17</w:t>
            </w:r>
            <w:r w:rsidRPr="002E6ECA">
              <w:rPr>
                <w:sz w:val="28"/>
                <w:szCs w:val="28"/>
                <w:vertAlign w:val="superscript"/>
                <w:lang w:val="uk-UA"/>
              </w:rPr>
              <w:t>#</w:t>
            </w:r>
          </w:p>
        </w:tc>
      </w:tr>
    </w:tbl>
    <w:p w:rsidR="00671012" w:rsidRPr="002E6ECA" w:rsidRDefault="00671012" w:rsidP="003E234B">
      <w:pPr>
        <w:spacing w:line="276" w:lineRule="auto"/>
        <w:ind w:firstLine="709"/>
        <w:rPr>
          <w:lang w:val="uk-UA"/>
        </w:rPr>
      </w:pPr>
      <w:r w:rsidRPr="002E6ECA">
        <w:rPr>
          <w:lang w:val="uk-UA"/>
        </w:rPr>
        <w:t>Примітка</w:t>
      </w:r>
      <w:r w:rsidR="0084599E" w:rsidRPr="002E6ECA">
        <w:rPr>
          <w:lang w:val="uk-UA"/>
        </w:rPr>
        <w:t>:</w:t>
      </w:r>
      <w:r w:rsidR="00FE6D70" w:rsidRPr="002E6ECA">
        <w:rPr>
          <w:lang w:val="uk-UA"/>
        </w:rPr>
        <w:t xml:space="preserve"> істотна різниця при порівнянні хлопців і дівчат (</w:t>
      </w:r>
      <w:r w:rsidRPr="002E6ECA">
        <w:rPr>
          <w:lang w:val="uk-UA"/>
        </w:rPr>
        <w:t>*</w:t>
      </w:r>
      <w:r w:rsidR="003E234B" w:rsidRPr="002E6ECA">
        <w:rPr>
          <w:lang w:val="uk-UA"/>
        </w:rPr>
        <w:t>–</w:t>
      </w:r>
      <w:r w:rsidRPr="002E6ECA">
        <w:rPr>
          <w:lang w:val="uk-UA"/>
        </w:rPr>
        <w:t xml:space="preserve"> р&lt;0,05</w:t>
      </w:r>
      <w:r w:rsidR="00FE6D70" w:rsidRPr="002E6ECA">
        <w:rPr>
          <w:lang w:val="uk-UA"/>
        </w:rPr>
        <w:t>), істотна різниця при порівнянні з попереднім роком навчання (</w:t>
      </w:r>
      <w:r w:rsidRPr="002E6ECA">
        <w:rPr>
          <w:vertAlign w:val="superscript"/>
          <w:lang w:val="uk-UA"/>
        </w:rPr>
        <w:t>#</w:t>
      </w:r>
      <w:r w:rsidR="003E234B" w:rsidRPr="002E6ECA">
        <w:rPr>
          <w:lang w:val="uk-UA"/>
        </w:rPr>
        <w:t>–</w:t>
      </w:r>
      <w:r w:rsidRPr="002E6ECA">
        <w:rPr>
          <w:lang w:val="uk-UA"/>
        </w:rPr>
        <w:t xml:space="preserve"> р&lt;0,05</w:t>
      </w:r>
      <w:r w:rsidR="00FE6D70" w:rsidRPr="002E6ECA">
        <w:rPr>
          <w:lang w:val="uk-UA"/>
        </w:rPr>
        <w:t xml:space="preserve">; </w:t>
      </w:r>
      <w:r w:rsidRPr="002E6ECA">
        <w:rPr>
          <w:vertAlign w:val="superscript"/>
          <w:lang w:val="uk-UA"/>
        </w:rPr>
        <w:t xml:space="preserve">## </w:t>
      </w:r>
      <w:r w:rsidR="003E234B" w:rsidRPr="002E6ECA">
        <w:rPr>
          <w:lang w:val="uk-UA"/>
        </w:rPr>
        <w:t>–</w:t>
      </w:r>
      <w:r w:rsidR="00FE6D70" w:rsidRPr="002E6ECA">
        <w:rPr>
          <w:lang w:val="uk-UA"/>
        </w:rPr>
        <w:t xml:space="preserve"> </w:t>
      </w:r>
      <w:r w:rsidRPr="002E6ECA">
        <w:rPr>
          <w:lang w:val="uk-UA"/>
        </w:rPr>
        <w:t>р&lt;0,01</w:t>
      </w:r>
    </w:p>
    <w:p w:rsidR="005414E8" w:rsidRPr="002E6ECA" w:rsidRDefault="005414E8" w:rsidP="00FE6D70">
      <w:pPr>
        <w:spacing w:line="360" w:lineRule="auto"/>
        <w:ind w:firstLine="709"/>
        <w:rPr>
          <w:lang w:val="uk-UA"/>
        </w:rPr>
      </w:pPr>
    </w:p>
    <w:p w:rsidR="003E234B" w:rsidRPr="002E6ECA" w:rsidRDefault="003E234B" w:rsidP="003E234B">
      <w:pPr>
        <w:spacing w:line="360" w:lineRule="auto"/>
        <w:ind w:firstLine="709"/>
        <w:jc w:val="both"/>
        <w:rPr>
          <w:sz w:val="28"/>
          <w:szCs w:val="28"/>
          <w:lang w:val="uk-UA"/>
        </w:rPr>
      </w:pPr>
      <w:r w:rsidRPr="002E6ECA">
        <w:rPr>
          <w:sz w:val="28"/>
          <w:szCs w:val="28"/>
          <w:lang w:val="uk-UA"/>
        </w:rPr>
        <w:t xml:space="preserve">Загальна кількість пропущених днів у зв’язку з простудними захворюваннями поступово зростала протягом 5-6 класу із різким зниженням рівня гострої захворюваності у середині 7-го класу майже удвічі. Подальша динаміка характеризувалась стабільним поступовим зниженням цього показника із досягненням нижчого рівня гострої захворюваності (5,9±0,4 днів), ніж при переході до базової школи (7,6±0,6 днів). </w:t>
      </w:r>
    </w:p>
    <w:p w:rsidR="003E234B" w:rsidRPr="002E6ECA" w:rsidRDefault="003E234B" w:rsidP="003E234B">
      <w:pPr>
        <w:spacing w:line="360" w:lineRule="auto"/>
        <w:ind w:firstLine="709"/>
        <w:jc w:val="both"/>
        <w:rPr>
          <w:sz w:val="28"/>
          <w:szCs w:val="28"/>
          <w:lang w:val="uk-UA"/>
        </w:rPr>
      </w:pPr>
      <w:r w:rsidRPr="002E6ECA">
        <w:rPr>
          <w:sz w:val="28"/>
          <w:szCs w:val="28"/>
          <w:lang w:val="uk-UA"/>
        </w:rPr>
        <w:t>Динаміка гострої захворюваності серед хлопців та дівчат була подібною та не відрізнялась від загальної тенденції, визначалось лише більш інтенсивне зростання протягом 5-го та зниження – упродовж 9-го року навчання у дівчат (р&lt;0,01). У той же час серед хлопців зниження загальної кількості пропущених днів відбувалось більш інтенсивно вже у 8-му класі. Вірогідної різниці між учнями обох статей за кількістю пропущених днів не визначалось.</w:t>
      </w:r>
    </w:p>
    <w:p w:rsidR="003E234B" w:rsidRPr="002E6ECA" w:rsidRDefault="003E234B" w:rsidP="003E234B">
      <w:pPr>
        <w:spacing w:line="360" w:lineRule="auto"/>
        <w:ind w:firstLine="709"/>
        <w:jc w:val="both"/>
        <w:rPr>
          <w:sz w:val="28"/>
          <w:szCs w:val="28"/>
          <w:lang w:val="uk-UA"/>
        </w:rPr>
      </w:pPr>
      <w:r w:rsidRPr="002E6ECA">
        <w:rPr>
          <w:sz w:val="28"/>
          <w:szCs w:val="28"/>
          <w:lang w:val="uk-UA"/>
        </w:rPr>
        <w:t xml:space="preserve">За кількістю випадків визначалась така ж динаміка, як і за загальною тривалістю гострих захворювань незалежно від статі, виду навчально-педагогічного проєкту та ЗЗСО: це поступове зростання протягом 5-6-го та </w:t>
      </w:r>
      <w:r w:rsidRPr="002E6ECA">
        <w:rPr>
          <w:sz w:val="28"/>
          <w:szCs w:val="28"/>
          <w:lang w:val="uk-UA"/>
        </w:rPr>
        <w:lastRenderedPageBreak/>
        <w:t xml:space="preserve">поступове зниження кількості епізодів захворювань упродовж 8-9-го років навчання із різким спадом на початку 7-го класу. </w:t>
      </w:r>
    </w:p>
    <w:p w:rsidR="000019C7" w:rsidRPr="002E6ECA" w:rsidRDefault="000019C7" w:rsidP="000019C7">
      <w:pPr>
        <w:spacing w:line="360" w:lineRule="auto"/>
        <w:ind w:firstLine="567"/>
        <w:jc w:val="both"/>
        <w:rPr>
          <w:sz w:val="28"/>
          <w:szCs w:val="28"/>
          <w:lang w:val="uk-UA"/>
        </w:rPr>
      </w:pPr>
      <w:r w:rsidRPr="002E6ECA">
        <w:rPr>
          <w:noProof/>
          <w:lang w:val="uk-UA" w:eastAsia="uk-UA"/>
        </w:rPr>
        <w:drawing>
          <wp:inline distT="0" distB="0" distL="0" distR="0" wp14:anchorId="50C4CC82" wp14:editId="28E67D81">
            <wp:extent cx="5428298" cy="3530600"/>
            <wp:effectExtent l="0" t="0" r="127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60581" t="22407" r="10996" b="24256"/>
                    <a:stretch/>
                  </pic:blipFill>
                  <pic:spPr bwMode="auto">
                    <a:xfrm>
                      <a:off x="0" y="0"/>
                      <a:ext cx="5429266" cy="3531230"/>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671012">
      <w:pPr>
        <w:spacing w:line="360" w:lineRule="auto"/>
        <w:ind w:firstLine="709"/>
        <w:jc w:val="center"/>
        <w:rPr>
          <w:sz w:val="28"/>
          <w:szCs w:val="28"/>
          <w:lang w:val="uk-UA" w:eastAsia="uk-UA"/>
        </w:rPr>
      </w:pPr>
      <w:r w:rsidRPr="002E6ECA">
        <w:rPr>
          <w:sz w:val="28"/>
          <w:szCs w:val="28"/>
          <w:lang w:val="uk-UA"/>
        </w:rPr>
        <w:t>Рис. 3.1</w:t>
      </w:r>
      <w:r w:rsidR="00AC32C1" w:rsidRPr="002E6ECA">
        <w:rPr>
          <w:sz w:val="28"/>
          <w:szCs w:val="28"/>
          <w:lang w:val="uk-UA"/>
        </w:rPr>
        <w:t>1</w:t>
      </w:r>
      <w:r w:rsidRPr="002E6ECA">
        <w:rPr>
          <w:sz w:val="28"/>
          <w:szCs w:val="28"/>
          <w:lang w:val="uk-UA"/>
        </w:rPr>
        <w:t xml:space="preserve">. </w:t>
      </w:r>
      <w:r w:rsidRPr="002E6ECA">
        <w:rPr>
          <w:sz w:val="28"/>
          <w:szCs w:val="28"/>
          <w:lang w:val="uk-UA" w:eastAsia="uk-UA"/>
        </w:rPr>
        <w:t xml:space="preserve">Загальна тривалість гострих захворювань в учнів базової школи </w:t>
      </w:r>
    </w:p>
    <w:p w:rsidR="00671012" w:rsidRPr="002E6ECA" w:rsidRDefault="000019C7" w:rsidP="000019C7">
      <w:pPr>
        <w:spacing w:line="360" w:lineRule="auto"/>
        <w:ind w:firstLine="567"/>
        <w:jc w:val="both"/>
        <w:rPr>
          <w:sz w:val="28"/>
          <w:szCs w:val="28"/>
          <w:lang w:val="uk-UA"/>
        </w:rPr>
      </w:pPr>
      <w:r w:rsidRPr="002E6ECA">
        <w:rPr>
          <w:noProof/>
          <w:lang w:val="uk-UA" w:eastAsia="uk-UA"/>
        </w:rPr>
        <w:drawing>
          <wp:inline distT="0" distB="0" distL="0" distR="0" wp14:anchorId="2D699562" wp14:editId="46948A12">
            <wp:extent cx="5432291" cy="4108450"/>
            <wp:effectExtent l="0" t="0" r="0" b="635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62552" t="25564" r="12759" b="17628"/>
                    <a:stretch/>
                  </pic:blipFill>
                  <pic:spPr bwMode="auto">
                    <a:xfrm>
                      <a:off x="0" y="0"/>
                      <a:ext cx="5440626" cy="4114753"/>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0019C7">
      <w:pPr>
        <w:spacing w:line="360" w:lineRule="auto"/>
        <w:ind w:firstLine="709"/>
        <w:jc w:val="both"/>
        <w:rPr>
          <w:sz w:val="28"/>
          <w:szCs w:val="28"/>
          <w:lang w:val="uk-UA"/>
        </w:rPr>
      </w:pPr>
      <w:r w:rsidRPr="002E6ECA">
        <w:rPr>
          <w:sz w:val="28"/>
          <w:szCs w:val="28"/>
          <w:lang w:val="uk-UA"/>
        </w:rPr>
        <w:t>Рис. 3.1</w:t>
      </w:r>
      <w:r w:rsidR="00AC32C1" w:rsidRPr="002E6ECA">
        <w:rPr>
          <w:sz w:val="28"/>
          <w:szCs w:val="28"/>
          <w:lang w:val="uk-UA"/>
        </w:rPr>
        <w:t>2</w:t>
      </w:r>
      <w:r w:rsidRPr="002E6ECA">
        <w:rPr>
          <w:sz w:val="28"/>
          <w:szCs w:val="28"/>
          <w:lang w:val="uk-UA"/>
        </w:rPr>
        <w:t xml:space="preserve">. </w:t>
      </w:r>
      <w:r w:rsidRPr="002E6ECA">
        <w:rPr>
          <w:sz w:val="28"/>
          <w:szCs w:val="28"/>
          <w:lang w:val="uk-UA" w:eastAsia="uk-UA"/>
        </w:rPr>
        <w:t>Кількість випадків гострих захворювань в учнів базової школи</w:t>
      </w:r>
    </w:p>
    <w:p w:rsidR="00671012" w:rsidRPr="002E6ECA" w:rsidRDefault="00671012" w:rsidP="00671012">
      <w:pPr>
        <w:spacing w:line="360" w:lineRule="auto"/>
        <w:ind w:firstLine="709"/>
        <w:jc w:val="both"/>
        <w:rPr>
          <w:sz w:val="28"/>
          <w:szCs w:val="28"/>
          <w:lang w:val="uk-UA"/>
        </w:rPr>
      </w:pPr>
      <w:r w:rsidRPr="002E6ECA">
        <w:rPr>
          <w:sz w:val="28"/>
          <w:szCs w:val="28"/>
          <w:lang w:val="uk-UA"/>
        </w:rPr>
        <w:lastRenderedPageBreak/>
        <w:t xml:space="preserve">Але інтенсивність (характер) змін цього показника мали певні відмінності. Так, на початку 9-го року навчання серед дівчат реєструвалась у 1,3 рази частіше випадки гострої захворюваності (p&lt;0,05), а її зниження при переході до 7-го класу та наприкінці 9-го класу було більш значущим (p&lt;0,01) ніж серед хлопців (p&lt;0,05). На інших етапах навчання (за винятком 6-го класу) кількість епізодів захворювань, що реєструвались, була вищою серед дівчат, але не вірогідно (p&gt;0,05).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Порівняння показників гострої захворюваності у різних освітніх закладах виявило найвищу загальну тривалість простудних захворювань серед учнів ЗЗСО1 у осінньому семестрі на 5-му, 6-му, 8-му та 9-му роках навчання (p&lt;0,05), та у весінньому семестрі – у 6-му та 7-му класах (p&lt;0,05-0,01). </w:t>
      </w:r>
    </w:p>
    <w:p w:rsidR="00160FB7" w:rsidRPr="002E6ECA" w:rsidRDefault="00671012" w:rsidP="00671012">
      <w:pPr>
        <w:spacing w:line="360" w:lineRule="auto"/>
        <w:ind w:firstLine="709"/>
        <w:jc w:val="both"/>
        <w:rPr>
          <w:sz w:val="28"/>
          <w:szCs w:val="28"/>
          <w:lang w:val="uk-UA"/>
        </w:rPr>
      </w:pPr>
      <w:r w:rsidRPr="002E6ECA">
        <w:rPr>
          <w:sz w:val="28"/>
          <w:szCs w:val="28"/>
          <w:lang w:val="uk-UA"/>
        </w:rPr>
        <w:t xml:space="preserve">Загальна тривалість гострих захворювань </w:t>
      </w:r>
      <w:r w:rsidR="008A0EC6" w:rsidRPr="002E6ECA">
        <w:rPr>
          <w:sz w:val="28"/>
          <w:szCs w:val="28"/>
          <w:lang w:val="uk-UA"/>
        </w:rPr>
        <w:t>(рис. 3.1</w:t>
      </w:r>
      <w:r w:rsidR="00AC32C1" w:rsidRPr="002E6ECA">
        <w:rPr>
          <w:sz w:val="28"/>
          <w:szCs w:val="28"/>
          <w:lang w:val="uk-UA"/>
        </w:rPr>
        <w:t>3</w:t>
      </w:r>
      <w:r w:rsidR="008A0EC6" w:rsidRPr="002E6ECA">
        <w:rPr>
          <w:sz w:val="28"/>
          <w:szCs w:val="28"/>
          <w:lang w:val="uk-UA"/>
        </w:rPr>
        <w:t xml:space="preserve">) </w:t>
      </w:r>
      <w:r w:rsidRPr="002E6ECA">
        <w:rPr>
          <w:sz w:val="28"/>
          <w:szCs w:val="28"/>
          <w:lang w:val="uk-UA"/>
        </w:rPr>
        <w:t xml:space="preserve">протягом року була вищою за умов навчання за традиційною системою наприкінці 5-го та 6-го класу (p&lt;0,05). </w:t>
      </w:r>
    </w:p>
    <w:p w:rsidR="00073C98" w:rsidRPr="002E6ECA" w:rsidRDefault="00073C98" w:rsidP="00160FB7">
      <w:pPr>
        <w:spacing w:line="360" w:lineRule="auto"/>
        <w:jc w:val="center"/>
        <w:rPr>
          <w:sz w:val="28"/>
          <w:szCs w:val="28"/>
          <w:lang w:val="uk-UA"/>
        </w:rPr>
      </w:pPr>
      <w:r w:rsidRPr="002E6ECA">
        <w:rPr>
          <w:noProof/>
          <w:lang w:val="uk-UA" w:eastAsia="uk-UA"/>
        </w:rPr>
        <w:drawing>
          <wp:inline distT="0" distB="0" distL="0" distR="0" wp14:anchorId="4B81BA97" wp14:editId="4AE01BD4">
            <wp:extent cx="4920331" cy="3416300"/>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62863" t="20514" r="13382" b="29305"/>
                    <a:stretch/>
                  </pic:blipFill>
                  <pic:spPr bwMode="auto">
                    <a:xfrm>
                      <a:off x="0" y="0"/>
                      <a:ext cx="4929609" cy="3422742"/>
                    </a:xfrm>
                    <a:prstGeom prst="rect">
                      <a:avLst/>
                    </a:prstGeom>
                    <a:ln>
                      <a:noFill/>
                    </a:ln>
                    <a:extLst>
                      <a:ext uri="{53640926-AAD7-44D8-BBD7-CCE9431645EC}">
                        <a14:shadowObscured xmlns:a14="http://schemas.microsoft.com/office/drawing/2010/main"/>
                      </a:ext>
                    </a:extLst>
                  </pic:spPr>
                </pic:pic>
              </a:graphicData>
            </a:graphic>
          </wp:inline>
        </w:drawing>
      </w:r>
    </w:p>
    <w:p w:rsidR="00160FB7" w:rsidRPr="002E6ECA" w:rsidRDefault="00160FB7" w:rsidP="00160FB7">
      <w:pPr>
        <w:spacing w:line="312" w:lineRule="auto"/>
        <w:ind w:firstLine="709"/>
        <w:rPr>
          <w:sz w:val="28"/>
          <w:szCs w:val="28"/>
          <w:lang w:val="uk-UA" w:eastAsia="uk-UA"/>
        </w:rPr>
      </w:pPr>
      <w:r w:rsidRPr="002E6ECA">
        <w:rPr>
          <w:sz w:val="28"/>
          <w:szCs w:val="28"/>
          <w:lang w:val="uk-UA"/>
        </w:rPr>
        <w:t xml:space="preserve">Рис. 3.13. </w:t>
      </w:r>
      <w:r w:rsidRPr="002E6ECA">
        <w:rPr>
          <w:sz w:val="28"/>
          <w:szCs w:val="28"/>
          <w:lang w:val="uk-UA" w:eastAsia="uk-UA"/>
        </w:rPr>
        <w:t>Динаміка загальної тривалості гострих захворювань в учнів за різних систем освіти</w:t>
      </w:r>
    </w:p>
    <w:p w:rsidR="00160FB7" w:rsidRPr="002E6ECA" w:rsidRDefault="00160FB7" w:rsidP="00671012">
      <w:pPr>
        <w:spacing w:line="360" w:lineRule="auto"/>
        <w:ind w:firstLine="709"/>
        <w:jc w:val="both"/>
        <w:rPr>
          <w:sz w:val="28"/>
          <w:szCs w:val="28"/>
          <w:lang w:val="uk-UA"/>
        </w:rPr>
      </w:pPr>
    </w:p>
    <w:p w:rsidR="00671012" w:rsidRPr="002E6ECA" w:rsidRDefault="00385B85" w:rsidP="00671012">
      <w:pPr>
        <w:spacing w:line="360" w:lineRule="auto"/>
        <w:ind w:firstLine="709"/>
        <w:jc w:val="both"/>
        <w:rPr>
          <w:sz w:val="28"/>
          <w:szCs w:val="28"/>
          <w:lang w:val="uk-UA"/>
        </w:rPr>
      </w:pPr>
      <w:r w:rsidRPr="002E6ECA">
        <w:rPr>
          <w:sz w:val="28"/>
          <w:szCs w:val="28"/>
          <w:lang w:val="uk-UA"/>
        </w:rPr>
        <w:t xml:space="preserve">Перехід до 7-го класу також реєструвався за обома освітніми системами істотним зниженням кількості пропущених днів (з 11,1±0,6 до 6,2±0,5 днів) та </w:t>
      </w:r>
      <w:r w:rsidRPr="002E6ECA">
        <w:rPr>
          <w:sz w:val="28"/>
          <w:szCs w:val="28"/>
          <w:lang w:val="uk-UA"/>
        </w:rPr>
        <w:lastRenderedPageBreak/>
        <w:t>випадків гострих захворювань (з 2,3±0,2 до 1,3±0,1 днів; p&lt;0,05-0,01). Проте зниження резистентності учнів за традиційною програмою освіти реєструвалось на півроку раніше – вже наприкінці 5-го класу за загальною тривалістю гострою захворюваності, тоді як динаміка кількості випадків не залежала від освітньої програми і зростала протягом 5-го року навчання у 1,2 рази (p&lt;0,05).</w:t>
      </w:r>
    </w:p>
    <w:p w:rsidR="00236EA6" w:rsidRPr="002E6ECA" w:rsidRDefault="00385B85" w:rsidP="00236EA6">
      <w:pPr>
        <w:spacing w:line="360" w:lineRule="auto"/>
        <w:ind w:firstLine="709"/>
        <w:jc w:val="both"/>
        <w:rPr>
          <w:sz w:val="28"/>
          <w:szCs w:val="28"/>
          <w:lang w:val="uk-UA"/>
        </w:rPr>
      </w:pPr>
      <w:r w:rsidRPr="002E6ECA">
        <w:rPr>
          <w:sz w:val="28"/>
          <w:szCs w:val="28"/>
          <w:lang w:val="uk-UA" w:eastAsia="uk-UA"/>
        </w:rPr>
        <w:t>Кількість випадків (рис. 3.14) протягом перших трьох років навчання у базовій школі була вищою серед учнів, що навчались за традиційною системою (p&lt;0,05-0,01).</w:t>
      </w:r>
      <w:r w:rsidR="00236EA6" w:rsidRPr="002E6ECA">
        <w:rPr>
          <w:sz w:val="28"/>
          <w:szCs w:val="28"/>
          <w:lang w:val="uk-UA" w:eastAsia="uk-UA"/>
        </w:rPr>
        <w:t xml:space="preserve"> </w:t>
      </w:r>
      <w:r w:rsidR="00236EA6" w:rsidRPr="002E6ECA">
        <w:rPr>
          <w:sz w:val="28"/>
          <w:szCs w:val="28"/>
          <w:lang w:val="uk-UA"/>
        </w:rPr>
        <w:t>Таким чином, загальна тривалість простудних захворювань поступово зростала протягом 5-го та 6-го року та знижувалась упродовж 7-9 років навчання із різким спадом на початку 7-го класу незалежно від статі, освітньої програми і типу закладу загальної середньої освіти. Критичним з точки зору реєстрації гострих захворювань постає 6-й рік навчання, а переламним – період переходу до 7-го класу.</w:t>
      </w:r>
    </w:p>
    <w:p w:rsidR="00073C98" w:rsidRPr="002E6ECA" w:rsidRDefault="00073C98" w:rsidP="00073C98">
      <w:pPr>
        <w:spacing w:line="312" w:lineRule="auto"/>
        <w:ind w:firstLine="567"/>
        <w:rPr>
          <w:sz w:val="28"/>
          <w:szCs w:val="28"/>
          <w:lang w:val="uk-UA"/>
        </w:rPr>
      </w:pPr>
      <w:r w:rsidRPr="002E6ECA">
        <w:rPr>
          <w:noProof/>
          <w:lang w:val="uk-UA" w:eastAsia="uk-UA"/>
        </w:rPr>
        <w:drawing>
          <wp:inline distT="0" distB="0" distL="0" distR="0" wp14:anchorId="12988037" wp14:editId="7F7B7C8B">
            <wp:extent cx="5177790" cy="3282950"/>
            <wp:effectExtent l="0" t="0" r="381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61515" t="29683" r="11825" b="18890"/>
                    <a:stretch/>
                  </pic:blipFill>
                  <pic:spPr bwMode="auto">
                    <a:xfrm>
                      <a:off x="0" y="0"/>
                      <a:ext cx="5178307" cy="3283278"/>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385B85">
      <w:pPr>
        <w:spacing w:line="312" w:lineRule="auto"/>
        <w:ind w:firstLine="709"/>
        <w:rPr>
          <w:sz w:val="28"/>
          <w:szCs w:val="28"/>
          <w:lang w:val="uk-UA"/>
        </w:rPr>
      </w:pPr>
      <w:r w:rsidRPr="002E6ECA">
        <w:rPr>
          <w:sz w:val="28"/>
          <w:szCs w:val="28"/>
          <w:lang w:val="uk-UA"/>
        </w:rPr>
        <w:t>Рис. 3.1</w:t>
      </w:r>
      <w:r w:rsidR="00AC32C1" w:rsidRPr="002E6ECA">
        <w:rPr>
          <w:sz w:val="28"/>
          <w:szCs w:val="28"/>
          <w:lang w:val="uk-UA"/>
        </w:rPr>
        <w:t>4</w:t>
      </w:r>
      <w:r w:rsidRPr="002E6ECA">
        <w:rPr>
          <w:sz w:val="28"/>
          <w:szCs w:val="28"/>
          <w:lang w:val="uk-UA"/>
        </w:rPr>
        <w:t>. Динаміка кількості випадків гострих захворювань в учнів за різних систем освіти</w:t>
      </w:r>
    </w:p>
    <w:p w:rsidR="00671012" w:rsidRPr="002E6ECA" w:rsidRDefault="00671012" w:rsidP="00671012">
      <w:pPr>
        <w:spacing w:line="360" w:lineRule="auto"/>
        <w:ind w:firstLine="709"/>
        <w:jc w:val="both"/>
        <w:rPr>
          <w:sz w:val="28"/>
          <w:szCs w:val="28"/>
          <w:lang w:val="uk-UA"/>
        </w:rPr>
      </w:pP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Встановлену динаміку гострої захворюваності можна розглядати як неспецифічний індикатор адаптаційних процесів, що визначається як </w:t>
      </w:r>
      <w:r w:rsidRPr="002E6ECA">
        <w:rPr>
          <w:sz w:val="28"/>
          <w:szCs w:val="28"/>
          <w:lang w:val="uk-UA"/>
        </w:rPr>
        <w:lastRenderedPageBreak/>
        <w:t>опосередкований вплив на резистентність організму школяра і, відповідно рівень його опірності гострим захворюванням. Крім того, перехід до 7-го класу (12-13 років) можна розглядати як відносно некритичний період з точки зору вікової фізіології, що межує з препубертатом та пубертатом.</w:t>
      </w:r>
    </w:p>
    <w:p w:rsidR="00671012" w:rsidRPr="002E6ECA" w:rsidRDefault="00671012" w:rsidP="00671012">
      <w:pPr>
        <w:spacing w:line="360" w:lineRule="auto"/>
        <w:ind w:firstLine="709"/>
        <w:jc w:val="center"/>
        <w:rPr>
          <w:sz w:val="28"/>
          <w:szCs w:val="28"/>
          <w:lang w:val="uk-UA"/>
        </w:rPr>
      </w:pPr>
    </w:p>
    <w:p w:rsidR="00671012" w:rsidRPr="002E6ECA" w:rsidRDefault="00671012" w:rsidP="008A0EC6">
      <w:pPr>
        <w:spacing w:line="360" w:lineRule="auto"/>
        <w:ind w:firstLine="709"/>
        <w:rPr>
          <w:b/>
          <w:sz w:val="28"/>
          <w:szCs w:val="28"/>
          <w:lang w:val="uk-UA"/>
        </w:rPr>
      </w:pPr>
      <w:r w:rsidRPr="002E6ECA">
        <w:rPr>
          <w:b/>
          <w:sz w:val="28"/>
          <w:szCs w:val="28"/>
          <w:lang w:val="uk-UA"/>
        </w:rPr>
        <w:t>3.4. Суб’єктивне сприйняття власного здоров’я</w:t>
      </w:r>
    </w:p>
    <w:p w:rsidR="00607CD3" w:rsidRPr="002E6ECA" w:rsidRDefault="00607CD3" w:rsidP="00607CD3">
      <w:pPr>
        <w:spacing w:line="360" w:lineRule="auto"/>
        <w:ind w:firstLine="709"/>
        <w:jc w:val="both"/>
        <w:rPr>
          <w:sz w:val="28"/>
          <w:szCs w:val="28"/>
          <w:lang w:val="uk-UA"/>
        </w:rPr>
      </w:pPr>
      <w:r w:rsidRPr="002E6ECA">
        <w:rPr>
          <w:sz w:val="28"/>
          <w:szCs w:val="28"/>
          <w:lang w:val="uk-UA"/>
        </w:rPr>
        <w:t>За результатами скринінг-діагностики патологічних станів серед 1376 учнів середнього шкільного віку ЗЗСО Харківської області було встановлено вищі показники ЗРНЗ серед дівчат (р&lt;0,05-0,01)</w:t>
      </w:r>
      <w:r w:rsidRPr="002E6ECA">
        <w:rPr>
          <w:sz w:val="28"/>
          <w:szCs w:val="28"/>
        </w:rPr>
        <w:t xml:space="preserve"> </w:t>
      </w:r>
      <w:r w:rsidRPr="002E6ECA">
        <w:rPr>
          <w:sz w:val="28"/>
          <w:szCs w:val="28"/>
          <w:lang w:val="uk-UA"/>
        </w:rPr>
        <w:t>незалежно від періоду навчального року та типу населеного пункту</w:t>
      </w:r>
      <w:r w:rsidRPr="002E6ECA">
        <w:rPr>
          <w:sz w:val="28"/>
          <w:szCs w:val="28"/>
        </w:rPr>
        <w:t xml:space="preserve"> </w:t>
      </w:r>
      <w:r w:rsidRPr="002E6ECA">
        <w:rPr>
          <w:sz w:val="28"/>
          <w:szCs w:val="28"/>
          <w:lang w:val="uk-UA"/>
        </w:rPr>
        <w:t>(табл. 3.</w:t>
      </w:r>
      <w:r w:rsidR="008A0EC6" w:rsidRPr="002E6ECA">
        <w:rPr>
          <w:sz w:val="28"/>
          <w:szCs w:val="28"/>
          <w:lang w:val="uk-UA"/>
        </w:rPr>
        <w:t>7</w:t>
      </w:r>
      <w:r w:rsidRPr="002E6ECA">
        <w:rPr>
          <w:sz w:val="28"/>
          <w:szCs w:val="28"/>
          <w:lang w:val="uk-UA"/>
        </w:rPr>
        <w:t xml:space="preserve">). </w:t>
      </w:r>
    </w:p>
    <w:p w:rsidR="00607CD3" w:rsidRPr="002E6ECA" w:rsidRDefault="00607CD3" w:rsidP="00607CD3">
      <w:pPr>
        <w:spacing w:line="360" w:lineRule="auto"/>
        <w:ind w:firstLine="709"/>
        <w:jc w:val="right"/>
        <w:rPr>
          <w:i/>
          <w:sz w:val="28"/>
          <w:szCs w:val="28"/>
          <w:lang w:val="uk-UA"/>
        </w:rPr>
      </w:pPr>
      <w:r w:rsidRPr="002E6ECA">
        <w:rPr>
          <w:i/>
          <w:sz w:val="28"/>
          <w:szCs w:val="28"/>
          <w:lang w:val="uk-UA"/>
        </w:rPr>
        <w:t>Таблиця 3.</w:t>
      </w:r>
      <w:r w:rsidR="008A0EC6" w:rsidRPr="002E6ECA">
        <w:rPr>
          <w:i/>
          <w:sz w:val="28"/>
          <w:szCs w:val="28"/>
          <w:lang w:val="uk-UA"/>
        </w:rPr>
        <w:t>7</w:t>
      </w:r>
    </w:p>
    <w:p w:rsidR="00607CD3" w:rsidRPr="002E6ECA" w:rsidRDefault="00607CD3" w:rsidP="00607CD3">
      <w:pPr>
        <w:spacing w:line="360" w:lineRule="auto"/>
        <w:jc w:val="center"/>
        <w:rPr>
          <w:b/>
          <w:sz w:val="28"/>
          <w:szCs w:val="28"/>
          <w:lang w:val="uk-UA" w:eastAsia="uk-UA"/>
        </w:rPr>
      </w:pPr>
      <w:r w:rsidRPr="002E6ECA">
        <w:rPr>
          <w:b/>
          <w:sz w:val="28"/>
          <w:szCs w:val="28"/>
          <w:lang w:val="uk-UA"/>
        </w:rPr>
        <w:t>Загальний рівень неблагополуччя здоров'я учнів середнього шкільного віку з різних типів населених пунктів, M</w:t>
      </w:r>
      <w:r w:rsidRPr="002E6ECA">
        <w:rPr>
          <w:b/>
          <w:sz w:val="28"/>
          <w:szCs w:val="28"/>
          <w:lang w:val="uk-UA" w:eastAsia="uk-UA"/>
        </w:rPr>
        <w:t>±m</w:t>
      </w:r>
    </w:p>
    <w:tbl>
      <w:tblPr>
        <w:tblW w:w="953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3"/>
        <w:gridCol w:w="1811"/>
        <w:gridCol w:w="1812"/>
        <w:gridCol w:w="1812"/>
        <w:gridCol w:w="1812"/>
      </w:tblGrid>
      <w:tr w:rsidR="00607CD3" w:rsidRPr="002E6ECA" w:rsidTr="00616939">
        <w:trPr>
          <w:trHeight w:val="255"/>
        </w:trPr>
        <w:tc>
          <w:tcPr>
            <w:tcW w:w="2283" w:type="dxa"/>
            <w:vMerge w:val="restart"/>
            <w:shd w:val="clear" w:color="auto" w:fill="auto"/>
            <w:noWrap/>
            <w:vAlign w:val="bottom"/>
          </w:tcPr>
          <w:p w:rsidR="00607CD3" w:rsidRPr="002E6ECA" w:rsidRDefault="00607CD3" w:rsidP="00616939">
            <w:pPr>
              <w:jc w:val="center"/>
              <w:rPr>
                <w:sz w:val="28"/>
                <w:szCs w:val="28"/>
                <w:lang w:val="uk-UA" w:eastAsia="uk-UA"/>
              </w:rPr>
            </w:pPr>
            <w:r w:rsidRPr="002E6ECA">
              <w:rPr>
                <w:sz w:val="28"/>
                <w:szCs w:val="28"/>
                <w:lang w:val="uk-UA" w:eastAsia="uk-UA"/>
              </w:rPr>
              <w:t>Тип населеного пункту</w:t>
            </w:r>
          </w:p>
        </w:tc>
        <w:tc>
          <w:tcPr>
            <w:tcW w:w="7247" w:type="dxa"/>
            <w:gridSpan w:val="4"/>
            <w:shd w:val="clear" w:color="auto" w:fill="auto"/>
            <w:noWrap/>
            <w:vAlign w:val="bottom"/>
          </w:tcPr>
          <w:p w:rsidR="00607CD3" w:rsidRPr="002E6ECA" w:rsidRDefault="00607CD3" w:rsidP="00616939">
            <w:pPr>
              <w:jc w:val="center"/>
              <w:rPr>
                <w:sz w:val="28"/>
                <w:szCs w:val="28"/>
                <w:lang w:val="uk-UA" w:eastAsia="uk-UA"/>
              </w:rPr>
            </w:pPr>
            <w:r w:rsidRPr="002E6ECA">
              <w:rPr>
                <w:sz w:val="28"/>
                <w:szCs w:val="28"/>
                <w:lang w:val="uk-UA" w:eastAsia="uk-UA"/>
              </w:rPr>
              <w:t>Період навчального року</w:t>
            </w:r>
          </w:p>
        </w:tc>
      </w:tr>
      <w:tr w:rsidR="00607CD3" w:rsidRPr="002E6ECA" w:rsidTr="00616939">
        <w:trPr>
          <w:trHeight w:val="255"/>
        </w:trPr>
        <w:tc>
          <w:tcPr>
            <w:tcW w:w="2283" w:type="dxa"/>
            <w:vMerge/>
            <w:shd w:val="clear" w:color="auto" w:fill="auto"/>
            <w:noWrap/>
            <w:vAlign w:val="bottom"/>
            <w:hideMark/>
          </w:tcPr>
          <w:p w:rsidR="00607CD3" w:rsidRPr="002E6ECA" w:rsidRDefault="00607CD3" w:rsidP="00616939">
            <w:pPr>
              <w:jc w:val="center"/>
              <w:rPr>
                <w:sz w:val="28"/>
                <w:szCs w:val="28"/>
                <w:lang w:val="uk-UA" w:eastAsia="uk-UA"/>
              </w:rPr>
            </w:pPr>
          </w:p>
        </w:tc>
        <w:tc>
          <w:tcPr>
            <w:tcW w:w="3623" w:type="dxa"/>
            <w:gridSpan w:val="2"/>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rPr>
              <w:t>початок</w:t>
            </w:r>
            <w:r w:rsidRPr="002E6ECA">
              <w:rPr>
                <w:sz w:val="28"/>
                <w:szCs w:val="28"/>
                <w:lang w:val="uk-UA" w:eastAsia="uk-UA"/>
              </w:rPr>
              <w:t xml:space="preserve"> </w:t>
            </w:r>
          </w:p>
        </w:tc>
        <w:tc>
          <w:tcPr>
            <w:tcW w:w="3624" w:type="dxa"/>
            <w:gridSpan w:val="2"/>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кін</w:t>
            </w:r>
            <w:r w:rsidRPr="002E6ECA">
              <w:rPr>
                <w:sz w:val="28"/>
                <w:szCs w:val="28"/>
              </w:rPr>
              <w:t>ець</w:t>
            </w:r>
            <w:r w:rsidRPr="002E6ECA">
              <w:rPr>
                <w:sz w:val="28"/>
                <w:szCs w:val="28"/>
                <w:lang w:val="uk-UA" w:eastAsia="uk-UA"/>
              </w:rPr>
              <w:t xml:space="preserve"> </w:t>
            </w:r>
          </w:p>
        </w:tc>
      </w:tr>
      <w:tr w:rsidR="00607CD3" w:rsidRPr="002E6ECA" w:rsidTr="00616939">
        <w:trPr>
          <w:trHeight w:val="255"/>
        </w:trPr>
        <w:tc>
          <w:tcPr>
            <w:tcW w:w="2283" w:type="dxa"/>
            <w:vMerge/>
            <w:shd w:val="clear" w:color="auto" w:fill="auto"/>
            <w:noWrap/>
            <w:vAlign w:val="bottom"/>
            <w:hideMark/>
          </w:tcPr>
          <w:p w:rsidR="00607CD3" w:rsidRPr="002E6ECA" w:rsidRDefault="00607CD3" w:rsidP="00616939">
            <w:pPr>
              <w:jc w:val="center"/>
              <w:rPr>
                <w:sz w:val="28"/>
                <w:szCs w:val="28"/>
                <w:lang w:val="uk-UA" w:eastAsia="uk-UA"/>
              </w:rPr>
            </w:pPr>
          </w:p>
        </w:tc>
        <w:tc>
          <w:tcPr>
            <w:tcW w:w="1811"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хлопці</w:t>
            </w:r>
          </w:p>
        </w:tc>
        <w:tc>
          <w:tcPr>
            <w:tcW w:w="1812"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дівчата</w:t>
            </w:r>
          </w:p>
        </w:tc>
        <w:tc>
          <w:tcPr>
            <w:tcW w:w="1812"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хлопці</w:t>
            </w:r>
          </w:p>
        </w:tc>
        <w:tc>
          <w:tcPr>
            <w:tcW w:w="1812"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дівчата</w:t>
            </w:r>
          </w:p>
        </w:tc>
      </w:tr>
      <w:tr w:rsidR="00607CD3" w:rsidRPr="002E6ECA" w:rsidTr="00616939">
        <w:trPr>
          <w:trHeight w:val="255"/>
        </w:trPr>
        <w:tc>
          <w:tcPr>
            <w:tcW w:w="2283"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 xml:space="preserve">Село </w:t>
            </w:r>
          </w:p>
          <w:p w:rsidR="00607CD3" w:rsidRPr="002E6ECA" w:rsidRDefault="00607CD3" w:rsidP="00616939">
            <w:pPr>
              <w:jc w:val="center"/>
              <w:rPr>
                <w:sz w:val="28"/>
                <w:szCs w:val="28"/>
                <w:lang w:val="uk-UA" w:eastAsia="uk-UA"/>
              </w:rPr>
            </w:pPr>
            <w:r w:rsidRPr="002E6ECA">
              <w:rPr>
                <w:sz w:val="28"/>
                <w:szCs w:val="28"/>
                <w:lang w:val="uk-UA" w:eastAsia="uk-UA"/>
              </w:rPr>
              <w:t>(</w:t>
            </w:r>
            <w:r w:rsidRPr="002E6ECA">
              <w:rPr>
                <w:sz w:val="28"/>
                <w:szCs w:val="28"/>
                <w:lang w:val="en-US" w:eastAsia="uk-UA"/>
              </w:rPr>
              <w:t>n</w:t>
            </w:r>
            <w:r w:rsidRPr="002E6ECA">
              <w:rPr>
                <w:sz w:val="28"/>
                <w:szCs w:val="28"/>
                <w:lang w:val="uk-UA" w:eastAsia="uk-UA"/>
              </w:rPr>
              <w:t>=277)</w:t>
            </w:r>
          </w:p>
        </w:tc>
        <w:tc>
          <w:tcPr>
            <w:tcW w:w="1811" w:type="dxa"/>
            <w:shd w:val="clear" w:color="auto" w:fill="auto"/>
            <w:noWrap/>
            <w:vAlign w:val="center"/>
            <w:hideMark/>
          </w:tcPr>
          <w:p w:rsidR="00607CD3" w:rsidRPr="002E6ECA" w:rsidRDefault="00607CD3" w:rsidP="00616939">
            <w:pPr>
              <w:jc w:val="center"/>
              <w:rPr>
                <w:sz w:val="28"/>
                <w:szCs w:val="28"/>
                <w:lang w:eastAsia="uk-UA"/>
              </w:rPr>
            </w:pPr>
            <w:r w:rsidRPr="002E6ECA">
              <w:rPr>
                <w:sz w:val="28"/>
                <w:szCs w:val="28"/>
                <w:lang w:val="uk-UA" w:eastAsia="uk-UA"/>
              </w:rPr>
              <w:t>14,5±0,7</w:t>
            </w:r>
            <w:r w:rsidRPr="002E6ECA">
              <w:rPr>
                <w:sz w:val="28"/>
                <w:szCs w:val="28"/>
                <w:vertAlign w:val="superscript"/>
                <w:lang w:val="uk-UA"/>
              </w:rPr>
              <w:t>*</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17,0±0,8</w:t>
            </w:r>
          </w:p>
        </w:tc>
        <w:tc>
          <w:tcPr>
            <w:tcW w:w="1812" w:type="dxa"/>
            <w:shd w:val="clear" w:color="auto" w:fill="auto"/>
            <w:noWrap/>
            <w:vAlign w:val="center"/>
          </w:tcPr>
          <w:p w:rsidR="00607CD3" w:rsidRPr="002E6ECA" w:rsidRDefault="00607CD3" w:rsidP="00616939">
            <w:pPr>
              <w:jc w:val="center"/>
              <w:rPr>
                <w:sz w:val="28"/>
                <w:szCs w:val="28"/>
                <w:lang w:eastAsia="uk-UA"/>
              </w:rPr>
            </w:pPr>
            <w:r w:rsidRPr="002E6ECA">
              <w:rPr>
                <w:sz w:val="28"/>
                <w:szCs w:val="28"/>
                <w:lang w:val="uk-UA" w:eastAsia="uk-UA"/>
              </w:rPr>
              <w:t>13,4±0,7</w:t>
            </w:r>
            <w:r w:rsidRPr="002E6ECA">
              <w:rPr>
                <w:sz w:val="28"/>
                <w:szCs w:val="28"/>
                <w:vertAlign w:val="superscript"/>
                <w:lang w:val="uk-UA"/>
              </w:rPr>
              <w:t>**</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17,5±1,0</w:t>
            </w:r>
            <w:r w:rsidRPr="002E6ECA">
              <w:rPr>
                <w:sz w:val="28"/>
                <w:szCs w:val="28"/>
                <w:vertAlign w:val="superscript"/>
                <w:lang w:val="en-US"/>
              </w:rPr>
              <w:t>##</w:t>
            </w:r>
            <w:r w:rsidRPr="002E6ECA">
              <w:rPr>
                <w:sz w:val="28"/>
                <w:szCs w:val="28"/>
                <w:vertAlign w:val="superscript"/>
              </w:rPr>
              <w:t>3,4</w:t>
            </w:r>
          </w:p>
        </w:tc>
      </w:tr>
      <w:tr w:rsidR="00607CD3" w:rsidRPr="002E6ECA" w:rsidTr="00616939">
        <w:trPr>
          <w:trHeight w:val="255"/>
        </w:trPr>
        <w:tc>
          <w:tcPr>
            <w:tcW w:w="2283"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 xml:space="preserve">Селище </w:t>
            </w:r>
          </w:p>
          <w:p w:rsidR="00607CD3" w:rsidRPr="002E6ECA" w:rsidRDefault="00607CD3" w:rsidP="00616939">
            <w:pPr>
              <w:jc w:val="center"/>
              <w:rPr>
                <w:sz w:val="28"/>
                <w:szCs w:val="28"/>
                <w:lang w:val="uk-UA" w:eastAsia="uk-UA"/>
              </w:rPr>
            </w:pPr>
            <w:r w:rsidRPr="002E6ECA">
              <w:rPr>
                <w:sz w:val="28"/>
                <w:szCs w:val="28"/>
                <w:lang w:val="uk-UA" w:eastAsia="uk-UA"/>
              </w:rPr>
              <w:t>(</w:t>
            </w:r>
            <w:r w:rsidRPr="002E6ECA">
              <w:rPr>
                <w:sz w:val="28"/>
                <w:szCs w:val="28"/>
                <w:lang w:val="en-US" w:eastAsia="uk-UA"/>
              </w:rPr>
              <w:t>n</w:t>
            </w:r>
            <w:r w:rsidRPr="002E6ECA">
              <w:rPr>
                <w:sz w:val="28"/>
                <w:szCs w:val="28"/>
                <w:lang w:val="uk-UA" w:eastAsia="uk-UA"/>
              </w:rPr>
              <w:t>=166)</w:t>
            </w:r>
          </w:p>
        </w:tc>
        <w:tc>
          <w:tcPr>
            <w:tcW w:w="1811"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13,3±0,8</w:t>
            </w:r>
            <w:r w:rsidRPr="002E6ECA">
              <w:rPr>
                <w:sz w:val="28"/>
                <w:szCs w:val="28"/>
                <w:vertAlign w:val="superscript"/>
                <w:lang w:val="uk-UA"/>
              </w:rPr>
              <w:t>**</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18,7±1,2</w:t>
            </w:r>
          </w:p>
        </w:tc>
        <w:tc>
          <w:tcPr>
            <w:tcW w:w="1812" w:type="dxa"/>
            <w:shd w:val="clear" w:color="auto" w:fill="auto"/>
            <w:noWrap/>
            <w:vAlign w:val="center"/>
          </w:tcPr>
          <w:p w:rsidR="00607CD3" w:rsidRPr="002E6ECA" w:rsidRDefault="00607CD3" w:rsidP="00616939">
            <w:pPr>
              <w:jc w:val="center"/>
              <w:rPr>
                <w:sz w:val="28"/>
                <w:szCs w:val="28"/>
                <w:lang w:eastAsia="uk-UA"/>
              </w:rPr>
            </w:pPr>
            <w:r w:rsidRPr="002E6ECA">
              <w:rPr>
                <w:sz w:val="28"/>
                <w:szCs w:val="28"/>
                <w:lang w:val="uk-UA" w:eastAsia="uk-UA"/>
              </w:rPr>
              <w:t>14,3±1,0</w:t>
            </w:r>
            <w:r w:rsidRPr="002E6ECA">
              <w:rPr>
                <w:sz w:val="28"/>
                <w:szCs w:val="28"/>
                <w:vertAlign w:val="superscript"/>
                <w:lang w:val="en-US"/>
              </w:rPr>
              <w:t>#</w:t>
            </w:r>
            <w:r w:rsidRPr="002E6ECA">
              <w:rPr>
                <w:sz w:val="28"/>
                <w:szCs w:val="28"/>
                <w:vertAlign w:val="superscript"/>
              </w:rPr>
              <w:t>3,4</w:t>
            </w:r>
          </w:p>
        </w:tc>
        <w:tc>
          <w:tcPr>
            <w:tcW w:w="1812" w:type="dxa"/>
            <w:shd w:val="clear" w:color="auto" w:fill="auto"/>
            <w:noWrap/>
            <w:vAlign w:val="center"/>
            <w:hideMark/>
          </w:tcPr>
          <w:p w:rsidR="00607CD3" w:rsidRPr="002E6ECA" w:rsidRDefault="00607CD3" w:rsidP="00616939">
            <w:pPr>
              <w:jc w:val="center"/>
              <w:rPr>
                <w:sz w:val="28"/>
                <w:szCs w:val="28"/>
                <w:lang w:eastAsia="uk-UA"/>
              </w:rPr>
            </w:pPr>
            <w:r w:rsidRPr="002E6ECA">
              <w:rPr>
                <w:sz w:val="28"/>
                <w:szCs w:val="28"/>
                <w:lang w:val="uk-UA" w:eastAsia="uk-UA"/>
              </w:rPr>
              <w:t>16,2±1,0</w:t>
            </w:r>
            <w:r w:rsidRPr="002E6ECA">
              <w:rPr>
                <w:sz w:val="28"/>
                <w:szCs w:val="28"/>
                <w:vertAlign w:val="superscript"/>
                <w:lang w:val="en-US"/>
              </w:rPr>
              <w:t>##</w:t>
            </w:r>
            <w:r w:rsidRPr="002E6ECA">
              <w:rPr>
                <w:sz w:val="28"/>
                <w:szCs w:val="28"/>
                <w:vertAlign w:val="superscript"/>
              </w:rPr>
              <w:t>3,4</w:t>
            </w:r>
          </w:p>
        </w:tc>
      </w:tr>
      <w:tr w:rsidR="00607CD3" w:rsidRPr="002E6ECA" w:rsidTr="00616939">
        <w:trPr>
          <w:trHeight w:val="255"/>
        </w:trPr>
        <w:tc>
          <w:tcPr>
            <w:tcW w:w="2283"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Мале місто (</w:t>
            </w:r>
            <w:r w:rsidRPr="002E6ECA">
              <w:rPr>
                <w:sz w:val="28"/>
                <w:szCs w:val="28"/>
                <w:lang w:val="en-US" w:eastAsia="uk-UA"/>
              </w:rPr>
              <w:t>n</w:t>
            </w:r>
            <w:r w:rsidRPr="002E6ECA">
              <w:rPr>
                <w:sz w:val="28"/>
                <w:szCs w:val="28"/>
                <w:lang w:val="uk-UA" w:eastAsia="uk-UA"/>
              </w:rPr>
              <w:t>=416)</w:t>
            </w:r>
          </w:p>
        </w:tc>
        <w:tc>
          <w:tcPr>
            <w:tcW w:w="1811" w:type="dxa"/>
            <w:shd w:val="clear" w:color="auto" w:fill="auto"/>
            <w:noWrap/>
            <w:vAlign w:val="center"/>
            <w:hideMark/>
          </w:tcPr>
          <w:p w:rsidR="00607CD3" w:rsidRPr="002E6ECA" w:rsidRDefault="00607CD3" w:rsidP="00616939">
            <w:pPr>
              <w:jc w:val="center"/>
              <w:rPr>
                <w:sz w:val="28"/>
                <w:szCs w:val="28"/>
                <w:lang w:eastAsia="uk-UA"/>
              </w:rPr>
            </w:pPr>
            <w:r w:rsidRPr="002E6ECA">
              <w:rPr>
                <w:sz w:val="28"/>
                <w:szCs w:val="28"/>
                <w:lang w:val="uk-UA" w:eastAsia="uk-UA"/>
              </w:rPr>
              <w:t>15,9±0,8</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17,2±0,7</w:t>
            </w:r>
          </w:p>
        </w:tc>
        <w:tc>
          <w:tcPr>
            <w:tcW w:w="1812" w:type="dxa"/>
            <w:shd w:val="clear" w:color="auto" w:fill="auto"/>
            <w:noWrap/>
            <w:vAlign w:val="center"/>
          </w:tcPr>
          <w:p w:rsidR="00607CD3" w:rsidRPr="002E6ECA" w:rsidRDefault="00607CD3" w:rsidP="00616939">
            <w:pPr>
              <w:jc w:val="center"/>
              <w:rPr>
                <w:sz w:val="28"/>
                <w:szCs w:val="28"/>
                <w:lang w:val="uk-UA" w:eastAsia="uk-UA"/>
              </w:rPr>
            </w:pPr>
            <w:r w:rsidRPr="002E6ECA">
              <w:rPr>
                <w:sz w:val="28"/>
                <w:szCs w:val="28"/>
                <w:lang w:val="uk-UA" w:eastAsia="uk-UA"/>
              </w:rPr>
              <w:t>10,1±1,4</w:t>
            </w:r>
            <w:r w:rsidRPr="002E6ECA">
              <w:rPr>
                <w:sz w:val="28"/>
                <w:szCs w:val="28"/>
                <w:vertAlign w:val="superscript"/>
                <w:lang w:val="en-US"/>
              </w:rPr>
              <w:t>#</w:t>
            </w:r>
            <w:r w:rsidRPr="002E6ECA">
              <w:rPr>
                <w:sz w:val="28"/>
                <w:szCs w:val="28"/>
                <w:vertAlign w:val="superscript"/>
              </w:rPr>
              <w:t>1,2</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11,4±0,9</w:t>
            </w:r>
            <w:r w:rsidRPr="002E6ECA">
              <w:rPr>
                <w:sz w:val="28"/>
                <w:szCs w:val="28"/>
                <w:vertAlign w:val="superscript"/>
                <w:lang w:val="en-US"/>
              </w:rPr>
              <w:t>##</w:t>
            </w:r>
            <w:r w:rsidRPr="002E6ECA">
              <w:rPr>
                <w:sz w:val="28"/>
                <w:szCs w:val="28"/>
                <w:vertAlign w:val="superscript"/>
              </w:rPr>
              <w:t>1</w:t>
            </w:r>
          </w:p>
        </w:tc>
      </w:tr>
      <w:tr w:rsidR="00607CD3" w:rsidRPr="002E6ECA" w:rsidTr="00616939">
        <w:trPr>
          <w:trHeight w:val="255"/>
        </w:trPr>
        <w:tc>
          <w:tcPr>
            <w:tcW w:w="2283" w:type="dxa"/>
            <w:shd w:val="clear" w:color="auto" w:fill="auto"/>
            <w:noWrap/>
            <w:vAlign w:val="bottom"/>
            <w:hideMark/>
          </w:tcPr>
          <w:p w:rsidR="00607CD3" w:rsidRPr="002E6ECA" w:rsidRDefault="00607CD3" w:rsidP="00616939">
            <w:pPr>
              <w:jc w:val="center"/>
              <w:rPr>
                <w:sz w:val="28"/>
                <w:szCs w:val="28"/>
                <w:lang w:val="uk-UA" w:eastAsia="uk-UA"/>
              </w:rPr>
            </w:pPr>
            <w:r w:rsidRPr="002E6ECA">
              <w:rPr>
                <w:sz w:val="28"/>
                <w:szCs w:val="28"/>
                <w:lang w:val="uk-UA" w:eastAsia="uk-UA"/>
              </w:rPr>
              <w:t>Обласний центр (</w:t>
            </w:r>
            <w:r w:rsidRPr="002E6ECA">
              <w:rPr>
                <w:sz w:val="28"/>
                <w:szCs w:val="28"/>
                <w:lang w:val="en-US" w:eastAsia="uk-UA"/>
              </w:rPr>
              <w:t>n</w:t>
            </w:r>
            <w:r w:rsidRPr="002E6ECA">
              <w:rPr>
                <w:sz w:val="28"/>
                <w:szCs w:val="28"/>
                <w:lang w:val="uk-UA" w:eastAsia="uk-UA"/>
              </w:rPr>
              <w:t>=517)</w:t>
            </w:r>
          </w:p>
        </w:tc>
        <w:tc>
          <w:tcPr>
            <w:tcW w:w="1811"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14,0±0,7</w:t>
            </w:r>
            <w:r w:rsidRPr="002E6ECA">
              <w:rPr>
                <w:sz w:val="28"/>
                <w:szCs w:val="28"/>
                <w:vertAlign w:val="superscript"/>
                <w:lang w:val="uk-UA"/>
              </w:rPr>
              <w:t>*</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16,3±0,7</w:t>
            </w:r>
          </w:p>
        </w:tc>
        <w:tc>
          <w:tcPr>
            <w:tcW w:w="1812" w:type="dxa"/>
            <w:shd w:val="clear" w:color="auto" w:fill="auto"/>
            <w:noWrap/>
            <w:vAlign w:val="center"/>
          </w:tcPr>
          <w:p w:rsidR="00607CD3" w:rsidRPr="002E6ECA" w:rsidRDefault="00607CD3" w:rsidP="00616939">
            <w:pPr>
              <w:jc w:val="center"/>
              <w:rPr>
                <w:sz w:val="28"/>
                <w:szCs w:val="28"/>
                <w:lang w:val="uk-UA" w:eastAsia="uk-UA"/>
              </w:rPr>
            </w:pPr>
            <w:r w:rsidRPr="002E6ECA">
              <w:rPr>
                <w:sz w:val="28"/>
                <w:szCs w:val="28"/>
                <w:lang w:val="uk-UA" w:eastAsia="uk-UA"/>
              </w:rPr>
              <w:t>10,7±0,8</w:t>
            </w:r>
            <w:r w:rsidRPr="002E6ECA">
              <w:rPr>
                <w:sz w:val="28"/>
                <w:szCs w:val="28"/>
                <w:vertAlign w:val="superscript"/>
                <w:lang w:val="uk-UA"/>
              </w:rPr>
              <w:t>*</w:t>
            </w:r>
            <w:r w:rsidRPr="002E6ECA">
              <w:rPr>
                <w:sz w:val="28"/>
                <w:szCs w:val="28"/>
                <w:vertAlign w:val="superscript"/>
                <w:lang w:val="en-US"/>
              </w:rPr>
              <w:t>#</w:t>
            </w:r>
            <w:r w:rsidRPr="002E6ECA">
              <w:rPr>
                <w:sz w:val="28"/>
                <w:szCs w:val="28"/>
                <w:vertAlign w:val="superscript"/>
              </w:rPr>
              <w:t>1,2</w:t>
            </w:r>
          </w:p>
        </w:tc>
        <w:tc>
          <w:tcPr>
            <w:tcW w:w="1812" w:type="dxa"/>
            <w:shd w:val="clear" w:color="auto" w:fill="auto"/>
            <w:noWrap/>
            <w:vAlign w:val="center"/>
            <w:hideMark/>
          </w:tcPr>
          <w:p w:rsidR="00607CD3" w:rsidRPr="002E6ECA" w:rsidRDefault="00607CD3" w:rsidP="00616939">
            <w:pPr>
              <w:jc w:val="center"/>
              <w:rPr>
                <w:sz w:val="28"/>
                <w:szCs w:val="28"/>
                <w:lang w:val="uk-UA" w:eastAsia="uk-UA"/>
              </w:rPr>
            </w:pPr>
            <w:r w:rsidRPr="002E6ECA">
              <w:rPr>
                <w:sz w:val="28"/>
                <w:szCs w:val="28"/>
                <w:lang w:val="uk-UA" w:eastAsia="uk-UA"/>
              </w:rPr>
              <w:t>13,3±0,8</w:t>
            </w:r>
            <w:r w:rsidRPr="002E6ECA">
              <w:rPr>
                <w:sz w:val="28"/>
                <w:szCs w:val="28"/>
                <w:vertAlign w:val="superscript"/>
                <w:lang w:val="en-US"/>
              </w:rPr>
              <w:t>##</w:t>
            </w:r>
            <w:r w:rsidRPr="002E6ECA">
              <w:rPr>
                <w:sz w:val="28"/>
                <w:szCs w:val="28"/>
                <w:vertAlign w:val="superscript"/>
              </w:rPr>
              <w:t>1</w:t>
            </w:r>
          </w:p>
        </w:tc>
      </w:tr>
    </w:tbl>
    <w:p w:rsidR="00607CD3" w:rsidRPr="002E6ECA" w:rsidRDefault="00607CD3" w:rsidP="008A0EC6">
      <w:pPr>
        <w:spacing w:line="276" w:lineRule="auto"/>
        <w:ind w:firstLine="709"/>
        <w:jc w:val="both"/>
        <w:rPr>
          <w:sz w:val="28"/>
          <w:szCs w:val="28"/>
          <w:lang w:val="uk-UA"/>
        </w:rPr>
      </w:pPr>
      <w:r w:rsidRPr="002E6ECA">
        <w:rPr>
          <w:sz w:val="28"/>
          <w:szCs w:val="28"/>
          <w:lang w:val="uk-UA"/>
        </w:rPr>
        <w:t xml:space="preserve">Примітка: </w:t>
      </w:r>
      <w:r w:rsidRPr="002E6ECA">
        <w:rPr>
          <w:lang w:val="uk-UA"/>
        </w:rPr>
        <w:t>істотна різниця при порівнянні хлопців і дівчат (</w:t>
      </w:r>
      <w:r w:rsidRPr="002E6ECA">
        <w:rPr>
          <w:vertAlign w:val="superscript"/>
          <w:lang w:val="uk-UA"/>
        </w:rPr>
        <w:t>*</w:t>
      </w:r>
      <w:r w:rsidRPr="002E6ECA">
        <w:rPr>
          <w:lang w:val="uk-UA"/>
        </w:rPr>
        <w:t xml:space="preserve"> – р&lt;0,05; </w:t>
      </w:r>
      <w:r w:rsidRPr="002E6ECA">
        <w:rPr>
          <w:vertAlign w:val="superscript"/>
          <w:lang w:val="uk-UA"/>
        </w:rPr>
        <w:t xml:space="preserve">** </w:t>
      </w:r>
      <w:r w:rsidRPr="002E6ECA">
        <w:rPr>
          <w:lang w:val="uk-UA"/>
        </w:rPr>
        <w:t>– р&lt;0,01), істотна різниця при порівнянні учнів з різних типів населених пунктів (</w:t>
      </w:r>
      <w:r w:rsidRPr="002E6ECA">
        <w:rPr>
          <w:vertAlign w:val="superscript"/>
        </w:rPr>
        <w:t xml:space="preserve"># </w:t>
      </w:r>
      <w:r w:rsidRPr="002E6ECA">
        <w:rPr>
          <w:lang w:val="uk-UA"/>
        </w:rPr>
        <w:t xml:space="preserve">– р&lt;0,05; </w:t>
      </w:r>
      <w:r w:rsidRPr="002E6ECA">
        <w:rPr>
          <w:vertAlign w:val="superscript"/>
        </w:rPr>
        <w:t>##</w:t>
      </w:r>
      <w:r w:rsidRPr="002E6ECA">
        <w:rPr>
          <w:vertAlign w:val="superscript"/>
          <w:lang w:val="uk-UA"/>
        </w:rPr>
        <w:t xml:space="preserve"> </w:t>
      </w:r>
      <w:r w:rsidRPr="002E6ECA">
        <w:rPr>
          <w:lang w:val="uk-UA"/>
        </w:rPr>
        <w:t xml:space="preserve">– р&lt;0,01; </w:t>
      </w:r>
      <w:r w:rsidRPr="002E6ECA">
        <w:rPr>
          <w:vertAlign w:val="superscript"/>
          <w:lang w:val="uk-UA"/>
        </w:rPr>
        <w:t>1</w:t>
      </w:r>
      <w:r w:rsidRPr="002E6ECA">
        <w:rPr>
          <w:lang w:val="uk-UA"/>
        </w:rPr>
        <w:t xml:space="preserve"> – село; </w:t>
      </w:r>
      <w:r w:rsidRPr="002E6ECA">
        <w:rPr>
          <w:vertAlign w:val="superscript"/>
          <w:lang w:val="uk-UA"/>
        </w:rPr>
        <w:t>2</w:t>
      </w:r>
      <w:r w:rsidRPr="002E6ECA">
        <w:rPr>
          <w:lang w:val="uk-UA"/>
        </w:rPr>
        <w:t xml:space="preserve"> – селище; </w:t>
      </w:r>
      <w:r w:rsidRPr="002E6ECA">
        <w:rPr>
          <w:vertAlign w:val="superscript"/>
          <w:lang w:val="uk-UA"/>
        </w:rPr>
        <w:t>3</w:t>
      </w:r>
      <w:r w:rsidRPr="002E6ECA">
        <w:rPr>
          <w:lang w:val="uk-UA"/>
        </w:rPr>
        <w:t xml:space="preserve"> – мале місто; </w:t>
      </w:r>
      <w:r w:rsidRPr="002E6ECA">
        <w:rPr>
          <w:vertAlign w:val="superscript"/>
          <w:lang w:val="uk-UA"/>
        </w:rPr>
        <w:t>4</w:t>
      </w:r>
      <w:r w:rsidRPr="002E6ECA">
        <w:rPr>
          <w:lang w:val="uk-UA"/>
        </w:rPr>
        <w:t xml:space="preserve"> – обласний центр)</w:t>
      </w:r>
    </w:p>
    <w:p w:rsidR="00607CD3" w:rsidRPr="002E6ECA" w:rsidRDefault="00607CD3" w:rsidP="00607CD3">
      <w:pPr>
        <w:spacing w:line="360" w:lineRule="auto"/>
        <w:ind w:firstLine="709"/>
        <w:jc w:val="both"/>
        <w:rPr>
          <w:sz w:val="28"/>
          <w:szCs w:val="28"/>
          <w:lang w:val="uk-UA"/>
        </w:rPr>
      </w:pPr>
    </w:p>
    <w:p w:rsidR="00385B85" w:rsidRPr="002E6ECA" w:rsidRDefault="00385B85" w:rsidP="00607CD3">
      <w:pPr>
        <w:spacing w:line="360" w:lineRule="auto"/>
        <w:ind w:firstLine="709"/>
        <w:jc w:val="both"/>
        <w:rPr>
          <w:sz w:val="28"/>
          <w:szCs w:val="28"/>
          <w:lang w:val="uk-UA"/>
        </w:rPr>
      </w:pPr>
      <w:r w:rsidRPr="002E6ECA">
        <w:rPr>
          <w:sz w:val="28"/>
          <w:szCs w:val="28"/>
        </w:rPr>
        <w:t>Упродовж навчання серед учнів міських ЗЗСО визначалось істотне зниження ЗРНЗ на 3,0</w:t>
      </w:r>
      <w:r w:rsidRPr="002E6ECA">
        <w:rPr>
          <w:sz w:val="28"/>
          <w:szCs w:val="28"/>
          <w:lang w:val="uk-UA"/>
        </w:rPr>
        <w:t>–</w:t>
      </w:r>
      <w:r w:rsidRPr="002E6ECA">
        <w:rPr>
          <w:sz w:val="28"/>
          <w:szCs w:val="28"/>
        </w:rPr>
        <w:t>5,8 балів, а н</w:t>
      </w:r>
      <w:r w:rsidRPr="002E6ECA">
        <w:rPr>
          <w:sz w:val="28"/>
          <w:szCs w:val="28"/>
          <w:lang w:val="uk-UA"/>
        </w:rPr>
        <w:t>априкінці навчального року ЗРНЗ був вищим серед школярів населених пунктів сільського типу.</w:t>
      </w:r>
    </w:p>
    <w:p w:rsidR="00607CD3" w:rsidRPr="002E6ECA" w:rsidRDefault="00607CD3" w:rsidP="00607CD3">
      <w:pPr>
        <w:spacing w:line="360" w:lineRule="auto"/>
        <w:ind w:firstLine="709"/>
        <w:jc w:val="both"/>
        <w:rPr>
          <w:sz w:val="28"/>
          <w:szCs w:val="28"/>
          <w:lang w:val="uk-UA"/>
        </w:rPr>
      </w:pPr>
      <w:r w:rsidRPr="002E6ECA">
        <w:rPr>
          <w:sz w:val="28"/>
          <w:szCs w:val="28"/>
          <w:lang w:val="uk-UA"/>
        </w:rPr>
        <w:t>За результатами суб’єктивного оцінювання здоров’я було встановлено (рис. 3.1</w:t>
      </w:r>
      <w:r w:rsidR="00AC32C1" w:rsidRPr="002E6ECA">
        <w:rPr>
          <w:sz w:val="28"/>
          <w:szCs w:val="28"/>
          <w:lang w:val="uk-UA"/>
        </w:rPr>
        <w:t>5</w:t>
      </w:r>
      <w:r w:rsidRPr="002E6ECA">
        <w:rPr>
          <w:sz w:val="28"/>
          <w:szCs w:val="28"/>
          <w:lang w:val="uk-UA"/>
        </w:rPr>
        <w:t xml:space="preserve">), що найбільш поширеними серед учнів були ознаки астенізації (28,4±2,6 балів) у порівнянні з усіма іншими групами патологічних станів </w:t>
      </w:r>
      <w:r w:rsidRPr="002E6ECA">
        <w:rPr>
          <w:sz w:val="28"/>
          <w:szCs w:val="28"/>
          <w:lang w:val="uk-UA"/>
        </w:rPr>
        <w:lastRenderedPageBreak/>
        <w:t xml:space="preserve">(р&lt;0,01). У хлопців ці ознаки були вірогідно більш вираженими у порівнянні з </w:t>
      </w:r>
      <w:r w:rsidRPr="002E6ECA">
        <w:rPr>
          <w:spacing w:val="-4"/>
          <w:sz w:val="28"/>
          <w:szCs w:val="28"/>
          <w:lang w:val="uk-UA"/>
        </w:rPr>
        <w:t xml:space="preserve">нефрологічними (7,1±1,9 балів), кардіоревматологічними (11,1±1,7 балів), ендокринологічними (12,4±1,7 балів), алергічними (10,9±2,2 балів; р&lt;0,01), а також гастроентерологічними, психічними, офтальмологічними, гематологічними </w:t>
      </w:r>
      <w:r w:rsidRPr="002E6ECA">
        <w:rPr>
          <w:sz w:val="28"/>
          <w:szCs w:val="28"/>
          <w:lang w:val="uk-UA"/>
        </w:rPr>
        <w:t>та ЛОР-захворюваннями (р&lt;0,05). У групі дівчат ознаки астенізації були ще більш вираженими (31,6±3,7 балів) та вірогідно превалювали над усіма іншими групами патологічних станів із однаковим рівнем значущості (р&lt;0,01).</w:t>
      </w:r>
    </w:p>
    <w:p w:rsidR="00073C98" w:rsidRPr="002E6ECA" w:rsidRDefault="00073C98" w:rsidP="00073C98">
      <w:pPr>
        <w:spacing w:line="360" w:lineRule="auto"/>
        <w:ind w:firstLine="567"/>
        <w:rPr>
          <w:sz w:val="28"/>
          <w:szCs w:val="28"/>
          <w:lang w:val="uk-UA"/>
        </w:rPr>
      </w:pPr>
      <w:r w:rsidRPr="002E6ECA">
        <w:rPr>
          <w:noProof/>
          <w:lang w:val="uk-UA" w:eastAsia="uk-UA"/>
        </w:rPr>
        <w:drawing>
          <wp:inline distT="0" distB="0" distL="0" distR="0" wp14:anchorId="3F65D409" wp14:editId="40843AB5">
            <wp:extent cx="5641230" cy="4415795"/>
            <wp:effectExtent l="0" t="0" r="0" b="381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60788" t="17043" r="11514" b="16996"/>
                    <a:stretch/>
                  </pic:blipFill>
                  <pic:spPr bwMode="auto">
                    <a:xfrm>
                      <a:off x="0" y="0"/>
                      <a:ext cx="5649488" cy="4422259"/>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8A0EC6">
      <w:pPr>
        <w:spacing w:line="360" w:lineRule="auto"/>
        <w:ind w:firstLine="709"/>
        <w:rPr>
          <w:sz w:val="28"/>
          <w:szCs w:val="28"/>
          <w:lang w:val="uk-UA"/>
        </w:rPr>
      </w:pPr>
      <w:r w:rsidRPr="002E6ECA">
        <w:rPr>
          <w:sz w:val="28"/>
          <w:szCs w:val="28"/>
          <w:lang w:val="uk-UA"/>
        </w:rPr>
        <w:t>Рис</w:t>
      </w:r>
      <w:r w:rsidR="006E1DC9" w:rsidRPr="002E6ECA">
        <w:rPr>
          <w:sz w:val="28"/>
          <w:szCs w:val="28"/>
          <w:lang w:val="uk-UA"/>
        </w:rPr>
        <w:t>.</w:t>
      </w:r>
      <w:r w:rsidRPr="002E6ECA">
        <w:rPr>
          <w:sz w:val="28"/>
          <w:szCs w:val="28"/>
          <w:lang w:val="uk-UA"/>
        </w:rPr>
        <w:t xml:space="preserve"> 3.1</w:t>
      </w:r>
      <w:r w:rsidR="00AC32C1" w:rsidRPr="002E6ECA">
        <w:rPr>
          <w:sz w:val="28"/>
          <w:szCs w:val="28"/>
          <w:lang w:val="uk-UA"/>
        </w:rPr>
        <w:t>5</w:t>
      </w:r>
      <w:r w:rsidRPr="002E6ECA">
        <w:rPr>
          <w:sz w:val="28"/>
          <w:szCs w:val="28"/>
          <w:lang w:val="uk-UA"/>
        </w:rPr>
        <w:t>. Рівень неблагополуччя здоров’я учнів</w:t>
      </w:r>
    </w:p>
    <w:p w:rsidR="00607CD3" w:rsidRPr="002E6ECA" w:rsidRDefault="00607CD3" w:rsidP="002D141A">
      <w:pPr>
        <w:spacing w:line="360" w:lineRule="auto"/>
        <w:ind w:firstLine="709"/>
        <w:jc w:val="right"/>
        <w:rPr>
          <w:i/>
          <w:sz w:val="28"/>
          <w:szCs w:val="28"/>
          <w:lang w:val="uk-UA"/>
        </w:rPr>
      </w:pPr>
    </w:p>
    <w:p w:rsidR="00290CE5" w:rsidRPr="002E6ECA" w:rsidRDefault="002D141A" w:rsidP="00073C98">
      <w:pPr>
        <w:spacing w:before="240" w:line="360" w:lineRule="auto"/>
        <w:ind w:firstLine="709"/>
        <w:jc w:val="both"/>
        <w:rPr>
          <w:sz w:val="28"/>
          <w:szCs w:val="28"/>
          <w:lang w:val="uk-UA"/>
        </w:rPr>
      </w:pPr>
      <w:r w:rsidRPr="002E6ECA">
        <w:rPr>
          <w:sz w:val="28"/>
          <w:szCs w:val="28"/>
          <w:lang w:val="uk-UA"/>
        </w:rPr>
        <w:t xml:space="preserve">Детальний аналіз показників РНЗ за окремими групами патологічних станів </w:t>
      </w:r>
      <w:r w:rsidRPr="002E6ECA">
        <w:rPr>
          <w:spacing w:val="-4"/>
          <w:sz w:val="28"/>
          <w:szCs w:val="28"/>
          <w:lang w:val="uk-UA"/>
        </w:rPr>
        <w:t xml:space="preserve">встановив особливості </w:t>
      </w:r>
      <w:r w:rsidR="006E1DC9" w:rsidRPr="002E6ECA">
        <w:rPr>
          <w:spacing w:val="-4"/>
          <w:sz w:val="28"/>
          <w:szCs w:val="28"/>
          <w:lang w:val="uk-UA"/>
        </w:rPr>
        <w:t xml:space="preserve">їх </w:t>
      </w:r>
      <w:r w:rsidRPr="002E6ECA">
        <w:rPr>
          <w:spacing w:val="-4"/>
          <w:sz w:val="28"/>
          <w:szCs w:val="28"/>
          <w:lang w:val="uk-UA"/>
        </w:rPr>
        <w:t>поширеності серед сільських та міських школярів (табл. 3.</w:t>
      </w:r>
      <w:r w:rsidR="007C55A6" w:rsidRPr="002E6ECA">
        <w:rPr>
          <w:spacing w:val="-4"/>
          <w:sz w:val="28"/>
          <w:szCs w:val="28"/>
          <w:lang w:val="uk-UA"/>
        </w:rPr>
        <w:t>8</w:t>
      </w:r>
      <w:r w:rsidRPr="002E6ECA">
        <w:rPr>
          <w:spacing w:val="-4"/>
          <w:sz w:val="28"/>
          <w:szCs w:val="28"/>
          <w:lang w:val="uk-UA"/>
        </w:rPr>
        <w:t xml:space="preserve">). Так, для учнів села при порівнянні з іншими були більш </w:t>
      </w:r>
      <w:r w:rsidR="00290CE5" w:rsidRPr="002E6ECA">
        <w:rPr>
          <w:spacing w:val="-4"/>
          <w:sz w:val="28"/>
          <w:szCs w:val="28"/>
          <w:lang w:val="uk-UA"/>
        </w:rPr>
        <w:t>характерні ознаки гастроентерологічної (27,1±0,9 балу), нефрологічної (20,1±1,0 бал), пульмонологічної (21,9±1,0 бал), стоматологічної (28,0±1,4 балу) та ЛОР-патології (17,4±0,8 балу) на початку та ознаки психоневрологічної (15,5±0,8 балу)</w:t>
      </w:r>
      <w:r w:rsidR="00290CE5" w:rsidRPr="002E6ECA">
        <w:rPr>
          <w:sz w:val="28"/>
          <w:szCs w:val="28"/>
          <w:lang w:val="uk-UA"/>
        </w:rPr>
        <w:t xml:space="preserve">, </w:t>
      </w:r>
      <w:r w:rsidR="00290CE5" w:rsidRPr="002E6ECA">
        <w:rPr>
          <w:sz w:val="28"/>
          <w:szCs w:val="28"/>
          <w:lang w:val="uk-UA"/>
        </w:rPr>
        <w:lastRenderedPageBreak/>
        <w:t xml:space="preserve">гематологічної патології (21,6±1,0 бал) і астенізації (30,9±1,3 балу) – наприкінці навчального року (р&lt;0,05-0,01). </w:t>
      </w:r>
    </w:p>
    <w:p w:rsidR="00CC46B9" w:rsidRPr="002E6ECA" w:rsidRDefault="00CC46B9" w:rsidP="00161EBA">
      <w:pPr>
        <w:spacing w:line="336" w:lineRule="auto"/>
        <w:jc w:val="right"/>
        <w:rPr>
          <w:i/>
          <w:sz w:val="28"/>
          <w:szCs w:val="28"/>
          <w:lang w:val="uk-UA"/>
        </w:rPr>
      </w:pPr>
      <w:r w:rsidRPr="002E6ECA">
        <w:rPr>
          <w:i/>
          <w:sz w:val="28"/>
          <w:szCs w:val="28"/>
        </w:rPr>
        <w:t>Таблиця 3.</w:t>
      </w:r>
      <w:r w:rsidR="007C55A6" w:rsidRPr="002E6ECA">
        <w:rPr>
          <w:i/>
          <w:sz w:val="28"/>
          <w:szCs w:val="28"/>
          <w:lang w:val="uk-UA"/>
        </w:rPr>
        <w:t>8</w:t>
      </w:r>
    </w:p>
    <w:p w:rsidR="00CC46B9" w:rsidRPr="002E6ECA" w:rsidRDefault="00CC46B9" w:rsidP="00161EBA">
      <w:pPr>
        <w:spacing w:line="336" w:lineRule="auto"/>
        <w:jc w:val="center"/>
        <w:rPr>
          <w:b/>
          <w:sz w:val="28"/>
          <w:szCs w:val="28"/>
        </w:rPr>
      </w:pPr>
      <w:r w:rsidRPr="002E6ECA">
        <w:rPr>
          <w:b/>
          <w:sz w:val="28"/>
          <w:szCs w:val="28"/>
        </w:rPr>
        <w:t>Рівень неблагополуччя здоров’я учнів з різних типів населених пунктів за групами патологічних станів, M±m</w:t>
      </w:r>
    </w:p>
    <w:tbl>
      <w:tblPr>
        <w:tblW w:w="9569" w:type="dxa"/>
        <w:tblInd w:w="108" w:type="dxa"/>
        <w:tblLayout w:type="fixed"/>
        <w:tblLook w:val="04A0" w:firstRow="1" w:lastRow="0" w:firstColumn="1" w:lastColumn="0" w:noHBand="0" w:noVBand="1"/>
      </w:tblPr>
      <w:tblGrid>
        <w:gridCol w:w="1905"/>
        <w:gridCol w:w="1701"/>
        <w:gridCol w:w="1276"/>
        <w:gridCol w:w="1551"/>
        <w:gridCol w:w="1550"/>
        <w:gridCol w:w="1586"/>
      </w:tblGrid>
      <w:tr w:rsidR="00CC46B9" w:rsidRPr="002E6ECA" w:rsidTr="00CC46B9">
        <w:trPr>
          <w:trHeight w:val="653"/>
        </w:trPr>
        <w:tc>
          <w:tcPr>
            <w:tcW w:w="3606" w:type="dxa"/>
            <w:gridSpan w:val="2"/>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jc w:val="center"/>
            </w:pPr>
            <w:r w:rsidRPr="002E6ECA">
              <w:t>Група патологічних станів</w:t>
            </w:r>
          </w:p>
        </w:tc>
        <w:tc>
          <w:tcPr>
            <w:tcW w:w="1276"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jc w:val="center"/>
            </w:pPr>
            <w:r w:rsidRPr="002E6ECA">
              <w:t>Село</w:t>
            </w:r>
          </w:p>
          <w:p w:rsidR="00CC46B9" w:rsidRPr="002E6ECA" w:rsidRDefault="00CC46B9" w:rsidP="00CC46B9">
            <w:pPr>
              <w:spacing w:line="240" w:lineRule="atLeast"/>
              <w:ind w:firstLine="34"/>
              <w:jc w:val="center"/>
            </w:pPr>
            <w:r w:rsidRPr="002E6ECA">
              <w:t>(n=277)</w:t>
            </w:r>
          </w:p>
        </w:tc>
        <w:tc>
          <w:tcPr>
            <w:tcW w:w="1551"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jc w:val="center"/>
            </w:pPr>
            <w:r w:rsidRPr="002E6ECA">
              <w:t>Селище</w:t>
            </w:r>
          </w:p>
          <w:p w:rsidR="00CC46B9" w:rsidRPr="002E6ECA" w:rsidRDefault="00CC46B9" w:rsidP="00CC46B9">
            <w:pPr>
              <w:spacing w:line="240" w:lineRule="atLeast"/>
              <w:ind w:firstLine="34"/>
              <w:jc w:val="center"/>
            </w:pPr>
            <w:r w:rsidRPr="002E6ECA">
              <w:t>(n=166)</w:t>
            </w:r>
          </w:p>
        </w:tc>
        <w:tc>
          <w:tcPr>
            <w:tcW w:w="1550"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jc w:val="center"/>
            </w:pPr>
            <w:r w:rsidRPr="002E6ECA">
              <w:t>Мале місто</w:t>
            </w:r>
          </w:p>
          <w:p w:rsidR="00CC46B9" w:rsidRPr="002E6ECA" w:rsidRDefault="00CC46B9" w:rsidP="00CC46B9">
            <w:pPr>
              <w:spacing w:line="240" w:lineRule="atLeast"/>
              <w:ind w:firstLine="34"/>
              <w:jc w:val="center"/>
            </w:pPr>
            <w:r w:rsidRPr="002E6ECA">
              <w:t>(n=416)</w:t>
            </w:r>
          </w:p>
        </w:tc>
        <w:tc>
          <w:tcPr>
            <w:tcW w:w="1586"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jc w:val="center"/>
            </w:pPr>
            <w:r w:rsidRPr="002E6ECA">
              <w:t>Обласний центр</w:t>
            </w:r>
            <w:r w:rsidRPr="002E6ECA">
              <w:rPr>
                <w:lang w:val="uk-UA"/>
              </w:rPr>
              <w:t xml:space="preserve"> </w:t>
            </w:r>
            <w:r w:rsidRPr="002E6ECA">
              <w:t>(n=517)</w:t>
            </w:r>
          </w:p>
        </w:tc>
      </w:tr>
      <w:tr w:rsidR="00CC46B9" w:rsidRPr="002E6ECA" w:rsidTr="00D241DB">
        <w:trPr>
          <w:trHeight w:val="379"/>
        </w:trPr>
        <w:tc>
          <w:tcPr>
            <w:tcW w:w="1905" w:type="dxa"/>
            <w:vMerge w:val="restart"/>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Гастроентеро</w:t>
            </w:r>
            <w:r w:rsidR="00876DD2" w:rsidRPr="002E6ECA">
              <w:rPr>
                <w:spacing w:val="-4"/>
                <w:lang w:val="uk-UA"/>
              </w:rPr>
              <w:t>-</w:t>
            </w:r>
            <w:r w:rsidRPr="002E6ECA">
              <w:rPr>
                <w:spacing w:val="-4"/>
              </w:rPr>
              <w:t>логічні</w:t>
            </w:r>
          </w:p>
        </w:tc>
        <w:tc>
          <w:tcPr>
            <w:tcW w:w="1701"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27,1±0,9</w:t>
            </w:r>
          </w:p>
        </w:tc>
        <w:tc>
          <w:tcPr>
            <w:tcW w:w="1551"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27,2±1,2</w:t>
            </w:r>
          </w:p>
        </w:tc>
        <w:tc>
          <w:tcPr>
            <w:tcW w:w="1550"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24,8±0,8</w:t>
            </w:r>
          </w:p>
        </w:tc>
        <w:tc>
          <w:tcPr>
            <w:tcW w:w="1586" w:type="dxa"/>
            <w:tcBorders>
              <w:top w:val="single" w:sz="4" w:space="0" w:color="auto"/>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24,0±0,8</w:t>
            </w:r>
            <w:r w:rsidRPr="002E6ECA">
              <w:rPr>
                <w:vertAlign w:val="superscript"/>
              </w:rPr>
              <w:t>#1</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20,7±0,9</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19,9±1,0</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15,1±1,2</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16,0±0,7</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Нефрологічні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20,1±1,0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20,3±1,3</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15,1±0,8</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16,9±0,7</w:t>
            </w:r>
            <w:r w:rsidRPr="002E6ECA">
              <w:rPr>
                <w:vertAlign w:val="superscript"/>
              </w:rPr>
              <w:t>#1</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15,2±1,0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17,5±1,1</w:t>
            </w:r>
            <w:r w:rsidRPr="002E6ECA">
              <w:rPr>
                <w:vertAlign w:val="superscript"/>
              </w:rPr>
              <w:t>##1</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8,7±1,3</w:t>
            </w:r>
            <w:r w:rsidRPr="002E6ECA">
              <w:rPr>
                <w:vertAlign w:val="superscript"/>
              </w:rPr>
              <w:t>##12</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10,3±0,7</w:t>
            </w:r>
            <w:r w:rsidRPr="002E6ECA">
              <w:rPr>
                <w:vertAlign w:val="superscript"/>
              </w:rPr>
              <w:t>##12</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Гіповітаміноз</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23,5±1,0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21,3±1,2</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24,6±0,7</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19,9±0,7</w:t>
            </w:r>
            <w:r w:rsidRPr="002E6ECA">
              <w:rPr>
                <w:vertAlign w:val="superscript"/>
              </w:rPr>
              <w:t>##13</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21,7±0,9</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20,4±1,0</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16,1±1,2</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16,9±0,7</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Кардіоревмато</w:t>
            </w:r>
            <w:r w:rsidR="00876DD2" w:rsidRPr="002E6ECA">
              <w:rPr>
                <w:spacing w:val="-4"/>
                <w:lang w:val="uk-UA"/>
              </w:rPr>
              <w:t>-</w:t>
            </w:r>
            <w:r w:rsidRPr="002E6ECA">
              <w:rPr>
                <w:spacing w:val="-4"/>
              </w:rPr>
              <w:t>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14,4±0,6</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15,0±0,9</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15,8±0,7</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14,1±0,6</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14,5±0,7</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14,7±0,9</w:t>
            </w:r>
            <w:r w:rsidRPr="002E6ECA">
              <w:rPr>
                <w:vertAlign w:val="superscript"/>
              </w:rPr>
              <w:t>##3</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11,2±1,0</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11,6±0,6</w:t>
            </w:r>
            <w:r w:rsidRPr="002E6ECA">
              <w:rPr>
                <w:vertAlign w:val="superscript"/>
              </w:rPr>
              <w:t>##12</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Ендокрино</w:t>
            </w:r>
            <w:r w:rsidR="00876DD2" w:rsidRPr="002E6ECA">
              <w:rPr>
                <w:spacing w:val="-4"/>
              </w:rPr>
              <w:t>-</w:t>
            </w:r>
            <w:r w:rsidRPr="002E6ECA">
              <w:rPr>
                <w:spacing w:val="-4"/>
              </w:rPr>
              <w:t>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16,2±0,7</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15,8±0,8</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15,6±0,6</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15,8±0,6</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15,0±0,7</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15,0±0,8</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11,5±1,1</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12,5±0,6</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Пульмоноло</w:t>
            </w:r>
            <w:r w:rsidR="00876DD2" w:rsidRPr="002E6ECA">
              <w:rPr>
                <w:spacing w:val="-4"/>
              </w:rPr>
              <w:t xml:space="preserve">- </w:t>
            </w:r>
            <w:r w:rsidRPr="002E6ECA">
              <w:rPr>
                <w:spacing w:val="-4"/>
              </w:rPr>
              <w:t>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21,9±1,0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21,8±1,4</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18,5±0,8</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20,4±0,8</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18,5±1,0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23,3±1,2</w:t>
            </w:r>
            <w:r w:rsidRPr="002E6ECA">
              <w:rPr>
                <w:vertAlign w:val="superscript"/>
              </w:rPr>
              <w:t>##1</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8,9±1,2</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15,9±0,8</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ЛОР-захворювання</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17,4±0,8</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16,1±1,0</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14,2±0,7</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14,9±0,7</w:t>
            </w:r>
            <w:r w:rsidRPr="002E6ECA">
              <w:rPr>
                <w:vertAlign w:val="superscript"/>
              </w:rPr>
              <w:t>#1</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13,7±0,9</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16,9±0,9</w:t>
            </w:r>
            <w:r w:rsidRPr="002E6ECA">
              <w:rPr>
                <w:vertAlign w:val="superscript"/>
              </w:rPr>
              <w:t>#1</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8,4±1,1</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9,1±0,6</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Стоматологічні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28,0±1,4</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22,0±1,7</w:t>
            </w:r>
            <w:r w:rsidRPr="002E6ECA">
              <w:rPr>
                <w:vertAlign w:val="superscript"/>
              </w:rPr>
              <w:t>#1</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23,6±1,1</w:t>
            </w:r>
            <w:r w:rsidRPr="002E6ECA">
              <w:rPr>
                <w:vertAlign w:val="superscript"/>
              </w:rPr>
              <w:t>#4</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20,5±1,0</w:t>
            </w:r>
            <w:r w:rsidRPr="002E6ECA">
              <w:rPr>
                <w:vertAlign w:val="superscript"/>
              </w:rPr>
              <w:t>##1</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19,1±1,2</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19,1±1,3</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15,8±2,0</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12,2±1,0</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Психоневро</w:t>
            </w:r>
            <w:r w:rsidR="00876DD2" w:rsidRPr="002E6ECA">
              <w:rPr>
                <w:spacing w:val="-4"/>
                <w:lang w:val="uk-UA"/>
              </w:rPr>
              <w:t>-</w:t>
            </w:r>
            <w:r w:rsidRPr="002E6ECA">
              <w:rPr>
                <w:spacing w:val="-4"/>
              </w:rPr>
              <w:t>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9,5±0,6</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10,5±0,7</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15,9±0,7</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12,0±0,6</w:t>
            </w:r>
            <w:r w:rsidRPr="002E6ECA">
              <w:rPr>
                <w:vertAlign w:val="superscript"/>
              </w:rPr>
              <w:t>##13</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15,5±0,8</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13,1±0,9</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12,4±1,0</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12,1±0,6</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Офтальмо</w:t>
            </w:r>
            <w:r w:rsidR="00876DD2" w:rsidRPr="002E6ECA">
              <w:rPr>
                <w:spacing w:val="-4"/>
                <w:lang w:val="uk-UA"/>
              </w:rPr>
              <w:t xml:space="preserve">- </w:t>
            </w:r>
            <w:r w:rsidRPr="002E6ECA">
              <w:rPr>
                <w:spacing w:val="-4"/>
              </w:rPr>
              <w:t>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10,5±0,8</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8,5±0,8</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15,3±0,9</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10,4±0,7</w:t>
            </w:r>
            <w:r w:rsidRPr="002E6ECA">
              <w:rPr>
                <w:vertAlign w:val="superscript"/>
              </w:rPr>
              <w:t>##3</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9,8±1,0</w:t>
            </w:r>
            <w:r w:rsidRPr="002E6ECA">
              <w:rPr>
                <w:vertAlign w:val="superscript"/>
              </w:rPr>
              <w:t>#2</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13,1±1,1</w:t>
            </w:r>
            <w:r w:rsidRPr="002E6ECA">
              <w:rPr>
                <w:vertAlign w:val="superscript"/>
              </w:rPr>
              <w:t>##34</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4,6±1,0</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7,7±0,8</w:t>
            </w:r>
            <w:r w:rsidRPr="002E6ECA">
              <w:rPr>
                <w:vertAlign w:val="superscript"/>
              </w:rPr>
              <w:t>#3</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Гематологічні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23,2±1,0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21,5±1,2</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25,4±0,8</w:t>
            </w:r>
            <w:r w:rsidRPr="002E6ECA">
              <w:rPr>
                <w:vertAlign w:val="superscript"/>
              </w:rPr>
              <w:t>##4</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19,9±0,7</w:t>
            </w:r>
            <w:r w:rsidRPr="002E6ECA">
              <w:rPr>
                <w:vertAlign w:val="superscript"/>
              </w:rPr>
              <w:t>#1</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21,6±1,0</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20,8±1,1</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14,3±1,4</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16,9±0,8</w:t>
            </w:r>
            <w:r w:rsidRPr="002E6ECA">
              <w:rPr>
                <w:vertAlign w:val="superscript"/>
              </w:rPr>
              <w:t>#1</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34"/>
              <w:jc w:val="center"/>
              <w:rPr>
                <w:spacing w:val="-4"/>
              </w:rPr>
            </w:pPr>
            <w:r w:rsidRPr="002E6ECA">
              <w:rPr>
                <w:spacing w:val="-4"/>
              </w:rPr>
              <w:t>Астенізація</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31,9±1,3</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28,7±1,7</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35,7±1,1</w:t>
            </w:r>
            <w:r w:rsidRPr="002E6ECA">
              <w:rPr>
                <w:vertAlign w:val="superscript"/>
              </w:rPr>
              <w:t>#1</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30,2±1,0</w:t>
            </w:r>
            <w:r w:rsidRPr="002E6ECA">
              <w:rPr>
                <w:vertAlign w:val="superscript"/>
              </w:rPr>
              <w:t>#3</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CC46B9">
            <w:pPr>
              <w:spacing w:line="240" w:lineRule="atLeast"/>
              <w:ind w:left="34"/>
              <w:jc w:val="center"/>
              <w:rPr>
                <w:spacing w:val="-4"/>
              </w:rP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30,9±1,3</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30,4±1,5</w:t>
            </w:r>
            <w:r w:rsidRPr="002E6ECA">
              <w:rPr>
                <w:vertAlign w:val="superscript"/>
              </w:rPr>
              <w:t>#3</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23,8±2,0</w:t>
            </w:r>
            <w:r w:rsidRPr="002E6ECA">
              <w:rPr>
                <w:vertAlign w:val="superscript"/>
              </w:rPr>
              <w:t>#14</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28,7±1,2</w:t>
            </w:r>
            <w:r w:rsidRPr="002E6ECA">
              <w:rPr>
                <w:vertAlign w:val="superscript"/>
              </w:rPr>
              <w:t>#3</w:t>
            </w:r>
          </w:p>
        </w:tc>
      </w:tr>
      <w:tr w:rsidR="00CC46B9" w:rsidRPr="002E6ECA" w:rsidTr="00D241DB">
        <w:trPr>
          <w:trHeight w:val="379"/>
        </w:trPr>
        <w:tc>
          <w:tcPr>
            <w:tcW w:w="1905" w:type="dxa"/>
            <w:vMerge w:val="restart"/>
            <w:tcBorders>
              <w:top w:val="nil"/>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876DD2">
            <w:pPr>
              <w:spacing w:line="240" w:lineRule="atLeast"/>
              <w:ind w:left="34"/>
              <w:jc w:val="center"/>
              <w:rPr>
                <w:spacing w:val="-4"/>
                <w:lang w:val="uk-UA"/>
              </w:rPr>
            </w:pPr>
            <w:r w:rsidRPr="002E6ECA">
              <w:rPr>
                <w:spacing w:val="-4"/>
              </w:rPr>
              <w:t>Алерг</w:t>
            </w:r>
            <w:r w:rsidR="00876DD2" w:rsidRPr="002E6ECA">
              <w:rPr>
                <w:spacing w:val="-4"/>
                <w:lang w:val="uk-UA"/>
              </w:rPr>
              <w:t>ічні</w:t>
            </w: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 початку</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15,0±0,8</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15,9±1,2</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13,3±0,7</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13,4±0,7</w:t>
            </w:r>
          </w:p>
        </w:tc>
      </w:tr>
      <w:tr w:rsidR="00CC46B9" w:rsidRPr="002E6ECA" w:rsidTr="00D241DB">
        <w:trPr>
          <w:trHeight w:val="379"/>
        </w:trPr>
        <w:tc>
          <w:tcPr>
            <w:tcW w:w="1905" w:type="dxa"/>
            <w:vMerge/>
            <w:tcBorders>
              <w:top w:val="nil"/>
              <w:left w:val="single" w:sz="4" w:space="0" w:color="auto"/>
              <w:bottom w:val="single" w:sz="4" w:space="0" w:color="auto"/>
              <w:right w:val="single" w:sz="4" w:space="0" w:color="auto"/>
            </w:tcBorders>
            <w:tcMar>
              <w:left w:w="28" w:type="dxa"/>
              <w:right w:w="28" w:type="dxa"/>
            </w:tcMar>
            <w:vAlign w:val="center"/>
            <w:hideMark/>
          </w:tcPr>
          <w:p w:rsidR="00CC46B9" w:rsidRPr="002E6ECA" w:rsidRDefault="00CC46B9" w:rsidP="005D2D04">
            <w:pPr>
              <w:spacing w:line="240" w:lineRule="atLeast"/>
              <w:jc w:val="center"/>
            </w:pPr>
          </w:p>
        </w:tc>
        <w:tc>
          <w:tcPr>
            <w:tcW w:w="170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left="-108" w:right="-108" w:firstLine="34"/>
              <w:jc w:val="center"/>
            </w:pPr>
            <w:r w:rsidRPr="002E6ECA">
              <w:t>наприкінці</w:t>
            </w:r>
          </w:p>
        </w:tc>
        <w:tc>
          <w:tcPr>
            <w:tcW w:w="127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11,1±0,8</w:t>
            </w:r>
          </w:p>
        </w:tc>
        <w:tc>
          <w:tcPr>
            <w:tcW w:w="1551"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16,5±0,9</w:t>
            </w:r>
            <w:r w:rsidRPr="002E6ECA">
              <w:rPr>
                <w:vertAlign w:val="superscript"/>
              </w:rPr>
              <w:t>##34</w:t>
            </w:r>
          </w:p>
        </w:tc>
        <w:tc>
          <w:tcPr>
            <w:tcW w:w="1550"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5,7±1,1</w:t>
            </w:r>
            <w:r w:rsidRPr="002E6ECA">
              <w:rPr>
                <w:vertAlign w:val="superscript"/>
              </w:rPr>
              <w:t>#14</w:t>
            </w:r>
          </w:p>
        </w:tc>
        <w:tc>
          <w:tcPr>
            <w:tcW w:w="1586"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CC46B9" w:rsidRPr="002E6ECA" w:rsidRDefault="00CC46B9" w:rsidP="00CC46B9">
            <w:pPr>
              <w:spacing w:line="240" w:lineRule="atLeast"/>
              <w:ind w:firstLine="34"/>
            </w:pPr>
            <w:r w:rsidRPr="002E6ECA">
              <w:t>8,2±0,6</w:t>
            </w:r>
            <w:r w:rsidRPr="002E6ECA">
              <w:rPr>
                <w:vertAlign w:val="superscript"/>
              </w:rPr>
              <w:t>#13</w:t>
            </w:r>
          </w:p>
        </w:tc>
      </w:tr>
    </w:tbl>
    <w:p w:rsidR="00CC46B9" w:rsidRPr="002E6ECA" w:rsidRDefault="00CC46B9" w:rsidP="00CC46B9">
      <w:pPr>
        <w:spacing w:line="276" w:lineRule="auto"/>
        <w:ind w:firstLine="567"/>
      </w:pPr>
      <w:r w:rsidRPr="002E6ECA">
        <w:t>Примітка: істотна різниця при порівнянні учнів з різних типів населених пунктів (#– р&lt;0,05; ##– р&lt;0,01; 1 – село; 2 – селище; 3 – мале місто; 4 – обласний центр)</w:t>
      </w:r>
    </w:p>
    <w:p w:rsidR="00CC46B9" w:rsidRPr="002E6ECA" w:rsidRDefault="00CC46B9" w:rsidP="00F46F4E">
      <w:pPr>
        <w:spacing w:line="360" w:lineRule="auto"/>
        <w:ind w:firstLine="709"/>
        <w:jc w:val="both"/>
        <w:rPr>
          <w:sz w:val="28"/>
          <w:szCs w:val="28"/>
          <w:lang w:val="uk-UA"/>
        </w:rPr>
      </w:pPr>
      <w:r w:rsidRPr="002E6ECA">
        <w:rPr>
          <w:sz w:val="28"/>
          <w:szCs w:val="28"/>
          <w:lang w:val="uk-UA"/>
        </w:rPr>
        <w:lastRenderedPageBreak/>
        <w:t xml:space="preserve">Подібне превалювання визначалось за гіповітамінозами (24,6±0,7 балу), кардіоревматологічними (15,8±0,7 балу), психоневрологічними (15,9±0,7 балу), офтальмологічними (15,3±0,9 балу), гематологічними патологічними станами (25,4±0,8 балу) та астенізацією (35,7±1,1 балу) для учнів малих міст на початку дослідження (р&lt;0,05-0,01). Упродовж навчального року визначалось істотне зниження РНЗ за всіма групами патологічних станів серед учнів населених міст міського типу і відповідно найнижчий рівень їх поширеності наприкінці навчального року. </w:t>
      </w:r>
      <w:r w:rsidRPr="002E6ECA">
        <w:rPr>
          <w:sz w:val="28"/>
          <w:szCs w:val="28"/>
        </w:rPr>
        <w:t xml:space="preserve">Для учнів обласного центру за даними самооцінки здоров’я були істотно менш поширеними психоневрологічні стани (12,1±0,6 балів; </w:t>
      </w:r>
      <w:r w:rsidRPr="002E6ECA">
        <w:rPr>
          <w:sz w:val="28"/>
          <w:szCs w:val="28"/>
          <w:lang w:val="uk-UA"/>
        </w:rPr>
        <w:t>р&lt;0,05-0,01</w:t>
      </w:r>
      <w:r w:rsidRPr="002E6ECA">
        <w:rPr>
          <w:sz w:val="28"/>
          <w:szCs w:val="28"/>
        </w:rPr>
        <w:t>). Серед сільських школярів визначалось істотне зростання поширеності ознак психоневрологічної патології на 2,6-6,0 балів (р&lt;0,05), а в учнів селищ – ще й органу зору у 1,5 рази (р&lt;0,01). Саме серед останніх реєструвалось найбільше поширення проявів нефрологічних, пульмонологічних, алергічних, офтальмологічних та ЛОР-захворювань.</w:t>
      </w:r>
    </w:p>
    <w:p w:rsidR="00CC46B9" w:rsidRPr="002E6ECA" w:rsidRDefault="00CC46B9" w:rsidP="002D141A">
      <w:pPr>
        <w:spacing w:line="360" w:lineRule="auto"/>
        <w:ind w:firstLine="709"/>
        <w:jc w:val="both"/>
        <w:rPr>
          <w:sz w:val="28"/>
          <w:szCs w:val="28"/>
          <w:lang w:val="uk-UA"/>
        </w:rPr>
      </w:pPr>
    </w:p>
    <w:p w:rsidR="008A0EC6" w:rsidRPr="002E6ECA" w:rsidRDefault="008A0EC6" w:rsidP="008A0EC6">
      <w:pPr>
        <w:spacing w:line="360" w:lineRule="auto"/>
        <w:ind w:firstLine="709"/>
        <w:jc w:val="center"/>
        <w:rPr>
          <w:b/>
          <w:sz w:val="28"/>
          <w:szCs w:val="28"/>
          <w:lang w:val="uk-UA"/>
        </w:rPr>
      </w:pPr>
      <w:r w:rsidRPr="002E6ECA">
        <w:rPr>
          <w:b/>
          <w:sz w:val="28"/>
          <w:szCs w:val="28"/>
          <w:lang w:val="uk-UA"/>
        </w:rPr>
        <w:t xml:space="preserve">Висновки за розділом 3 </w:t>
      </w:r>
    </w:p>
    <w:p w:rsidR="008A0EC6" w:rsidRPr="002E6ECA" w:rsidRDefault="008A0EC6"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Результати проведеного дослідження дозволили встановити гендерні особливості  фізичного розвитку  за показниками довжини і маси тіла, його жирового та м’язового компонентів у дітей 10-14 років на початку пубертату.</w:t>
      </w:r>
    </w:p>
    <w:p w:rsidR="000C397C" w:rsidRPr="002E6ECA" w:rsidRDefault="000C397C"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 xml:space="preserve">Досліджуємий обсяг сучасних  методів  оцінки фізичного розвитку дітей та підлітків, серед яких антропометричні показники довжини, маси тіла, окружності грудної клітки та комплекс взаємодоповнюючих індексів (масо-ростовий індекс Кетле, Вервека-Воронцова), методики розрахунку відсотку вмісту м’язової та жирової тканини (біоімпендансометрії та  каліперометрії) є високоінформативними при проведенні популяційних досліджень і при комплексному їх використанні дозволяють об’єктивно і своєчасно виявляти відхилення у стані їх здоров’я. </w:t>
      </w:r>
    </w:p>
    <w:p w:rsidR="00671012" w:rsidRPr="002E6ECA" w:rsidRDefault="00671012"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 xml:space="preserve">ІМТ ефективно використовувати для орієнтовної експрес-оцінки пропорційності та гармонійності фізичного розвитку дитини за умов подальшого уточнення при поглибленому медичному огляді. Використання </w:t>
      </w:r>
      <w:r w:rsidRPr="002E6ECA">
        <w:rPr>
          <w:sz w:val="28"/>
          <w:szCs w:val="28"/>
          <w:lang w:val="uk-UA"/>
        </w:rPr>
        <w:lastRenderedPageBreak/>
        <w:t>шкал регресії, процентильних кривих та комплексу взаємодоповнюючих індексів можна розглядати у якості алгоритму комплексної оцінки фізичного розвитку дитячого контингенту, що є перспективним для  подальшого моніторингу і аналізу змін.</w:t>
      </w:r>
    </w:p>
    <w:p w:rsidR="00671012" w:rsidRPr="002E6ECA" w:rsidRDefault="00671012"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Національні критерії фізичного розвитку за методом сигмальних відхилень та шкалами регресії постають більш точнішим та «жорстким» інструментом виявлення та прогнозування дитячого ожиріння не тільки на індивідуальному, а й груповому, регіональному та популяційному рівні.</w:t>
      </w:r>
    </w:p>
    <w:p w:rsidR="00671012" w:rsidRPr="002E6ECA" w:rsidRDefault="00671012"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Встановлено статево-вікові особливості фізичного розвитку, патологічної ураженості та гострої захворюваності серед школярів. Динамічні зміни показника довжини тіла у дівчат були виражені у 11-річному віці, коли реєструвалось 13,0% учениць із високим і 18,1</w:t>
      </w:r>
      <w:r w:rsidR="0080667E" w:rsidRPr="002E6ECA">
        <w:rPr>
          <w:sz w:val="28"/>
          <w:szCs w:val="28"/>
          <w:lang w:val="uk-UA"/>
        </w:rPr>
        <w:t>%</w:t>
      </w:r>
      <w:r w:rsidRPr="002E6ECA">
        <w:rPr>
          <w:sz w:val="28"/>
          <w:szCs w:val="28"/>
          <w:lang w:val="uk-UA"/>
        </w:rPr>
        <w:t xml:space="preserve"> </w:t>
      </w:r>
      <w:r w:rsidR="00AD5091" w:rsidRPr="002E6ECA">
        <w:rPr>
          <w:sz w:val="28"/>
          <w:szCs w:val="28"/>
          <w:lang w:val="uk-UA"/>
        </w:rPr>
        <w:t>–</w:t>
      </w:r>
      <w:r w:rsidRPr="002E6ECA">
        <w:rPr>
          <w:sz w:val="28"/>
          <w:szCs w:val="28"/>
          <w:lang w:val="uk-UA"/>
        </w:rPr>
        <w:t xml:space="preserve"> вище середнього зросту за національними шкалами регресії, а також визначалось переважання процесів витягування за індексом Вервека. Серед хлопців цієї ж вікової групи визначалась найбільша кількість учнів із низьким та нижче середнього зростом, а починаючи з 12 років вже визначалось понад 20</w:t>
      </w:r>
      <w:r w:rsidR="0080667E" w:rsidRPr="002E6ECA">
        <w:rPr>
          <w:sz w:val="28"/>
          <w:szCs w:val="28"/>
          <w:lang w:val="uk-UA"/>
        </w:rPr>
        <w:t>%</w:t>
      </w:r>
      <w:r w:rsidRPr="002E6ECA">
        <w:rPr>
          <w:sz w:val="28"/>
          <w:szCs w:val="28"/>
          <w:lang w:val="uk-UA"/>
        </w:rPr>
        <w:t xml:space="preserve"> хлопців із показниками зросту вище середнього без чіткої тенденції щодо процесів витягування за індексом Вервека. Різко дисгармонійний фізичний розвиток у 48% дівчат 14 років реєструвався за рахунок дефіциту маси тіла та виснаження, а у 28-32% хлопців 12, 14 та 15 років – за рахунок ожиріння та надлишкової маси тіла. Виокремлення групи дітей з ожирінням за ІМТ за помісячними центильними таблицями, рекомендованими ВООЗ та агрегованими в усереднені річні коридори, визначало такий же відсоток у 10-12-річному віці та меншу на 7% кількість хлопців та на 19% дівчат з 13-ти до 15-ти років при порівнянні з даними оцінки за національними шкалами регресії.</w:t>
      </w:r>
    </w:p>
    <w:p w:rsidR="00671012" w:rsidRPr="002E6ECA" w:rsidRDefault="00671012"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Найвищий рівень патологічної ураженості було встановлено за хворобами ендокринної системи (468,4±39,7</w:t>
      </w:r>
      <w:r w:rsidR="009F7134" w:rsidRPr="002E6ECA">
        <w:rPr>
          <w:sz w:val="28"/>
          <w:szCs w:val="28"/>
          <w:lang w:val="uk-UA"/>
        </w:rPr>
        <w:t>‰</w:t>
      </w:r>
      <w:r w:rsidRPr="002E6ECA">
        <w:rPr>
          <w:sz w:val="28"/>
          <w:szCs w:val="28"/>
          <w:lang w:val="uk-UA"/>
        </w:rPr>
        <w:t>), органу зору та придаткового апарату (322,8±37,2</w:t>
      </w:r>
      <w:r w:rsidR="009F7134" w:rsidRPr="002E6ECA">
        <w:rPr>
          <w:sz w:val="28"/>
          <w:szCs w:val="28"/>
          <w:lang w:val="uk-UA"/>
        </w:rPr>
        <w:t>‰</w:t>
      </w:r>
      <w:r w:rsidRPr="002E6ECA">
        <w:rPr>
          <w:sz w:val="28"/>
          <w:szCs w:val="28"/>
          <w:lang w:val="uk-UA"/>
        </w:rPr>
        <w:t>), системи кровообігу (310,1±36,8</w:t>
      </w:r>
      <w:r w:rsidR="009F7134" w:rsidRPr="002E6ECA">
        <w:rPr>
          <w:sz w:val="28"/>
          <w:szCs w:val="28"/>
          <w:lang w:val="uk-UA"/>
        </w:rPr>
        <w:t>‰</w:t>
      </w:r>
      <w:r w:rsidRPr="002E6ECA">
        <w:rPr>
          <w:sz w:val="28"/>
          <w:szCs w:val="28"/>
          <w:lang w:val="uk-UA"/>
        </w:rPr>
        <w:t>) та дихання (303,8±36,6</w:t>
      </w:r>
      <w:r w:rsidR="009F7134" w:rsidRPr="002E6ECA">
        <w:rPr>
          <w:sz w:val="28"/>
          <w:szCs w:val="28"/>
          <w:lang w:val="uk-UA"/>
        </w:rPr>
        <w:t>‰</w:t>
      </w:r>
      <w:r w:rsidRPr="002E6ECA">
        <w:rPr>
          <w:sz w:val="28"/>
          <w:szCs w:val="28"/>
          <w:lang w:val="uk-UA"/>
        </w:rPr>
        <w:t xml:space="preserve">) з певними статевими особливостями щодо структури та динаміки. Визначалась вища поширеність серед дівчат патології ендокринної </w:t>
      </w:r>
      <w:r w:rsidRPr="002E6ECA">
        <w:rPr>
          <w:sz w:val="28"/>
          <w:szCs w:val="28"/>
          <w:lang w:val="uk-UA"/>
        </w:rPr>
        <w:lastRenderedPageBreak/>
        <w:t>системи (520,7±57,7</w:t>
      </w:r>
      <w:r w:rsidR="009F7134" w:rsidRPr="002E6ECA">
        <w:rPr>
          <w:sz w:val="28"/>
          <w:szCs w:val="28"/>
          <w:lang w:val="uk-UA"/>
        </w:rPr>
        <w:t>‰</w:t>
      </w:r>
      <w:r w:rsidRPr="002E6ECA">
        <w:rPr>
          <w:sz w:val="28"/>
          <w:szCs w:val="28"/>
          <w:lang w:val="uk-UA"/>
        </w:rPr>
        <w:t xml:space="preserve"> проти 421,7±54,7</w:t>
      </w:r>
      <w:r w:rsidR="009F7134" w:rsidRPr="002E6ECA">
        <w:rPr>
          <w:sz w:val="28"/>
          <w:szCs w:val="28"/>
          <w:lang w:val="uk-UA"/>
        </w:rPr>
        <w:t>‰</w:t>
      </w:r>
      <w:r w:rsidRPr="002E6ECA">
        <w:rPr>
          <w:sz w:val="28"/>
          <w:szCs w:val="28"/>
          <w:lang w:val="uk-UA"/>
        </w:rPr>
        <w:t xml:space="preserve"> у хлопців) і органу зору та придаткового апарату (відповідно 386,7±56,2</w:t>
      </w:r>
      <w:r w:rsidR="009F7134" w:rsidRPr="002E6ECA">
        <w:rPr>
          <w:sz w:val="28"/>
          <w:szCs w:val="28"/>
          <w:lang w:val="uk-UA"/>
        </w:rPr>
        <w:t>‰</w:t>
      </w:r>
      <w:r w:rsidRPr="002E6ECA">
        <w:rPr>
          <w:sz w:val="28"/>
          <w:szCs w:val="28"/>
          <w:lang w:val="uk-UA"/>
        </w:rPr>
        <w:t xml:space="preserve"> і 265,1±52,7</w:t>
      </w:r>
      <w:r w:rsidR="009F7134" w:rsidRPr="002E6ECA">
        <w:rPr>
          <w:sz w:val="28"/>
          <w:szCs w:val="28"/>
          <w:lang w:val="uk-UA"/>
        </w:rPr>
        <w:t>‰</w:t>
      </w:r>
      <w:r w:rsidRPr="002E6ECA">
        <w:rPr>
          <w:sz w:val="28"/>
          <w:szCs w:val="28"/>
          <w:lang w:val="uk-UA"/>
        </w:rPr>
        <w:t>), а серед хлопців – розлади психіки та поведінки (відповідно 168,7±39,9</w:t>
      </w:r>
      <w:r w:rsidR="009F7134" w:rsidRPr="002E6ECA">
        <w:rPr>
          <w:sz w:val="28"/>
          <w:szCs w:val="28"/>
          <w:lang w:val="uk-UA"/>
        </w:rPr>
        <w:t>‰</w:t>
      </w:r>
      <w:r w:rsidRPr="002E6ECA">
        <w:rPr>
          <w:sz w:val="28"/>
          <w:szCs w:val="28"/>
          <w:lang w:val="uk-UA"/>
        </w:rPr>
        <w:t xml:space="preserve"> і 40,0±22,6</w:t>
      </w:r>
      <w:r w:rsidR="009F7134" w:rsidRPr="002E6ECA">
        <w:rPr>
          <w:sz w:val="28"/>
          <w:szCs w:val="28"/>
          <w:lang w:val="uk-UA"/>
        </w:rPr>
        <w:t>‰</w:t>
      </w:r>
      <w:r w:rsidRPr="002E6ECA">
        <w:rPr>
          <w:sz w:val="28"/>
          <w:szCs w:val="28"/>
          <w:lang w:val="uk-UA"/>
        </w:rPr>
        <w:t xml:space="preserve">; р&lt;0,05). Протягом навчання у базовій школі визначалась негативна динаміка за хворобами ендокринної системи за рахунок їх зростання серед хлопців (р&lt;0,05), хвороб ока та придаткового апарату і органів травлення за рахунок обох статевих груп (р&lt;0,01), проте зниження за хворобами дихальної системи (р&lt;0,05) за рахунок дівчат. </w:t>
      </w:r>
    </w:p>
    <w:p w:rsidR="00671012" w:rsidRPr="002E6ECA" w:rsidRDefault="00671012"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Загальна тривалість простудних захворювань поступово зростала протягом 5-го та 6-го року та знижувалась упродовж 7-9 року навчання із різким спадом на початку 7-го класу незалежно від статі, освітньої програми і типу закладу загальної середньої освіти. Встановлену динаміку гострої захворюваності можна розглядати як неспецифічний індикатор адаптаційних процесів, що визначається як опосередкований вплив на резистентність організму школяра і, відповідно, рівень його опірності гострим захворюванням. Крім того, перехід до 7-го класу  можна розглядати як відносно некритичний період з точки зору вікової фізіології, що межує з препубертатом та пубертатом.</w:t>
      </w:r>
    </w:p>
    <w:p w:rsidR="00671012" w:rsidRPr="002E6ECA" w:rsidRDefault="00671012" w:rsidP="00F46F4E">
      <w:pPr>
        <w:numPr>
          <w:ilvl w:val="0"/>
          <w:numId w:val="15"/>
        </w:numPr>
        <w:tabs>
          <w:tab w:val="left" w:pos="993"/>
        </w:tabs>
        <w:spacing w:line="360" w:lineRule="auto"/>
        <w:ind w:left="0" w:firstLine="709"/>
        <w:jc w:val="both"/>
        <w:rPr>
          <w:sz w:val="28"/>
          <w:szCs w:val="28"/>
          <w:lang w:val="uk-UA"/>
        </w:rPr>
      </w:pPr>
      <w:r w:rsidRPr="002E6ECA">
        <w:rPr>
          <w:sz w:val="28"/>
          <w:szCs w:val="28"/>
          <w:lang w:val="uk-UA"/>
        </w:rPr>
        <w:t xml:space="preserve">Інтенсифікація навчального процесу супроводжувалась більш інтенсивним зростанням поширеності хвороб ока та придаткового апарату і органів травлення, але зниженням патологічної ураженості дихальної системи і меншою загальною тривалістю гострих захворювань наприкінці 5-го та 6-го класів при порівнянні з традиційною системою навчання (p&lt;0,05). </w:t>
      </w:r>
    </w:p>
    <w:p w:rsidR="00671012" w:rsidRPr="002E6ECA" w:rsidRDefault="00671012" w:rsidP="00671012">
      <w:pPr>
        <w:rPr>
          <w:lang w:val="uk-UA"/>
        </w:rPr>
      </w:pPr>
    </w:p>
    <w:p w:rsidR="00D241DB" w:rsidRPr="002E6ECA" w:rsidRDefault="004341ED" w:rsidP="00D241DB">
      <w:pPr>
        <w:pStyle w:val="a3"/>
        <w:tabs>
          <w:tab w:val="left" w:pos="1134"/>
        </w:tabs>
        <w:spacing w:line="360" w:lineRule="auto"/>
        <w:ind w:left="0" w:firstLine="709"/>
        <w:jc w:val="both"/>
        <w:rPr>
          <w:lang w:val="uk-UA"/>
        </w:rPr>
      </w:pPr>
      <w:r w:rsidRPr="002E6ECA">
        <w:rPr>
          <w:sz w:val="28"/>
          <w:szCs w:val="28"/>
          <w:lang w:val="uk-UA"/>
        </w:rPr>
        <w:t>Матеріали розділу викладено у наступних публікаціях:</w:t>
      </w:r>
      <w:r w:rsidR="00671012" w:rsidRPr="002E6ECA">
        <w:rPr>
          <w:sz w:val="28"/>
          <w:szCs w:val="28"/>
          <w:lang w:val="uk-UA"/>
        </w:rPr>
        <w:t xml:space="preserve"> </w:t>
      </w:r>
      <w:r w:rsidR="00C5748A" w:rsidRPr="002E6ECA">
        <w:rPr>
          <w:sz w:val="28"/>
          <w:szCs w:val="28"/>
          <w:lang w:val="en-US"/>
        </w:rPr>
        <w:t>2</w:t>
      </w:r>
      <w:r w:rsidR="00C5748A" w:rsidRPr="002E6ECA">
        <w:rPr>
          <w:sz w:val="28"/>
          <w:szCs w:val="28"/>
          <w:lang w:val="uk-UA"/>
        </w:rPr>
        <w:t>,</w:t>
      </w:r>
      <w:r w:rsidR="00C5748A" w:rsidRPr="002E6ECA">
        <w:rPr>
          <w:sz w:val="28"/>
          <w:szCs w:val="28"/>
          <w:lang w:val="en-US"/>
        </w:rPr>
        <w:t xml:space="preserve"> 65</w:t>
      </w:r>
      <w:r w:rsidR="00C5748A" w:rsidRPr="002E6ECA">
        <w:rPr>
          <w:sz w:val="28"/>
          <w:szCs w:val="28"/>
          <w:lang w:val="uk-UA"/>
        </w:rPr>
        <w:t>,</w:t>
      </w:r>
      <w:r w:rsidR="00C5748A" w:rsidRPr="002E6ECA">
        <w:rPr>
          <w:sz w:val="28"/>
          <w:szCs w:val="28"/>
          <w:lang w:val="en-US"/>
        </w:rPr>
        <w:t xml:space="preserve"> 68</w:t>
      </w:r>
      <w:r w:rsidR="00C5748A" w:rsidRPr="002E6ECA">
        <w:rPr>
          <w:sz w:val="28"/>
          <w:szCs w:val="28"/>
          <w:lang w:val="uk-UA"/>
        </w:rPr>
        <w:t>,</w:t>
      </w:r>
      <w:r w:rsidR="00C5748A" w:rsidRPr="002E6ECA">
        <w:rPr>
          <w:sz w:val="28"/>
          <w:szCs w:val="28"/>
          <w:lang w:val="en-US"/>
        </w:rPr>
        <w:t xml:space="preserve"> 71</w:t>
      </w:r>
      <w:r w:rsidR="00C5748A" w:rsidRPr="002E6ECA">
        <w:rPr>
          <w:sz w:val="28"/>
          <w:szCs w:val="28"/>
          <w:lang w:val="uk-UA"/>
        </w:rPr>
        <w:t>,</w:t>
      </w:r>
      <w:r w:rsidR="00C5748A" w:rsidRPr="002E6ECA">
        <w:rPr>
          <w:sz w:val="28"/>
          <w:szCs w:val="28"/>
          <w:lang w:val="en-US"/>
        </w:rPr>
        <w:t xml:space="preserve"> 96</w:t>
      </w:r>
      <w:r w:rsidR="00C5748A" w:rsidRPr="002E6ECA">
        <w:rPr>
          <w:sz w:val="28"/>
          <w:szCs w:val="28"/>
          <w:lang w:val="uk-UA"/>
        </w:rPr>
        <w:t>, 220, 221, 222, 223, 225, 234, 399, 469</w:t>
      </w:r>
    </w:p>
    <w:p w:rsidR="00B02AFB" w:rsidRPr="002E6ECA" w:rsidRDefault="00B02AFB" w:rsidP="008C74E4">
      <w:pPr>
        <w:ind w:left="360"/>
        <w:jc w:val="both"/>
        <w:rPr>
          <w:lang w:val="uk-UA"/>
        </w:rPr>
      </w:pPr>
    </w:p>
    <w:p w:rsidR="00E22F2B" w:rsidRPr="002E6ECA" w:rsidRDefault="00917BD4" w:rsidP="00671012">
      <w:pPr>
        <w:pStyle w:val="a3"/>
        <w:spacing w:line="360" w:lineRule="auto"/>
        <w:ind w:left="0"/>
        <w:jc w:val="center"/>
        <w:rPr>
          <w:sz w:val="28"/>
          <w:szCs w:val="28"/>
          <w:lang w:val="uk-UA"/>
        </w:rPr>
      </w:pPr>
      <w:r w:rsidRPr="002E6ECA">
        <w:rPr>
          <w:sz w:val="28"/>
          <w:szCs w:val="28"/>
          <w:lang w:val="uk-UA"/>
        </w:rPr>
        <w:br w:type="page"/>
      </w:r>
      <w:r w:rsidR="00E22F2B" w:rsidRPr="002E6ECA">
        <w:rPr>
          <w:sz w:val="28"/>
          <w:szCs w:val="28"/>
          <w:lang w:val="uk-UA"/>
        </w:rPr>
        <w:lastRenderedPageBreak/>
        <w:t>РОЗДІЛ 4</w:t>
      </w:r>
    </w:p>
    <w:p w:rsidR="00671012" w:rsidRPr="002E6ECA" w:rsidRDefault="00671012" w:rsidP="00671012">
      <w:pPr>
        <w:pStyle w:val="a3"/>
        <w:spacing w:line="360" w:lineRule="auto"/>
        <w:ind w:left="0"/>
        <w:jc w:val="center"/>
        <w:rPr>
          <w:sz w:val="28"/>
          <w:szCs w:val="28"/>
          <w:lang w:val="uk-UA"/>
        </w:rPr>
      </w:pPr>
      <w:r w:rsidRPr="002E6ECA">
        <w:rPr>
          <w:sz w:val="28"/>
          <w:szCs w:val="28"/>
          <w:lang w:val="uk-UA"/>
        </w:rPr>
        <w:t>САНІТАРНО-ГІГІЄНІЧНІ ТА СОЦІАЛЬНО-ГІГІЄНІЧНІ ОСОБЛИВОСТІ ЖИТТЄДІЯЛЬНОСТІ СУЧАСНИХ ШКОЛЯРІВ</w:t>
      </w:r>
    </w:p>
    <w:p w:rsidR="00671012" w:rsidRPr="002E6ECA" w:rsidRDefault="00671012" w:rsidP="00671012">
      <w:pPr>
        <w:spacing w:line="360" w:lineRule="auto"/>
        <w:ind w:firstLine="709"/>
        <w:jc w:val="center"/>
        <w:rPr>
          <w:sz w:val="28"/>
          <w:szCs w:val="28"/>
          <w:lang w:val="uk-UA"/>
        </w:rPr>
      </w:pPr>
    </w:p>
    <w:p w:rsidR="00671012" w:rsidRPr="002E6ECA" w:rsidRDefault="00671012" w:rsidP="00E22F2B">
      <w:pPr>
        <w:spacing w:line="360" w:lineRule="auto"/>
        <w:ind w:firstLine="709"/>
        <w:jc w:val="both"/>
        <w:rPr>
          <w:b/>
          <w:sz w:val="28"/>
          <w:szCs w:val="28"/>
          <w:lang w:val="uk-UA"/>
        </w:rPr>
      </w:pPr>
      <w:r w:rsidRPr="002E6ECA">
        <w:rPr>
          <w:b/>
          <w:sz w:val="28"/>
          <w:szCs w:val="28"/>
          <w:lang w:val="uk-UA"/>
        </w:rPr>
        <w:t xml:space="preserve">4.1. Санітарно-гігієнічна характеристика умов навчання в закладах загальної середньої освіти </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За результатами комплексного санітарно-гігієнічного дослідження умов організації навчального процесу у трьох ЗЗСО м. Харкова встановлено, що всі навчальні заклади розташовані в сельбищній зоні міста Харкова, з дотриманням транспортно-пішохідної доступності. Заклади побудовані за типовими проектами з дотриманням санітарних та містобудівних норм, санітарно-захисної зони промислових підприємств, відстань від межі ділянок закладів до джерел шкідливості, житлових та громадських об’єктів вулично-дорожної мережі відповідає санітарному законодавству. Загальна характеристика закладів, що вивчались наведена, у таблиці 4.1.  </w:t>
      </w:r>
    </w:p>
    <w:p w:rsidR="00671012" w:rsidRPr="002E6ECA" w:rsidRDefault="00671012" w:rsidP="00671012">
      <w:pPr>
        <w:tabs>
          <w:tab w:val="left" w:pos="1260"/>
        </w:tabs>
        <w:spacing w:line="360" w:lineRule="auto"/>
        <w:ind w:firstLine="709"/>
        <w:jc w:val="right"/>
        <w:rPr>
          <w:sz w:val="28"/>
          <w:szCs w:val="28"/>
          <w:lang w:val="uk-UA"/>
        </w:rPr>
      </w:pPr>
      <w:r w:rsidRPr="002E6ECA">
        <w:rPr>
          <w:i/>
          <w:sz w:val="28"/>
          <w:szCs w:val="28"/>
          <w:lang w:val="uk-UA"/>
        </w:rPr>
        <w:t>Таблиця 4.1</w:t>
      </w:r>
      <w:r w:rsidRPr="002E6ECA">
        <w:rPr>
          <w:sz w:val="28"/>
          <w:szCs w:val="28"/>
          <w:lang w:val="uk-UA"/>
        </w:rPr>
        <w:t xml:space="preserve">. </w:t>
      </w:r>
    </w:p>
    <w:p w:rsidR="00671012" w:rsidRPr="002E6ECA" w:rsidRDefault="00671012" w:rsidP="00E22F2B">
      <w:pPr>
        <w:tabs>
          <w:tab w:val="left" w:pos="1260"/>
        </w:tabs>
        <w:spacing w:line="360" w:lineRule="auto"/>
        <w:ind w:firstLine="709"/>
        <w:rPr>
          <w:b/>
          <w:sz w:val="28"/>
          <w:szCs w:val="28"/>
          <w:lang w:val="uk-UA"/>
        </w:rPr>
      </w:pPr>
      <w:r w:rsidRPr="002E6ECA">
        <w:rPr>
          <w:b/>
          <w:sz w:val="28"/>
          <w:szCs w:val="28"/>
          <w:lang w:val="uk-UA"/>
        </w:rPr>
        <w:t>Загальна характеристика закладів загальної середньої освіти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1531"/>
        <w:gridCol w:w="1539"/>
        <w:gridCol w:w="1526"/>
        <w:gridCol w:w="1490"/>
      </w:tblGrid>
      <w:tr w:rsidR="00671012" w:rsidRPr="002E6ECA" w:rsidTr="00671012">
        <w:trPr>
          <w:jc w:val="center"/>
        </w:trPr>
        <w:tc>
          <w:tcPr>
            <w:tcW w:w="1369" w:type="dxa"/>
            <w:shd w:val="clear" w:color="auto" w:fill="auto"/>
          </w:tcPr>
          <w:p w:rsidR="00671012" w:rsidRPr="002E6ECA" w:rsidRDefault="00671012" w:rsidP="00671012">
            <w:pPr>
              <w:tabs>
                <w:tab w:val="left" w:pos="1260"/>
              </w:tabs>
              <w:spacing w:line="360" w:lineRule="auto"/>
              <w:jc w:val="both"/>
              <w:rPr>
                <w:sz w:val="28"/>
                <w:szCs w:val="28"/>
                <w:lang w:val="uk-UA"/>
              </w:rPr>
            </w:pPr>
          </w:p>
        </w:tc>
        <w:tc>
          <w:tcPr>
            <w:tcW w:w="1531"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Проєктна місткість</w:t>
            </w:r>
          </w:p>
        </w:tc>
        <w:tc>
          <w:tcPr>
            <w:tcW w:w="153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Фактична кількість дітей</w:t>
            </w:r>
          </w:p>
        </w:tc>
        <w:tc>
          <w:tcPr>
            <w:tcW w:w="1526"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Кількість класів</w:t>
            </w:r>
          </w:p>
        </w:tc>
        <w:tc>
          <w:tcPr>
            <w:tcW w:w="1490"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Площа ділянок, га</w:t>
            </w:r>
          </w:p>
        </w:tc>
      </w:tr>
      <w:tr w:rsidR="00671012" w:rsidRPr="002E6ECA" w:rsidTr="00671012">
        <w:trPr>
          <w:jc w:val="center"/>
        </w:trPr>
        <w:tc>
          <w:tcPr>
            <w:tcW w:w="136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ЗЗСО 1</w:t>
            </w:r>
          </w:p>
        </w:tc>
        <w:tc>
          <w:tcPr>
            <w:tcW w:w="1531"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1380</w:t>
            </w:r>
          </w:p>
        </w:tc>
        <w:tc>
          <w:tcPr>
            <w:tcW w:w="153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1285</w:t>
            </w:r>
          </w:p>
        </w:tc>
        <w:tc>
          <w:tcPr>
            <w:tcW w:w="1526"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43</w:t>
            </w:r>
          </w:p>
        </w:tc>
        <w:tc>
          <w:tcPr>
            <w:tcW w:w="1490"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3,6</w:t>
            </w:r>
          </w:p>
        </w:tc>
      </w:tr>
      <w:tr w:rsidR="00671012" w:rsidRPr="002E6ECA" w:rsidTr="00671012">
        <w:trPr>
          <w:jc w:val="center"/>
        </w:trPr>
        <w:tc>
          <w:tcPr>
            <w:tcW w:w="136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ЗЗСО 2</w:t>
            </w:r>
          </w:p>
        </w:tc>
        <w:tc>
          <w:tcPr>
            <w:tcW w:w="1531"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960</w:t>
            </w:r>
          </w:p>
        </w:tc>
        <w:tc>
          <w:tcPr>
            <w:tcW w:w="153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958</w:t>
            </w:r>
          </w:p>
        </w:tc>
        <w:tc>
          <w:tcPr>
            <w:tcW w:w="1526"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30</w:t>
            </w:r>
          </w:p>
        </w:tc>
        <w:tc>
          <w:tcPr>
            <w:tcW w:w="1490"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0,8347</w:t>
            </w:r>
          </w:p>
        </w:tc>
      </w:tr>
      <w:tr w:rsidR="00671012" w:rsidRPr="002E6ECA" w:rsidTr="00671012">
        <w:trPr>
          <w:jc w:val="center"/>
        </w:trPr>
        <w:tc>
          <w:tcPr>
            <w:tcW w:w="136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ЗЗСО 3</w:t>
            </w:r>
          </w:p>
        </w:tc>
        <w:tc>
          <w:tcPr>
            <w:tcW w:w="1531"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1396</w:t>
            </w:r>
          </w:p>
        </w:tc>
        <w:tc>
          <w:tcPr>
            <w:tcW w:w="1539"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1117</w:t>
            </w:r>
          </w:p>
        </w:tc>
        <w:tc>
          <w:tcPr>
            <w:tcW w:w="1526"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33</w:t>
            </w:r>
          </w:p>
        </w:tc>
        <w:tc>
          <w:tcPr>
            <w:tcW w:w="1490" w:type="dxa"/>
            <w:shd w:val="clear" w:color="auto" w:fill="auto"/>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3,2611</w:t>
            </w:r>
          </w:p>
        </w:tc>
      </w:tr>
    </w:tbl>
    <w:p w:rsidR="00671012" w:rsidRPr="002E6ECA" w:rsidRDefault="00671012" w:rsidP="00671012">
      <w:pPr>
        <w:tabs>
          <w:tab w:val="left" w:pos="1260"/>
        </w:tabs>
        <w:spacing w:line="360" w:lineRule="auto"/>
        <w:ind w:firstLine="709"/>
        <w:jc w:val="both"/>
        <w:rPr>
          <w:sz w:val="28"/>
          <w:szCs w:val="28"/>
          <w:lang w:val="uk-UA"/>
        </w:rPr>
      </w:pP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Території закладів огороджені, утримуються в задовільному санітарно-гігієнічному стані. На території в наявності спортивні майданчики, встановлено спортивне обладнання. Окремо виділені майданчики з твердим покриттям для збору сміття, встановлені обладнані кришками сміттєзбірники. </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Площа озеленення достатня, складає не менше 50% від загальної площі. Функціональне зонування пришкільних ділянок не відповідає вимогам ДБН </w:t>
      </w:r>
      <w:r w:rsidRPr="002E6ECA">
        <w:rPr>
          <w:sz w:val="28"/>
          <w:szCs w:val="28"/>
          <w:lang w:val="uk-UA"/>
        </w:rPr>
        <w:lastRenderedPageBreak/>
        <w:t xml:space="preserve">В.2.2-3:2018 «Заклади освіти» та «Санітарному регламенту для закладів загальної середньої освіти» (Наказ Міністерства охорони здоров’я України 25 вересня 2020 року №2205) – передбачає фізкультурно-спортивну зону, господарську зону.  </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Будівлі закладів ЗСО являють собою типові триповерхові споруди, розташування яких на території земельної ділянки забезпечує достатній рівень освітлення та інсоляції приміщень, а також раціональний зв’язок між приміщеннями та ділянкою. </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Будівлі закладів ЗСО обладнані всіма інженерно-технічними комунікаціями, система водопостачання централізована, її санітарно-технічний стан задовільний. Перебої холодної води не реєструвалися. Гаряча проточна вода: централізована, підведена до будівлі школи. На харчоблоках ЗЗСО встановлені резервні джерела гарячого водопостачання – електроводонагрівачі (зазвичай на 100 л/год) з підключенням до всіх миючих ванн харчоблоку. Каналізація будівлі: централізована. Санітарно-технічний стан системи каналізування задовільний. Система</w:t>
      </w:r>
      <w:r w:rsidRPr="002E6ECA">
        <w:rPr>
          <w:b/>
          <w:sz w:val="28"/>
          <w:szCs w:val="28"/>
          <w:lang w:val="uk-UA"/>
        </w:rPr>
        <w:t xml:space="preserve"> </w:t>
      </w:r>
      <w:r w:rsidRPr="002E6ECA">
        <w:rPr>
          <w:sz w:val="28"/>
          <w:szCs w:val="28"/>
          <w:lang w:val="uk-UA"/>
        </w:rPr>
        <w:t xml:space="preserve">опалення  централізована. За даними інструментальних досліджень температура у навчальних класах складала 17,9-19,5 </w:t>
      </w:r>
      <w:r w:rsidRPr="002E6ECA">
        <w:rPr>
          <w:sz w:val="28"/>
          <w:szCs w:val="28"/>
          <w:vertAlign w:val="superscript"/>
          <w:lang w:val="uk-UA"/>
        </w:rPr>
        <w:t>0</w:t>
      </w:r>
      <w:r w:rsidRPr="002E6ECA">
        <w:rPr>
          <w:sz w:val="28"/>
          <w:szCs w:val="28"/>
          <w:lang w:val="uk-UA"/>
        </w:rPr>
        <w:t>С, відносна вологість – 42,8-49,8</w:t>
      </w:r>
      <w:r w:rsidR="0080667E" w:rsidRPr="002E6ECA">
        <w:rPr>
          <w:sz w:val="28"/>
          <w:szCs w:val="28"/>
          <w:lang w:val="uk-UA"/>
        </w:rPr>
        <w:t>%</w:t>
      </w:r>
      <w:r w:rsidRPr="002E6ECA">
        <w:rPr>
          <w:sz w:val="28"/>
          <w:szCs w:val="28"/>
          <w:lang w:val="uk-UA"/>
        </w:rPr>
        <w:t xml:space="preserve">, що відповідає вимогам Санітарного регламенту для закладів загальної середньої освіти № 2205 від 25.09.2020 р. Режим провітрювання приміщень дотримується. </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В закладах працює припливно-витяжна вентиляція з механічним спонуканням (на харчоблоці, фізичних та хімічних лабораторіях), справність якої щорічно перевіряється відповідними службами. Кабінети хімії розташовані на верхніх поверхах будівель, обладнані системою припливно-витяжної вентиляції, але в ЗЗСО2 не працює. Концентрація формальдегіду у повітрі навчальних приміщень не перевищувала ГДК у відповідності до Санітарного регламенту.</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Рівень природнього освітлення за показником КПО відповідав гігієнічним вимогам і складав від 3,0 до 4,6%. Штучне освітлення організовано люмінесцентними лампами з тепло-білим та природно-білим спектром </w:t>
      </w:r>
      <w:r w:rsidRPr="002E6ECA">
        <w:rPr>
          <w:sz w:val="28"/>
          <w:szCs w:val="28"/>
          <w:lang w:val="uk-UA"/>
        </w:rPr>
        <w:lastRenderedPageBreak/>
        <w:t>кольоровипромінювання, захисна освітлювальна арматура в наявності у справному стані. Відпрацьовані люмінесцентні лампи зберігаються у підвальному приміщенні в спеціально виділеному металевому ящику з кришкою до моменту утилізації. Наявні договори на утилізацію (демеркурізацію) відпрацьованих люмінесцентних ламп (ТОВ «ЕКОТЕК»).</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Передбачено окреме включення рядів електроосвітлювачів для забезпечення рівномірного штучного освітлення, у т.ч. найбільш віддаленого ряду парт. Контроль рівня освітленості проводилось двічі на рік, з обов’язковим однократним вимірюванням у листопаді-грудні. Встановлено недостатній рівень штучного освітлення у навчальних класах ЗЗСО1 та ЗЗСО2 у 9,94% вимірювань, у т.ч. у кабінетах фізики (192-287 лк), хімії (182-208 лк) та інформатики (256-311 лк). </w:t>
      </w:r>
    </w:p>
    <w:p w:rsidR="00671012" w:rsidRPr="002E6ECA" w:rsidRDefault="00671012" w:rsidP="00671012">
      <w:pPr>
        <w:tabs>
          <w:tab w:val="left" w:pos="540"/>
        </w:tabs>
        <w:spacing w:line="360" w:lineRule="auto"/>
        <w:ind w:firstLine="709"/>
        <w:jc w:val="both"/>
        <w:rPr>
          <w:sz w:val="28"/>
          <w:szCs w:val="28"/>
          <w:lang w:val="uk-UA"/>
        </w:rPr>
      </w:pPr>
      <w:r w:rsidRPr="002E6ECA">
        <w:rPr>
          <w:sz w:val="28"/>
          <w:szCs w:val="28"/>
          <w:lang w:val="uk-UA"/>
        </w:rPr>
        <w:t xml:space="preserve">Набір приміщень типовий для закладів ЗСО: навчальні класи, актові зали, спортивні зали, хореографічні зали, вестибюль, зони рекреації, гардероб, санітарні вузли окремі для дівчат та хлопців. Кабінети початкової школи розташовані у переважній більшості на перших поверхах будівель, а в ЗЗСО 2 та ЗЗСО 3 – в окремих будівлях, кабінети старшої школи розташовані на других та третіх поверхах. Спеціально обладнані майстерні для трудового навчання для хлопців відсутні в усіх закладах. Спортивні зали розташовані на перших поверхах у всіх ЗЗСО, однак у ЗЗСО 1 та 3 потребують ремонту (стеля, стіни, підлога). Кабінетна система навчання учнів запроваджена з 5-го класу. </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 xml:space="preserve">Кількість навчальних приміщень шкіл розрахована згідно кількості годин занять в одну зміну та їх зайнятості не менше 75% навчального часу.  Наповнюваність класів перевищує нормативну в більшості класів як початкової, так і базової та профільної школи, але в процесі навчання класи розділяються на підгрупи із забезпеченням одномоментної присутності по 16-17 осіб у навчальному кабінеті.  </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Режим роботи закладів з 8.00 до 17.45, п`ятиденний, навчання в одну зміну. Мінімальна тривалість перерв 10 хвилин. Велика перерва - 20 хвилин, після  другого та третього уроків. Тривалість уроків у перших класів – 35 хв., 2</w:t>
      </w:r>
      <w:r w:rsidR="005D2D04" w:rsidRPr="002E6ECA">
        <w:rPr>
          <w:sz w:val="28"/>
          <w:szCs w:val="28"/>
          <w:lang w:val="uk-UA"/>
        </w:rPr>
        <w:t>-</w:t>
      </w:r>
      <w:r w:rsidRPr="002E6ECA">
        <w:rPr>
          <w:sz w:val="28"/>
          <w:szCs w:val="28"/>
          <w:lang w:val="uk-UA"/>
        </w:rPr>
        <w:lastRenderedPageBreak/>
        <w:t>4 класів – 40 хв., 5-11 класів – 45 хвилин. Розклад занять погоджений з держпродспоживслужбою. Денне, тижневе навантаження учнів відповідає навчальному плану та гігієнічним вимогам.</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У закладах функціонують групи подовженого дня, режим роботи яких з 11.50 до 17.45. Для тимчасового перебування дітей в ГПД виділені кабінети, денний сон не організований по заявам від батьків. Прибирання в приміщеннях ГПД проводить технічний персонал закладу, санітарно-гігієнічний стан приміщень задовільний.</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На час обстеження санітарно-гігієнічний стан приміщень всіх закладів задовільний, режим прибирання дотримується, в кожному кабінеті, виділений прибиральний інвентар, маркований, в зберіганні впорядкований. В кабінетах початкової школи прибирання проводить технічний персонал, в кабінетах старшої школи – учні або технічний персонал. В усіх кабінетах в наявності графіки провітрювання та проведення генерального прибирання.</w:t>
      </w:r>
    </w:p>
    <w:p w:rsidR="00671012" w:rsidRPr="002E6ECA" w:rsidRDefault="00671012" w:rsidP="00671012">
      <w:pPr>
        <w:tabs>
          <w:tab w:val="left" w:pos="570"/>
          <w:tab w:val="left" w:pos="9900"/>
        </w:tabs>
        <w:spacing w:line="360" w:lineRule="auto"/>
        <w:ind w:firstLine="709"/>
        <w:jc w:val="both"/>
        <w:rPr>
          <w:spacing w:val="-2"/>
          <w:sz w:val="28"/>
          <w:szCs w:val="28"/>
          <w:lang w:val="uk-UA"/>
        </w:rPr>
      </w:pPr>
      <w:r w:rsidRPr="002E6ECA">
        <w:rPr>
          <w:spacing w:val="-2"/>
          <w:sz w:val="28"/>
          <w:szCs w:val="28"/>
          <w:lang w:val="uk-UA"/>
        </w:rPr>
        <w:t xml:space="preserve">Заклади забезпечені </w:t>
      </w:r>
      <w:r w:rsidRPr="002E6ECA">
        <w:rPr>
          <w:spacing w:val="-4"/>
          <w:sz w:val="28"/>
          <w:szCs w:val="28"/>
          <w:lang w:val="uk-UA"/>
        </w:rPr>
        <w:t>меблями в достатній кількості (по кабінетам навчальної школи частково встановлені парти та стільці з регульованою вис</w:t>
      </w:r>
      <w:r w:rsidR="00863926" w:rsidRPr="002E6ECA">
        <w:rPr>
          <w:spacing w:val="-4"/>
          <w:sz w:val="28"/>
          <w:szCs w:val="28"/>
          <w:lang w:val="uk-UA"/>
        </w:rPr>
        <w:t>о</w:t>
      </w:r>
      <w:r w:rsidRPr="002E6ECA">
        <w:rPr>
          <w:spacing w:val="-4"/>
          <w:sz w:val="28"/>
          <w:szCs w:val="28"/>
          <w:lang w:val="uk-UA"/>
        </w:rPr>
        <w:t xml:space="preserve">тою), </w:t>
      </w:r>
      <w:r w:rsidRPr="002E6ECA">
        <w:rPr>
          <w:spacing w:val="-2"/>
          <w:sz w:val="28"/>
          <w:szCs w:val="28"/>
          <w:lang w:val="uk-UA"/>
        </w:rPr>
        <w:t>стан меблів задовільний, маркування меблів проведено з урахуванням ростових особливостей дітей. Листи здоров</w:t>
      </w:r>
      <w:r w:rsidRPr="002E6ECA">
        <w:rPr>
          <w:spacing w:val="-2"/>
          <w:sz w:val="28"/>
          <w:szCs w:val="28"/>
          <w:lang w:val="uk-UA"/>
        </w:rPr>
        <w:sym w:font="Symbol" w:char="F0A2"/>
      </w:r>
      <w:r w:rsidRPr="002E6ECA">
        <w:rPr>
          <w:spacing w:val="-2"/>
          <w:sz w:val="28"/>
          <w:szCs w:val="28"/>
          <w:lang w:val="uk-UA"/>
        </w:rPr>
        <w:t>я оформлені за встановленою формою.</w:t>
      </w:r>
    </w:p>
    <w:p w:rsidR="00671012" w:rsidRPr="002E6ECA" w:rsidRDefault="00671012" w:rsidP="00671012">
      <w:pPr>
        <w:tabs>
          <w:tab w:val="left" w:pos="9355"/>
        </w:tabs>
        <w:spacing w:line="360" w:lineRule="auto"/>
        <w:ind w:firstLine="709"/>
        <w:jc w:val="both"/>
        <w:rPr>
          <w:sz w:val="28"/>
          <w:szCs w:val="28"/>
          <w:lang w:val="uk-UA"/>
        </w:rPr>
      </w:pPr>
      <w:r w:rsidRPr="002E6ECA">
        <w:rPr>
          <w:sz w:val="28"/>
          <w:szCs w:val="28"/>
          <w:lang w:val="uk-UA"/>
        </w:rPr>
        <w:t>В навчальних кабінетах для початкових класів в наявності запас рідкого мила, паперових рушників та туалетного паперу.</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 xml:space="preserve">Інвентар для прибирання зон рекреації, санвузлів виділений маркований, в зберіганні впорядкований (в підсобних приміщеннях технічного персоналу). Для зберігання мийних засобів в санвузлах виділені шафи, які замикаються. Для проведення поточної дезінфекції приміщень використовуються сертифіковані дезрозчини. </w:t>
      </w:r>
    </w:p>
    <w:p w:rsidR="00671012" w:rsidRPr="002E6ECA" w:rsidRDefault="00671012" w:rsidP="00671012">
      <w:pPr>
        <w:tabs>
          <w:tab w:val="left" w:pos="540"/>
        </w:tabs>
        <w:spacing w:line="360" w:lineRule="auto"/>
        <w:ind w:firstLine="709"/>
        <w:jc w:val="both"/>
        <w:rPr>
          <w:sz w:val="28"/>
          <w:szCs w:val="28"/>
          <w:lang w:val="uk-UA"/>
        </w:rPr>
      </w:pPr>
      <w:r w:rsidRPr="002E6ECA">
        <w:rPr>
          <w:sz w:val="28"/>
          <w:szCs w:val="28"/>
          <w:lang w:val="uk-UA"/>
        </w:rPr>
        <w:t>На перших поверхах всіх навчальних закладів розміщені роздягальні: окремо для учнів початкової школи та 5-11 класів, верхній одяг зберігається впорядковано, для кожного класу окремо.</w:t>
      </w:r>
    </w:p>
    <w:p w:rsidR="00671012" w:rsidRPr="002E6ECA" w:rsidRDefault="00671012" w:rsidP="00671012">
      <w:pPr>
        <w:tabs>
          <w:tab w:val="left" w:pos="540"/>
        </w:tabs>
        <w:spacing w:line="360" w:lineRule="auto"/>
        <w:ind w:firstLine="709"/>
        <w:jc w:val="both"/>
        <w:rPr>
          <w:sz w:val="28"/>
          <w:szCs w:val="28"/>
          <w:lang w:val="uk-UA"/>
        </w:rPr>
      </w:pPr>
      <w:r w:rsidRPr="002E6ECA">
        <w:rPr>
          <w:sz w:val="28"/>
          <w:szCs w:val="28"/>
          <w:lang w:val="uk-UA"/>
        </w:rPr>
        <w:t xml:space="preserve">Кабінети інформатики функціонують у всіх закладах, розташовані на 2 та 3 поверхах будівель, мають системи загального природнього та штучного </w:t>
      </w:r>
      <w:r w:rsidRPr="002E6ECA">
        <w:rPr>
          <w:sz w:val="28"/>
          <w:szCs w:val="28"/>
          <w:lang w:val="uk-UA"/>
        </w:rPr>
        <w:lastRenderedPageBreak/>
        <w:t xml:space="preserve">освітлення, захисна освітлювальна арматура укомплектована. Робочі місця учнів обладнано переважно персональними комп'ютерами форм-фактора десктоп із розрахунку 1 комп’ютер на 1 учня, що досягається у т.ч. і розподілом школярів на підгрупи. Додатково у ЗЗСО встановлено по 1-2 портативних персональних комп'ютерів (ноутбуків) з відокремленим маніпулятором типу «миша». Безперервна робота з відеомоніторами не перевищує нормовану по класам. На всі кабінети надані паспорти, доукомплектування кабінету після паспортизації не проводилась. Санітарно-гігієнічний стан приміщення задовільний, прибиральний інвентар виділений, маркований. Прибирання в кабінеті проводить технічний персонал закладу. </w:t>
      </w:r>
    </w:p>
    <w:p w:rsidR="00671012" w:rsidRPr="002E6ECA" w:rsidRDefault="00671012" w:rsidP="005D2D04">
      <w:pPr>
        <w:tabs>
          <w:tab w:val="left" w:pos="5715"/>
        </w:tabs>
        <w:spacing w:line="360" w:lineRule="auto"/>
        <w:ind w:firstLine="709"/>
        <w:jc w:val="both"/>
        <w:rPr>
          <w:spacing w:val="-4"/>
          <w:sz w:val="28"/>
          <w:szCs w:val="28"/>
          <w:lang w:val="uk-UA"/>
        </w:rPr>
      </w:pPr>
      <w:r w:rsidRPr="002E6ECA">
        <w:rPr>
          <w:spacing w:val="-4"/>
          <w:sz w:val="28"/>
          <w:szCs w:val="28"/>
          <w:lang w:val="uk-UA"/>
        </w:rPr>
        <w:t>В закладах функціонують спортивні зали, розташовані на 1 поверхах. Поряд із залами обладнані роздягальні для дівчат та хлопців. Прибирання проводиться технічним персоналом. Медико-педагогічний контроль за організацією фізичного виховання здійснюється лікарем педіатром щомісяця з проведенням хронометражу, графічним зображенням кривої фізичного навантаження.</w:t>
      </w:r>
    </w:p>
    <w:p w:rsidR="00671012" w:rsidRPr="002E6ECA" w:rsidRDefault="00671012" w:rsidP="00671012">
      <w:pPr>
        <w:tabs>
          <w:tab w:val="left" w:pos="5715"/>
        </w:tabs>
        <w:spacing w:line="360" w:lineRule="auto"/>
        <w:ind w:firstLine="709"/>
        <w:jc w:val="both"/>
        <w:rPr>
          <w:sz w:val="28"/>
          <w:szCs w:val="28"/>
          <w:lang w:val="uk-UA"/>
        </w:rPr>
      </w:pPr>
      <w:r w:rsidRPr="002E6ECA">
        <w:rPr>
          <w:sz w:val="28"/>
          <w:szCs w:val="28"/>
          <w:lang w:val="uk-UA"/>
        </w:rPr>
        <w:t>Медичні кабінети розташовані на 1 поверсі, підведена холодна та гаряча проточна вода. Санітарно-гігієнічний стан кабінету задовільний. Кабінети обладнані раковиною, дозатором з рідким милом та антисептиком для рук. Для проведення знезараження використаних розхідних матеріалів, термометрів, поточних та генеральних прибирань використовуються дезрозчини відповідно до інструкцій по застосуванню, наявні промарковані ємності в достатній кількості. Прибиральний інвентар для медичного кабінету маркований, зберігається впорядковано. Журнал генеральних прибирань в наявності, недоліків по веденню не виявлено. Вологі прибирання проводяться згідно графіку. Бактерицидне опромінення  проводиться згідно графіка.</w:t>
      </w:r>
    </w:p>
    <w:p w:rsidR="00671012" w:rsidRPr="002E6ECA" w:rsidRDefault="00671012" w:rsidP="00671012">
      <w:pPr>
        <w:tabs>
          <w:tab w:val="left" w:pos="5715"/>
        </w:tabs>
        <w:spacing w:line="360" w:lineRule="auto"/>
        <w:ind w:firstLine="709"/>
        <w:jc w:val="both"/>
        <w:rPr>
          <w:sz w:val="28"/>
          <w:szCs w:val="28"/>
          <w:lang w:val="uk-UA"/>
        </w:rPr>
      </w:pPr>
      <w:r w:rsidRPr="002E6ECA">
        <w:rPr>
          <w:sz w:val="28"/>
          <w:szCs w:val="28"/>
          <w:lang w:val="uk-UA"/>
        </w:rPr>
        <w:t>Медичне обслуговування учнів здійснюють лікарі-педіатри, медичні сестри, наявний плани роботи медичного кабінету, місячні плани роботи, план санітарно-просвітницької роботи, інструктивно-методична документація.</w:t>
      </w:r>
    </w:p>
    <w:p w:rsidR="00671012" w:rsidRPr="002E6ECA" w:rsidRDefault="00671012" w:rsidP="00671012">
      <w:pPr>
        <w:tabs>
          <w:tab w:val="left" w:pos="360"/>
        </w:tabs>
        <w:spacing w:line="360" w:lineRule="auto"/>
        <w:ind w:firstLine="709"/>
        <w:jc w:val="both"/>
        <w:rPr>
          <w:sz w:val="28"/>
          <w:szCs w:val="28"/>
          <w:lang w:val="uk-UA"/>
        </w:rPr>
      </w:pPr>
      <w:r w:rsidRPr="002E6ECA">
        <w:rPr>
          <w:sz w:val="28"/>
          <w:szCs w:val="28"/>
          <w:lang w:val="uk-UA"/>
        </w:rPr>
        <w:t xml:space="preserve">Харчоблоки розташовані на перших поверхах. Набір приміщень: обідня зала з буфетом, варочний цех (поділений на функціональні зони з урахуванням </w:t>
      </w:r>
      <w:r w:rsidRPr="002E6ECA">
        <w:rPr>
          <w:sz w:val="28"/>
          <w:szCs w:val="28"/>
          <w:lang w:val="uk-UA"/>
        </w:rPr>
        <w:lastRenderedPageBreak/>
        <w:t>технологічного процесу), приміщення для миття посуду, комора для зберігання продуктів. В мийних цехах встановлені багатосекційні ванни для миття столового посуду. Обідні зали розраховані на 60-190 посадочних місць, умови для дотримання правил особистої гігієни учнями створені: перед обідньою залою встановлено умивальники з дозаторами для рідкого мила та паперовими рушниками.</w:t>
      </w:r>
    </w:p>
    <w:p w:rsidR="00671012" w:rsidRPr="002E6ECA" w:rsidRDefault="00671012" w:rsidP="00E22F2B">
      <w:pPr>
        <w:autoSpaceDE w:val="0"/>
        <w:autoSpaceDN w:val="0"/>
        <w:adjustRightInd w:val="0"/>
        <w:spacing w:line="360" w:lineRule="auto"/>
        <w:ind w:firstLine="709"/>
        <w:jc w:val="both"/>
        <w:rPr>
          <w:spacing w:val="-2"/>
          <w:sz w:val="28"/>
          <w:szCs w:val="28"/>
          <w:lang w:val="uk-UA"/>
        </w:rPr>
      </w:pPr>
      <w:r w:rsidRPr="002E6ECA">
        <w:rPr>
          <w:spacing w:val="-2"/>
          <w:sz w:val="28"/>
          <w:szCs w:val="28"/>
          <w:lang w:val="uk-UA"/>
        </w:rPr>
        <w:t xml:space="preserve">Асортимент страв, що виготовляються, та буфетної продукції, яка реалізується, примірне циклічне меню на осінньо-зимовий період, графік та маршрут постачання продуктів харчування та продовольчої сировини погоджені Головою Держпродспоживслужби в Харківській області. В їдальні виготовляють перші, другі страви, буфетну продукцію (випічна продукція: булочки, пиріжки), напої. В буфеті реалізуються кондитерські вироби в промисловій упаковці. Продукти постачаються спеціалізованим автотранспортом підприємства, завіз продуктів щоденно згідно графіку та маршруту постачання. Організоване гаряче харчування для дітей початкових класів, групи продовженого дня, учнів пільгового контингенту, для дітей 5-11 класів – на вимогу. </w:t>
      </w:r>
    </w:p>
    <w:p w:rsidR="00671012" w:rsidRPr="002E6ECA" w:rsidRDefault="00671012" w:rsidP="00671012">
      <w:pPr>
        <w:tabs>
          <w:tab w:val="left" w:pos="570"/>
          <w:tab w:val="left" w:pos="9900"/>
        </w:tabs>
        <w:spacing w:line="360" w:lineRule="auto"/>
        <w:ind w:firstLine="709"/>
        <w:jc w:val="both"/>
        <w:rPr>
          <w:sz w:val="28"/>
          <w:szCs w:val="28"/>
          <w:lang w:val="uk-UA"/>
        </w:rPr>
      </w:pPr>
      <w:r w:rsidRPr="002E6ECA">
        <w:rPr>
          <w:sz w:val="28"/>
          <w:szCs w:val="28"/>
          <w:lang w:val="uk-UA"/>
        </w:rPr>
        <w:t xml:space="preserve">Питний режим </w:t>
      </w:r>
      <w:r w:rsidR="005D2D04" w:rsidRPr="002E6ECA">
        <w:rPr>
          <w:sz w:val="28"/>
          <w:szCs w:val="28"/>
          <w:lang w:val="uk-UA"/>
        </w:rPr>
        <w:t>забезпечується</w:t>
      </w:r>
      <w:r w:rsidRPr="002E6ECA">
        <w:rPr>
          <w:sz w:val="28"/>
          <w:szCs w:val="28"/>
          <w:lang w:val="uk-UA"/>
        </w:rPr>
        <w:t xml:space="preserve"> кип’яченою водою та реалізацією на харчоблоці альтернативної води (вода «Роганська» ТОВ «Галс» - пляшки по 0,5 л). дослідження якості питної води з мережі міськводогону встановило невідповідність її вимогам ДСанПіН 2.2.4-171-10 за показником загальної жорсткості у ЗЗСО2 (8,23 ммоль/дм</w:t>
      </w:r>
      <w:r w:rsidRPr="002E6ECA">
        <w:rPr>
          <w:sz w:val="28"/>
          <w:szCs w:val="28"/>
          <w:vertAlign w:val="superscript"/>
          <w:lang w:val="uk-UA"/>
        </w:rPr>
        <w:t>3</w:t>
      </w:r>
      <w:r w:rsidRPr="002E6ECA">
        <w:rPr>
          <w:sz w:val="28"/>
          <w:szCs w:val="28"/>
          <w:lang w:val="uk-UA"/>
        </w:rPr>
        <w:t>) та ЗЗСО3 (8,03 ммоль/дм</w:t>
      </w:r>
      <w:r w:rsidRPr="002E6ECA">
        <w:rPr>
          <w:sz w:val="28"/>
          <w:szCs w:val="28"/>
          <w:vertAlign w:val="superscript"/>
          <w:lang w:val="uk-UA"/>
        </w:rPr>
        <w:t>3</w:t>
      </w:r>
      <w:r w:rsidRPr="002E6ECA">
        <w:rPr>
          <w:sz w:val="28"/>
          <w:szCs w:val="28"/>
          <w:lang w:val="uk-UA"/>
        </w:rPr>
        <w:t>).</w:t>
      </w:r>
    </w:p>
    <w:p w:rsidR="00671012" w:rsidRPr="002E6ECA" w:rsidRDefault="00671012" w:rsidP="00671012">
      <w:pPr>
        <w:tabs>
          <w:tab w:val="left" w:pos="513"/>
          <w:tab w:val="left" w:pos="9900"/>
        </w:tabs>
        <w:spacing w:line="360" w:lineRule="auto"/>
        <w:ind w:firstLine="709"/>
        <w:jc w:val="both"/>
        <w:rPr>
          <w:sz w:val="28"/>
          <w:szCs w:val="28"/>
          <w:lang w:val="uk-UA"/>
        </w:rPr>
      </w:pPr>
      <w:r w:rsidRPr="002E6ECA">
        <w:rPr>
          <w:sz w:val="28"/>
          <w:szCs w:val="28"/>
          <w:lang w:val="uk-UA"/>
        </w:rPr>
        <w:t xml:space="preserve">Умови для дотримання правил особистої гігієни учнями та персоналом створені, дотримуються. Стан утримання туалетів для дітей та персоналу задовільний. На кожному поверсі облаштовані санвузли.  </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За результатами дослідження концентрації радону-222 у приміщеннях 1-го поверху встановлено перевищення його середньорічної еквівалентної рівноважної об'ємної активності. Після проведення герметизації підвальних приміщень, розташованих під навчальними кабінетами та провітрювання концентрація знижена до нормативної – 100 Бк/м</w:t>
      </w:r>
      <w:r w:rsidRPr="002E6ECA">
        <w:rPr>
          <w:sz w:val="28"/>
          <w:szCs w:val="28"/>
          <w:vertAlign w:val="superscript"/>
          <w:lang w:val="uk-UA"/>
        </w:rPr>
        <w:t>3</w:t>
      </w:r>
      <w:r w:rsidRPr="002E6ECA">
        <w:rPr>
          <w:sz w:val="28"/>
          <w:szCs w:val="28"/>
          <w:lang w:val="uk-UA"/>
        </w:rPr>
        <w:t>.</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lastRenderedPageBreak/>
        <w:t>У якості технічних засобів навчання використовуються 10-дюймові комп'ютери форм-фактора планшетний ПК, телевізори рідкокристалічні електричні (в усіх кабінетах для навчання за меритократичною системою), мультимедійні проєктори з проєкційними екранами. Щільність потоку енергії електромагнітного поля у комп’ютерних класах відповідала вимогам ДСНіП «Державні санітарні норми і правила захисту населення від впливу електромагнітних випромінювань» № 239 від 29.08.1996 р. і складала 0,2-0,3</w:t>
      </w:r>
      <w:r w:rsidR="00E22F2B" w:rsidRPr="002E6ECA">
        <w:rPr>
          <w:sz w:val="28"/>
          <w:szCs w:val="28"/>
          <w:lang w:val="uk-UA"/>
        </w:rPr>
        <w:t> </w:t>
      </w:r>
      <w:r w:rsidRPr="002E6ECA">
        <w:rPr>
          <w:sz w:val="28"/>
          <w:szCs w:val="28"/>
          <w:lang w:val="uk-UA"/>
        </w:rPr>
        <w:t>мкВт/см</w:t>
      </w:r>
      <w:r w:rsidRPr="002E6ECA">
        <w:rPr>
          <w:sz w:val="28"/>
          <w:szCs w:val="28"/>
          <w:vertAlign w:val="superscript"/>
          <w:lang w:val="uk-UA"/>
        </w:rPr>
        <w:t>2</w:t>
      </w:r>
      <w:r w:rsidRPr="002E6ECA">
        <w:rPr>
          <w:sz w:val="28"/>
          <w:szCs w:val="28"/>
          <w:lang w:val="uk-UA"/>
        </w:rPr>
        <w:t>.</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Рівні звукового тиску та рівні звуку у комп’ютерних класах усіх ЗЗСО не перевищували допустимі та відповідали вимогам Державних санітарних норм допустимих рівні шуму в приміщеннях житлових та громадських будинків і на території житлової забудови.</w:t>
      </w:r>
    </w:p>
    <w:p w:rsidR="00671012" w:rsidRPr="002E6ECA" w:rsidRDefault="00671012" w:rsidP="00671012">
      <w:pPr>
        <w:spacing w:line="360" w:lineRule="auto"/>
        <w:ind w:firstLine="709"/>
        <w:jc w:val="center"/>
        <w:rPr>
          <w:sz w:val="28"/>
          <w:szCs w:val="28"/>
          <w:lang w:val="uk-UA"/>
        </w:rPr>
      </w:pPr>
    </w:p>
    <w:p w:rsidR="00671012" w:rsidRPr="002E6ECA" w:rsidRDefault="00671012" w:rsidP="00E22F2B">
      <w:pPr>
        <w:spacing w:line="360" w:lineRule="auto"/>
        <w:ind w:firstLine="709"/>
        <w:jc w:val="both"/>
        <w:rPr>
          <w:b/>
          <w:sz w:val="28"/>
          <w:szCs w:val="28"/>
          <w:lang w:val="uk-UA"/>
        </w:rPr>
      </w:pPr>
      <w:r w:rsidRPr="002E6ECA">
        <w:rPr>
          <w:b/>
          <w:sz w:val="28"/>
          <w:szCs w:val="28"/>
          <w:lang w:val="uk-UA"/>
        </w:rPr>
        <w:t xml:space="preserve">4.2. Характеристика навчального процесу </w:t>
      </w:r>
      <w:r w:rsidR="00261293" w:rsidRPr="002E6ECA">
        <w:rPr>
          <w:b/>
          <w:sz w:val="28"/>
          <w:szCs w:val="28"/>
          <w:lang w:val="uk-UA"/>
        </w:rPr>
        <w:t>в</w:t>
      </w:r>
      <w:r w:rsidRPr="002E6ECA">
        <w:rPr>
          <w:b/>
          <w:sz w:val="28"/>
          <w:szCs w:val="28"/>
          <w:lang w:val="uk-UA"/>
        </w:rPr>
        <w:t xml:space="preserve"> основній школі</w:t>
      </w:r>
    </w:p>
    <w:p w:rsidR="00E009ED" w:rsidRPr="002E6ECA" w:rsidRDefault="0061708B" w:rsidP="00D241DB">
      <w:pPr>
        <w:tabs>
          <w:tab w:val="left" w:pos="1260"/>
        </w:tabs>
        <w:spacing w:line="360" w:lineRule="auto"/>
        <w:ind w:firstLine="709"/>
        <w:jc w:val="both"/>
        <w:rPr>
          <w:sz w:val="28"/>
          <w:szCs w:val="28"/>
          <w:lang w:val="uk-UA"/>
        </w:rPr>
      </w:pPr>
      <w:r w:rsidRPr="002E6ECA">
        <w:rPr>
          <w:sz w:val="28"/>
          <w:szCs w:val="28"/>
          <w:lang w:val="uk-UA"/>
        </w:rPr>
        <w:t xml:space="preserve">Результати аналізу нормативних документів щодо формування навчального плану закладів загальної середньої освіти за типовою освітньою програмою та за науково-педагогічним проєктом «Інтелект України» наведено у таблиці 4.2. </w:t>
      </w:r>
      <w:r w:rsidR="00D241DB" w:rsidRPr="002E6ECA">
        <w:rPr>
          <w:sz w:val="28"/>
          <w:szCs w:val="28"/>
          <w:lang w:val="uk-UA"/>
        </w:rPr>
        <w:t>Порівняння навчальних планів встановило більшу кількість годин, що нормується за освітньою галуззю «Мови і літератури» при меритократичній освіті за рахунок 2 додаткових годин на тиждень на вивчення іноземної мови, за галуззю «Суспільствознавство» за рахунок додаткових навчальних предметів «Навчаємося разом» у 5-6-му класах та «Основи самоменеджменту» у 7-8-му класах [</w:t>
      </w:r>
      <w:r w:rsidR="0029222F" w:rsidRPr="002E6ECA">
        <w:rPr>
          <w:sz w:val="28"/>
          <w:szCs w:val="28"/>
          <w:lang w:val="uk-UA"/>
        </w:rPr>
        <w:t>100, 136, 145</w:t>
      </w:r>
      <w:r w:rsidR="00D241DB" w:rsidRPr="002E6ECA">
        <w:rPr>
          <w:sz w:val="28"/>
          <w:szCs w:val="28"/>
          <w:lang w:val="uk-UA"/>
        </w:rPr>
        <w:t>].</w:t>
      </w:r>
    </w:p>
    <w:p w:rsidR="00764728" w:rsidRPr="002E6ECA" w:rsidRDefault="00764728" w:rsidP="00764728">
      <w:pPr>
        <w:tabs>
          <w:tab w:val="left" w:pos="1260"/>
        </w:tabs>
        <w:spacing w:line="360" w:lineRule="auto"/>
        <w:ind w:firstLine="709"/>
        <w:jc w:val="both"/>
        <w:rPr>
          <w:sz w:val="28"/>
          <w:szCs w:val="28"/>
          <w:lang w:val="uk-UA"/>
        </w:rPr>
      </w:pPr>
      <w:r w:rsidRPr="002E6ECA">
        <w:rPr>
          <w:sz w:val="28"/>
          <w:szCs w:val="28"/>
          <w:lang w:val="uk-UA"/>
        </w:rPr>
        <w:t>Слід зазначити, що за традиційної системи навчання на освітню галузь «Здоров’я і фізична культура» більша кількість годин пов’язана з навчальним предметом «Основи здоров’я», що не обмежує рів</w:t>
      </w:r>
      <w:r w:rsidR="00863926" w:rsidRPr="002E6ECA">
        <w:rPr>
          <w:sz w:val="28"/>
          <w:szCs w:val="28"/>
          <w:lang w:val="uk-UA"/>
        </w:rPr>
        <w:t>ень</w:t>
      </w:r>
      <w:r w:rsidRPr="002E6ECA">
        <w:rPr>
          <w:sz w:val="28"/>
          <w:szCs w:val="28"/>
          <w:lang w:val="uk-UA"/>
        </w:rPr>
        <w:t xml:space="preserve"> шкільного фізичного оздоровчого навантаження за меритократичній</w:t>
      </w:r>
      <w:r w:rsidR="00863926" w:rsidRPr="002E6ECA">
        <w:rPr>
          <w:sz w:val="28"/>
          <w:szCs w:val="28"/>
          <w:lang w:val="uk-UA"/>
        </w:rPr>
        <w:t>ої</w:t>
      </w:r>
      <w:r w:rsidRPr="002E6ECA">
        <w:rPr>
          <w:sz w:val="28"/>
          <w:szCs w:val="28"/>
          <w:lang w:val="uk-UA"/>
        </w:rPr>
        <w:t xml:space="preserve"> освіт</w:t>
      </w:r>
      <w:r w:rsidR="00863926" w:rsidRPr="002E6ECA">
        <w:rPr>
          <w:sz w:val="28"/>
          <w:szCs w:val="28"/>
          <w:lang w:val="uk-UA"/>
        </w:rPr>
        <w:t>и</w:t>
      </w:r>
      <w:r w:rsidRPr="002E6ECA">
        <w:rPr>
          <w:sz w:val="28"/>
          <w:szCs w:val="28"/>
          <w:lang w:val="uk-UA"/>
        </w:rPr>
        <w:t xml:space="preserve">. </w:t>
      </w:r>
    </w:p>
    <w:p w:rsidR="00764728" w:rsidRPr="002E6ECA" w:rsidRDefault="00764728" w:rsidP="00764728">
      <w:pPr>
        <w:tabs>
          <w:tab w:val="left" w:pos="1260"/>
        </w:tabs>
        <w:spacing w:line="360" w:lineRule="auto"/>
        <w:ind w:firstLine="709"/>
        <w:jc w:val="both"/>
        <w:rPr>
          <w:sz w:val="28"/>
          <w:szCs w:val="28"/>
          <w:lang w:val="uk-UA"/>
        </w:rPr>
      </w:pPr>
      <w:r w:rsidRPr="002E6ECA">
        <w:rPr>
          <w:sz w:val="28"/>
          <w:szCs w:val="28"/>
          <w:lang w:val="uk-UA"/>
        </w:rPr>
        <w:t>При навчанні за навчально-педагогічним проєктом «Росток» [</w:t>
      </w:r>
      <w:r w:rsidR="0029222F" w:rsidRPr="002E6ECA">
        <w:rPr>
          <w:sz w:val="28"/>
          <w:szCs w:val="28"/>
          <w:lang w:val="uk-UA"/>
        </w:rPr>
        <w:t>154</w:t>
      </w:r>
      <w:r w:rsidRPr="002E6ECA">
        <w:rPr>
          <w:sz w:val="28"/>
          <w:szCs w:val="28"/>
          <w:lang w:val="uk-UA"/>
        </w:rPr>
        <w:t xml:space="preserve">] додатково до уроку математики передбачається вивчення дисципліни «Теорія ймовірностей» з 6-го року навчання, а кількість годин, що відводиться на </w:t>
      </w:r>
      <w:r w:rsidRPr="002E6ECA">
        <w:rPr>
          <w:sz w:val="28"/>
          <w:szCs w:val="28"/>
          <w:lang w:val="uk-UA"/>
        </w:rPr>
        <w:lastRenderedPageBreak/>
        <w:t xml:space="preserve">вивчення хімії та фізики з освітньої галузі «Природознавство» перебільшує таку при традиційній та меритократичній системі освіти та базується на попередньому вивченні інтегративного курсу «Навколишній світ». </w:t>
      </w:r>
    </w:p>
    <w:p w:rsidR="0061708B" w:rsidRPr="002E6ECA" w:rsidRDefault="0061708B" w:rsidP="00E009ED">
      <w:pPr>
        <w:tabs>
          <w:tab w:val="left" w:pos="1260"/>
        </w:tabs>
        <w:spacing w:line="360" w:lineRule="auto"/>
        <w:ind w:firstLine="709"/>
        <w:jc w:val="right"/>
        <w:rPr>
          <w:i/>
          <w:sz w:val="28"/>
          <w:szCs w:val="28"/>
          <w:lang w:val="uk-UA"/>
        </w:rPr>
      </w:pPr>
      <w:r w:rsidRPr="002E6ECA">
        <w:rPr>
          <w:i/>
          <w:sz w:val="28"/>
          <w:szCs w:val="28"/>
          <w:lang w:val="uk-UA"/>
        </w:rPr>
        <w:t>Таблиця 4.2</w:t>
      </w:r>
    </w:p>
    <w:p w:rsidR="0061708B" w:rsidRPr="002E6ECA" w:rsidRDefault="0061708B" w:rsidP="00E009ED">
      <w:pPr>
        <w:tabs>
          <w:tab w:val="left" w:pos="1260"/>
        </w:tabs>
        <w:spacing w:line="360" w:lineRule="auto"/>
        <w:ind w:firstLine="709"/>
        <w:jc w:val="center"/>
        <w:rPr>
          <w:b/>
          <w:sz w:val="28"/>
          <w:szCs w:val="28"/>
          <w:lang w:val="uk-UA"/>
        </w:rPr>
      </w:pPr>
      <w:r w:rsidRPr="002E6ECA">
        <w:rPr>
          <w:b/>
          <w:sz w:val="28"/>
          <w:szCs w:val="28"/>
          <w:lang w:val="uk-UA"/>
        </w:rPr>
        <w:t>Типовий навчальний план ЗЗСО за різними системами освіти</w:t>
      </w:r>
    </w:p>
    <w:tbl>
      <w:tblPr>
        <w:tblStyle w:val="af"/>
        <w:tblW w:w="0" w:type="auto"/>
        <w:jc w:val="center"/>
        <w:tblLayout w:type="fixed"/>
        <w:tblLook w:val="04A0" w:firstRow="1" w:lastRow="0" w:firstColumn="1" w:lastColumn="0" w:noHBand="0" w:noVBand="1"/>
      </w:tblPr>
      <w:tblGrid>
        <w:gridCol w:w="2376"/>
        <w:gridCol w:w="2229"/>
        <w:gridCol w:w="929"/>
        <w:gridCol w:w="930"/>
        <w:gridCol w:w="930"/>
        <w:gridCol w:w="930"/>
        <w:gridCol w:w="904"/>
      </w:tblGrid>
      <w:tr w:rsidR="0061708B" w:rsidRPr="002E6ECA" w:rsidTr="00D241DB">
        <w:trPr>
          <w:jc w:val="center"/>
        </w:trPr>
        <w:tc>
          <w:tcPr>
            <w:tcW w:w="2376" w:type="dxa"/>
            <w:vMerge w:val="restart"/>
          </w:tcPr>
          <w:p w:rsidR="0061708B" w:rsidRPr="002E6ECA" w:rsidRDefault="0061708B" w:rsidP="00E009ED">
            <w:pPr>
              <w:tabs>
                <w:tab w:val="left" w:pos="1260"/>
              </w:tabs>
              <w:spacing w:line="360" w:lineRule="auto"/>
              <w:jc w:val="both"/>
              <w:rPr>
                <w:sz w:val="28"/>
                <w:szCs w:val="28"/>
                <w:lang w:val="uk-UA"/>
              </w:rPr>
            </w:pPr>
            <w:r w:rsidRPr="002E6ECA">
              <w:rPr>
                <w:sz w:val="28"/>
                <w:szCs w:val="28"/>
                <w:lang w:val="uk-UA"/>
              </w:rPr>
              <w:t>Освітня галузь</w:t>
            </w:r>
          </w:p>
        </w:tc>
        <w:tc>
          <w:tcPr>
            <w:tcW w:w="2229" w:type="dxa"/>
            <w:vMerge w:val="restart"/>
          </w:tcPr>
          <w:p w:rsidR="0061708B" w:rsidRPr="002E6ECA" w:rsidRDefault="0061708B" w:rsidP="00E009ED">
            <w:pPr>
              <w:tabs>
                <w:tab w:val="left" w:pos="1260"/>
              </w:tabs>
              <w:spacing w:line="360" w:lineRule="auto"/>
              <w:jc w:val="both"/>
              <w:rPr>
                <w:sz w:val="28"/>
                <w:szCs w:val="28"/>
                <w:lang w:val="uk-UA"/>
              </w:rPr>
            </w:pPr>
            <w:r w:rsidRPr="002E6ECA">
              <w:rPr>
                <w:sz w:val="28"/>
                <w:szCs w:val="28"/>
                <w:lang w:val="uk-UA"/>
              </w:rPr>
              <w:t>Система освіти</w:t>
            </w:r>
          </w:p>
        </w:tc>
        <w:tc>
          <w:tcPr>
            <w:tcW w:w="4623" w:type="dxa"/>
            <w:gridSpan w:val="5"/>
          </w:tcPr>
          <w:p w:rsidR="0061708B" w:rsidRPr="002E6ECA" w:rsidRDefault="0061708B" w:rsidP="00E009ED">
            <w:pPr>
              <w:tabs>
                <w:tab w:val="left" w:pos="1260"/>
              </w:tabs>
              <w:spacing w:line="360" w:lineRule="auto"/>
              <w:jc w:val="both"/>
              <w:rPr>
                <w:sz w:val="28"/>
                <w:szCs w:val="28"/>
                <w:lang w:val="uk-UA"/>
              </w:rPr>
            </w:pPr>
            <w:r w:rsidRPr="002E6ECA">
              <w:rPr>
                <w:sz w:val="28"/>
                <w:szCs w:val="28"/>
                <w:lang w:val="uk-UA"/>
              </w:rPr>
              <w:t>Кількість годин на тиждень у класах</w:t>
            </w:r>
          </w:p>
        </w:tc>
      </w:tr>
      <w:tr w:rsidR="0061708B" w:rsidRPr="002E6ECA" w:rsidTr="00D241DB">
        <w:trPr>
          <w:jc w:val="center"/>
        </w:trPr>
        <w:tc>
          <w:tcPr>
            <w:tcW w:w="2376" w:type="dxa"/>
            <w:vMerge/>
          </w:tcPr>
          <w:p w:rsidR="0061708B" w:rsidRPr="002E6ECA" w:rsidRDefault="0061708B" w:rsidP="00E009ED">
            <w:pPr>
              <w:tabs>
                <w:tab w:val="left" w:pos="1260"/>
              </w:tabs>
              <w:spacing w:line="360" w:lineRule="auto"/>
              <w:jc w:val="both"/>
              <w:rPr>
                <w:sz w:val="28"/>
                <w:szCs w:val="28"/>
                <w:lang w:val="uk-UA"/>
              </w:rPr>
            </w:pPr>
          </w:p>
        </w:tc>
        <w:tc>
          <w:tcPr>
            <w:tcW w:w="2229" w:type="dxa"/>
            <w:vMerge/>
          </w:tcPr>
          <w:p w:rsidR="0061708B" w:rsidRPr="002E6ECA" w:rsidRDefault="0061708B" w:rsidP="00E009ED">
            <w:pPr>
              <w:tabs>
                <w:tab w:val="left" w:pos="1260"/>
              </w:tabs>
              <w:spacing w:line="360" w:lineRule="auto"/>
              <w:jc w:val="both"/>
              <w:rPr>
                <w:sz w:val="28"/>
                <w:szCs w:val="28"/>
                <w:lang w:val="uk-UA"/>
              </w:rPr>
            </w:pPr>
          </w:p>
        </w:tc>
        <w:tc>
          <w:tcPr>
            <w:tcW w:w="929" w:type="dxa"/>
            <w:vAlign w:val="center"/>
          </w:tcPr>
          <w:p w:rsidR="0061708B" w:rsidRPr="002E6ECA" w:rsidRDefault="0061708B" w:rsidP="00E009ED">
            <w:pPr>
              <w:tabs>
                <w:tab w:val="left" w:pos="1260"/>
              </w:tabs>
              <w:spacing w:line="360" w:lineRule="auto"/>
              <w:jc w:val="center"/>
              <w:rPr>
                <w:sz w:val="28"/>
                <w:szCs w:val="28"/>
                <w:lang w:val="uk-UA"/>
              </w:rPr>
            </w:pPr>
            <w:r w:rsidRPr="002E6ECA">
              <w:rPr>
                <w:sz w:val="28"/>
                <w:szCs w:val="28"/>
                <w:lang w:val="uk-UA"/>
              </w:rPr>
              <w:t>5</w:t>
            </w:r>
          </w:p>
        </w:tc>
        <w:tc>
          <w:tcPr>
            <w:tcW w:w="930" w:type="dxa"/>
            <w:vAlign w:val="center"/>
          </w:tcPr>
          <w:p w:rsidR="0061708B" w:rsidRPr="002E6ECA" w:rsidRDefault="0061708B" w:rsidP="00E009ED">
            <w:pPr>
              <w:tabs>
                <w:tab w:val="left" w:pos="1260"/>
              </w:tabs>
              <w:spacing w:line="360" w:lineRule="auto"/>
              <w:jc w:val="center"/>
              <w:rPr>
                <w:sz w:val="28"/>
                <w:szCs w:val="28"/>
                <w:lang w:val="uk-UA"/>
              </w:rPr>
            </w:pPr>
            <w:r w:rsidRPr="002E6ECA">
              <w:rPr>
                <w:sz w:val="28"/>
                <w:szCs w:val="28"/>
                <w:lang w:val="uk-UA"/>
              </w:rPr>
              <w:t>6</w:t>
            </w:r>
          </w:p>
        </w:tc>
        <w:tc>
          <w:tcPr>
            <w:tcW w:w="930" w:type="dxa"/>
            <w:vAlign w:val="center"/>
          </w:tcPr>
          <w:p w:rsidR="0061708B" w:rsidRPr="002E6ECA" w:rsidRDefault="0061708B" w:rsidP="00E009ED">
            <w:pPr>
              <w:tabs>
                <w:tab w:val="left" w:pos="1260"/>
              </w:tabs>
              <w:spacing w:line="360" w:lineRule="auto"/>
              <w:jc w:val="center"/>
              <w:rPr>
                <w:sz w:val="28"/>
                <w:szCs w:val="28"/>
                <w:lang w:val="uk-UA"/>
              </w:rPr>
            </w:pPr>
            <w:r w:rsidRPr="002E6ECA">
              <w:rPr>
                <w:sz w:val="28"/>
                <w:szCs w:val="28"/>
                <w:lang w:val="uk-UA"/>
              </w:rPr>
              <w:t>7</w:t>
            </w:r>
          </w:p>
        </w:tc>
        <w:tc>
          <w:tcPr>
            <w:tcW w:w="930" w:type="dxa"/>
            <w:vAlign w:val="center"/>
          </w:tcPr>
          <w:p w:rsidR="0061708B" w:rsidRPr="002E6ECA" w:rsidRDefault="0061708B" w:rsidP="00E009ED">
            <w:pPr>
              <w:tabs>
                <w:tab w:val="left" w:pos="1260"/>
              </w:tabs>
              <w:spacing w:line="360" w:lineRule="auto"/>
              <w:jc w:val="center"/>
              <w:rPr>
                <w:sz w:val="28"/>
                <w:szCs w:val="28"/>
                <w:lang w:val="uk-UA"/>
              </w:rPr>
            </w:pPr>
            <w:r w:rsidRPr="002E6ECA">
              <w:rPr>
                <w:sz w:val="28"/>
                <w:szCs w:val="28"/>
                <w:lang w:val="uk-UA"/>
              </w:rPr>
              <w:t>8</w:t>
            </w:r>
          </w:p>
        </w:tc>
        <w:tc>
          <w:tcPr>
            <w:tcW w:w="904" w:type="dxa"/>
            <w:vAlign w:val="center"/>
          </w:tcPr>
          <w:p w:rsidR="0061708B" w:rsidRPr="002E6ECA" w:rsidRDefault="0061708B" w:rsidP="00E009ED">
            <w:pPr>
              <w:tabs>
                <w:tab w:val="left" w:pos="1260"/>
              </w:tabs>
              <w:spacing w:line="360" w:lineRule="auto"/>
              <w:jc w:val="center"/>
              <w:rPr>
                <w:sz w:val="28"/>
                <w:szCs w:val="28"/>
                <w:lang w:val="uk-UA"/>
              </w:rPr>
            </w:pPr>
            <w:r w:rsidRPr="002E6ECA">
              <w:rPr>
                <w:sz w:val="28"/>
                <w:szCs w:val="28"/>
                <w:lang w:val="uk-UA"/>
              </w:rPr>
              <w:t>9</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rPr>
                <w:sz w:val="28"/>
                <w:szCs w:val="28"/>
                <w:lang w:val="uk-UA"/>
              </w:rPr>
            </w:pPr>
            <w:r w:rsidRPr="002E6ECA">
              <w:rPr>
                <w:sz w:val="28"/>
                <w:szCs w:val="28"/>
                <w:lang w:val="uk-UA"/>
              </w:rPr>
              <w:t>Мови і літератури</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10,5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10,5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9,5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9</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9</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12,5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12,5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11,5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11</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11</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Суспільствознав</w:t>
            </w:r>
            <w:r w:rsidR="00E22F2B" w:rsidRPr="002E6ECA">
              <w:rPr>
                <w:sz w:val="28"/>
                <w:szCs w:val="28"/>
                <w:lang w:val="uk-UA"/>
              </w:rPr>
              <w:t>-</w:t>
            </w:r>
            <w:r w:rsidRPr="002E6ECA">
              <w:rPr>
                <w:sz w:val="28"/>
                <w:szCs w:val="28"/>
                <w:lang w:val="uk-UA"/>
              </w:rPr>
              <w:t>ство</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2,5</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Мистецтво </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1</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0,5</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Математика</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Природознавство</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7,5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8</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8,5</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8</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8</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8,5</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Технології </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Здоров’я і фізична культура</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4</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r>
      <w:tr w:rsidR="0061708B" w:rsidRPr="002E6ECA" w:rsidTr="00D241DB">
        <w:trPr>
          <w:trHeight w:val="513"/>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Додатковий час</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w:t>
            </w:r>
          </w:p>
        </w:tc>
      </w:tr>
      <w:tr w:rsidR="0061708B" w:rsidRPr="002E6ECA" w:rsidTr="00D241DB">
        <w:trPr>
          <w:trHeight w:val="513"/>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2</w:t>
            </w:r>
          </w:p>
        </w:tc>
      </w:tr>
      <w:tr w:rsidR="0061708B" w:rsidRPr="002E6ECA" w:rsidTr="00D241DB">
        <w:trPr>
          <w:jc w:val="center"/>
        </w:trPr>
        <w:tc>
          <w:tcPr>
            <w:tcW w:w="2376" w:type="dxa"/>
            <w:vMerge w:val="restart"/>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Сумарна кількість навчальних годин</w:t>
            </w: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Традиційна</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30</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33</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34,5</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36</w:t>
            </w:r>
          </w:p>
        </w:tc>
      </w:tr>
      <w:tr w:rsidR="0061708B" w:rsidRPr="002E6ECA" w:rsidTr="00D241DB">
        <w:trPr>
          <w:jc w:val="center"/>
        </w:trPr>
        <w:tc>
          <w:tcPr>
            <w:tcW w:w="2376" w:type="dxa"/>
            <w:vMerge/>
          </w:tcPr>
          <w:p w:rsidR="0061708B" w:rsidRPr="002E6ECA" w:rsidRDefault="0061708B" w:rsidP="00D241DB">
            <w:pPr>
              <w:tabs>
                <w:tab w:val="left" w:pos="1260"/>
              </w:tabs>
              <w:spacing w:line="312" w:lineRule="auto"/>
              <w:jc w:val="both"/>
              <w:rPr>
                <w:sz w:val="28"/>
                <w:szCs w:val="28"/>
                <w:lang w:val="uk-UA"/>
              </w:rPr>
            </w:pPr>
          </w:p>
        </w:tc>
        <w:tc>
          <w:tcPr>
            <w:tcW w:w="2229" w:type="dxa"/>
          </w:tcPr>
          <w:p w:rsidR="0061708B" w:rsidRPr="002E6ECA" w:rsidRDefault="0061708B" w:rsidP="00D241DB">
            <w:pPr>
              <w:tabs>
                <w:tab w:val="left" w:pos="1260"/>
              </w:tabs>
              <w:spacing w:line="312" w:lineRule="auto"/>
              <w:jc w:val="both"/>
              <w:rPr>
                <w:sz w:val="28"/>
                <w:szCs w:val="28"/>
                <w:lang w:val="uk-UA"/>
              </w:rPr>
            </w:pPr>
            <w:r w:rsidRPr="002E6ECA">
              <w:rPr>
                <w:sz w:val="28"/>
                <w:szCs w:val="28"/>
                <w:lang w:val="uk-UA"/>
              </w:rPr>
              <w:t xml:space="preserve">Меритократична </w:t>
            </w:r>
          </w:p>
        </w:tc>
        <w:tc>
          <w:tcPr>
            <w:tcW w:w="929"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31</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34</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35</w:t>
            </w:r>
          </w:p>
        </w:tc>
        <w:tc>
          <w:tcPr>
            <w:tcW w:w="930"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36</w:t>
            </w:r>
          </w:p>
        </w:tc>
        <w:tc>
          <w:tcPr>
            <w:tcW w:w="904" w:type="dxa"/>
            <w:vAlign w:val="center"/>
          </w:tcPr>
          <w:p w:rsidR="0061708B" w:rsidRPr="002E6ECA" w:rsidRDefault="0061708B" w:rsidP="00D241DB">
            <w:pPr>
              <w:spacing w:line="312" w:lineRule="auto"/>
              <w:jc w:val="center"/>
              <w:rPr>
                <w:sz w:val="28"/>
                <w:szCs w:val="28"/>
                <w:lang w:val="uk-UA"/>
              </w:rPr>
            </w:pPr>
            <w:r w:rsidRPr="002E6ECA">
              <w:rPr>
                <w:sz w:val="28"/>
                <w:szCs w:val="28"/>
                <w:lang w:val="uk-UA"/>
              </w:rPr>
              <w:t>36</w:t>
            </w:r>
          </w:p>
        </w:tc>
      </w:tr>
    </w:tbl>
    <w:p w:rsidR="0061708B" w:rsidRPr="002E6ECA" w:rsidRDefault="0061708B" w:rsidP="00E009ED">
      <w:pPr>
        <w:tabs>
          <w:tab w:val="left" w:pos="1260"/>
        </w:tabs>
        <w:ind w:firstLine="709"/>
        <w:jc w:val="both"/>
        <w:rPr>
          <w:lang w:val="uk-UA"/>
        </w:rPr>
      </w:pPr>
      <w:r w:rsidRPr="002E6ECA">
        <w:rPr>
          <w:lang w:val="uk-UA"/>
        </w:rPr>
        <w:t>Примітка: додатковий час призначений для проведення додаткових навчальних предметів, факультативів, індивідуальних занять та консультацій</w:t>
      </w:r>
    </w:p>
    <w:p w:rsidR="0061708B" w:rsidRPr="002E6ECA" w:rsidRDefault="0061708B" w:rsidP="0061708B">
      <w:pPr>
        <w:tabs>
          <w:tab w:val="left" w:pos="1260"/>
        </w:tabs>
        <w:spacing w:line="360" w:lineRule="auto"/>
        <w:ind w:firstLine="709"/>
        <w:jc w:val="both"/>
        <w:rPr>
          <w:sz w:val="28"/>
          <w:szCs w:val="28"/>
          <w:lang w:val="uk-UA"/>
        </w:rPr>
      </w:pPr>
    </w:p>
    <w:p w:rsidR="00D241DB" w:rsidRPr="002E6ECA" w:rsidRDefault="00D241DB" w:rsidP="00D241DB">
      <w:pPr>
        <w:tabs>
          <w:tab w:val="left" w:pos="1260"/>
        </w:tabs>
        <w:spacing w:line="360" w:lineRule="auto"/>
        <w:ind w:firstLine="709"/>
        <w:jc w:val="both"/>
        <w:rPr>
          <w:sz w:val="28"/>
          <w:szCs w:val="28"/>
          <w:lang w:val="uk-UA"/>
        </w:rPr>
      </w:pPr>
      <w:r w:rsidRPr="002E6ECA">
        <w:rPr>
          <w:sz w:val="28"/>
          <w:szCs w:val="28"/>
          <w:lang w:val="uk-UA"/>
        </w:rPr>
        <w:t>Порівняння обсягу навчального навантаження за вимогами нового стандарту базової освіти [</w:t>
      </w:r>
      <w:r w:rsidR="0029222F" w:rsidRPr="002E6ECA">
        <w:rPr>
          <w:sz w:val="28"/>
          <w:szCs w:val="28"/>
          <w:lang w:val="uk-UA"/>
        </w:rPr>
        <w:t>192</w:t>
      </w:r>
      <w:r w:rsidRPr="002E6ECA">
        <w:rPr>
          <w:sz w:val="28"/>
          <w:szCs w:val="28"/>
          <w:lang w:val="uk-UA"/>
        </w:rPr>
        <w:t>] із меритократичною освітою, яка характеризується умовам інтенсифікації освітнього процесу, встановило, що :</w:t>
      </w:r>
    </w:p>
    <w:p w:rsidR="00D241DB" w:rsidRPr="002E6ECA" w:rsidRDefault="00D241DB" w:rsidP="009A2CF7">
      <w:pPr>
        <w:pStyle w:val="a3"/>
        <w:numPr>
          <w:ilvl w:val="0"/>
          <w:numId w:val="51"/>
        </w:numPr>
        <w:tabs>
          <w:tab w:val="left" w:pos="1260"/>
        </w:tabs>
        <w:spacing w:line="360" w:lineRule="auto"/>
        <w:ind w:left="0" w:firstLine="709"/>
        <w:jc w:val="both"/>
        <w:rPr>
          <w:sz w:val="28"/>
          <w:szCs w:val="28"/>
          <w:lang w:val="uk-UA"/>
        </w:rPr>
      </w:pPr>
      <w:r w:rsidRPr="002E6ECA">
        <w:rPr>
          <w:sz w:val="28"/>
          <w:szCs w:val="28"/>
          <w:lang w:val="uk-UA"/>
        </w:rPr>
        <w:lastRenderedPageBreak/>
        <w:t>загальний обсяг навантаження упродовж навчання у базовій школі дорівнює такому при впровадженні нового держстандарту;</w:t>
      </w:r>
    </w:p>
    <w:p w:rsidR="00D241DB" w:rsidRPr="002E6ECA" w:rsidRDefault="00D241DB" w:rsidP="009A2CF7">
      <w:pPr>
        <w:pStyle w:val="a3"/>
        <w:numPr>
          <w:ilvl w:val="0"/>
          <w:numId w:val="51"/>
        </w:numPr>
        <w:tabs>
          <w:tab w:val="left" w:pos="1260"/>
        </w:tabs>
        <w:spacing w:line="360" w:lineRule="auto"/>
        <w:ind w:left="0" w:firstLine="709"/>
        <w:jc w:val="both"/>
        <w:rPr>
          <w:sz w:val="28"/>
          <w:szCs w:val="28"/>
          <w:lang w:val="uk-UA"/>
        </w:rPr>
      </w:pPr>
      <w:r w:rsidRPr="002E6ECA">
        <w:rPr>
          <w:sz w:val="28"/>
          <w:szCs w:val="28"/>
          <w:lang w:val="uk-UA"/>
        </w:rPr>
        <w:t xml:space="preserve">за математичною освітньою галуззю нижчий за рекомендований в рамках НУШ; </w:t>
      </w:r>
    </w:p>
    <w:p w:rsidR="00D241DB" w:rsidRPr="002E6ECA" w:rsidRDefault="00D241DB" w:rsidP="009A2CF7">
      <w:pPr>
        <w:pStyle w:val="a3"/>
        <w:numPr>
          <w:ilvl w:val="0"/>
          <w:numId w:val="51"/>
        </w:numPr>
        <w:tabs>
          <w:tab w:val="left" w:pos="1260"/>
        </w:tabs>
        <w:spacing w:line="360" w:lineRule="auto"/>
        <w:ind w:left="0" w:firstLine="709"/>
        <w:jc w:val="both"/>
        <w:rPr>
          <w:sz w:val="28"/>
          <w:szCs w:val="28"/>
          <w:lang w:val="uk-UA"/>
        </w:rPr>
      </w:pPr>
      <w:r w:rsidRPr="002E6ECA">
        <w:rPr>
          <w:sz w:val="28"/>
          <w:szCs w:val="28"/>
          <w:lang w:val="uk-UA"/>
        </w:rPr>
        <w:t>за мовно-літературною галуззю – досягання максимального рівня за рахунок додаткових годин англійської мови;</w:t>
      </w:r>
    </w:p>
    <w:p w:rsidR="00D241DB" w:rsidRPr="002E6ECA" w:rsidRDefault="00D241DB" w:rsidP="009A2CF7">
      <w:pPr>
        <w:pStyle w:val="a3"/>
        <w:numPr>
          <w:ilvl w:val="0"/>
          <w:numId w:val="51"/>
        </w:numPr>
        <w:tabs>
          <w:tab w:val="left" w:pos="1260"/>
        </w:tabs>
        <w:spacing w:line="360" w:lineRule="auto"/>
        <w:ind w:left="0" w:firstLine="709"/>
        <w:jc w:val="both"/>
        <w:rPr>
          <w:sz w:val="28"/>
          <w:szCs w:val="28"/>
          <w:lang w:val="uk-UA"/>
        </w:rPr>
      </w:pPr>
      <w:r w:rsidRPr="002E6ECA">
        <w:rPr>
          <w:sz w:val="28"/>
          <w:szCs w:val="28"/>
          <w:lang w:val="uk-UA"/>
        </w:rPr>
        <w:t>за природничою – максимального рівня у 5-6-му класах та рекомендованого – у 7-му та мінімального – на 8-9-му роках навчання.</w:t>
      </w:r>
    </w:p>
    <w:p w:rsidR="0061708B" w:rsidRPr="002E6ECA" w:rsidRDefault="0061708B" w:rsidP="0061708B">
      <w:pPr>
        <w:tabs>
          <w:tab w:val="left" w:pos="1260"/>
        </w:tabs>
        <w:spacing w:line="360" w:lineRule="auto"/>
        <w:ind w:firstLine="851"/>
        <w:jc w:val="both"/>
        <w:rPr>
          <w:sz w:val="28"/>
          <w:szCs w:val="28"/>
          <w:lang w:val="uk-UA"/>
        </w:rPr>
      </w:pPr>
      <w:r w:rsidRPr="002E6ECA">
        <w:rPr>
          <w:spacing w:val="-4"/>
          <w:sz w:val="28"/>
          <w:szCs w:val="28"/>
          <w:lang w:val="uk-UA"/>
        </w:rPr>
        <w:t xml:space="preserve">Крім того одним з міжгалузевих інтегрованих курсів за новим стандартом освіти постає STEM, що позиціонується у програмі «Інтелект України» як провідний тренд модернізації національних освітніх систем для підготовки фахівців у галузі сonverging NBIC-технологій і забезпечує принцип фундаменталізації та безперервності освіти (з дошкільного віку до студентства і майбутньої кар’єри), розвиток інтересу учнів до англійської мови та навчальних предметів природничо-математичного циклу, формування у школярів  взаємопов’язаних концептуальної, стратегічної, когнітивної, операційної, аксіологічної компетентностей, інтеграція за темами (не предметами як за традиційному навчанні), формування винахідницьких навичок та їх практична </w:t>
      </w:r>
      <w:r w:rsidRPr="002E6ECA">
        <w:rPr>
          <w:spacing w:val="-6"/>
          <w:sz w:val="28"/>
          <w:szCs w:val="28"/>
          <w:lang w:val="uk-UA"/>
        </w:rPr>
        <w:t>спрямованість. Цей проєкт націлений в першу чергу на академічно здібних учнів ЗЗСО в умовах проблематизації, актуалізації та поглиблення освітнього середовища, концептуальною основою якого постає теорія меритократичної освіти, що призначена для виховання інтелектуальної еліти нації [</w:t>
      </w:r>
      <w:r w:rsidR="0029222F" w:rsidRPr="002E6ECA">
        <w:rPr>
          <w:sz w:val="28"/>
          <w:szCs w:val="28"/>
          <w:lang w:val="uk-UA"/>
        </w:rPr>
        <w:t>36, 52, 100, 267</w:t>
      </w:r>
      <w:r w:rsidRPr="002E6ECA">
        <w:rPr>
          <w:spacing w:val="-6"/>
          <w:sz w:val="28"/>
          <w:szCs w:val="28"/>
          <w:lang w:val="uk-UA"/>
        </w:rPr>
        <w:t xml:space="preserve">]. </w:t>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 xml:space="preserve">Проведено експертизу розкладу занять учнів базової школи упродовж </w:t>
      </w:r>
      <w:r w:rsidR="00D26A8B" w:rsidRPr="002E6ECA">
        <w:rPr>
          <w:sz w:val="28"/>
          <w:szCs w:val="28"/>
          <w:lang w:val="uk-UA"/>
        </w:rPr>
        <w:t xml:space="preserve">навчання. Встановлено, що </w:t>
      </w:r>
      <w:r w:rsidRPr="002E6ECA">
        <w:rPr>
          <w:sz w:val="28"/>
          <w:szCs w:val="28"/>
          <w:lang w:val="uk-UA"/>
        </w:rPr>
        <w:t>тижнев</w:t>
      </w:r>
      <w:r w:rsidR="00D26A8B" w:rsidRPr="002E6ECA">
        <w:rPr>
          <w:sz w:val="28"/>
          <w:szCs w:val="28"/>
          <w:lang w:val="uk-UA"/>
        </w:rPr>
        <w:t>е навчальне</w:t>
      </w:r>
      <w:r w:rsidRPr="002E6ECA">
        <w:rPr>
          <w:sz w:val="28"/>
          <w:szCs w:val="28"/>
          <w:lang w:val="uk-UA"/>
        </w:rPr>
        <w:t xml:space="preserve"> навантаження учнів у різних ЗЗСО був однаковим для учнів одного року навчання </w:t>
      </w:r>
      <w:r w:rsidR="00D26A8B" w:rsidRPr="002E6ECA">
        <w:rPr>
          <w:sz w:val="28"/>
          <w:szCs w:val="28"/>
          <w:lang w:val="uk-UA"/>
        </w:rPr>
        <w:t xml:space="preserve">та у 5-8 класах перевищував гранично допустиме згідно з типовою освітньою програмою </w:t>
      </w:r>
      <w:r w:rsidRPr="002E6ECA">
        <w:rPr>
          <w:sz w:val="28"/>
          <w:szCs w:val="28"/>
          <w:lang w:val="uk-UA"/>
        </w:rPr>
        <w:t>(табл. 4.</w:t>
      </w:r>
      <w:r w:rsidR="008E671E" w:rsidRPr="002E6ECA">
        <w:rPr>
          <w:sz w:val="28"/>
          <w:szCs w:val="28"/>
          <w:lang w:val="uk-UA"/>
        </w:rPr>
        <w:t>3</w:t>
      </w:r>
      <w:r w:rsidRPr="002E6ECA">
        <w:rPr>
          <w:sz w:val="28"/>
          <w:szCs w:val="28"/>
          <w:lang w:val="uk-UA"/>
        </w:rPr>
        <w:t>)</w:t>
      </w:r>
      <w:r w:rsidR="00D26A8B" w:rsidRPr="002E6ECA">
        <w:rPr>
          <w:sz w:val="28"/>
          <w:szCs w:val="28"/>
          <w:lang w:val="uk-UA"/>
        </w:rPr>
        <w:t xml:space="preserve"> </w:t>
      </w:r>
      <w:r w:rsidR="00D26A8B" w:rsidRPr="002E6ECA">
        <w:rPr>
          <w:sz w:val="28"/>
          <w:szCs w:val="28"/>
        </w:rPr>
        <w:t>[</w:t>
      </w:r>
      <w:r w:rsidR="0029222F" w:rsidRPr="002E6ECA">
        <w:rPr>
          <w:sz w:val="28"/>
          <w:szCs w:val="28"/>
          <w:lang w:val="uk-UA"/>
        </w:rPr>
        <w:t>137</w:t>
      </w:r>
      <w:r w:rsidR="00D26A8B" w:rsidRPr="002E6ECA">
        <w:rPr>
          <w:sz w:val="28"/>
          <w:szCs w:val="28"/>
        </w:rPr>
        <w:t>]</w:t>
      </w:r>
      <w:r w:rsidRPr="002E6ECA">
        <w:rPr>
          <w:sz w:val="28"/>
          <w:szCs w:val="28"/>
          <w:lang w:val="uk-UA"/>
        </w:rPr>
        <w:t>.</w:t>
      </w:r>
    </w:p>
    <w:p w:rsidR="002C00B3" w:rsidRPr="002E6ECA" w:rsidRDefault="002C00B3" w:rsidP="002C00B3">
      <w:pPr>
        <w:tabs>
          <w:tab w:val="left" w:pos="1260"/>
        </w:tabs>
        <w:spacing w:line="360" w:lineRule="auto"/>
        <w:ind w:firstLine="709"/>
        <w:jc w:val="both"/>
        <w:rPr>
          <w:sz w:val="28"/>
          <w:szCs w:val="28"/>
          <w:lang w:val="uk-UA"/>
        </w:rPr>
      </w:pPr>
      <w:r w:rsidRPr="002E6ECA">
        <w:rPr>
          <w:sz w:val="28"/>
          <w:szCs w:val="28"/>
          <w:lang w:val="uk-UA"/>
        </w:rPr>
        <w:t xml:space="preserve">Проаналізовано обсяг рівню навчального навантаження при навчанні за різними системами та навчально-педагогічними проєктами відповідно за шкалою важкості предметів (рис. 4.1-4.2) </w:t>
      </w:r>
      <w:r w:rsidRPr="002E6ECA">
        <w:rPr>
          <w:sz w:val="28"/>
          <w:szCs w:val="28"/>
        </w:rPr>
        <w:t>[</w:t>
      </w:r>
      <w:r w:rsidR="0029222F" w:rsidRPr="002E6ECA">
        <w:rPr>
          <w:sz w:val="28"/>
          <w:szCs w:val="28"/>
          <w:lang w:val="uk-UA"/>
        </w:rPr>
        <w:t>123</w:t>
      </w:r>
      <w:r w:rsidRPr="002E6ECA">
        <w:rPr>
          <w:sz w:val="28"/>
          <w:szCs w:val="28"/>
        </w:rPr>
        <w:t>]</w:t>
      </w:r>
      <w:r w:rsidRPr="002E6ECA">
        <w:rPr>
          <w:sz w:val="28"/>
          <w:szCs w:val="28"/>
          <w:lang w:val="uk-UA"/>
        </w:rPr>
        <w:t xml:space="preserve">. </w:t>
      </w:r>
    </w:p>
    <w:p w:rsidR="00671012" w:rsidRPr="002E6ECA" w:rsidRDefault="00671012" w:rsidP="00671012">
      <w:pPr>
        <w:tabs>
          <w:tab w:val="left" w:pos="1260"/>
        </w:tabs>
        <w:spacing w:line="360" w:lineRule="auto"/>
        <w:ind w:firstLine="709"/>
        <w:jc w:val="right"/>
        <w:rPr>
          <w:sz w:val="28"/>
          <w:szCs w:val="28"/>
          <w:lang w:val="uk-UA"/>
        </w:rPr>
      </w:pPr>
      <w:r w:rsidRPr="002E6ECA">
        <w:rPr>
          <w:i/>
          <w:sz w:val="28"/>
          <w:szCs w:val="28"/>
          <w:lang w:val="uk-UA"/>
        </w:rPr>
        <w:lastRenderedPageBreak/>
        <w:t>Таблиця 4.</w:t>
      </w:r>
      <w:r w:rsidR="008E671E" w:rsidRPr="002E6ECA">
        <w:rPr>
          <w:i/>
          <w:sz w:val="28"/>
          <w:szCs w:val="28"/>
          <w:lang w:val="uk-UA"/>
        </w:rPr>
        <w:t>3</w:t>
      </w:r>
      <w:r w:rsidRPr="002E6ECA">
        <w:rPr>
          <w:sz w:val="28"/>
          <w:szCs w:val="28"/>
          <w:lang w:val="uk-UA"/>
        </w:rPr>
        <w:t xml:space="preserve"> </w:t>
      </w:r>
    </w:p>
    <w:p w:rsidR="00671012" w:rsidRPr="002E6ECA" w:rsidRDefault="00671012" w:rsidP="00C36A0D">
      <w:pPr>
        <w:tabs>
          <w:tab w:val="left" w:pos="1260"/>
        </w:tabs>
        <w:spacing w:line="360" w:lineRule="auto"/>
        <w:ind w:firstLine="709"/>
        <w:jc w:val="center"/>
        <w:rPr>
          <w:b/>
          <w:sz w:val="28"/>
          <w:szCs w:val="28"/>
          <w:lang w:val="uk-UA"/>
        </w:rPr>
      </w:pPr>
      <w:r w:rsidRPr="002E6ECA">
        <w:rPr>
          <w:b/>
          <w:sz w:val="28"/>
          <w:szCs w:val="28"/>
          <w:lang w:val="uk-UA"/>
        </w:rPr>
        <w:t xml:space="preserve">Обсяг тижневого навантаження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4"/>
        <w:gridCol w:w="1606"/>
        <w:gridCol w:w="1564"/>
        <w:gridCol w:w="1564"/>
        <w:gridCol w:w="1606"/>
        <w:gridCol w:w="1606"/>
      </w:tblGrid>
      <w:tr w:rsidR="005D2D04" w:rsidRPr="002E6ECA" w:rsidTr="00D241DB">
        <w:trPr>
          <w:trHeight w:val="137"/>
        </w:trPr>
        <w:tc>
          <w:tcPr>
            <w:tcW w:w="1564" w:type="dxa"/>
            <w:vMerge w:val="restart"/>
            <w:shd w:val="clear" w:color="auto" w:fill="auto"/>
            <w:noWrap/>
          </w:tcPr>
          <w:p w:rsidR="005D2D04" w:rsidRPr="002E6ECA" w:rsidRDefault="005D2D04" w:rsidP="00D26A8B">
            <w:pPr>
              <w:tabs>
                <w:tab w:val="left" w:pos="1260"/>
              </w:tabs>
              <w:spacing w:line="276" w:lineRule="auto"/>
              <w:jc w:val="both"/>
              <w:rPr>
                <w:sz w:val="28"/>
                <w:szCs w:val="28"/>
                <w:lang w:val="uk-UA"/>
              </w:rPr>
            </w:pPr>
            <w:r w:rsidRPr="002E6ECA">
              <w:rPr>
                <w:sz w:val="28"/>
                <w:szCs w:val="28"/>
                <w:lang w:val="uk-UA"/>
              </w:rPr>
              <w:t>Заклад осв</w:t>
            </w:r>
            <w:r w:rsidR="00D26A8B" w:rsidRPr="002E6ECA">
              <w:rPr>
                <w:sz w:val="28"/>
                <w:szCs w:val="28"/>
                <w:lang w:val="uk-UA"/>
              </w:rPr>
              <w:t>іт</w:t>
            </w:r>
            <w:r w:rsidRPr="002E6ECA">
              <w:rPr>
                <w:sz w:val="28"/>
                <w:szCs w:val="28"/>
                <w:lang w:val="uk-UA"/>
              </w:rPr>
              <w:t>и</w:t>
            </w:r>
          </w:p>
        </w:tc>
        <w:tc>
          <w:tcPr>
            <w:tcW w:w="7946" w:type="dxa"/>
            <w:gridSpan w:val="5"/>
            <w:shd w:val="clear" w:color="auto" w:fill="auto"/>
            <w:noWrap/>
            <w:vAlign w:val="center"/>
          </w:tcPr>
          <w:p w:rsidR="005D2D04" w:rsidRPr="002E6ECA" w:rsidRDefault="005D2D04" w:rsidP="00D241DB">
            <w:pPr>
              <w:tabs>
                <w:tab w:val="left" w:pos="1260"/>
              </w:tabs>
              <w:spacing w:line="360" w:lineRule="auto"/>
              <w:jc w:val="center"/>
              <w:rPr>
                <w:sz w:val="28"/>
                <w:szCs w:val="28"/>
                <w:lang w:val="uk-UA"/>
              </w:rPr>
            </w:pPr>
            <w:r w:rsidRPr="002E6ECA">
              <w:rPr>
                <w:sz w:val="28"/>
                <w:szCs w:val="28"/>
                <w:lang w:val="uk-UA"/>
              </w:rPr>
              <w:t>Кількість годин на тиждень у класах</w:t>
            </w:r>
          </w:p>
        </w:tc>
      </w:tr>
      <w:tr w:rsidR="005D2D04" w:rsidRPr="002E6ECA" w:rsidTr="00D26A8B">
        <w:trPr>
          <w:trHeight w:val="312"/>
        </w:trPr>
        <w:tc>
          <w:tcPr>
            <w:tcW w:w="1564" w:type="dxa"/>
            <w:vMerge/>
            <w:shd w:val="clear" w:color="auto" w:fill="auto"/>
            <w:noWrap/>
            <w:hideMark/>
          </w:tcPr>
          <w:p w:rsidR="005D2D04" w:rsidRPr="002E6ECA" w:rsidRDefault="005D2D04" w:rsidP="00671012">
            <w:pPr>
              <w:tabs>
                <w:tab w:val="left" w:pos="1260"/>
              </w:tabs>
              <w:spacing w:line="360" w:lineRule="auto"/>
              <w:jc w:val="both"/>
              <w:rPr>
                <w:sz w:val="28"/>
                <w:szCs w:val="28"/>
                <w:lang w:val="uk-UA"/>
              </w:rPr>
            </w:pPr>
          </w:p>
        </w:tc>
        <w:tc>
          <w:tcPr>
            <w:tcW w:w="1606" w:type="dxa"/>
            <w:shd w:val="clear" w:color="auto" w:fill="auto"/>
            <w:noWrap/>
            <w:vAlign w:val="center"/>
            <w:hideMark/>
          </w:tcPr>
          <w:p w:rsidR="005D2D04" w:rsidRPr="002E6ECA" w:rsidRDefault="005D2D04" w:rsidP="005D2D04">
            <w:pPr>
              <w:tabs>
                <w:tab w:val="left" w:pos="1260"/>
              </w:tabs>
              <w:spacing w:line="360" w:lineRule="auto"/>
              <w:jc w:val="center"/>
              <w:rPr>
                <w:sz w:val="28"/>
                <w:szCs w:val="28"/>
                <w:lang w:val="uk-UA"/>
              </w:rPr>
            </w:pPr>
            <w:r w:rsidRPr="002E6ECA">
              <w:rPr>
                <w:sz w:val="28"/>
                <w:szCs w:val="28"/>
                <w:lang w:val="uk-UA"/>
              </w:rPr>
              <w:t>5-й</w:t>
            </w:r>
          </w:p>
        </w:tc>
        <w:tc>
          <w:tcPr>
            <w:tcW w:w="1564" w:type="dxa"/>
            <w:shd w:val="clear" w:color="auto" w:fill="auto"/>
            <w:noWrap/>
            <w:vAlign w:val="center"/>
            <w:hideMark/>
          </w:tcPr>
          <w:p w:rsidR="005D2D04" w:rsidRPr="002E6ECA" w:rsidRDefault="005D2D04" w:rsidP="005D2D04">
            <w:pPr>
              <w:tabs>
                <w:tab w:val="left" w:pos="1260"/>
              </w:tabs>
              <w:spacing w:line="360" w:lineRule="auto"/>
              <w:jc w:val="center"/>
              <w:rPr>
                <w:sz w:val="28"/>
                <w:szCs w:val="28"/>
                <w:lang w:val="uk-UA"/>
              </w:rPr>
            </w:pPr>
            <w:r w:rsidRPr="002E6ECA">
              <w:rPr>
                <w:sz w:val="28"/>
                <w:szCs w:val="28"/>
                <w:lang w:val="uk-UA"/>
              </w:rPr>
              <w:t>6-й</w:t>
            </w:r>
          </w:p>
        </w:tc>
        <w:tc>
          <w:tcPr>
            <w:tcW w:w="1564" w:type="dxa"/>
            <w:shd w:val="clear" w:color="auto" w:fill="auto"/>
            <w:noWrap/>
            <w:vAlign w:val="center"/>
            <w:hideMark/>
          </w:tcPr>
          <w:p w:rsidR="005D2D04" w:rsidRPr="002E6ECA" w:rsidRDefault="005D2D04" w:rsidP="005D2D04">
            <w:pPr>
              <w:tabs>
                <w:tab w:val="left" w:pos="1260"/>
              </w:tabs>
              <w:spacing w:line="360" w:lineRule="auto"/>
              <w:jc w:val="center"/>
              <w:rPr>
                <w:sz w:val="28"/>
                <w:szCs w:val="28"/>
                <w:lang w:val="uk-UA"/>
              </w:rPr>
            </w:pPr>
            <w:r w:rsidRPr="002E6ECA">
              <w:rPr>
                <w:sz w:val="28"/>
                <w:szCs w:val="28"/>
                <w:lang w:val="uk-UA"/>
              </w:rPr>
              <w:t>7-й</w:t>
            </w:r>
          </w:p>
        </w:tc>
        <w:tc>
          <w:tcPr>
            <w:tcW w:w="1606" w:type="dxa"/>
            <w:shd w:val="clear" w:color="auto" w:fill="auto"/>
            <w:noWrap/>
            <w:vAlign w:val="center"/>
            <w:hideMark/>
          </w:tcPr>
          <w:p w:rsidR="005D2D04" w:rsidRPr="002E6ECA" w:rsidRDefault="005D2D04" w:rsidP="005D2D04">
            <w:pPr>
              <w:tabs>
                <w:tab w:val="left" w:pos="1260"/>
              </w:tabs>
              <w:spacing w:line="360" w:lineRule="auto"/>
              <w:jc w:val="center"/>
              <w:rPr>
                <w:sz w:val="28"/>
                <w:szCs w:val="28"/>
                <w:lang w:val="uk-UA"/>
              </w:rPr>
            </w:pPr>
            <w:r w:rsidRPr="002E6ECA">
              <w:rPr>
                <w:sz w:val="28"/>
                <w:szCs w:val="28"/>
                <w:lang w:val="uk-UA"/>
              </w:rPr>
              <w:t>8-й</w:t>
            </w:r>
          </w:p>
        </w:tc>
        <w:tc>
          <w:tcPr>
            <w:tcW w:w="1606" w:type="dxa"/>
            <w:shd w:val="clear" w:color="auto" w:fill="auto"/>
            <w:noWrap/>
            <w:vAlign w:val="center"/>
            <w:hideMark/>
          </w:tcPr>
          <w:p w:rsidR="005D2D04" w:rsidRPr="002E6ECA" w:rsidRDefault="005D2D04" w:rsidP="005D2D04">
            <w:pPr>
              <w:tabs>
                <w:tab w:val="left" w:pos="1260"/>
              </w:tabs>
              <w:spacing w:line="360" w:lineRule="auto"/>
              <w:jc w:val="center"/>
              <w:rPr>
                <w:sz w:val="28"/>
                <w:szCs w:val="28"/>
                <w:lang w:val="uk-UA"/>
              </w:rPr>
            </w:pPr>
            <w:r w:rsidRPr="002E6ECA">
              <w:rPr>
                <w:sz w:val="28"/>
                <w:szCs w:val="28"/>
                <w:lang w:val="uk-UA"/>
              </w:rPr>
              <w:t>9-й</w:t>
            </w:r>
          </w:p>
        </w:tc>
      </w:tr>
      <w:tr w:rsidR="00671012" w:rsidRPr="002E6ECA" w:rsidTr="005D2D04">
        <w:trPr>
          <w:trHeight w:val="137"/>
        </w:trPr>
        <w:tc>
          <w:tcPr>
            <w:tcW w:w="1564" w:type="dxa"/>
            <w:shd w:val="clear" w:color="auto" w:fill="auto"/>
            <w:noWrap/>
            <w:hideMark/>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ЗЗСО 1</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31,8</w:t>
            </w:r>
          </w:p>
        </w:tc>
        <w:tc>
          <w:tcPr>
            <w:tcW w:w="1564"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33,8</w:t>
            </w:r>
          </w:p>
        </w:tc>
        <w:tc>
          <w:tcPr>
            <w:tcW w:w="1564"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34,5</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36,0</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36,0</w:t>
            </w:r>
          </w:p>
        </w:tc>
      </w:tr>
      <w:tr w:rsidR="00671012" w:rsidRPr="002E6ECA" w:rsidTr="005D2D04">
        <w:trPr>
          <w:trHeight w:val="137"/>
        </w:trPr>
        <w:tc>
          <w:tcPr>
            <w:tcW w:w="1564" w:type="dxa"/>
            <w:shd w:val="clear" w:color="auto" w:fill="auto"/>
            <w:noWrap/>
            <w:hideMark/>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ЗЗСО 2</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30,8</w:t>
            </w:r>
          </w:p>
        </w:tc>
        <w:tc>
          <w:tcPr>
            <w:tcW w:w="1564"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33,8</w:t>
            </w:r>
          </w:p>
        </w:tc>
        <w:tc>
          <w:tcPr>
            <w:tcW w:w="1564"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35,0</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35,7</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36,0</w:t>
            </w:r>
          </w:p>
        </w:tc>
      </w:tr>
      <w:tr w:rsidR="00671012" w:rsidRPr="002E6ECA" w:rsidTr="005D2D04">
        <w:trPr>
          <w:trHeight w:val="137"/>
        </w:trPr>
        <w:tc>
          <w:tcPr>
            <w:tcW w:w="1564" w:type="dxa"/>
            <w:shd w:val="clear" w:color="auto" w:fill="auto"/>
            <w:noWrap/>
            <w:hideMark/>
          </w:tcPr>
          <w:p w:rsidR="00671012" w:rsidRPr="002E6ECA" w:rsidRDefault="00671012" w:rsidP="00671012">
            <w:pPr>
              <w:tabs>
                <w:tab w:val="left" w:pos="1260"/>
              </w:tabs>
              <w:spacing w:line="360" w:lineRule="auto"/>
              <w:jc w:val="both"/>
              <w:rPr>
                <w:sz w:val="28"/>
                <w:szCs w:val="28"/>
                <w:lang w:val="uk-UA"/>
              </w:rPr>
            </w:pPr>
            <w:r w:rsidRPr="002E6ECA">
              <w:rPr>
                <w:sz w:val="28"/>
                <w:szCs w:val="28"/>
                <w:lang w:val="uk-UA"/>
              </w:rPr>
              <w:t>ЗЗСО 3</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30,7</w:t>
            </w:r>
          </w:p>
        </w:tc>
        <w:tc>
          <w:tcPr>
            <w:tcW w:w="1564"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34,0</w:t>
            </w:r>
          </w:p>
        </w:tc>
        <w:tc>
          <w:tcPr>
            <w:tcW w:w="1564"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35,0</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35,7</w:t>
            </w:r>
          </w:p>
        </w:tc>
        <w:tc>
          <w:tcPr>
            <w:tcW w:w="1606" w:type="dxa"/>
            <w:shd w:val="clear" w:color="auto" w:fill="auto"/>
            <w:noWrap/>
            <w:vAlign w:val="center"/>
            <w:hideMark/>
          </w:tcPr>
          <w:p w:rsidR="00671012" w:rsidRPr="002E6ECA" w:rsidRDefault="00671012" w:rsidP="005D2D04">
            <w:pPr>
              <w:tabs>
                <w:tab w:val="left" w:pos="1260"/>
              </w:tabs>
              <w:spacing w:line="360" w:lineRule="auto"/>
              <w:jc w:val="center"/>
              <w:rPr>
                <w:sz w:val="28"/>
                <w:szCs w:val="28"/>
                <w:lang w:val="uk-UA"/>
              </w:rPr>
            </w:pPr>
            <w:r w:rsidRPr="002E6ECA">
              <w:rPr>
                <w:sz w:val="28"/>
                <w:szCs w:val="28"/>
                <w:lang w:val="uk-UA"/>
              </w:rPr>
              <w:t>35,7</w:t>
            </w:r>
          </w:p>
        </w:tc>
      </w:tr>
    </w:tbl>
    <w:p w:rsidR="002C00B3" w:rsidRPr="002E6ECA" w:rsidRDefault="002C00B3" w:rsidP="002C00B3">
      <w:pPr>
        <w:tabs>
          <w:tab w:val="left" w:pos="1260"/>
        </w:tabs>
        <w:spacing w:line="360" w:lineRule="auto"/>
        <w:ind w:firstLine="709"/>
        <w:jc w:val="both"/>
        <w:rPr>
          <w:sz w:val="28"/>
          <w:szCs w:val="28"/>
          <w:lang w:val="uk-UA"/>
        </w:rPr>
      </w:pPr>
    </w:p>
    <w:p w:rsidR="002C00B3" w:rsidRPr="002E6ECA" w:rsidRDefault="002C00B3" w:rsidP="002C00B3">
      <w:pPr>
        <w:tabs>
          <w:tab w:val="left" w:pos="1260"/>
        </w:tabs>
        <w:spacing w:line="360" w:lineRule="auto"/>
        <w:ind w:firstLine="709"/>
        <w:jc w:val="both"/>
        <w:rPr>
          <w:sz w:val="28"/>
          <w:szCs w:val="28"/>
          <w:lang w:val="uk-UA"/>
        </w:rPr>
      </w:pPr>
      <w:r w:rsidRPr="002E6ECA">
        <w:rPr>
          <w:sz w:val="28"/>
          <w:szCs w:val="28"/>
          <w:lang w:val="uk-UA"/>
        </w:rPr>
        <w:t>Встановлено, що за умов меритократичної системи рівень навантаження за шкалою важкості навчальних предметів у 5-8 класах вища, а у 9-му класі нижча за традиційну. При цьому незалежно від системи освіти і типу навчально-педагогічного проєкту рівень навантаження зростав з 5-го до 6-го класу у середньому на 7,19 балів (найбільше за проєктом «Інтелект України»), на 2-3 бали щорічно до 8-го класу (за традиційною освітньою програмою) та незначно знижувався при переході до 9-го класу (на 1,30 балів) переважно за рахунок навчання за меритократичною системою.</w:t>
      </w:r>
    </w:p>
    <w:p w:rsidR="00073C98" w:rsidRPr="002E6ECA" w:rsidRDefault="00073C98" w:rsidP="00671012">
      <w:pPr>
        <w:tabs>
          <w:tab w:val="left" w:pos="1260"/>
        </w:tabs>
        <w:spacing w:line="360" w:lineRule="auto"/>
        <w:ind w:firstLine="709"/>
        <w:jc w:val="both"/>
        <w:rPr>
          <w:sz w:val="28"/>
          <w:szCs w:val="28"/>
          <w:lang w:val="uk-UA"/>
        </w:rPr>
      </w:pPr>
      <w:r w:rsidRPr="002E6ECA">
        <w:rPr>
          <w:noProof/>
          <w:lang w:val="uk-UA" w:eastAsia="uk-UA"/>
        </w:rPr>
        <w:drawing>
          <wp:inline distT="0" distB="0" distL="0" distR="0" wp14:anchorId="2BCCF8A3" wp14:editId="716B589B">
            <wp:extent cx="4673600" cy="3820161"/>
            <wp:effectExtent l="0" t="0" r="0" b="889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61514" t="25564" r="14627" b="15103"/>
                    <a:stretch/>
                  </pic:blipFill>
                  <pic:spPr bwMode="auto">
                    <a:xfrm>
                      <a:off x="0" y="0"/>
                      <a:ext cx="4672148" cy="3818974"/>
                    </a:xfrm>
                    <a:prstGeom prst="rect">
                      <a:avLst/>
                    </a:prstGeom>
                    <a:ln>
                      <a:noFill/>
                    </a:ln>
                    <a:extLst>
                      <a:ext uri="{53640926-AAD7-44D8-BBD7-CCE9431645EC}">
                        <a14:shadowObscured xmlns:a14="http://schemas.microsoft.com/office/drawing/2010/main"/>
                      </a:ext>
                    </a:extLst>
                  </pic:spPr>
                </pic:pic>
              </a:graphicData>
            </a:graphic>
          </wp:inline>
        </w:drawing>
      </w:r>
    </w:p>
    <w:p w:rsidR="00671012" w:rsidRPr="002E6ECA" w:rsidRDefault="00671012" w:rsidP="00671012">
      <w:pPr>
        <w:tabs>
          <w:tab w:val="left" w:pos="1260"/>
        </w:tabs>
        <w:spacing w:line="360" w:lineRule="auto"/>
        <w:ind w:firstLine="709"/>
        <w:jc w:val="both"/>
        <w:rPr>
          <w:sz w:val="28"/>
          <w:szCs w:val="28"/>
          <w:lang w:val="uk-UA"/>
        </w:rPr>
      </w:pPr>
      <w:r w:rsidRPr="002E6ECA">
        <w:rPr>
          <w:sz w:val="28"/>
          <w:szCs w:val="28"/>
          <w:lang w:val="uk-UA"/>
        </w:rPr>
        <w:t>Рис. 4.1. Рівень навантаження за різними системами освіти</w:t>
      </w:r>
    </w:p>
    <w:p w:rsidR="005414E8" w:rsidRPr="002E6ECA" w:rsidRDefault="005414E8" w:rsidP="00671012">
      <w:pPr>
        <w:tabs>
          <w:tab w:val="left" w:pos="1260"/>
        </w:tabs>
        <w:spacing w:line="360" w:lineRule="auto"/>
        <w:ind w:firstLine="709"/>
        <w:jc w:val="both"/>
        <w:rPr>
          <w:sz w:val="28"/>
          <w:szCs w:val="28"/>
          <w:lang w:val="uk-UA"/>
        </w:rPr>
      </w:pPr>
    </w:p>
    <w:p w:rsidR="00E22F2B" w:rsidRPr="002E6ECA" w:rsidRDefault="00E22F2B" w:rsidP="00E22F2B">
      <w:pPr>
        <w:spacing w:line="360" w:lineRule="auto"/>
        <w:ind w:firstLine="709"/>
        <w:jc w:val="both"/>
        <w:rPr>
          <w:sz w:val="28"/>
          <w:szCs w:val="28"/>
          <w:lang w:val="uk-UA"/>
        </w:rPr>
      </w:pPr>
      <w:r w:rsidRPr="002E6ECA">
        <w:rPr>
          <w:sz w:val="28"/>
          <w:szCs w:val="28"/>
          <w:lang w:val="uk-UA"/>
        </w:rPr>
        <w:t>Оцінка навчального розкладу за умов навчання за різних систем освіти та різних ЗЗСО встановила певні особливості та порушення. Так, виявлено факти проведення спарених уроків з математики, української та англійської мови у 5-му класі ЗЗСО 2, англійської мови – у 8-му класі ЗЗСО 3. Викладання дисциплін, що потребують підвищеного зосередження уваги (математика, фізика, хімія, англійська мова, інформатика) на 1-му та/або останньому уроці в усіх ЗЗСО. Принцип чередування предметів з різних освітніх галузей у розкладі застосовувався у ЗЗСО 1 та ЗЗСО 3.</w:t>
      </w:r>
    </w:p>
    <w:p w:rsidR="007667E2" w:rsidRPr="002E6ECA" w:rsidRDefault="007667E2" w:rsidP="007667E2">
      <w:pPr>
        <w:spacing w:line="360" w:lineRule="auto"/>
        <w:ind w:firstLine="426"/>
        <w:jc w:val="both"/>
        <w:rPr>
          <w:sz w:val="28"/>
          <w:szCs w:val="28"/>
          <w:lang w:val="uk-UA"/>
        </w:rPr>
      </w:pPr>
      <w:r w:rsidRPr="002E6ECA">
        <w:rPr>
          <w:noProof/>
          <w:lang w:val="uk-UA" w:eastAsia="uk-UA"/>
        </w:rPr>
        <w:drawing>
          <wp:inline distT="0" distB="0" distL="0" distR="0" wp14:anchorId="3E3338E1" wp14:editId="4E19F245">
            <wp:extent cx="5174098" cy="3797300"/>
            <wp:effectExtent l="0" t="0" r="762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61618" t="27142" r="14212" b="18890"/>
                    <a:stretch/>
                  </pic:blipFill>
                  <pic:spPr bwMode="auto">
                    <a:xfrm>
                      <a:off x="0" y="0"/>
                      <a:ext cx="5172603" cy="3796203"/>
                    </a:xfrm>
                    <a:prstGeom prst="rect">
                      <a:avLst/>
                    </a:prstGeom>
                    <a:ln>
                      <a:noFill/>
                    </a:ln>
                    <a:extLst>
                      <a:ext uri="{53640926-AAD7-44D8-BBD7-CCE9431645EC}">
                        <a14:shadowObscured xmlns:a14="http://schemas.microsoft.com/office/drawing/2010/main"/>
                      </a:ext>
                    </a:extLst>
                  </pic:spPr>
                </pic:pic>
              </a:graphicData>
            </a:graphic>
          </wp:inline>
        </w:drawing>
      </w:r>
    </w:p>
    <w:p w:rsidR="00C36A0D" w:rsidRPr="002E6ECA" w:rsidRDefault="00671012" w:rsidP="00C36A0D">
      <w:pPr>
        <w:spacing w:line="360" w:lineRule="auto"/>
        <w:ind w:firstLine="709"/>
        <w:rPr>
          <w:sz w:val="28"/>
          <w:szCs w:val="28"/>
          <w:lang w:val="uk-UA"/>
        </w:rPr>
      </w:pPr>
      <w:r w:rsidRPr="002E6ECA">
        <w:rPr>
          <w:sz w:val="28"/>
          <w:szCs w:val="28"/>
          <w:lang w:val="uk-UA"/>
        </w:rPr>
        <w:t>Рис. 4.2. Рівень навантаження за різними навчально-педагогічними проєктами</w:t>
      </w:r>
    </w:p>
    <w:p w:rsidR="00671012" w:rsidRPr="002E6ECA" w:rsidRDefault="00671012" w:rsidP="00671012">
      <w:pPr>
        <w:tabs>
          <w:tab w:val="left" w:pos="1260"/>
        </w:tabs>
        <w:spacing w:line="360" w:lineRule="auto"/>
        <w:ind w:firstLine="709"/>
        <w:jc w:val="both"/>
        <w:rPr>
          <w:sz w:val="28"/>
          <w:szCs w:val="28"/>
          <w:lang w:val="uk-UA"/>
        </w:rPr>
      </w:pPr>
    </w:p>
    <w:p w:rsidR="00E009ED" w:rsidRPr="002E6ECA" w:rsidRDefault="00E009ED" w:rsidP="00E009ED">
      <w:pPr>
        <w:spacing w:line="360" w:lineRule="auto"/>
        <w:ind w:firstLine="709"/>
        <w:jc w:val="both"/>
        <w:rPr>
          <w:sz w:val="28"/>
          <w:szCs w:val="28"/>
          <w:lang w:val="uk-UA"/>
        </w:rPr>
      </w:pPr>
      <w:r w:rsidRPr="002E6ECA">
        <w:rPr>
          <w:sz w:val="28"/>
          <w:szCs w:val="28"/>
          <w:lang w:val="uk-UA"/>
        </w:rPr>
        <w:t>Найбільш оптимальним був навчальний розклад у ЗЗСО 3, де впроваджувалась як традиційна, так і меритократична освіта, що свідчило про більш високу значущість підходу адміністрації освітнього закладу до правильного формування навчального навантаження учнів, ніж системи освіти.</w:t>
      </w:r>
    </w:p>
    <w:p w:rsidR="00373A9C" w:rsidRPr="002E6ECA" w:rsidRDefault="00373A9C" w:rsidP="00671012">
      <w:pPr>
        <w:spacing w:line="360" w:lineRule="auto"/>
        <w:ind w:firstLine="709"/>
        <w:jc w:val="center"/>
        <w:rPr>
          <w:sz w:val="28"/>
          <w:szCs w:val="28"/>
          <w:lang w:val="uk-UA"/>
        </w:rPr>
      </w:pPr>
    </w:p>
    <w:p w:rsidR="00671012" w:rsidRPr="002E6ECA" w:rsidRDefault="00671012" w:rsidP="00E22F2B">
      <w:pPr>
        <w:spacing w:line="360" w:lineRule="auto"/>
        <w:ind w:firstLine="709"/>
        <w:jc w:val="both"/>
        <w:rPr>
          <w:b/>
          <w:sz w:val="28"/>
          <w:szCs w:val="28"/>
          <w:lang w:val="uk-UA"/>
        </w:rPr>
      </w:pPr>
      <w:r w:rsidRPr="002E6ECA">
        <w:rPr>
          <w:b/>
          <w:sz w:val="28"/>
          <w:szCs w:val="28"/>
          <w:lang w:val="uk-UA"/>
        </w:rPr>
        <w:lastRenderedPageBreak/>
        <w:t>4.3. Гігієнічна оцінка режиму дня та здоров’яформуючої, здоров’язберігаючої поведінки</w:t>
      </w:r>
    </w:p>
    <w:p w:rsidR="00DB2D90" w:rsidRPr="002E6ECA" w:rsidRDefault="00671012" w:rsidP="00DB2D90">
      <w:pPr>
        <w:spacing w:line="360" w:lineRule="auto"/>
        <w:ind w:firstLine="709"/>
        <w:jc w:val="both"/>
        <w:rPr>
          <w:sz w:val="28"/>
          <w:szCs w:val="28"/>
          <w:lang w:val="uk-UA"/>
        </w:rPr>
      </w:pPr>
      <w:r w:rsidRPr="002E6ECA">
        <w:rPr>
          <w:sz w:val="28"/>
          <w:szCs w:val="28"/>
          <w:lang w:val="uk-UA"/>
        </w:rPr>
        <w:t xml:space="preserve">За допомогою скринінг-опитування було вивчено організацію режиму дня учнів середнього шкільного віку за показниками тривалості сну, організації дозвілля та навчальної діяльності у позаурочний час, режиму та якості харчування. Встановлено, що нормативної тривалості сну дотримуються  52,6±5,7% учнів, регулярне виконання гартуючих процедур характерно лише для 6,3±2,7%, а ранкової гімнастики – для 20,0±4,5%. Більшість же школярів (понад 60%) їх не виконують зовсім. У достатньо високого відсотка школярів (61,0±7,6% хлопців та 47,5±7,9% дівчат) відмічався обсяг рухової активності понад 6 годин на добу. «Рухові» види занять переважали у навчальні дня, у т.ч. відвідування спортивних секцій 51,9±5,6%, та прогулянки на свіжому повітрі – 48,1±5,6%. Серед фізично малоактивних видів діяльності у навчальні дні переважали додаткові навчальні заняття (33,3±5,2%), а у вихідні – читання та малювання (44,3±5,6%). </w:t>
      </w:r>
      <w:r w:rsidR="00D932DB" w:rsidRPr="002E6ECA">
        <w:rPr>
          <w:sz w:val="28"/>
          <w:szCs w:val="28"/>
          <w:lang w:val="uk-UA"/>
        </w:rPr>
        <w:t>При цьому серед дівчат було істотно вищим витрати часу на навчання, читання та допомогу батькам у порівнянні з хлопцями (р</w:t>
      </w:r>
      <w:r w:rsidR="00D932DB" w:rsidRPr="002E6ECA">
        <w:rPr>
          <w:sz w:val="28"/>
          <w:szCs w:val="28"/>
        </w:rPr>
        <w:t>&lt;</w:t>
      </w:r>
      <w:r w:rsidR="00D932DB" w:rsidRPr="002E6ECA">
        <w:rPr>
          <w:sz w:val="28"/>
          <w:szCs w:val="28"/>
          <w:lang w:val="uk-UA"/>
        </w:rPr>
        <w:t xml:space="preserve">0,05). </w:t>
      </w:r>
      <w:r w:rsidRPr="002E6ECA">
        <w:rPr>
          <w:sz w:val="28"/>
          <w:szCs w:val="28"/>
          <w:lang w:val="uk-UA"/>
        </w:rPr>
        <w:t>Звертає увагу високе візуальне навантаження: незалежно від дня тижня понад 30% учнів витрачають свій вільний час на перегляд фільмів та розважальних програм і така ж кількість – на гру за комп’ютером, при цьому більш поширено серед хлопців (рис. 4.3). Подібні факти визначаються й іншими авторами під час дослідження організації дозвілля школярів [</w:t>
      </w:r>
      <w:r w:rsidR="0029222F" w:rsidRPr="002E6ECA">
        <w:rPr>
          <w:bCs/>
          <w:sz w:val="28"/>
          <w:szCs w:val="28"/>
          <w:lang w:val="uk-UA"/>
        </w:rPr>
        <w:t xml:space="preserve">9, </w:t>
      </w:r>
      <w:r w:rsidR="0029222F" w:rsidRPr="002E6ECA">
        <w:rPr>
          <w:sz w:val="28"/>
          <w:szCs w:val="28"/>
          <w:lang w:val="uk-UA"/>
        </w:rPr>
        <w:t>59, 180</w:t>
      </w:r>
      <w:r w:rsidRPr="002E6ECA">
        <w:rPr>
          <w:sz w:val="28"/>
          <w:szCs w:val="28"/>
          <w:lang w:val="uk-UA"/>
        </w:rPr>
        <w:t>].</w:t>
      </w:r>
    </w:p>
    <w:p w:rsidR="00DB2D90" w:rsidRPr="002E6ECA" w:rsidRDefault="00DB2D90" w:rsidP="00DB2D90">
      <w:pPr>
        <w:spacing w:line="360" w:lineRule="auto"/>
        <w:ind w:firstLine="709"/>
        <w:jc w:val="both"/>
        <w:rPr>
          <w:sz w:val="28"/>
          <w:szCs w:val="28"/>
          <w:lang w:val="uk-UA"/>
        </w:rPr>
      </w:pPr>
      <w:r w:rsidRPr="002E6ECA">
        <w:rPr>
          <w:sz w:val="28"/>
          <w:szCs w:val="28"/>
          <w:lang w:val="uk-UA"/>
        </w:rPr>
        <w:t xml:space="preserve">Психосоціальне здоров'я багато в чому залежить і від власного ставлення до ряду чинників того соціального середовища, в якому живе і формується дитина, тому було досліджено питання, пов'язане з оцінкою підлітками своєї життєвої ситуації. Результати самоаналізу життєвої ситуації школярами не можуть претендувати на абсолютний показник і повну об'єктивність, оскільки вони виключають зі своєї основи ряд інших важливих характеристик. Проте вони дозволяють виявити деякі відносні тенденції самоорієнтації молодих людей та їх емоційну реакцію на умови того соціального середовища, де </w:t>
      </w:r>
      <w:r w:rsidRPr="002E6ECA">
        <w:rPr>
          <w:sz w:val="28"/>
          <w:szCs w:val="28"/>
          <w:lang w:val="uk-UA"/>
        </w:rPr>
        <w:lastRenderedPageBreak/>
        <w:t>відбувається їх соціалізація, що багато в чому є відображенням проблематики психосоціального здоров'я, досліджуваного нами.</w:t>
      </w:r>
    </w:p>
    <w:p w:rsidR="007667E2" w:rsidRPr="002E6ECA" w:rsidRDefault="007667E2" w:rsidP="007667E2">
      <w:pPr>
        <w:spacing w:line="360" w:lineRule="auto"/>
        <w:ind w:firstLine="567"/>
        <w:jc w:val="both"/>
        <w:rPr>
          <w:sz w:val="28"/>
          <w:szCs w:val="28"/>
          <w:lang w:val="uk-UA"/>
        </w:rPr>
      </w:pPr>
      <w:r w:rsidRPr="002E6ECA">
        <w:rPr>
          <w:noProof/>
          <w:lang w:val="uk-UA" w:eastAsia="uk-UA"/>
        </w:rPr>
        <w:drawing>
          <wp:inline distT="0" distB="0" distL="0" distR="0" wp14:anchorId="5470156F" wp14:editId="6AF33164">
            <wp:extent cx="5207000" cy="4273474"/>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61929" t="15465" r="12033" b="19522"/>
                    <a:stretch/>
                  </pic:blipFill>
                  <pic:spPr bwMode="auto">
                    <a:xfrm>
                      <a:off x="0" y="0"/>
                      <a:ext cx="5205380" cy="4272144"/>
                    </a:xfrm>
                    <a:prstGeom prst="rect">
                      <a:avLst/>
                    </a:prstGeom>
                    <a:ln>
                      <a:noFill/>
                    </a:ln>
                    <a:extLst>
                      <a:ext uri="{53640926-AAD7-44D8-BBD7-CCE9431645EC}">
                        <a14:shadowObscured xmlns:a14="http://schemas.microsoft.com/office/drawing/2010/main"/>
                      </a:ext>
                    </a:extLst>
                  </pic:spPr>
                </pic:pic>
              </a:graphicData>
            </a:graphic>
          </wp:inline>
        </w:drawing>
      </w:r>
    </w:p>
    <w:p w:rsidR="00ED21EA" w:rsidRPr="002E6ECA" w:rsidRDefault="00ED21EA" w:rsidP="00A47D16">
      <w:pPr>
        <w:spacing w:line="360" w:lineRule="auto"/>
        <w:ind w:firstLine="709"/>
        <w:jc w:val="both"/>
        <w:rPr>
          <w:sz w:val="28"/>
          <w:szCs w:val="28"/>
          <w:lang w:val="uk-UA"/>
        </w:rPr>
      </w:pPr>
      <w:r w:rsidRPr="002E6ECA">
        <w:rPr>
          <w:sz w:val="28"/>
          <w:szCs w:val="28"/>
          <w:lang w:val="uk-UA"/>
        </w:rPr>
        <w:t>Рис. 4.3. Розподіл вільного часу учнів у навчальні дні</w:t>
      </w:r>
    </w:p>
    <w:p w:rsidR="00D932DB" w:rsidRPr="002E6ECA" w:rsidRDefault="00D932DB" w:rsidP="00A47D16">
      <w:pPr>
        <w:spacing w:line="360" w:lineRule="auto"/>
        <w:ind w:firstLine="709"/>
        <w:jc w:val="both"/>
        <w:rPr>
          <w:sz w:val="28"/>
          <w:szCs w:val="28"/>
          <w:lang w:val="uk-UA"/>
        </w:rPr>
      </w:pPr>
    </w:p>
    <w:p w:rsidR="00A47D16" w:rsidRPr="002E6ECA" w:rsidRDefault="00DB2D90" w:rsidP="00A47D16">
      <w:pPr>
        <w:spacing w:line="360" w:lineRule="auto"/>
        <w:ind w:firstLine="709"/>
        <w:jc w:val="both"/>
        <w:rPr>
          <w:sz w:val="28"/>
          <w:szCs w:val="28"/>
          <w:lang w:val="uk-UA"/>
        </w:rPr>
      </w:pPr>
      <w:r w:rsidRPr="002E6ECA">
        <w:rPr>
          <w:sz w:val="28"/>
          <w:szCs w:val="28"/>
          <w:lang w:val="uk-UA"/>
        </w:rPr>
        <w:t>Однією з найбільш актуальних проблем і одночасно життєвою цінністю для молодих людей (особливо підлітків) є потреба в дружбі та наявності друзів. Феномен дружби в молодіжному середовищі часто розглядається і в контексті такої опозиційної проблеми, як самотність і, оскільки, може виступати одним зі способів організації дозвілля, впливає на загальну оцінку рівня психосоціального благополуччя [</w:t>
      </w:r>
      <w:r w:rsidR="0029222F" w:rsidRPr="002E6ECA">
        <w:rPr>
          <w:sz w:val="28"/>
          <w:szCs w:val="28"/>
          <w:lang w:val="uk-UA"/>
        </w:rPr>
        <w:t>203</w:t>
      </w:r>
      <w:r w:rsidRPr="002E6ECA">
        <w:rPr>
          <w:sz w:val="28"/>
          <w:szCs w:val="28"/>
          <w:lang w:val="uk-UA"/>
        </w:rPr>
        <w:t xml:space="preserve">]. </w:t>
      </w:r>
    </w:p>
    <w:p w:rsidR="00A47D16" w:rsidRPr="002E6ECA" w:rsidRDefault="004627CF" w:rsidP="00A47D16">
      <w:pPr>
        <w:spacing w:line="360" w:lineRule="auto"/>
        <w:ind w:firstLine="709"/>
        <w:jc w:val="both"/>
        <w:rPr>
          <w:sz w:val="28"/>
          <w:szCs w:val="28"/>
          <w:lang w:val="uk-UA"/>
        </w:rPr>
      </w:pPr>
      <w:r w:rsidRPr="002E6ECA">
        <w:rPr>
          <w:sz w:val="28"/>
          <w:szCs w:val="28"/>
          <w:lang w:val="uk-UA"/>
        </w:rPr>
        <w:t xml:space="preserve">Значущим чинником постає і ступінь </w:t>
      </w:r>
      <w:r w:rsidRPr="002E6ECA">
        <w:rPr>
          <w:sz w:val="28"/>
          <w:szCs w:val="28"/>
        </w:rPr>
        <w:t>розрахунку</w:t>
      </w:r>
      <w:r w:rsidRPr="002E6ECA">
        <w:rPr>
          <w:sz w:val="28"/>
          <w:szCs w:val="28"/>
          <w:lang w:val="uk-UA"/>
        </w:rPr>
        <w:t xml:space="preserve"> на допомогу найближчого оточення: батьків, друзів, однокласників, </w:t>
      </w:r>
      <w:r w:rsidRPr="002E6ECA">
        <w:rPr>
          <w:sz w:val="28"/>
          <w:szCs w:val="28"/>
        </w:rPr>
        <w:t>вчителів</w:t>
      </w:r>
      <w:r w:rsidRPr="002E6ECA">
        <w:rPr>
          <w:sz w:val="28"/>
          <w:szCs w:val="28"/>
          <w:lang w:val="uk-UA"/>
        </w:rPr>
        <w:t xml:space="preserve"> (табл.</w:t>
      </w:r>
      <w:r w:rsidR="00C243B2" w:rsidRPr="002E6ECA">
        <w:rPr>
          <w:sz w:val="28"/>
          <w:szCs w:val="28"/>
          <w:lang w:val="uk-UA"/>
        </w:rPr>
        <w:t xml:space="preserve"> 4.4).</w:t>
      </w:r>
      <w:r w:rsidR="00A47D16" w:rsidRPr="002E6ECA">
        <w:rPr>
          <w:sz w:val="28"/>
          <w:szCs w:val="28"/>
          <w:lang w:val="uk-UA"/>
        </w:rPr>
        <w:t xml:space="preserve"> </w:t>
      </w:r>
      <w:r w:rsidR="00A47D16" w:rsidRPr="002E6ECA">
        <w:rPr>
          <w:sz w:val="28"/>
          <w:szCs w:val="28"/>
        </w:rPr>
        <w:t>Понад 84% учнів завжди розраховували на допомогу матері, а на батька – хлопці частіше, ніж дівчата (р</w:t>
      </w:r>
      <w:r w:rsidR="00A47D16" w:rsidRPr="002E6ECA">
        <w:rPr>
          <w:sz w:val="28"/>
          <w:szCs w:val="28"/>
          <w:lang w:val="uk-UA"/>
        </w:rPr>
        <w:t>&lt;</w:t>
      </w:r>
      <w:r w:rsidR="00A47D16" w:rsidRPr="002E6ECA">
        <w:rPr>
          <w:sz w:val="28"/>
          <w:szCs w:val="28"/>
        </w:rPr>
        <w:t xml:space="preserve">0,05). Звертає увагу невеликий відсоток дев’ятикласників, що завжди могли отримати допомогу від шкільного оточення: від вчителів у </w:t>
      </w:r>
      <w:r w:rsidR="00A47D16" w:rsidRPr="002E6ECA">
        <w:rPr>
          <w:sz w:val="28"/>
          <w:szCs w:val="28"/>
          <w:lang w:val="uk-UA" w:eastAsia="en-US"/>
        </w:rPr>
        <w:t>19,8±2,0</w:t>
      </w:r>
      <w:r w:rsidR="00A47D16" w:rsidRPr="002E6ECA">
        <w:rPr>
          <w:sz w:val="28"/>
          <w:szCs w:val="28"/>
          <w:lang w:eastAsia="en-US"/>
        </w:rPr>
        <w:t xml:space="preserve">%, а від однокласників – у </w:t>
      </w:r>
      <w:r w:rsidR="00A47D16" w:rsidRPr="002E6ECA">
        <w:rPr>
          <w:sz w:val="28"/>
          <w:szCs w:val="28"/>
          <w:lang w:val="uk-UA" w:eastAsia="en-US"/>
        </w:rPr>
        <w:t>13,2±1,9</w:t>
      </w:r>
      <w:r w:rsidR="00A47D16" w:rsidRPr="002E6ECA">
        <w:rPr>
          <w:sz w:val="28"/>
          <w:szCs w:val="28"/>
          <w:lang w:eastAsia="en-US"/>
        </w:rPr>
        <w:t xml:space="preserve">% за </w:t>
      </w:r>
      <w:r w:rsidR="00A47D16" w:rsidRPr="002E6ECA">
        <w:rPr>
          <w:sz w:val="28"/>
          <w:szCs w:val="28"/>
          <w:lang w:eastAsia="en-US"/>
        </w:rPr>
        <w:lastRenderedPageBreak/>
        <w:t>результатами опитування хлопців. Серед дівчат такі довірчі відносини складалися ще рідше (</w:t>
      </w:r>
      <w:r w:rsidR="00A47D16" w:rsidRPr="002E6ECA">
        <w:rPr>
          <w:sz w:val="28"/>
          <w:szCs w:val="28"/>
        </w:rPr>
        <w:t>р</w:t>
      </w:r>
      <w:r w:rsidR="00A47D16" w:rsidRPr="002E6ECA">
        <w:rPr>
          <w:sz w:val="28"/>
          <w:szCs w:val="28"/>
          <w:lang w:val="uk-UA"/>
        </w:rPr>
        <w:t>&lt;</w:t>
      </w:r>
      <w:r w:rsidR="00A47D16" w:rsidRPr="002E6ECA">
        <w:rPr>
          <w:sz w:val="28"/>
          <w:szCs w:val="28"/>
        </w:rPr>
        <w:t xml:space="preserve">0,01). Понад 20% учнів на ці запитання відповісти відмовились. </w:t>
      </w:r>
    </w:p>
    <w:p w:rsidR="00C243B2" w:rsidRPr="002E6ECA" w:rsidRDefault="00C243B2" w:rsidP="00C243B2">
      <w:pPr>
        <w:spacing w:line="360" w:lineRule="auto"/>
        <w:ind w:firstLine="709"/>
        <w:jc w:val="right"/>
        <w:rPr>
          <w:i/>
          <w:sz w:val="28"/>
          <w:szCs w:val="28"/>
          <w:lang w:val="uk-UA"/>
        </w:rPr>
      </w:pPr>
      <w:r w:rsidRPr="002E6ECA">
        <w:rPr>
          <w:i/>
          <w:sz w:val="28"/>
          <w:szCs w:val="28"/>
          <w:lang w:val="uk-UA"/>
        </w:rPr>
        <w:t>Таблиця 4.</w:t>
      </w:r>
      <w:r w:rsidR="00A47D16" w:rsidRPr="002E6ECA">
        <w:rPr>
          <w:i/>
          <w:sz w:val="28"/>
          <w:szCs w:val="28"/>
          <w:lang w:val="uk-UA"/>
        </w:rPr>
        <w:t>4</w:t>
      </w:r>
    </w:p>
    <w:p w:rsidR="00C243B2" w:rsidRPr="002E6ECA" w:rsidRDefault="00C243B2" w:rsidP="00C243B2">
      <w:pPr>
        <w:spacing w:line="360" w:lineRule="auto"/>
        <w:ind w:firstLine="709"/>
        <w:jc w:val="center"/>
        <w:rPr>
          <w:b/>
          <w:sz w:val="28"/>
          <w:szCs w:val="28"/>
          <w:lang w:val="uk-UA"/>
        </w:rPr>
      </w:pPr>
      <w:r w:rsidRPr="002E6ECA">
        <w:rPr>
          <w:b/>
          <w:sz w:val="28"/>
          <w:szCs w:val="28"/>
          <w:lang w:val="uk-UA"/>
        </w:rPr>
        <w:t>Аналіз рівня впевненості у допомозі найближчого оточення, %</w:t>
      </w:r>
    </w:p>
    <w:tbl>
      <w:tblPr>
        <w:tblW w:w="967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6"/>
        <w:gridCol w:w="1153"/>
        <w:gridCol w:w="1360"/>
        <w:gridCol w:w="1360"/>
        <w:gridCol w:w="1360"/>
        <w:gridCol w:w="1360"/>
        <w:gridCol w:w="1361"/>
      </w:tblGrid>
      <w:tr w:rsidR="00C243B2" w:rsidRPr="002E6ECA" w:rsidTr="00E524FF">
        <w:trPr>
          <w:trHeight w:val="255"/>
        </w:trPr>
        <w:tc>
          <w:tcPr>
            <w:tcW w:w="1716" w:type="dxa"/>
            <w:vMerge w:val="restart"/>
            <w:shd w:val="clear" w:color="auto" w:fill="auto"/>
            <w:noWrap/>
            <w:tcMar>
              <w:left w:w="28" w:type="dxa"/>
              <w:right w:w="28" w:type="dxa"/>
            </w:tcMar>
            <w:vAlign w:val="bottom"/>
            <w:hideMark/>
          </w:tcPr>
          <w:p w:rsidR="00C243B2" w:rsidRPr="002E6ECA" w:rsidRDefault="00C243B2" w:rsidP="00D932DB">
            <w:pPr>
              <w:jc w:val="center"/>
              <w:rPr>
                <w:sz w:val="28"/>
                <w:szCs w:val="28"/>
                <w:lang w:val="uk-UA" w:eastAsia="uk-UA"/>
              </w:rPr>
            </w:pPr>
            <w:r w:rsidRPr="002E6ECA">
              <w:rPr>
                <w:sz w:val="28"/>
                <w:szCs w:val="28"/>
                <w:lang w:val="uk-UA" w:eastAsia="uk-UA"/>
              </w:rPr>
              <w:t>Варіант відповіді</w:t>
            </w:r>
          </w:p>
        </w:tc>
        <w:tc>
          <w:tcPr>
            <w:tcW w:w="1153" w:type="dxa"/>
            <w:vMerge w:val="restart"/>
            <w:shd w:val="clear" w:color="auto" w:fill="auto"/>
            <w:noWrap/>
            <w:tcMar>
              <w:left w:w="28" w:type="dxa"/>
              <w:right w:w="28" w:type="dxa"/>
            </w:tcMar>
            <w:vAlign w:val="bottom"/>
            <w:hideMark/>
          </w:tcPr>
          <w:p w:rsidR="00C243B2" w:rsidRPr="002E6ECA" w:rsidRDefault="00C243B2" w:rsidP="00D932DB">
            <w:pPr>
              <w:jc w:val="center"/>
              <w:rPr>
                <w:sz w:val="28"/>
                <w:szCs w:val="28"/>
                <w:lang w:val="uk-UA" w:eastAsia="uk-UA"/>
              </w:rPr>
            </w:pPr>
            <w:r w:rsidRPr="002E6ECA">
              <w:rPr>
                <w:sz w:val="28"/>
                <w:szCs w:val="28"/>
                <w:lang w:val="uk-UA" w:eastAsia="uk-UA"/>
              </w:rPr>
              <w:t>Статева група</w:t>
            </w:r>
          </w:p>
        </w:tc>
        <w:tc>
          <w:tcPr>
            <w:tcW w:w="6801" w:type="dxa"/>
            <w:gridSpan w:val="5"/>
            <w:shd w:val="clear" w:color="auto" w:fill="auto"/>
            <w:noWrap/>
            <w:tcMar>
              <w:left w:w="28" w:type="dxa"/>
              <w:right w:w="28" w:type="dxa"/>
            </w:tcMar>
            <w:vAlign w:val="center"/>
            <w:hideMark/>
          </w:tcPr>
          <w:p w:rsidR="00C243B2" w:rsidRPr="002E6ECA" w:rsidRDefault="00C243B2" w:rsidP="00D932DB">
            <w:pPr>
              <w:jc w:val="center"/>
              <w:rPr>
                <w:sz w:val="28"/>
                <w:szCs w:val="28"/>
                <w:lang w:val="uk-UA" w:eastAsia="uk-UA"/>
              </w:rPr>
            </w:pPr>
            <w:r w:rsidRPr="002E6ECA">
              <w:rPr>
                <w:sz w:val="28"/>
                <w:szCs w:val="28"/>
                <w:lang w:val="uk-UA" w:eastAsia="uk-UA"/>
              </w:rPr>
              <w:t>Розраховують на допомогу</w:t>
            </w:r>
          </w:p>
        </w:tc>
      </w:tr>
      <w:tr w:rsidR="00C243B2" w:rsidRPr="002E6ECA" w:rsidTr="00E524FF">
        <w:trPr>
          <w:trHeight w:val="300"/>
        </w:trPr>
        <w:tc>
          <w:tcPr>
            <w:tcW w:w="1716" w:type="dxa"/>
            <w:vMerge/>
            <w:shd w:val="clear" w:color="auto" w:fill="auto"/>
            <w:noWrap/>
            <w:tcMar>
              <w:left w:w="28" w:type="dxa"/>
              <w:right w:w="28" w:type="dxa"/>
            </w:tcMar>
            <w:vAlign w:val="bottom"/>
            <w:hideMark/>
          </w:tcPr>
          <w:p w:rsidR="00C243B2" w:rsidRPr="002E6ECA" w:rsidRDefault="00C243B2" w:rsidP="00D932DB">
            <w:pPr>
              <w:jc w:val="center"/>
              <w:rPr>
                <w:sz w:val="28"/>
                <w:szCs w:val="28"/>
                <w:lang w:val="uk-UA" w:eastAsia="uk-UA"/>
              </w:rPr>
            </w:pPr>
          </w:p>
        </w:tc>
        <w:tc>
          <w:tcPr>
            <w:tcW w:w="1153" w:type="dxa"/>
            <w:vMerge/>
            <w:shd w:val="clear" w:color="auto" w:fill="auto"/>
            <w:noWrap/>
            <w:tcMar>
              <w:left w:w="28" w:type="dxa"/>
              <w:right w:w="28" w:type="dxa"/>
            </w:tcMar>
            <w:vAlign w:val="bottom"/>
            <w:hideMark/>
          </w:tcPr>
          <w:p w:rsidR="00C243B2" w:rsidRPr="002E6ECA" w:rsidRDefault="00C243B2" w:rsidP="00D932DB">
            <w:pPr>
              <w:jc w:val="center"/>
              <w:rPr>
                <w:sz w:val="28"/>
                <w:szCs w:val="28"/>
                <w:lang w:val="uk-UA" w:eastAsia="uk-UA"/>
              </w:rPr>
            </w:pPr>
          </w:p>
        </w:tc>
        <w:tc>
          <w:tcPr>
            <w:tcW w:w="1360" w:type="dxa"/>
            <w:shd w:val="clear" w:color="auto" w:fill="auto"/>
            <w:tcMar>
              <w:left w:w="28" w:type="dxa"/>
              <w:right w:w="28" w:type="dxa"/>
            </w:tcMar>
            <w:vAlign w:val="center"/>
            <w:hideMark/>
          </w:tcPr>
          <w:p w:rsidR="00C243B2" w:rsidRPr="002E6ECA" w:rsidRDefault="00C243B2" w:rsidP="00E524FF">
            <w:pPr>
              <w:jc w:val="center"/>
              <w:rPr>
                <w:sz w:val="28"/>
                <w:szCs w:val="28"/>
                <w:lang w:val="uk-UA" w:eastAsia="uk-UA"/>
              </w:rPr>
            </w:pPr>
            <w:r w:rsidRPr="002E6ECA">
              <w:rPr>
                <w:sz w:val="28"/>
                <w:szCs w:val="28"/>
                <w:lang w:val="uk-UA" w:eastAsia="uk-UA"/>
              </w:rPr>
              <w:t>Матері</w:t>
            </w:r>
          </w:p>
        </w:tc>
        <w:tc>
          <w:tcPr>
            <w:tcW w:w="1360" w:type="dxa"/>
            <w:shd w:val="clear" w:color="auto" w:fill="auto"/>
            <w:noWrap/>
            <w:tcMar>
              <w:left w:w="28" w:type="dxa"/>
              <w:right w:w="28" w:type="dxa"/>
            </w:tcMar>
            <w:vAlign w:val="center"/>
            <w:hideMark/>
          </w:tcPr>
          <w:p w:rsidR="00C243B2" w:rsidRPr="002E6ECA" w:rsidRDefault="00C243B2" w:rsidP="00E524FF">
            <w:pPr>
              <w:jc w:val="center"/>
              <w:rPr>
                <w:sz w:val="28"/>
                <w:szCs w:val="28"/>
                <w:lang w:val="uk-UA" w:eastAsia="uk-UA"/>
              </w:rPr>
            </w:pPr>
            <w:r w:rsidRPr="002E6ECA">
              <w:rPr>
                <w:sz w:val="28"/>
                <w:szCs w:val="28"/>
                <w:lang w:val="uk-UA" w:eastAsia="uk-UA"/>
              </w:rPr>
              <w:t>Батька</w:t>
            </w:r>
          </w:p>
        </w:tc>
        <w:tc>
          <w:tcPr>
            <w:tcW w:w="1360" w:type="dxa"/>
            <w:shd w:val="clear" w:color="auto" w:fill="auto"/>
            <w:noWrap/>
            <w:tcMar>
              <w:left w:w="28" w:type="dxa"/>
              <w:right w:w="28" w:type="dxa"/>
            </w:tcMar>
            <w:vAlign w:val="center"/>
            <w:hideMark/>
          </w:tcPr>
          <w:p w:rsidR="00C243B2" w:rsidRPr="002E6ECA" w:rsidRDefault="00C243B2" w:rsidP="00E524FF">
            <w:pPr>
              <w:jc w:val="center"/>
              <w:rPr>
                <w:sz w:val="28"/>
                <w:szCs w:val="28"/>
                <w:lang w:val="uk-UA" w:eastAsia="uk-UA"/>
              </w:rPr>
            </w:pPr>
            <w:r w:rsidRPr="002E6ECA">
              <w:rPr>
                <w:sz w:val="28"/>
                <w:szCs w:val="28"/>
                <w:lang w:val="uk-UA" w:eastAsia="uk-UA"/>
              </w:rPr>
              <w:t>Друзів</w:t>
            </w:r>
          </w:p>
        </w:tc>
        <w:tc>
          <w:tcPr>
            <w:tcW w:w="1360" w:type="dxa"/>
            <w:shd w:val="clear" w:color="auto" w:fill="auto"/>
            <w:noWrap/>
            <w:tcMar>
              <w:left w:w="28" w:type="dxa"/>
              <w:right w:w="28" w:type="dxa"/>
            </w:tcMar>
            <w:vAlign w:val="center"/>
            <w:hideMark/>
          </w:tcPr>
          <w:p w:rsidR="00C243B2" w:rsidRPr="002E6ECA" w:rsidRDefault="00C243B2" w:rsidP="00E524FF">
            <w:pPr>
              <w:jc w:val="center"/>
              <w:rPr>
                <w:sz w:val="28"/>
                <w:szCs w:val="28"/>
                <w:lang w:val="uk-UA" w:eastAsia="uk-UA"/>
              </w:rPr>
            </w:pPr>
            <w:r w:rsidRPr="002E6ECA">
              <w:rPr>
                <w:sz w:val="28"/>
                <w:szCs w:val="28"/>
                <w:lang w:val="uk-UA" w:eastAsia="uk-UA"/>
              </w:rPr>
              <w:t>Одноклас</w:t>
            </w:r>
            <w:r w:rsidR="00E524FF" w:rsidRPr="002E6ECA">
              <w:rPr>
                <w:sz w:val="28"/>
                <w:szCs w:val="28"/>
                <w:lang w:val="uk-UA" w:eastAsia="uk-UA"/>
              </w:rPr>
              <w:t xml:space="preserve">- </w:t>
            </w:r>
            <w:r w:rsidRPr="002E6ECA">
              <w:rPr>
                <w:sz w:val="28"/>
                <w:szCs w:val="28"/>
                <w:lang w:val="uk-UA" w:eastAsia="uk-UA"/>
              </w:rPr>
              <w:t>ників</w:t>
            </w:r>
          </w:p>
        </w:tc>
        <w:tc>
          <w:tcPr>
            <w:tcW w:w="1361" w:type="dxa"/>
            <w:shd w:val="clear" w:color="auto" w:fill="auto"/>
            <w:noWrap/>
            <w:tcMar>
              <w:left w:w="28" w:type="dxa"/>
              <w:right w:w="28" w:type="dxa"/>
            </w:tcMar>
            <w:vAlign w:val="center"/>
            <w:hideMark/>
          </w:tcPr>
          <w:p w:rsidR="00C243B2" w:rsidRPr="002E6ECA" w:rsidRDefault="00C243B2" w:rsidP="00E524FF">
            <w:pPr>
              <w:jc w:val="center"/>
              <w:rPr>
                <w:sz w:val="28"/>
                <w:szCs w:val="28"/>
                <w:lang w:val="uk-UA" w:eastAsia="uk-UA"/>
              </w:rPr>
            </w:pPr>
            <w:r w:rsidRPr="002E6ECA">
              <w:rPr>
                <w:sz w:val="28"/>
                <w:szCs w:val="28"/>
                <w:lang w:val="uk-UA" w:eastAsia="uk-UA"/>
              </w:rPr>
              <w:t>Вчителя</w:t>
            </w:r>
          </w:p>
        </w:tc>
      </w:tr>
      <w:tr w:rsidR="00C243B2" w:rsidRPr="002E6ECA" w:rsidTr="00E524FF">
        <w:trPr>
          <w:trHeight w:val="255"/>
        </w:trPr>
        <w:tc>
          <w:tcPr>
            <w:tcW w:w="1716" w:type="dxa"/>
            <w:vMerge w:val="restart"/>
            <w:shd w:val="clear" w:color="auto" w:fill="auto"/>
            <w:noWrap/>
            <w:tcMar>
              <w:left w:w="28" w:type="dxa"/>
              <w:right w:w="28" w:type="dxa"/>
            </w:tcMar>
            <w:vAlign w:val="center"/>
            <w:hideMark/>
          </w:tcPr>
          <w:p w:rsidR="00C243B2" w:rsidRPr="002E6ECA" w:rsidRDefault="00C243B2" w:rsidP="00D932DB">
            <w:pPr>
              <w:rPr>
                <w:sz w:val="28"/>
                <w:szCs w:val="28"/>
                <w:lang w:val="uk-UA" w:eastAsia="uk-UA"/>
              </w:rPr>
            </w:pPr>
            <w:r w:rsidRPr="002E6ECA">
              <w:rPr>
                <w:sz w:val="28"/>
                <w:szCs w:val="28"/>
                <w:lang w:val="uk-UA" w:eastAsia="uk-UA"/>
              </w:rPr>
              <w:t>Завжди</w:t>
            </w: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хлопці</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84,2±1,6</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70,0±2,1</w:t>
            </w:r>
            <w:r w:rsidR="002A4BEA" w:rsidRPr="002E6ECA">
              <w:rPr>
                <w:sz w:val="28"/>
                <w:szCs w:val="28"/>
                <w:vertAlign w:val="superscript"/>
                <w:lang w:val="uk-UA" w:eastAsia="uk-UA"/>
              </w:rPr>
              <w:t>*</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36,0±2,3</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13,2±1,9</w:t>
            </w:r>
            <w:r w:rsidR="002A4BEA" w:rsidRPr="002E6ECA">
              <w:rPr>
                <w:sz w:val="28"/>
                <w:szCs w:val="28"/>
                <w:vertAlign w:val="superscript"/>
                <w:lang w:val="uk-UA" w:eastAsia="uk-UA"/>
              </w:rPr>
              <w:t>**</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19,8±2,0</w:t>
            </w:r>
            <w:r w:rsidR="002A4BEA" w:rsidRPr="002E6ECA">
              <w:rPr>
                <w:sz w:val="28"/>
                <w:szCs w:val="28"/>
                <w:vertAlign w:val="superscript"/>
                <w:lang w:val="uk-UA" w:eastAsia="uk-UA"/>
              </w:rPr>
              <w:t>**</w:t>
            </w:r>
          </w:p>
        </w:tc>
      </w:tr>
      <w:tr w:rsidR="00C243B2" w:rsidRPr="002E6ECA" w:rsidTr="00E524FF">
        <w:trPr>
          <w:trHeight w:val="255"/>
        </w:trPr>
        <w:tc>
          <w:tcPr>
            <w:tcW w:w="1716" w:type="dxa"/>
            <w:vMerge/>
            <w:tcMar>
              <w:left w:w="28" w:type="dxa"/>
              <w:right w:w="28" w:type="dxa"/>
            </w:tcMar>
            <w:vAlign w:val="center"/>
            <w:hideMark/>
          </w:tcPr>
          <w:p w:rsidR="00C243B2" w:rsidRPr="002E6ECA" w:rsidRDefault="00C243B2" w:rsidP="00D932DB">
            <w:pPr>
              <w:rPr>
                <w:sz w:val="28"/>
                <w:szCs w:val="28"/>
                <w:lang w:val="uk-UA" w:eastAsia="uk-UA"/>
              </w:rPr>
            </w:pP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дівчата</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85,4±1,6</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60,8±2,3</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41,3±2,3</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3,3±0,9</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11,9±1,6</w:t>
            </w:r>
          </w:p>
        </w:tc>
      </w:tr>
      <w:tr w:rsidR="00C243B2" w:rsidRPr="002E6ECA" w:rsidTr="00E524FF">
        <w:trPr>
          <w:trHeight w:val="255"/>
        </w:trPr>
        <w:tc>
          <w:tcPr>
            <w:tcW w:w="1716" w:type="dxa"/>
            <w:vMerge w:val="restart"/>
            <w:shd w:val="clear" w:color="auto" w:fill="auto"/>
            <w:noWrap/>
            <w:tcMar>
              <w:left w:w="28" w:type="dxa"/>
              <w:right w:w="28" w:type="dxa"/>
            </w:tcMar>
            <w:vAlign w:val="center"/>
            <w:hideMark/>
          </w:tcPr>
          <w:p w:rsidR="00C243B2" w:rsidRPr="002E6ECA" w:rsidRDefault="00C243B2" w:rsidP="00D932DB">
            <w:pPr>
              <w:rPr>
                <w:sz w:val="28"/>
                <w:szCs w:val="28"/>
                <w:lang w:val="uk-UA" w:eastAsia="uk-UA"/>
              </w:rPr>
            </w:pPr>
            <w:r w:rsidRPr="002E6ECA">
              <w:rPr>
                <w:sz w:val="28"/>
                <w:szCs w:val="28"/>
                <w:lang w:val="uk-UA" w:eastAsia="uk-UA"/>
              </w:rPr>
              <w:t>Іноді</w:t>
            </w: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хлопці</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13,6±1,5</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21,9±1,9</w:t>
            </w:r>
            <w:r w:rsidR="002A4BEA" w:rsidRPr="002E6ECA">
              <w:rPr>
                <w:sz w:val="28"/>
                <w:szCs w:val="28"/>
                <w:vertAlign w:val="superscript"/>
                <w:lang w:val="uk-UA" w:eastAsia="uk-UA"/>
              </w:rPr>
              <w:t>**</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54,2±2,4</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57,7±2,8</w:t>
            </w:r>
            <w:r w:rsidR="002A4BEA" w:rsidRPr="002E6ECA">
              <w:rPr>
                <w:sz w:val="28"/>
                <w:szCs w:val="28"/>
                <w:vertAlign w:val="superscript"/>
                <w:lang w:val="uk-UA" w:eastAsia="uk-UA"/>
              </w:rPr>
              <w:t>**</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54,3±2,5</w:t>
            </w:r>
          </w:p>
        </w:tc>
      </w:tr>
      <w:tr w:rsidR="00C243B2" w:rsidRPr="002E6ECA" w:rsidTr="00E524FF">
        <w:trPr>
          <w:trHeight w:val="255"/>
        </w:trPr>
        <w:tc>
          <w:tcPr>
            <w:tcW w:w="1716" w:type="dxa"/>
            <w:vMerge/>
            <w:tcMar>
              <w:left w:w="28" w:type="dxa"/>
              <w:right w:w="28" w:type="dxa"/>
            </w:tcMar>
            <w:vAlign w:val="center"/>
            <w:hideMark/>
          </w:tcPr>
          <w:p w:rsidR="00C243B2" w:rsidRPr="002E6ECA" w:rsidRDefault="00C243B2" w:rsidP="00D932DB">
            <w:pPr>
              <w:rPr>
                <w:sz w:val="28"/>
                <w:szCs w:val="28"/>
                <w:lang w:val="uk-UA" w:eastAsia="uk-UA"/>
              </w:rPr>
            </w:pP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дівчата</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13,3±1,5</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30,9±2,2</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52,7±2,3</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70,0±2,4</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61,2±2,4</w:t>
            </w:r>
          </w:p>
        </w:tc>
      </w:tr>
      <w:tr w:rsidR="00C243B2" w:rsidRPr="002E6ECA" w:rsidTr="00E524FF">
        <w:trPr>
          <w:trHeight w:val="255"/>
        </w:trPr>
        <w:tc>
          <w:tcPr>
            <w:tcW w:w="1716" w:type="dxa"/>
            <w:vMerge w:val="restart"/>
            <w:shd w:val="clear" w:color="auto" w:fill="auto"/>
            <w:noWrap/>
            <w:tcMar>
              <w:left w:w="28" w:type="dxa"/>
              <w:right w:w="28" w:type="dxa"/>
            </w:tcMar>
            <w:vAlign w:val="center"/>
            <w:hideMark/>
          </w:tcPr>
          <w:p w:rsidR="00C243B2" w:rsidRPr="002E6ECA" w:rsidRDefault="00C243B2" w:rsidP="00D932DB">
            <w:pPr>
              <w:rPr>
                <w:sz w:val="28"/>
                <w:szCs w:val="28"/>
                <w:lang w:val="uk-UA" w:eastAsia="uk-UA"/>
              </w:rPr>
            </w:pPr>
            <w:r w:rsidRPr="002E6ECA">
              <w:rPr>
                <w:sz w:val="28"/>
                <w:szCs w:val="28"/>
                <w:lang w:val="uk-UA" w:eastAsia="uk-UA"/>
              </w:rPr>
              <w:t>Ніколи</w:t>
            </w: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хлопці</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1,2±0,5</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3,9±0,9</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6,0±1,2</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28,7±2,6</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25,8±2,2</w:t>
            </w:r>
          </w:p>
        </w:tc>
      </w:tr>
      <w:tr w:rsidR="00C243B2" w:rsidRPr="002E6ECA" w:rsidTr="00E524FF">
        <w:trPr>
          <w:trHeight w:val="255"/>
        </w:trPr>
        <w:tc>
          <w:tcPr>
            <w:tcW w:w="1716" w:type="dxa"/>
            <w:vMerge/>
            <w:tcMar>
              <w:left w:w="28" w:type="dxa"/>
              <w:right w:w="28" w:type="dxa"/>
            </w:tcMar>
            <w:vAlign w:val="center"/>
            <w:hideMark/>
          </w:tcPr>
          <w:p w:rsidR="00C243B2" w:rsidRPr="002E6ECA" w:rsidRDefault="00C243B2" w:rsidP="00D932DB">
            <w:pPr>
              <w:rPr>
                <w:sz w:val="28"/>
                <w:szCs w:val="28"/>
                <w:lang w:val="uk-UA" w:eastAsia="uk-UA"/>
              </w:rPr>
            </w:pP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дівчата</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1,0±0,5</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3,7±0,9</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4,2±0,9</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26,7±2,3</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26,7±2,2</w:t>
            </w:r>
          </w:p>
        </w:tc>
      </w:tr>
      <w:tr w:rsidR="00C243B2" w:rsidRPr="002E6ECA" w:rsidTr="00E524FF">
        <w:trPr>
          <w:trHeight w:val="255"/>
        </w:trPr>
        <w:tc>
          <w:tcPr>
            <w:tcW w:w="1716" w:type="dxa"/>
            <w:vMerge w:val="restart"/>
            <w:shd w:val="clear" w:color="auto" w:fill="auto"/>
            <w:noWrap/>
            <w:tcMar>
              <w:left w:w="28" w:type="dxa"/>
              <w:right w:w="28" w:type="dxa"/>
            </w:tcMar>
            <w:vAlign w:val="center"/>
            <w:hideMark/>
          </w:tcPr>
          <w:p w:rsidR="00C243B2" w:rsidRPr="002E6ECA" w:rsidRDefault="00C243B2" w:rsidP="00D932DB">
            <w:pPr>
              <w:rPr>
                <w:sz w:val="28"/>
                <w:szCs w:val="28"/>
                <w:lang w:val="uk-UA" w:eastAsia="uk-UA"/>
              </w:rPr>
            </w:pPr>
            <w:r w:rsidRPr="002E6ECA">
              <w:rPr>
                <w:sz w:val="28"/>
                <w:szCs w:val="28"/>
                <w:lang w:val="uk-UA" w:eastAsia="uk-UA"/>
              </w:rPr>
              <w:t>Не маю</w:t>
            </w: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хлопці</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1,0±0,5</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4,3±0,9</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3,7±0,9</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0,3±0,3</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0,0±0,0</w:t>
            </w:r>
          </w:p>
        </w:tc>
      </w:tr>
      <w:tr w:rsidR="00C243B2" w:rsidRPr="002E6ECA" w:rsidTr="00E524FF">
        <w:trPr>
          <w:trHeight w:val="255"/>
        </w:trPr>
        <w:tc>
          <w:tcPr>
            <w:tcW w:w="1716" w:type="dxa"/>
            <w:vMerge/>
            <w:tcMar>
              <w:left w:w="28" w:type="dxa"/>
              <w:right w:w="28" w:type="dxa"/>
            </w:tcMar>
            <w:vAlign w:val="center"/>
            <w:hideMark/>
          </w:tcPr>
          <w:p w:rsidR="00C243B2" w:rsidRPr="002E6ECA" w:rsidRDefault="00C243B2" w:rsidP="00D932DB">
            <w:pPr>
              <w:rPr>
                <w:sz w:val="28"/>
                <w:szCs w:val="28"/>
                <w:lang w:val="uk-UA" w:eastAsia="uk-UA"/>
              </w:rPr>
            </w:pP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дівчата</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0,2±0,2</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4,6±1,0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1,8±0,6</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0,0±0,0</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0,2±0,2</w:t>
            </w:r>
          </w:p>
        </w:tc>
      </w:tr>
      <w:tr w:rsidR="00C243B2" w:rsidRPr="002E6ECA" w:rsidTr="00E524FF">
        <w:trPr>
          <w:trHeight w:val="255"/>
        </w:trPr>
        <w:tc>
          <w:tcPr>
            <w:tcW w:w="1716" w:type="dxa"/>
            <w:vMerge w:val="restart"/>
            <w:shd w:val="clear" w:color="auto" w:fill="auto"/>
            <w:noWrap/>
            <w:tcMar>
              <w:left w:w="28" w:type="dxa"/>
              <w:right w:w="28" w:type="dxa"/>
            </w:tcMar>
            <w:vAlign w:val="center"/>
            <w:hideMark/>
          </w:tcPr>
          <w:p w:rsidR="00C243B2" w:rsidRPr="002E6ECA" w:rsidRDefault="00C243B2" w:rsidP="00D932DB">
            <w:pPr>
              <w:rPr>
                <w:sz w:val="28"/>
                <w:szCs w:val="28"/>
                <w:lang w:val="uk-UA" w:eastAsia="uk-UA"/>
              </w:rPr>
            </w:pPr>
            <w:r w:rsidRPr="002E6ECA">
              <w:rPr>
                <w:sz w:val="28"/>
                <w:szCs w:val="28"/>
                <w:lang w:val="uk-UA" w:eastAsia="uk-UA"/>
              </w:rPr>
              <w:t>Не відповіли на запитання:</w:t>
            </w: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хлопці</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3,9±0,0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9,2±0,0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16,2±0,0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39,6±0,0</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25,3±0,0</w:t>
            </w:r>
          </w:p>
        </w:tc>
      </w:tr>
      <w:tr w:rsidR="00C243B2" w:rsidRPr="002E6ECA" w:rsidTr="00E524FF">
        <w:trPr>
          <w:trHeight w:val="255"/>
        </w:trPr>
        <w:tc>
          <w:tcPr>
            <w:tcW w:w="1716" w:type="dxa"/>
            <w:vMerge/>
            <w:tcMar>
              <w:left w:w="28" w:type="dxa"/>
              <w:right w:w="28" w:type="dxa"/>
            </w:tcMar>
            <w:vAlign w:val="center"/>
            <w:hideMark/>
          </w:tcPr>
          <w:p w:rsidR="00C243B2" w:rsidRPr="002E6ECA" w:rsidRDefault="00C243B2" w:rsidP="00C243B2">
            <w:pPr>
              <w:rPr>
                <w:sz w:val="28"/>
                <w:szCs w:val="28"/>
                <w:lang w:val="uk-UA" w:eastAsia="uk-UA"/>
              </w:rPr>
            </w:pPr>
          </w:p>
        </w:tc>
        <w:tc>
          <w:tcPr>
            <w:tcW w:w="1153"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дівчата</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1,2±0,0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6,9±0,0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7,7±0,0</w:t>
            </w:r>
          </w:p>
        </w:tc>
        <w:tc>
          <w:tcPr>
            <w:tcW w:w="1360"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27,0±0,0</w:t>
            </w:r>
          </w:p>
        </w:tc>
        <w:tc>
          <w:tcPr>
            <w:tcW w:w="1361" w:type="dxa"/>
            <w:shd w:val="clear" w:color="auto" w:fill="auto"/>
            <w:noWrap/>
            <w:tcMar>
              <w:left w:w="28" w:type="dxa"/>
              <w:right w:w="28" w:type="dxa"/>
            </w:tcMar>
            <w:vAlign w:val="bottom"/>
            <w:hideMark/>
          </w:tcPr>
          <w:p w:rsidR="00C243B2" w:rsidRPr="002E6ECA" w:rsidRDefault="00C243B2" w:rsidP="00C243B2">
            <w:pPr>
              <w:rPr>
                <w:sz w:val="28"/>
                <w:szCs w:val="28"/>
                <w:lang w:val="uk-UA" w:eastAsia="uk-UA"/>
              </w:rPr>
            </w:pPr>
            <w:r w:rsidRPr="002E6ECA">
              <w:rPr>
                <w:sz w:val="28"/>
                <w:szCs w:val="28"/>
                <w:lang w:val="uk-UA" w:eastAsia="uk-UA"/>
              </w:rPr>
              <w:t>16,4±0,0</w:t>
            </w:r>
          </w:p>
        </w:tc>
      </w:tr>
    </w:tbl>
    <w:p w:rsidR="00DB2D90" w:rsidRPr="002E6ECA" w:rsidRDefault="00D932DB" w:rsidP="00D932DB">
      <w:pPr>
        <w:spacing w:line="276" w:lineRule="auto"/>
        <w:ind w:firstLine="709"/>
        <w:jc w:val="both"/>
      </w:pPr>
      <w:r w:rsidRPr="002E6ECA">
        <w:rPr>
          <w:lang w:val="uk-UA"/>
        </w:rPr>
        <w:t>Примітка: істотна різниця при порівнянні хлопців та дівчат (</w:t>
      </w:r>
      <w:r w:rsidRPr="002E6ECA">
        <w:rPr>
          <w:vertAlign w:val="superscript"/>
          <w:lang w:val="uk-UA"/>
        </w:rPr>
        <w:t>*</w:t>
      </w:r>
      <w:r w:rsidRPr="002E6ECA">
        <w:t>–</w:t>
      </w:r>
      <w:r w:rsidRPr="002E6ECA">
        <w:rPr>
          <w:lang w:val="uk-UA"/>
        </w:rPr>
        <w:t xml:space="preserve"> р</w:t>
      </w:r>
      <w:r w:rsidRPr="002E6ECA">
        <w:t>&lt;</w:t>
      </w:r>
      <w:r w:rsidRPr="002E6ECA">
        <w:rPr>
          <w:lang w:val="uk-UA"/>
        </w:rPr>
        <w:t xml:space="preserve">0,05; </w:t>
      </w:r>
      <w:r w:rsidRPr="002E6ECA">
        <w:rPr>
          <w:vertAlign w:val="superscript"/>
          <w:lang w:val="uk-UA"/>
        </w:rPr>
        <w:t>**</w:t>
      </w:r>
      <w:r w:rsidRPr="002E6ECA">
        <w:rPr>
          <w:lang w:val="uk-UA"/>
        </w:rPr>
        <w:t xml:space="preserve"> </w:t>
      </w:r>
      <w:r w:rsidRPr="002E6ECA">
        <w:t>–</w:t>
      </w:r>
      <w:r w:rsidRPr="002E6ECA">
        <w:rPr>
          <w:lang w:val="uk-UA"/>
        </w:rPr>
        <w:t xml:space="preserve"> р</w:t>
      </w:r>
      <w:r w:rsidRPr="002E6ECA">
        <w:t>&lt;</w:t>
      </w:r>
      <w:r w:rsidR="00E524FF" w:rsidRPr="002E6ECA">
        <w:rPr>
          <w:lang w:val="uk-UA"/>
        </w:rPr>
        <w:t>0,01)</w:t>
      </w:r>
      <w:r w:rsidRPr="002E6ECA">
        <w:rPr>
          <w:lang w:val="uk-UA"/>
        </w:rPr>
        <w:t>.</w:t>
      </w:r>
    </w:p>
    <w:p w:rsidR="00D932DB" w:rsidRPr="002E6ECA" w:rsidRDefault="00D932DB" w:rsidP="00A47D16">
      <w:pPr>
        <w:spacing w:line="360" w:lineRule="auto"/>
        <w:ind w:firstLine="709"/>
        <w:jc w:val="both"/>
        <w:rPr>
          <w:sz w:val="28"/>
          <w:szCs w:val="28"/>
        </w:rPr>
      </w:pPr>
    </w:p>
    <w:p w:rsidR="00A47D16" w:rsidRPr="002E6ECA" w:rsidRDefault="00A47D16" w:rsidP="00A47D16">
      <w:pPr>
        <w:spacing w:line="360" w:lineRule="auto"/>
        <w:ind w:firstLine="709"/>
        <w:jc w:val="both"/>
        <w:rPr>
          <w:sz w:val="28"/>
          <w:szCs w:val="28"/>
          <w:lang w:val="uk-UA"/>
        </w:rPr>
      </w:pPr>
      <w:r w:rsidRPr="002E6ECA">
        <w:rPr>
          <w:sz w:val="28"/>
          <w:szCs w:val="28"/>
        </w:rPr>
        <w:t xml:space="preserve">Такі результати можуть свідчити про відсутність дружніх стосунків у навчальному колективі, яким наразі знайдено заміну – спілкування у соцмережах. </w:t>
      </w:r>
      <w:r w:rsidRPr="002E6ECA">
        <w:rPr>
          <w:sz w:val="28"/>
          <w:szCs w:val="28"/>
          <w:lang w:val="uk-UA"/>
        </w:rPr>
        <w:t xml:space="preserve">Очевидно, що інтернет-простір в наші дні – частина соціального простору і часу в інтернеті, </w:t>
      </w:r>
      <w:r w:rsidRPr="002E6ECA">
        <w:rPr>
          <w:sz w:val="28"/>
          <w:szCs w:val="28"/>
        </w:rPr>
        <w:t xml:space="preserve">а також вагомий спосіб організації дозвілля, </w:t>
      </w:r>
      <w:r w:rsidRPr="002E6ECA">
        <w:rPr>
          <w:sz w:val="28"/>
          <w:szCs w:val="28"/>
          <w:lang w:val="uk-UA"/>
        </w:rPr>
        <w:t xml:space="preserve">вже в повній мірі входить до режиму дня сучасної </w:t>
      </w:r>
      <w:r w:rsidRPr="002E6ECA">
        <w:rPr>
          <w:sz w:val="28"/>
          <w:szCs w:val="28"/>
        </w:rPr>
        <w:t>дит</w:t>
      </w:r>
      <w:r w:rsidRPr="002E6ECA">
        <w:rPr>
          <w:sz w:val="28"/>
          <w:szCs w:val="28"/>
          <w:lang w:val="uk-UA"/>
        </w:rPr>
        <w:t>ини. Важко оцінити цілі перебування підлітків в інтернеті, наприклад, пошук навчального матеріалу, новин по інтересам, програвання онлайн-ігор, спілкування з друзями і т. д., особливо у період дистанційного навчання. Крім того з бурхливим зростанням значущості інформаційних технологій все більше деформується спосіб життя школяра: знижується рухова активність, зростає екранний час, порушується режим нічного сну. Надмірне використання інтернету відбивається і на стані здоров’я, у т.ч. психічного, і на рівні соціалізації підлітка [</w:t>
      </w:r>
      <w:r w:rsidR="004502D6" w:rsidRPr="002E6ECA">
        <w:rPr>
          <w:sz w:val="28"/>
          <w:szCs w:val="28"/>
          <w:lang w:val="uk-UA"/>
        </w:rPr>
        <w:t xml:space="preserve">334, </w:t>
      </w:r>
      <w:r w:rsidR="00E6025C" w:rsidRPr="002E6ECA">
        <w:rPr>
          <w:sz w:val="28"/>
          <w:szCs w:val="28"/>
          <w:lang w:val="uk-UA"/>
        </w:rPr>
        <w:t>363</w:t>
      </w:r>
      <w:r w:rsidRPr="002E6ECA">
        <w:rPr>
          <w:sz w:val="28"/>
          <w:szCs w:val="28"/>
          <w:lang w:val="uk-UA"/>
        </w:rPr>
        <w:t xml:space="preserve">].  </w:t>
      </w:r>
    </w:p>
    <w:p w:rsidR="00A47D16" w:rsidRPr="002E6ECA" w:rsidRDefault="00A47D16" w:rsidP="00A47D16">
      <w:pPr>
        <w:spacing w:line="360" w:lineRule="auto"/>
        <w:ind w:firstLine="709"/>
        <w:jc w:val="both"/>
        <w:rPr>
          <w:sz w:val="28"/>
          <w:szCs w:val="28"/>
          <w:lang w:val="uk-UA"/>
        </w:rPr>
      </w:pPr>
      <w:r w:rsidRPr="002E6ECA">
        <w:rPr>
          <w:sz w:val="28"/>
          <w:szCs w:val="28"/>
          <w:lang w:val="uk-UA"/>
        </w:rPr>
        <w:t xml:space="preserve">Для збереження і зміцнення здоров'я дітей необхідна інтеграція всіх зацікавлених в цьому соціальних інститутів: держави, суспільства, освітніх і </w:t>
      </w:r>
      <w:r w:rsidRPr="002E6ECA">
        <w:rPr>
          <w:sz w:val="28"/>
          <w:szCs w:val="28"/>
          <w:lang w:val="uk-UA"/>
        </w:rPr>
        <w:lastRenderedPageBreak/>
        <w:t>виховних установ, сім'ї. Інтерес до навчальної діяльності дитини з боку батьків дозволяє стимулювати не тільки шкільні успіхи, але і встановлювати причини, виявляти чинники, які можуть знижувати результати успішності, сприяти формуванню нездорового способу життя.</w:t>
      </w:r>
    </w:p>
    <w:p w:rsidR="00DB2D90" w:rsidRPr="002E6ECA" w:rsidRDefault="00DB2D90" w:rsidP="00A47D16">
      <w:pPr>
        <w:spacing w:line="360" w:lineRule="auto"/>
        <w:ind w:firstLine="709"/>
        <w:jc w:val="both"/>
        <w:rPr>
          <w:sz w:val="28"/>
          <w:szCs w:val="28"/>
          <w:lang w:val="uk-UA"/>
        </w:rPr>
      </w:pPr>
      <w:r w:rsidRPr="002E6ECA">
        <w:rPr>
          <w:sz w:val="28"/>
          <w:szCs w:val="28"/>
          <w:lang w:val="uk-UA"/>
        </w:rPr>
        <w:t>В даний час реальний шлях збереження здоров'я школярів полягає у встановленні балансу між освітнім середовищем школи (умови навчання, освітні програми, відповідні фізіолого-гігієнічним стандартам і враховують індивідуальні особливості розвитку школярів) і фізіологічними, а також психологічними процесами дитячого організму, характерними для конкретної вікової групи. Забезпечення такого балансу можливо тільки на основі єдності зусиль батьків і всіх шкільних фахівців - вчителів, шкільних адміністраторів, співробітників медичної, психологічної та соціальної служб, служби валеологічного моніторингу, необхідних для реалізації умов по збереженню і розвитку здоров'я дітей.</w:t>
      </w:r>
    </w:p>
    <w:p w:rsidR="00E22F2B" w:rsidRPr="002E6ECA" w:rsidRDefault="00E22F2B" w:rsidP="00E22F2B">
      <w:pPr>
        <w:spacing w:line="360" w:lineRule="auto"/>
        <w:ind w:firstLine="709"/>
        <w:jc w:val="both"/>
        <w:rPr>
          <w:sz w:val="28"/>
          <w:szCs w:val="28"/>
          <w:lang w:val="uk-UA"/>
        </w:rPr>
      </w:pPr>
      <w:r w:rsidRPr="002E6ECA">
        <w:rPr>
          <w:sz w:val="28"/>
          <w:szCs w:val="28"/>
          <w:lang w:val="uk-UA"/>
        </w:rPr>
        <w:t>Школа постає не тільки частиною оточуючого середовища та закладом, де діти займаються навчальною діяльністю значну частину їх дня, а й потужним чинником формування поведінки у соціумі та способу життя [</w:t>
      </w:r>
      <w:r w:rsidR="00E6025C" w:rsidRPr="002E6ECA">
        <w:rPr>
          <w:sz w:val="28"/>
          <w:szCs w:val="28"/>
          <w:lang w:val="uk-UA"/>
        </w:rPr>
        <w:t>475</w:t>
      </w:r>
      <w:r w:rsidR="002C00B3" w:rsidRPr="002E6ECA">
        <w:rPr>
          <w:sz w:val="28"/>
          <w:szCs w:val="28"/>
          <w:lang w:val="uk-UA"/>
        </w:rPr>
        <w:t xml:space="preserve">, </w:t>
      </w:r>
      <w:r w:rsidR="00E6025C" w:rsidRPr="002E6ECA">
        <w:rPr>
          <w:sz w:val="28"/>
          <w:szCs w:val="28"/>
          <w:lang w:val="uk-UA"/>
        </w:rPr>
        <w:t>503</w:t>
      </w:r>
      <w:r w:rsidRPr="002E6ECA">
        <w:rPr>
          <w:sz w:val="28"/>
          <w:szCs w:val="28"/>
          <w:lang w:val="uk-UA"/>
        </w:rPr>
        <w:t>]. Саме тому ми оцінили наскільки підлітки розраховували на допомогу своїх вчителів та однокласників</w:t>
      </w:r>
      <w:r w:rsidR="00E24816" w:rsidRPr="002E6ECA">
        <w:rPr>
          <w:sz w:val="28"/>
          <w:szCs w:val="28"/>
          <w:lang w:val="uk-UA"/>
        </w:rPr>
        <w:t xml:space="preserve"> у залежності від ставлення до школи із розподілом їх на 6 груп:</w:t>
      </w:r>
      <w:r w:rsidR="00863926" w:rsidRPr="002E6ECA">
        <w:rPr>
          <w:spacing w:val="-4"/>
          <w:sz w:val="28"/>
          <w:szCs w:val="28"/>
        </w:rPr>
        <w:t xml:space="preserve"> 1 – відвідували освітній заклад із задоволенням, 2 – сприймали навчання як свій обов’язок, 3 – відвідування школи пригнічувало, 4</w:t>
      </w:r>
      <w:r w:rsidR="00863926" w:rsidRPr="002E6ECA">
        <w:rPr>
          <w:spacing w:val="-2"/>
          <w:sz w:val="28"/>
          <w:szCs w:val="28"/>
        </w:rPr>
        <w:t xml:space="preserve"> – із байдужим ставленням до будь-якого зайняття, 5 – не визначились зі своїм ставленням до ЗЗСО, 6 – мають особистісно забарвлене ставлення до школи.</w:t>
      </w:r>
      <w:r w:rsidR="00863926" w:rsidRPr="002E6ECA">
        <w:rPr>
          <w:spacing w:val="-2"/>
          <w:sz w:val="28"/>
          <w:szCs w:val="28"/>
          <w:lang w:val="uk-UA"/>
        </w:rPr>
        <w:t xml:space="preserve"> </w:t>
      </w:r>
    </w:p>
    <w:p w:rsidR="00671012" w:rsidRPr="002E6ECA" w:rsidRDefault="00E22F2B" w:rsidP="00671012">
      <w:pPr>
        <w:spacing w:line="360" w:lineRule="auto"/>
        <w:ind w:firstLine="709"/>
        <w:jc w:val="both"/>
        <w:rPr>
          <w:sz w:val="28"/>
          <w:szCs w:val="28"/>
          <w:lang w:val="uk-UA"/>
        </w:rPr>
      </w:pPr>
      <w:r w:rsidRPr="002E6ECA">
        <w:rPr>
          <w:sz w:val="28"/>
          <w:szCs w:val="28"/>
          <w:lang w:val="uk-UA"/>
        </w:rPr>
        <w:t xml:space="preserve">Встановлено, що найбільш комфортні емоційні «умови перебування» були характерні для підлітків 1 групи, які у 16,7% завжди розраховували на допомогу з боку однокласників та у 24,8% </w:t>
      </w:r>
      <w:r w:rsidR="002C00B3" w:rsidRPr="002E6ECA">
        <w:rPr>
          <w:sz w:val="28"/>
          <w:szCs w:val="28"/>
          <w:lang w:val="uk-UA"/>
        </w:rPr>
        <w:t>–</w:t>
      </w:r>
      <w:r w:rsidRPr="002E6ECA">
        <w:rPr>
          <w:sz w:val="28"/>
          <w:szCs w:val="28"/>
          <w:lang w:val="uk-UA"/>
        </w:rPr>
        <w:t xml:space="preserve"> вчителів, що вірогідно вище за групи 3, 5 та 6 (р&lt;0,05-0,01).</w:t>
      </w:r>
      <w:r w:rsidR="00863926" w:rsidRPr="002E6ECA">
        <w:rPr>
          <w:sz w:val="28"/>
          <w:szCs w:val="28"/>
          <w:lang w:val="uk-UA"/>
        </w:rPr>
        <w:t xml:space="preserve"> </w:t>
      </w:r>
      <w:r w:rsidRPr="002E6ECA">
        <w:rPr>
          <w:sz w:val="28"/>
          <w:szCs w:val="28"/>
          <w:lang w:val="uk-UA"/>
        </w:rPr>
        <w:t>Важливим є питання щодо регулярності занять спортом учнями (табл. 4.</w:t>
      </w:r>
      <w:r w:rsidR="004627CF" w:rsidRPr="002E6ECA">
        <w:rPr>
          <w:sz w:val="28"/>
          <w:szCs w:val="28"/>
          <w:lang w:val="uk-UA"/>
        </w:rPr>
        <w:t>5</w:t>
      </w:r>
      <w:r w:rsidRPr="002E6ECA">
        <w:rPr>
          <w:sz w:val="28"/>
          <w:szCs w:val="28"/>
          <w:lang w:val="uk-UA"/>
        </w:rPr>
        <w:t xml:space="preserve">). Встановлено найбільшу частоту відвідувань спортивних занять серед учнів </w:t>
      </w:r>
      <w:r w:rsidR="00E56C20" w:rsidRPr="002E6ECA">
        <w:rPr>
          <w:sz w:val="28"/>
          <w:szCs w:val="28"/>
          <w:lang w:val="uk-UA"/>
        </w:rPr>
        <w:t>першої групи: майже щодня – 50,</w:t>
      </w:r>
      <w:r w:rsidRPr="002E6ECA">
        <w:rPr>
          <w:sz w:val="28"/>
          <w:szCs w:val="28"/>
          <w:lang w:val="uk-UA"/>
        </w:rPr>
        <w:t>0</w:t>
      </w:r>
      <w:r w:rsidR="0080667E" w:rsidRPr="002E6ECA">
        <w:rPr>
          <w:sz w:val="28"/>
          <w:szCs w:val="28"/>
          <w:lang w:val="uk-UA"/>
        </w:rPr>
        <w:t>%</w:t>
      </w:r>
      <w:r w:rsidRPr="002E6ECA">
        <w:rPr>
          <w:sz w:val="28"/>
          <w:szCs w:val="28"/>
          <w:lang w:val="uk-UA"/>
        </w:rPr>
        <w:t>, що суттєво більше ніж у 2, 3 та 5 групах (р&lt;0,05).</w:t>
      </w:r>
    </w:p>
    <w:p w:rsidR="00671012" w:rsidRPr="002E6ECA" w:rsidRDefault="00671012" w:rsidP="00671012">
      <w:pPr>
        <w:spacing w:line="360" w:lineRule="auto"/>
        <w:ind w:firstLine="709"/>
        <w:jc w:val="right"/>
        <w:rPr>
          <w:i/>
          <w:sz w:val="28"/>
          <w:szCs w:val="28"/>
          <w:lang w:val="uk-UA"/>
        </w:rPr>
      </w:pPr>
      <w:r w:rsidRPr="002E6ECA">
        <w:rPr>
          <w:i/>
          <w:sz w:val="28"/>
          <w:szCs w:val="28"/>
          <w:lang w:val="uk-UA"/>
        </w:rPr>
        <w:lastRenderedPageBreak/>
        <w:t>Таблиця 4.</w:t>
      </w:r>
      <w:r w:rsidR="004627CF" w:rsidRPr="002E6ECA">
        <w:rPr>
          <w:i/>
          <w:sz w:val="28"/>
          <w:szCs w:val="28"/>
          <w:lang w:val="uk-UA"/>
        </w:rPr>
        <w:t>5</w:t>
      </w:r>
    </w:p>
    <w:p w:rsidR="00671012" w:rsidRPr="002E6ECA" w:rsidRDefault="00671012" w:rsidP="00E009ED">
      <w:pPr>
        <w:spacing w:line="360" w:lineRule="auto"/>
        <w:ind w:firstLine="709"/>
        <w:jc w:val="center"/>
        <w:rPr>
          <w:b/>
          <w:sz w:val="28"/>
          <w:szCs w:val="28"/>
          <w:lang w:val="uk-UA"/>
        </w:rPr>
      </w:pPr>
      <w:r w:rsidRPr="002E6ECA">
        <w:rPr>
          <w:b/>
          <w:sz w:val="28"/>
          <w:szCs w:val="28"/>
          <w:lang w:val="uk-UA"/>
        </w:rPr>
        <w:t>Аналіз регулярності занять спортом, %</w:t>
      </w:r>
    </w:p>
    <w:tbl>
      <w:tblPr>
        <w:tblW w:w="96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92"/>
        <w:gridCol w:w="951"/>
        <w:gridCol w:w="952"/>
        <w:gridCol w:w="952"/>
        <w:gridCol w:w="951"/>
        <w:gridCol w:w="952"/>
        <w:gridCol w:w="952"/>
        <w:gridCol w:w="952"/>
      </w:tblGrid>
      <w:tr w:rsidR="00671012" w:rsidRPr="002E6ECA" w:rsidTr="00373A9C">
        <w:trPr>
          <w:cantSplit/>
          <w:trHeight w:val="1134"/>
        </w:trPr>
        <w:tc>
          <w:tcPr>
            <w:tcW w:w="2992" w:type="dxa"/>
            <w:shd w:val="clear" w:color="000000" w:fill="FFFFFF"/>
            <w:vAlign w:val="center"/>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Частота занять</w:t>
            </w:r>
          </w:p>
        </w:tc>
        <w:tc>
          <w:tcPr>
            <w:tcW w:w="951" w:type="dxa"/>
            <w:shd w:val="clear" w:color="000000" w:fill="C4D79B"/>
            <w:tcMar>
              <w:left w:w="28" w:type="dxa"/>
              <w:right w:w="28" w:type="dxa"/>
            </w:tcMar>
            <w:textDirection w:val="btLr"/>
            <w:vAlign w:val="center"/>
            <w:hideMark/>
          </w:tcPr>
          <w:p w:rsidR="00671012" w:rsidRPr="002E6ECA" w:rsidRDefault="00671012" w:rsidP="00373A9C">
            <w:pPr>
              <w:ind w:left="113" w:right="113" w:firstLine="51"/>
              <w:jc w:val="center"/>
              <w:rPr>
                <w:sz w:val="28"/>
                <w:szCs w:val="28"/>
                <w:lang w:val="uk-UA"/>
              </w:rPr>
            </w:pPr>
            <w:r w:rsidRPr="002E6ECA">
              <w:rPr>
                <w:sz w:val="28"/>
                <w:szCs w:val="28"/>
                <w:lang w:val="uk-UA"/>
              </w:rPr>
              <w:t>Група1 (n=159)</w:t>
            </w:r>
          </w:p>
        </w:tc>
        <w:tc>
          <w:tcPr>
            <w:tcW w:w="952" w:type="dxa"/>
            <w:shd w:val="clear" w:color="000000" w:fill="C4D79B"/>
            <w:tcMar>
              <w:left w:w="28" w:type="dxa"/>
              <w:right w:w="28" w:type="dxa"/>
            </w:tcMar>
            <w:textDirection w:val="btLr"/>
            <w:vAlign w:val="center"/>
            <w:hideMark/>
          </w:tcPr>
          <w:p w:rsidR="00671012" w:rsidRPr="002E6ECA" w:rsidRDefault="00671012" w:rsidP="00373A9C">
            <w:pPr>
              <w:ind w:left="113" w:right="113" w:firstLine="51"/>
              <w:jc w:val="center"/>
              <w:rPr>
                <w:sz w:val="28"/>
                <w:szCs w:val="28"/>
                <w:lang w:val="uk-UA"/>
              </w:rPr>
            </w:pPr>
            <w:r w:rsidRPr="002E6ECA">
              <w:rPr>
                <w:sz w:val="28"/>
                <w:szCs w:val="28"/>
                <w:lang w:val="uk-UA"/>
              </w:rPr>
              <w:t>Група2 (n=701)</w:t>
            </w:r>
          </w:p>
        </w:tc>
        <w:tc>
          <w:tcPr>
            <w:tcW w:w="952" w:type="dxa"/>
            <w:shd w:val="clear" w:color="000000" w:fill="C4D79B"/>
            <w:tcMar>
              <w:left w:w="28" w:type="dxa"/>
              <w:right w:w="28" w:type="dxa"/>
            </w:tcMar>
            <w:textDirection w:val="btLr"/>
            <w:vAlign w:val="center"/>
            <w:hideMark/>
          </w:tcPr>
          <w:p w:rsidR="00671012" w:rsidRPr="002E6ECA" w:rsidRDefault="00671012" w:rsidP="00373A9C">
            <w:pPr>
              <w:ind w:left="113" w:right="113" w:firstLine="51"/>
              <w:jc w:val="center"/>
              <w:rPr>
                <w:sz w:val="28"/>
                <w:szCs w:val="28"/>
                <w:lang w:val="uk-UA"/>
              </w:rPr>
            </w:pPr>
            <w:r w:rsidRPr="002E6ECA">
              <w:rPr>
                <w:sz w:val="28"/>
                <w:szCs w:val="28"/>
                <w:lang w:val="uk-UA"/>
              </w:rPr>
              <w:t>Група3 (n=50)</w:t>
            </w:r>
          </w:p>
        </w:tc>
        <w:tc>
          <w:tcPr>
            <w:tcW w:w="951" w:type="dxa"/>
            <w:shd w:val="clear" w:color="000000" w:fill="C4D79B"/>
            <w:tcMar>
              <w:left w:w="28" w:type="dxa"/>
              <w:right w:w="28" w:type="dxa"/>
            </w:tcMar>
            <w:textDirection w:val="btLr"/>
            <w:vAlign w:val="center"/>
            <w:hideMark/>
          </w:tcPr>
          <w:p w:rsidR="00671012" w:rsidRPr="002E6ECA" w:rsidRDefault="00671012" w:rsidP="00373A9C">
            <w:pPr>
              <w:ind w:left="113" w:right="113" w:firstLine="51"/>
              <w:jc w:val="center"/>
              <w:rPr>
                <w:sz w:val="28"/>
                <w:szCs w:val="28"/>
                <w:lang w:val="uk-UA"/>
              </w:rPr>
            </w:pPr>
            <w:r w:rsidRPr="002E6ECA">
              <w:rPr>
                <w:sz w:val="28"/>
                <w:szCs w:val="28"/>
                <w:lang w:val="uk-UA"/>
              </w:rPr>
              <w:t>Група4 (n=13)</w:t>
            </w:r>
          </w:p>
        </w:tc>
        <w:tc>
          <w:tcPr>
            <w:tcW w:w="952" w:type="dxa"/>
            <w:shd w:val="clear" w:color="000000" w:fill="C4D79B"/>
            <w:tcMar>
              <w:left w:w="28" w:type="dxa"/>
              <w:right w:w="28" w:type="dxa"/>
            </w:tcMar>
            <w:textDirection w:val="btLr"/>
            <w:vAlign w:val="center"/>
            <w:hideMark/>
          </w:tcPr>
          <w:p w:rsidR="00671012" w:rsidRPr="002E6ECA" w:rsidRDefault="00671012" w:rsidP="00373A9C">
            <w:pPr>
              <w:ind w:left="113" w:right="113" w:firstLine="51"/>
              <w:jc w:val="center"/>
              <w:rPr>
                <w:sz w:val="28"/>
                <w:szCs w:val="28"/>
                <w:lang w:val="uk-UA"/>
              </w:rPr>
            </w:pPr>
            <w:r w:rsidRPr="002E6ECA">
              <w:rPr>
                <w:sz w:val="28"/>
                <w:szCs w:val="28"/>
                <w:lang w:val="uk-UA"/>
              </w:rPr>
              <w:t>Група5 (n=70)</w:t>
            </w:r>
          </w:p>
        </w:tc>
        <w:tc>
          <w:tcPr>
            <w:tcW w:w="952" w:type="dxa"/>
            <w:shd w:val="clear" w:color="000000" w:fill="C4D79B"/>
            <w:tcMar>
              <w:left w:w="28" w:type="dxa"/>
              <w:right w:w="28" w:type="dxa"/>
            </w:tcMar>
            <w:textDirection w:val="btLr"/>
            <w:vAlign w:val="center"/>
            <w:hideMark/>
          </w:tcPr>
          <w:p w:rsidR="00671012" w:rsidRPr="002E6ECA" w:rsidRDefault="00671012" w:rsidP="00373A9C">
            <w:pPr>
              <w:ind w:left="113" w:right="113" w:firstLine="51"/>
              <w:jc w:val="center"/>
              <w:rPr>
                <w:sz w:val="28"/>
                <w:szCs w:val="28"/>
                <w:lang w:val="uk-UA"/>
              </w:rPr>
            </w:pPr>
            <w:r w:rsidRPr="002E6ECA">
              <w:rPr>
                <w:sz w:val="28"/>
                <w:szCs w:val="28"/>
                <w:lang w:val="uk-UA"/>
              </w:rPr>
              <w:t>Група6 (n=22)</w:t>
            </w:r>
          </w:p>
        </w:tc>
        <w:tc>
          <w:tcPr>
            <w:tcW w:w="952" w:type="dxa"/>
            <w:shd w:val="clear" w:color="000000" w:fill="C4D79B"/>
            <w:textDirection w:val="btLr"/>
          </w:tcPr>
          <w:p w:rsidR="00671012" w:rsidRPr="002E6ECA" w:rsidRDefault="00671012" w:rsidP="00373A9C">
            <w:pPr>
              <w:ind w:left="113" w:right="113" w:firstLine="51"/>
              <w:jc w:val="center"/>
              <w:rPr>
                <w:sz w:val="28"/>
                <w:szCs w:val="28"/>
                <w:lang w:val="uk-UA"/>
              </w:rPr>
            </w:pPr>
            <w:r w:rsidRPr="002E6ECA">
              <w:rPr>
                <w:sz w:val="28"/>
                <w:szCs w:val="28"/>
                <w:lang w:val="uk-UA"/>
              </w:rPr>
              <w:t>В цілому</w:t>
            </w:r>
          </w:p>
        </w:tc>
      </w:tr>
      <w:tr w:rsidR="00671012" w:rsidRPr="002E6ECA" w:rsidTr="00373A9C">
        <w:trPr>
          <w:trHeight w:val="315"/>
        </w:trPr>
        <w:tc>
          <w:tcPr>
            <w:tcW w:w="2992" w:type="dxa"/>
            <w:shd w:val="clear" w:color="000000" w:fill="FFFFFF"/>
            <w:noWrap/>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 Майже щодня</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50,0</w:t>
            </w:r>
            <w:r w:rsidRPr="002E6ECA">
              <w:rPr>
                <w:sz w:val="28"/>
                <w:szCs w:val="28"/>
                <w:vertAlign w:val="superscript"/>
                <w:lang w:val="uk-UA"/>
              </w:rPr>
              <w:t>*</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38,8</w:t>
            </w:r>
            <w:r w:rsidRPr="002E6ECA">
              <w:rPr>
                <w:sz w:val="28"/>
                <w:szCs w:val="28"/>
                <w:vertAlign w:val="superscript"/>
                <w:lang w:val="uk-UA"/>
              </w:rPr>
              <w:t>*</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32,0</w:t>
            </w:r>
            <w:r w:rsidRPr="002E6ECA">
              <w:rPr>
                <w:sz w:val="28"/>
                <w:szCs w:val="28"/>
                <w:vertAlign w:val="superscript"/>
                <w:lang w:val="uk-UA"/>
              </w:rPr>
              <w:t>*</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41,7</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26,5</w:t>
            </w:r>
            <w:r w:rsidRPr="002E6ECA">
              <w:rPr>
                <w:sz w:val="28"/>
                <w:szCs w:val="28"/>
                <w:vertAlign w:val="superscript"/>
                <w:lang w:val="uk-UA"/>
              </w:rPr>
              <w:t>*</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30,0</w:t>
            </w:r>
          </w:p>
        </w:tc>
        <w:tc>
          <w:tcPr>
            <w:tcW w:w="952" w:type="dxa"/>
            <w:shd w:val="clear" w:color="auto" w:fill="FFFFFF"/>
            <w:vAlign w:val="bottom"/>
          </w:tcPr>
          <w:p w:rsidR="00671012" w:rsidRPr="002E6ECA" w:rsidRDefault="00671012" w:rsidP="00671012">
            <w:pPr>
              <w:spacing w:line="360" w:lineRule="auto"/>
              <w:ind w:firstLine="49"/>
              <w:jc w:val="center"/>
              <w:rPr>
                <w:sz w:val="28"/>
                <w:szCs w:val="28"/>
                <w:lang w:val="uk-UA"/>
              </w:rPr>
            </w:pPr>
            <w:r w:rsidRPr="002E6ECA">
              <w:rPr>
                <w:sz w:val="28"/>
                <w:szCs w:val="28"/>
                <w:lang w:val="uk-UA"/>
              </w:rPr>
              <w:t>39,1</w:t>
            </w:r>
          </w:p>
        </w:tc>
      </w:tr>
      <w:tr w:rsidR="00671012" w:rsidRPr="002E6ECA" w:rsidTr="00373A9C">
        <w:trPr>
          <w:trHeight w:val="315"/>
        </w:trPr>
        <w:tc>
          <w:tcPr>
            <w:tcW w:w="2992" w:type="dxa"/>
            <w:shd w:val="clear" w:color="000000" w:fill="FFFFFF"/>
            <w:noWrap/>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 4-5 днів на тиждень</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17,3</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19,9</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14,0</w:t>
            </w:r>
            <w:r w:rsidRPr="002E6ECA">
              <w:rPr>
                <w:sz w:val="28"/>
                <w:szCs w:val="28"/>
                <w:vertAlign w:val="superscript"/>
                <w:lang w:val="uk-UA"/>
              </w:rPr>
              <w:t>*</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25,0</w:t>
            </w:r>
            <w:r w:rsidRPr="002E6ECA">
              <w:rPr>
                <w:sz w:val="28"/>
                <w:szCs w:val="28"/>
                <w:vertAlign w:val="superscript"/>
                <w:lang w:val="uk-UA"/>
              </w:rPr>
              <w:t>*</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29,4</w:t>
            </w:r>
            <w:r w:rsidRPr="002E6ECA">
              <w:rPr>
                <w:sz w:val="28"/>
                <w:szCs w:val="28"/>
                <w:vertAlign w:val="superscript"/>
                <w:lang w:val="uk-UA"/>
              </w:rPr>
              <w:t>*</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0,0</w:t>
            </w:r>
          </w:p>
        </w:tc>
        <w:tc>
          <w:tcPr>
            <w:tcW w:w="952" w:type="dxa"/>
            <w:shd w:val="clear" w:color="auto" w:fill="FFFFFF"/>
            <w:vAlign w:val="bottom"/>
          </w:tcPr>
          <w:p w:rsidR="00671012" w:rsidRPr="002E6ECA" w:rsidRDefault="00671012" w:rsidP="00671012">
            <w:pPr>
              <w:spacing w:line="360" w:lineRule="auto"/>
              <w:ind w:firstLine="49"/>
              <w:jc w:val="center"/>
              <w:rPr>
                <w:sz w:val="28"/>
                <w:szCs w:val="28"/>
                <w:lang w:val="uk-UA"/>
              </w:rPr>
            </w:pPr>
            <w:r w:rsidRPr="002E6ECA">
              <w:rPr>
                <w:sz w:val="28"/>
                <w:szCs w:val="28"/>
                <w:lang w:val="uk-UA"/>
              </w:rPr>
              <w:t>19,7</w:t>
            </w:r>
          </w:p>
        </w:tc>
      </w:tr>
      <w:tr w:rsidR="00671012" w:rsidRPr="002E6ECA" w:rsidTr="00373A9C">
        <w:trPr>
          <w:trHeight w:val="315"/>
        </w:trPr>
        <w:tc>
          <w:tcPr>
            <w:tcW w:w="2992" w:type="dxa"/>
            <w:shd w:val="clear" w:color="000000" w:fill="FFFFFF"/>
            <w:noWrap/>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3. 2-3 дні на тиждень</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23,1</w:t>
            </w:r>
            <w:r w:rsidRPr="002E6ECA">
              <w:rPr>
                <w:sz w:val="28"/>
                <w:szCs w:val="28"/>
                <w:vertAlign w:val="superscript"/>
                <w:lang w:val="uk-UA"/>
              </w:rPr>
              <w:t>**</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32,2</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40,0</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25,0</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30,9</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65,0</w:t>
            </w:r>
          </w:p>
        </w:tc>
        <w:tc>
          <w:tcPr>
            <w:tcW w:w="952" w:type="dxa"/>
            <w:shd w:val="clear" w:color="auto" w:fill="FFFFFF"/>
            <w:vAlign w:val="bottom"/>
          </w:tcPr>
          <w:p w:rsidR="00671012" w:rsidRPr="002E6ECA" w:rsidRDefault="00671012" w:rsidP="00671012">
            <w:pPr>
              <w:spacing w:line="360" w:lineRule="auto"/>
              <w:ind w:firstLine="49"/>
              <w:jc w:val="center"/>
              <w:rPr>
                <w:sz w:val="28"/>
                <w:szCs w:val="28"/>
                <w:lang w:val="uk-UA"/>
              </w:rPr>
            </w:pPr>
            <w:r w:rsidRPr="002E6ECA">
              <w:rPr>
                <w:sz w:val="28"/>
                <w:szCs w:val="28"/>
                <w:lang w:val="uk-UA"/>
              </w:rPr>
              <w:t>31,5</w:t>
            </w:r>
          </w:p>
        </w:tc>
      </w:tr>
      <w:tr w:rsidR="00671012" w:rsidRPr="002E6ECA" w:rsidTr="00373A9C">
        <w:trPr>
          <w:trHeight w:val="315"/>
        </w:trPr>
        <w:tc>
          <w:tcPr>
            <w:tcW w:w="2992" w:type="dxa"/>
            <w:shd w:val="clear" w:color="000000" w:fill="FFFFFF"/>
            <w:noWrap/>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 xml:space="preserve">4. Не займався </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9,6</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9,1</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14,0</w:t>
            </w:r>
          </w:p>
        </w:tc>
        <w:tc>
          <w:tcPr>
            <w:tcW w:w="951"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8,3</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13,2</w:t>
            </w:r>
          </w:p>
        </w:tc>
        <w:tc>
          <w:tcPr>
            <w:tcW w:w="952" w:type="dxa"/>
            <w:shd w:val="clear" w:color="auto" w:fill="FFFFFF"/>
            <w:noWrap/>
            <w:tcMar>
              <w:left w:w="28" w:type="dxa"/>
              <w:right w:w="28" w:type="dxa"/>
            </w:tcMar>
            <w:vAlign w:val="center"/>
            <w:hideMark/>
          </w:tcPr>
          <w:p w:rsidR="00671012" w:rsidRPr="002E6ECA" w:rsidRDefault="00671012" w:rsidP="00671012">
            <w:pPr>
              <w:spacing w:line="360" w:lineRule="auto"/>
              <w:ind w:firstLine="49"/>
              <w:jc w:val="center"/>
              <w:rPr>
                <w:sz w:val="28"/>
                <w:szCs w:val="28"/>
                <w:lang w:val="uk-UA"/>
              </w:rPr>
            </w:pPr>
            <w:r w:rsidRPr="002E6ECA">
              <w:rPr>
                <w:sz w:val="28"/>
                <w:szCs w:val="28"/>
                <w:lang w:val="uk-UA"/>
              </w:rPr>
              <w:t>5,0</w:t>
            </w:r>
          </w:p>
        </w:tc>
        <w:tc>
          <w:tcPr>
            <w:tcW w:w="952" w:type="dxa"/>
            <w:shd w:val="clear" w:color="auto" w:fill="FFFFFF"/>
            <w:vAlign w:val="bottom"/>
          </w:tcPr>
          <w:p w:rsidR="00671012" w:rsidRPr="002E6ECA" w:rsidRDefault="00671012" w:rsidP="00671012">
            <w:pPr>
              <w:spacing w:line="360" w:lineRule="auto"/>
              <w:ind w:firstLine="49"/>
              <w:jc w:val="center"/>
              <w:rPr>
                <w:sz w:val="28"/>
                <w:szCs w:val="28"/>
                <w:lang w:val="uk-UA"/>
              </w:rPr>
            </w:pPr>
            <w:r w:rsidRPr="002E6ECA">
              <w:rPr>
                <w:sz w:val="28"/>
                <w:szCs w:val="28"/>
                <w:lang w:val="uk-UA"/>
              </w:rPr>
              <w:t>9,6</w:t>
            </w:r>
          </w:p>
        </w:tc>
      </w:tr>
    </w:tbl>
    <w:p w:rsidR="00671012" w:rsidRPr="002E6ECA" w:rsidRDefault="00373A9C" w:rsidP="002C00B3">
      <w:pPr>
        <w:spacing w:line="276" w:lineRule="auto"/>
        <w:ind w:firstLine="284"/>
        <w:jc w:val="both"/>
        <w:rPr>
          <w:lang w:val="uk-UA"/>
        </w:rPr>
      </w:pPr>
      <w:r w:rsidRPr="002E6ECA">
        <w:rPr>
          <w:lang w:val="uk-UA"/>
        </w:rPr>
        <w:t>Примітка:</w:t>
      </w:r>
      <w:r w:rsidR="00671012" w:rsidRPr="002E6ECA">
        <w:rPr>
          <w:vertAlign w:val="superscript"/>
          <w:lang w:val="uk-UA"/>
        </w:rPr>
        <w:t>*</w:t>
      </w:r>
      <w:r w:rsidR="00BA4524" w:rsidRPr="002E6ECA">
        <w:rPr>
          <w:lang w:val="uk-UA"/>
        </w:rPr>
        <w:t xml:space="preserve"> –</w:t>
      </w:r>
      <w:r w:rsidR="00671012" w:rsidRPr="002E6ECA">
        <w:rPr>
          <w:lang w:val="uk-UA"/>
        </w:rPr>
        <w:t xml:space="preserve"> р&lt;0,05 у порівнянні з іншою групою, </w:t>
      </w:r>
      <w:r w:rsidR="00671012" w:rsidRPr="002E6ECA">
        <w:rPr>
          <w:vertAlign w:val="superscript"/>
          <w:lang w:val="uk-UA"/>
        </w:rPr>
        <w:t xml:space="preserve">** </w:t>
      </w:r>
      <w:r w:rsidR="00BA4524" w:rsidRPr="002E6ECA">
        <w:rPr>
          <w:lang w:val="uk-UA"/>
        </w:rPr>
        <w:t>–</w:t>
      </w:r>
      <w:r w:rsidR="00671012" w:rsidRPr="002E6ECA">
        <w:rPr>
          <w:lang w:val="uk-UA"/>
        </w:rPr>
        <w:t xml:space="preserve"> р&lt;0,01 у порівнянні з іншою групою </w:t>
      </w:r>
    </w:p>
    <w:p w:rsidR="00671012" w:rsidRPr="002E6ECA" w:rsidRDefault="00671012" w:rsidP="00671012">
      <w:pPr>
        <w:spacing w:line="360" w:lineRule="auto"/>
        <w:ind w:firstLine="709"/>
        <w:jc w:val="both"/>
        <w:rPr>
          <w:sz w:val="28"/>
          <w:szCs w:val="28"/>
          <w:lang w:val="uk-UA"/>
        </w:rPr>
      </w:pPr>
    </w:p>
    <w:p w:rsidR="00AA788A" w:rsidRPr="002E6ECA" w:rsidRDefault="00FE4735" w:rsidP="00AA788A">
      <w:pPr>
        <w:spacing w:line="360" w:lineRule="auto"/>
        <w:ind w:firstLine="709"/>
        <w:jc w:val="both"/>
        <w:rPr>
          <w:sz w:val="28"/>
          <w:szCs w:val="28"/>
          <w:lang w:val="uk-UA" w:eastAsia="uk-UA"/>
        </w:rPr>
      </w:pPr>
      <w:r w:rsidRPr="002E6ECA">
        <w:rPr>
          <w:sz w:val="28"/>
          <w:szCs w:val="28"/>
          <w:lang w:val="uk-UA"/>
        </w:rPr>
        <w:t>Одним з головних індикаторів</w:t>
      </w:r>
      <w:r w:rsidR="005414E8" w:rsidRPr="002E6ECA">
        <w:rPr>
          <w:sz w:val="28"/>
          <w:szCs w:val="28"/>
          <w:lang w:val="uk-UA"/>
        </w:rPr>
        <w:t xml:space="preserve"> рівня сформованості навичок здорового способу життя є харчова поведінка та фізична активність. Д</w:t>
      </w:r>
      <w:r w:rsidR="005414E8" w:rsidRPr="002E6ECA">
        <w:rPr>
          <w:sz w:val="28"/>
          <w:szCs w:val="28"/>
          <w:lang w:val="uk-UA" w:eastAsia="uk-UA"/>
        </w:rPr>
        <w:t>ля ефективної профілактики ожиріння необхідно поєднувати обмеження продуктів з високою калорійністю, достатню фізичну активність та споживання корисних продуктів [</w:t>
      </w:r>
      <w:r w:rsidR="00E6025C" w:rsidRPr="002E6ECA">
        <w:rPr>
          <w:sz w:val="28"/>
          <w:szCs w:val="28"/>
          <w:lang w:val="uk-UA" w:eastAsia="uk-UA"/>
        </w:rPr>
        <w:t xml:space="preserve">397, </w:t>
      </w:r>
      <w:r w:rsidR="0091404F" w:rsidRPr="002E6ECA">
        <w:rPr>
          <w:sz w:val="28"/>
          <w:szCs w:val="28"/>
          <w:lang w:val="uk-UA" w:eastAsia="uk-UA"/>
        </w:rPr>
        <w:t xml:space="preserve">480, </w:t>
      </w:r>
      <w:r w:rsidR="00E6025C" w:rsidRPr="002E6ECA">
        <w:rPr>
          <w:sz w:val="28"/>
          <w:szCs w:val="28"/>
          <w:lang w:val="uk-UA" w:eastAsia="uk-UA"/>
        </w:rPr>
        <w:t>481, 495</w:t>
      </w:r>
      <w:r w:rsidR="00AA788A" w:rsidRPr="002E6ECA">
        <w:rPr>
          <w:sz w:val="28"/>
          <w:szCs w:val="28"/>
          <w:lang w:val="uk-UA" w:eastAsia="uk-UA"/>
        </w:rPr>
        <w:t>]</w:t>
      </w:r>
      <w:r w:rsidR="00E6025C" w:rsidRPr="002E6ECA">
        <w:rPr>
          <w:sz w:val="28"/>
          <w:szCs w:val="28"/>
          <w:lang w:val="uk-UA" w:eastAsia="uk-UA"/>
        </w:rPr>
        <w:t>.</w:t>
      </w:r>
    </w:p>
    <w:p w:rsidR="00E24816" w:rsidRPr="002E6ECA" w:rsidRDefault="00AA788A" w:rsidP="00AA788A">
      <w:pPr>
        <w:spacing w:line="360" w:lineRule="auto"/>
        <w:ind w:firstLine="709"/>
        <w:jc w:val="both"/>
        <w:rPr>
          <w:sz w:val="28"/>
          <w:szCs w:val="28"/>
          <w:lang w:val="uk-UA"/>
        </w:rPr>
      </w:pPr>
      <w:r w:rsidRPr="002E6ECA">
        <w:rPr>
          <w:sz w:val="28"/>
          <w:szCs w:val="28"/>
          <w:lang w:val="uk-UA"/>
        </w:rPr>
        <w:t>Відповідно до поставленої мети ми проаналізували частину питань анкети, що стосуються такого важливого здоров’яформуючого чинника, як харчова поведінка шляхом визначення частоти споживання певних груп харчових продуктів. Зміна соціально-економічної ситуації, що триває останнім часом призвела і до відповідних змін у структурі харчового раціону учнівської молоді: змінюється якісний та кількісний склад раціону, суттєво зменшується рівень споживання продуктів тваринного походження, свіжих овочів та фруктів, рослинної олії  [</w:t>
      </w:r>
      <w:r w:rsidR="00E6025C" w:rsidRPr="002E6ECA">
        <w:rPr>
          <w:sz w:val="28"/>
          <w:szCs w:val="28"/>
          <w:lang w:val="uk-UA"/>
        </w:rPr>
        <w:t>25, 98</w:t>
      </w:r>
      <w:r w:rsidRPr="002E6ECA">
        <w:rPr>
          <w:sz w:val="28"/>
          <w:szCs w:val="28"/>
          <w:lang w:val="uk-UA"/>
        </w:rPr>
        <w:t xml:space="preserve">]. </w:t>
      </w:r>
    </w:p>
    <w:p w:rsidR="00AA788A" w:rsidRPr="002E6ECA" w:rsidRDefault="00AA788A" w:rsidP="00AA788A">
      <w:pPr>
        <w:spacing w:line="360" w:lineRule="auto"/>
        <w:ind w:firstLine="709"/>
        <w:jc w:val="both"/>
        <w:rPr>
          <w:sz w:val="28"/>
          <w:szCs w:val="28"/>
          <w:lang w:val="uk-UA"/>
        </w:rPr>
      </w:pPr>
      <w:r w:rsidRPr="002E6ECA">
        <w:rPr>
          <w:sz w:val="28"/>
          <w:szCs w:val="28"/>
          <w:lang w:val="uk-UA"/>
        </w:rPr>
        <w:t xml:space="preserve">Сучасні дослідження харчового статусу серед студентів-медиків засвідчують розповсюдженість ірраціонального харчування, яке безумовно впливає на стан здоров’я та якість життя, що пов’язана з ним </w:t>
      </w:r>
      <w:r w:rsidR="00671012" w:rsidRPr="002E6ECA">
        <w:rPr>
          <w:sz w:val="28"/>
          <w:szCs w:val="28"/>
          <w:lang w:val="uk-UA"/>
        </w:rPr>
        <w:t>[</w:t>
      </w:r>
      <w:r w:rsidR="00E6025C" w:rsidRPr="002E6ECA">
        <w:rPr>
          <w:sz w:val="28"/>
          <w:szCs w:val="28"/>
          <w:lang w:val="uk-UA"/>
        </w:rPr>
        <w:t>2, 62, 120, 166,</w:t>
      </w:r>
      <w:r w:rsidR="00E6025C" w:rsidRPr="002E6ECA">
        <w:rPr>
          <w:lang w:val="uk-UA"/>
        </w:rPr>
        <w:t xml:space="preserve"> </w:t>
      </w:r>
      <w:r w:rsidR="00E6025C" w:rsidRPr="002E6ECA">
        <w:rPr>
          <w:sz w:val="28"/>
          <w:szCs w:val="28"/>
          <w:lang w:val="uk-UA"/>
        </w:rPr>
        <w:t>223,</w:t>
      </w:r>
      <w:r w:rsidR="00E6025C" w:rsidRPr="002E6ECA">
        <w:rPr>
          <w:lang w:val="uk-UA"/>
        </w:rPr>
        <w:t xml:space="preserve"> </w:t>
      </w:r>
      <w:r w:rsidR="00E6025C" w:rsidRPr="002E6ECA">
        <w:rPr>
          <w:sz w:val="28"/>
          <w:szCs w:val="28"/>
          <w:lang w:val="uk-UA"/>
        </w:rPr>
        <w:t>298,</w:t>
      </w:r>
      <w:r w:rsidR="00E6025C" w:rsidRPr="002E6ECA">
        <w:rPr>
          <w:lang w:val="uk-UA"/>
        </w:rPr>
        <w:t xml:space="preserve"> </w:t>
      </w:r>
      <w:r w:rsidR="00E6025C" w:rsidRPr="002E6ECA">
        <w:rPr>
          <w:sz w:val="28"/>
          <w:szCs w:val="28"/>
          <w:lang w:val="uk-UA"/>
        </w:rPr>
        <w:t>325</w:t>
      </w:r>
      <w:r w:rsidR="00671012" w:rsidRPr="002E6ECA">
        <w:rPr>
          <w:sz w:val="28"/>
          <w:szCs w:val="28"/>
          <w:lang w:val="uk-UA"/>
        </w:rPr>
        <w:t xml:space="preserve">]. </w:t>
      </w:r>
      <w:r w:rsidRPr="002E6ECA">
        <w:rPr>
          <w:sz w:val="28"/>
          <w:szCs w:val="28"/>
          <w:lang w:val="uk-UA"/>
        </w:rPr>
        <w:t xml:space="preserve">Нами визначено недостатнє споживання </w:t>
      </w:r>
      <w:r w:rsidRPr="002E6ECA">
        <w:rPr>
          <w:sz w:val="28"/>
          <w:szCs w:val="28"/>
        </w:rPr>
        <w:t xml:space="preserve">студентами </w:t>
      </w:r>
      <w:r w:rsidRPr="002E6ECA">
        <w:rPr>
          <w:sz w:val="28"/>
          <w:szCs w:val="28"/>
          <w:lang w:val="uk-UA"/>
        </w:rPr>
        <w:t xml:space="preserve">м’яса, риби, молочних продуктів, овочів, фруктів, а також дефіцит таких нутрієнтів, як кальцій у обох статевих групах, магнію на 33,9% та вітаміну А майже втричі від норми </w:t>
      </w:r>
      <w:r w:rsidRPr="002E6ECA">
        <w:rPr>
          <w:sz w:val="28"/>
          <w:szCs w:val="28"/>
        </w:rPr>
        <w:t xml:space="preserve">– </w:t>
      </w:r>
      <w:r w:rsidRPr="002E6ECA">
        <w:rPr>
          <w:sz w:val="28"/>
          <w:szCs w:val="28"/>
          <w:lang w:val="uk-UA"/>
        </w:rPr>
        <w:t>у</w:t>
      </w:r>
      <w:r w:rsidRPr="002E6ECA">
        <w:rPr>
          <w:sz w:val="28"/>
          <w:szCs w:val="28"/>
        </w:rPr>
        <w:t xml:space="preserve"> </w:t>
      </w:r>
      <w:r w:rsidRPr="002E6ECA">
        <w:rPr>
          <w:sz w:val="28"/>
          <w:szCs w:val="28"/>
          <w:lang w:val="uk-UA"/>
        </w:rPr>
        <w:t>студентів-дівчат.</w:t>
      </w:r>
      <w:r w:rsidRPr="002E6ECA">
        <w:rPr>
          <w:sz w:val="28"/>
          <w:szCs w:val="28"/>
        </w:rPr>
        <w:t xml:space="preserve"> </w:t>
      </w:r>
      <w:r w:rsidRPr="002E6ECA">
        <w:rPr>
          <w:sz w:val="28"/>
          <w:szCs w:val="28"/>
          <w:lang w:val="uk-UA"/>
        </w:rPr>
        <w:t xml:space="preserve">При цьому калораж раціону забезпечувався за </w:t>
      </w:r>
      <w:r w:rsidRPr="002E6ECA">
        <w:rPr>
          <w:sz w:val="28"/>
          <w:szCs w:val="28"/>
          <w:lang w:val="uk-UA"/>
        </w:rPr>
        <w:lastRenderedPageBreak/>
        <w:t>рахунок певних харчових пріоритетів – сосиски, ковбаси, майонез, соуси, цукерки та тістечка, вул</w:t>
      </w:r>
      <w:r w:rsidR="00E24816" w:rsidRPr="002E6ECA">
        <w:rPr>
          <w:sz w:val="28"/>
          <w:szCs w:val="28"/>
          <w:lang w:val="uk-UA"/>
        </w:rPr>
        <w:t>ич</w:t>
      </w:r>
      <w:r w:rsidRPr="002E6ECA">
        <w:rPr>
          <w:sz w:val="28"/>
          <w:szCs w:val="28"/>
          <w:lang w:val="uk-UA"/>
        </w:rPr>
        <w:t xml:space="preserve">ної їжі (шаурма, пиріжки тощо), більшість з яких мають у своєму складі транс-жири, синтетичні барвники, емульгатори, стабілізатори та інші шкідливі харчові добавки. </w:t>
      </w:r>
    </w:p>
    <w:p w:rsidR="00671012" w:rsidRPr="002E6ECA" w:rsidRDefault="00671012" w:rsidP="00671012">
      <w:pPr>
        <w:shd w:val="clear" w:color="auto" w:fill="FFFFFF"/>
        <w:spacing w:line="360" w:lineRule="auto"/>
        <w:ind w:firstLine="709"/>
        <w:jc w:val="both"/>
        <w:rPr>
          <w:sz w:val="28"/>
          <w:szCs w:val="28"/>
          <w:lang w:val="uk-UA"/>
        </w:rPr>
      </w:pPr>
      <w:r w:rsidRPr="002E6ECA">
        <w:rPr>
          <w:sz w:val="28"/>
          <w:szCs w:val="28"/>
          <w:lang w:val="uk-UA"/>
        </w:rPr>
        <w:t>Сучасні методи оцінки фактичного харчування вивчають показники, що характеризують його як фактор навколишнього середовища (біологічна цінність i хімічний склад раціону, режим харчування тощо) [</w:t>
      </w:r>
      <w:r w:rsidR="00E6025C" w:rsidRPr="002E6ECA">
        <w:rPr>
          <w:sz w:val="28"/>
          <w:szCs w:val="28"/>
          <w:lang w:val="uk-UA"/>
        </w:rPr>
        <w:t>120</w:t>
      </w:r>
      <w:r w:rsidRPr="002E6ECA">
        <w:rPr>
          <w:sz w:val="28"/>
          <w:szCs w:val="28"/>
          <w:lang w:val="uk-UA"/>
        </w:rPr>
        <w:t xml:space="preserve">], а з іншого </w:t>
      </w:r>
      <w:r w:rsidR="00BA4524" w:rsidRPr="002E6ECA">
        <w:rPr>
          <w:sz w:val="28"/>
          <w:szCs w:val="28"/>
          <w:lang w:val="uk-UA"/>
        </w:rPr>
        <w:t>–</w:t>
      </w:r>
      <w:r w:rsidRPr="002E6ECA">
        <w:rPr>
          <w:sz w:val="28"/>
          <w:szCs w:val="28"/>
          <w:lang w:val="uk-UA"/>
        </w:rPr>
        <w:t xml:space="preserve"> показники харчового статусу, що характеризують стан здоров’я (енерговитрати, індекс маси тіла). Такий підхід дозволяє не лише отримати  уявлення про кожний з цих чинників, але й, перш за все, про адекватність харчового раціону, тобто відповідність енергетичної цінності енерговитратам. </w:t>
      </w:r>
    </w:p>
    <w:p w:rsidR="00671012" w:rsidRPr="002E6ECA" w:rsidRDefault="00671012" w:rsidP="00671012">
      <w:pPr>
        <w:spacing w:line="360" w:lineRule="auto"/>
        <w:ind w:firstLine="709"/>
        <w:jc w:val="both"/>
        <w:rPr>
          <w:sz w:val="28"/>
          <w:szCs w:val="28"/>
          <w:lang w:val="uk-UA"/>
        </w:rPr>
      </w:pPr>
      <w:r w:rsidRPr="002E6ECA">
        <w:rPr>
          <w:sz w:val="28"/>
          <w:szCs w:val="28"/>
          <w:lang w:val="uk-UA"/>
        </w:rPr>
        <w:t xml:space="preserve">Раціональне харчування постає одним з головних здоров’яформуючих чинників. З метою оцінки режиму харчування та надходження до організму основних поживних речовин було проаналізовано частоту споживання харчових продуктів. Аналіз ступеню вживання основних харчових продуктів та фаст-фуду продемонстрував найнижче споживання таких важливих продуктів як риба, м’ясо та найвищу поширеність «шкідливих» харчових звичок серед учнів 4 групи. Так, головні джерела білку – м’ясо та риба не були щоденною складовою раціону харчування дівчат-підлітків 4 групи. </w:t>
      </w:r>
    </w:p>
    <w:p w:rsidR="00671012" w:rsidRPr="002E6ECA" w:rsidRDefault="00671012" w:rsidP="00671012">
      <w:pPr>
        <w:spacing w:line="360" w:lineRule="auto"/>
        <w:ind w:firstLine="709"/>
        <w:jc w:val="both"/>
        <w:rPr>
          <w:sz w:val="28"/>
          <w:szCs w:val="28"/>
          <w:lang w:val="uk-UA"/>
        </w:rPr>
      </w:pPr>
      <w:r w:rsidRPr="002E6ECA">
        <w:rPr>
          <w:sz w:val="28"/>
          <w:szCs w:val="28"/>
          <w:lang w:val="uk-UA"/>
        </w:rPr>
        <w:t>Щоденно вживали чіпси та сухарики переважно учні 3 та 4 груп, що вірогідно вище з 3-ої групи у порівнянні з 1 групою (р&lt;0,05). При цьому харчова поведінка у залежності від гендерної приналежності дещо різнилася. Так, серед дівчат 2 групи більше зустрічалось тих, хто вживає чіпси та сухарики 2-3 рази на тиждень у порівнянні з 4, 5 та 6 групами (р&lt;0,01). Серед хлопців 1 групи найбільше поширена частка тих, хто зовсім не вживав ці продукти – 41,6</w:t>
      </w:r>
      <w:r w:rsidR="0080667E" w:rsidRPr="002E6ECA">
        <w:rPr>
          <w:sz w:val="28"/>
          <w:szCs w:val="28"/>
          <w:lang w:val="uk-UA"/>
        </w:rPr>
        <w:t>%</w:t>
      </w:r>
      <w:r w:rsidRPr="002E6ECA">
        <w:rPr>
          <w:sz w:val="28"/>
          <w:szCs w:val="28"/>
          <w:lang w:val="uk-UA"/>
        </w:rPr>
        <w:t xml:space="preserve"> (р&lt;0,05 у порівнянні з 2, 3 та 5 групами)</w:t>
      </w:r>
    </w:p>
    <w:p w:rsidR="00671012" w:rsidRPr="002E6ECA" w:rsidRDefault="00671012" w:rsidP="00671012">
      <w:pPr>
        <w:spacing w:line="360" w:lineRule="auto"/>
        <w:ind w:firstLine="709"/>
        <w:jc w:val="both"/>
        <w:rPr>
          <w:sz w:val="28"/>
          <w:szCs w:val="28"/>
          <w:lang w:val="uk-UA"/>
        </w:rPr>
      </w:pPr>
      <w:r w:rsidRPr="002E6ECA">
        <w:rPr>
          <w:sz w:val="28"/>
          <w:szCs w:val="28"/>
          <w:lang w:val="uk-UA"/>
        </w:rPr>
        <w:t>При аналізі груп в цілому без розподілу на підгрупи за статтю визначалось (табл. 4.</w:t>
      </w:r>
      <w:r w:rsidR="00722B83" w:rsidRPr="002E6ECA">
        <w:rPr>
          <w:sz w:val="28"/>
          <w:szCs w:val="28"/>
          <w:lang w:val="uk-UA"/>
        </w:rPr>
        <w:t>6</w:t>
      </w:r>
      <w:r w:rsidRPr="002E6ECA">
        <w:rPr>
          <w:sz w:val="28"/>
          <w:szCs w:val="28"/>
          <w:lang w:val="uk-UA"/>
        </w:rPr>
        <w:t xml:space="preserve">), що серед учнів 4 групи найбільший відсоток тих, хто вживає вуличну їжу щоденно та найменший тих, хто взагалі її не вживає (вірогідно у порівнянні з 1, 2, 5 та 6 групами; р&lt;0,01). </w:t>
      </w:r>
    </w:p>
    <w:p w:rsidR="00671012" w:rsidRPr="002E6ECA" w:rsidRDefault="00671012" w:rsidP="00671012">
      <w:pPr>
        <w:spacing w:line="360" w:lineRule="auto"/>
        <w:ind w:firstLine="709"/>
        <w:jc w:val="right"/>
        <w:rPr>
          <w:i/>
          <w:sz w:val="28"/>
          <w:szCs w:val="28"/>
          <w:lang w:val="uk-UA"/>
        </w:rPr>
      </w:pPr>
      <w:r w:rsidRPr="002E6ECA">
        <w:rPr>
          <w:i/>
          <w:sz w:val="28"/>
          <w:szCs w:val="28"/>
          <w:lang w:val="uk-UA"/>
        </w:rPr>
        <w:lastRenderedPageBreak/>
        <w:t>Таблиця 4.</w:t>
      </w:r>
      <w:r w:rsidR="00722B83" w:rsidRPr="002E6ECA">
        <w:rPr>
          <w:i/>
          <w:sz w:val="28"/>
          <w:szCs w:val="28"/>
          <w:lang w:val="uk-UA"/>
        </w:rPr>
        <w:t>6</w:t>
      </w:r>
    </w:p>
    <w:p w:rsidR="00671012" w:rsidRPr="002E6ECA" w:rsidRDefault="00671012" w:rsidP="00C36A0D">
      <w:pPr>
        <w:spacing w:line="360" w:lineRule="auto"/>
        <w:ind w:firstLine="709"/>
        <w:jc w:val="center"/>
        <w:rPr>
          <w:b/>
          <w:sz w:val="28"/>
          <w:szCs w:val="28"/>
          <w:lang w:val="uk-UA"/>
        </w:rPr>
      </w:pPr>
      <w:r w:rsidRPr="002E6ECA">
        <w:rPr>
          <w:b/>
          <w:sz w:val="28"/>
          <w:szCs w:val="28"/>
          <w:lang w:val="uk-UA"/>
        </w:rPr>
        <w:t>Аналіз частоти вживання вуличної їжі, %</w:t>
      </w:r>
    </w:p>
    <w:tbl>
      <w:tblPr>
        <w:tblW w:w="9656" w:type="dxa"/>
        <w:tblInd w:w="93" w:type="dxa"/>
        <w:tblLayout w:type="fixed"/>
        <w:tblLook w:val="04A0" w:firstRow="1" w:lastRow="0" w:firstColumn="1" w:lastColumn="0" w:noHBand="0" w:noVBand="1"/>
      </w:tblPr>
      <w:tblGrid>
        <w:gridCol w:w="2709"/>
        <w:gridCol w:w="992"/>
        <w:gridCol w:w="992"/>
        <w:gridCol w:w="993"/>
        <w:gridCol w:w="992"/>
        <w:gridCol w:w="992"/>
        <w:gridCol w:w="993"/>
        <w:gridCol w:w="993"/>
      </w:tblGrid>
      <w:tr w:rsidR="00671012" w:rsidRPr="002E6ECA" w:rsidTr="002C00B3">
        <w:trPr>
          <w:cantSplit/>
          <w:trHeight w:val="1134"/>
        </w:trPr>
        <w:tc>
          <w:tcPr>
            <w:tcW w:w="2709" w:type="dxa"/>
            <w:tcBorders>
              <w:top w:val="single" w:sz="4" w:space="0" w:color="auto"/>
              <w:left w:val="single" w:sz="4" w:space="0" w:color="auto"/>
              <w:bottom w:val="single" w:sz="4" w:space="0" w:color="000000"/>
              <w:right w:val="single" w:sz="4" w:space="0" w:color="auto"/>
            </w:tcBorders>
            <w:vAlign w:val="center"/>
            <w:hideMark/>
          </w:tcPr>
          <w:p w:rsidR="00671012" w:rsidRPr="002E6ECA" w:rsidRDefault="00671012" w:rsidP="00671012">
            <w:pPr>
              <w:spacing w:line="360" w:lineRule="auto"/>
              <w:jc w:val="both"/>
              <w:rPr>
                <w:sz w:val="28"/>
                <w:szCs w:val="28"/>
                <w:lang w:val="uk-UA" w:eastAsia="uk-UA"/>
              </w:rPr>
            </w:pPr>
            <w:r w:rsidRPr="002E6ECA">
              <w:rPr>
                <w:sz w:val="28"/>
                <w:szCs w:val="28"/>
                <w:lang w:val="uk-UA" w:eastAsia="uk-UA"/>
              </w:rPr>
              <w:t>Частота вживання</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1 група (n=159)</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2 група (n=701)</w:t>
            </w:r>
          </w:p>
        </w:tc>
        <w:tc>
          <w:tcPr>
            <w:tcW w:w="993"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3 група (n=50)</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4 група (n=13)</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5 група (n=70)</w:t>
            </w:r>
          </w:p>
        </w:tc>
        <w:tc>
          <w:tcPr>
            <w:tcW w:w="993"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6 група (n=22)</w:t>
            </w:r>
          </w:p>
        </w:tc>
        <w:tc>
          <w:tcPr>
            <w:tcW w:w="993" w:type="dxa"/>
            <w:tcBorders>
              <w:top w:val="nil"/>
              <w:left w:val="nil"/>
              <w:bottom w:val="single" w:sz="4" w:space="0" w:color="auto"/>
              <w:right w:val="single" w:sz="4" w:space="0" w:color="auto"/>
            </w:tcBorders>
            <w:shd w:val="clear" w:color="000000" w:fill="C4D79B"/>
            <w:textDirection w:val="btLr"/>
          </w:tcPr>
          <w:p w:rsidR="00671012" w:rsidRPr="002E6ECA" w:rsidRDefault="00671012" w:rsidP="00671012">
            <w:pPr>
              <w:spacing w:line="360" w:lineRule="auto"/>
              <w:ind w:right="113"/>
              <w:jc w:val="both"/>
              <w:rPr>
                <w:sz w:val="28"/>
                <w:szCs w:val="28"/>
                <w:lang w:val="uk-UA" w:eastAsia="uk-UA"/>
              </w:rPr>
            </w:pPr>
            <w:r w:rsidRPr="002E6ECA">
              <w:rPr>
                <w:sz w:val="28"/>
                <w:szCs w:val="28"/>
                <w:lang w:val="uk-UA" w:eastAsia="uk-UA"/>
              </w:rPr>
              <w:t>В цілому</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jc w:val="both"/>
              <w:rPr>
                <w:sz w:val="28"/>
                <w:szCs w:val="28"/>
                <w:lang w:val="uk-UA"/>
              </w:rPr>
            </w:pPr>
            <w:r w:rsidRPr="002E6ECA">
              <w:rPr>
                <w:sz w:val="28"/>
                <w:szCs w:val="28"/>
                <w:lang w:val="uk-UA"/>
              </w:rPr>
              <w:t>Кожен день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3,4</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5,2</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24,5</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27,3</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7,8</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0,0</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jc w:val="center"/>
              <w:rPr>
                <w:sz w:val="28"/>
                <w:szCs w:val="28"/>
                <w:lang w:val="uk-UA"/>
              </w:rPr>
            </w:pPr>
            <w:r w:rsidRPr="002E6ECA">
              <w:rPr>
                <w:sz w:val="28"/>
                <w:szCs w:val="28"/>
                <w:lang w:val="uk-UA"/>
              </w:rPr>
              <w:t>6,4</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2C00B3">
            <w:pPr>
              <w:spacing w:line="312" w:lineRule="auto"/>
              <w:jc w:val="both"/>
              <w:rPr>
                <w:sz w:val="28"/>
                <w:szCs w:val="28"/>
                <w:lang w:val="uk-UA"/>
              </w:rPr>
            </w:pPr>
            <w:r w:rsidRPr="002E6ECA">
              <w:rPr>
                <w:sz w:val="28"/>
                <w:szCs w:val="28"/>
                <w:lang w:val="uk-UA"/>
              </w:rPr>
              <w:t>2-3 рази на тиждень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6,7</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9,8</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8,2</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9,1</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4,7</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10,0</w:t>
            </w:r>
          </w:p>
        </w:tc>
        <w:tc>
          <w:tcPr>
            <w:tcW w:w="993"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jc w:val="center"/>
              <w:rPr>
                <w:sz w:val="28"/>
                <w:szCs w:val="28"/>
                <w:lang w:val="uk-UA"/>
              </w:rPr>
            </w:pPr>
            <w:r w:rsidRPr="002E6ECA">
              <w:rPr>
                <w:sz w:val="28"/>
                <w:szCs w:val="28"/>
                <w:lang w:val="uk-UA"/>
              </w:rPr>
              <w:t>9,1</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jc w:val="both"/>
              <w:rPr>
                <w:sz w:val="28"/>
                <w:szCs w:val="28"/>
                <w:lang w:val="uk-UA"/>
              </w:rPr>
            </w:pPr>
            <w:r w:rsidRPr="002E6ECA">
              <w:rPr>
                <w:sz w:val="28"/>
                <w:szCs w:val="28"/>
                <w:lang w:val="uk-UA"/>
              </w:rPr>
              <w:t>1 раз на тиждень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17,5</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15,2</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12,2</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9,1</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12,5</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0,0</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jc w:val="center"/>
              <w:rPr>
                <w:sz w:val="28"/>
                <w:szCs w:val="28"/>
                <w:lang w:val="uk-UA"/>
              </w:rPr>
            </w:pPr>
            <w:r w:rsidRPr="002E6ECA">
              <w:rPr>
                <w:sz w:val="28"/>
                <w:szCs w:val="28"/>
                <w:lang w:val="uk-UA"/>
              </w:rPr>
              <w:t>14,9</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jc w:val="both"/>
              <w:rPr>
                <w:sz w:val="28"/>
                <w:szCs w:val="28"/>
                <w:lang w:val="uk-UA"/>
              </w:rPr>
            </w:pPr>
            <w:r w:rsidRPr="002E6ECA">
              <w:rPr>
                <w:sz w:val="28"/>
                <w:szCs w:val="28"/>
                <w:lang w:val="uk-UA"/>
              </w:rPr>
              <w:t>1 раз на місяць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30,9</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27,6</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24,5</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45,5</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26,6</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30,0</w:t>
            </w:r>
          </w:p>
        </w:tc>
        <w:tc>
          <w:tcPr>
            <w:tcW w:w="993"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jc w:val="center"/>
              <w:rPr>
                <w:sz w:val="28"/>
                <w:szCs w:val="28"/>
                <w:lang w:val="uk-UA"/>
              </w:rPr>
            </w:pPr>
            <w:r w:rsidRPr="002E6ECA">
              <w:rPr>
                <w:sz w:val="28"/>
                <w:szCs w:val="28"/>
                <w:lang w:val="uk-UA"/>
              </w:rPr>
              <w:t>27,8</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jc w:val="both"/>
              <w:rPr>
                <w:sz w:val="28"/>
                <w:szCs w:val="28"/>
                <w:lang w:val="uk-UA"/>
              </w:rPr>
            </w:pPr>
            <w:r w:rsidRPr="002E6ECA">
              <w:rPr>
                <w:sz w:val="28"/>
                <w:szCs w:val="28"/>
                <w:lang w:val="uk-UA"/>
              </w:rPr>
              <w:t>Не вживали</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41,6</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42,2</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30,6</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9,1</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48,4</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jc w:val="center"/>
              <w:rPr>
                <w:sz w:val="28"/>
                <w:szCs w:val="28"/>
                <w:lang w:val="uk-UA"/>
              </w:rPr>
            </w:pPr>
            <w:r w:rsidRPr="002E6ECA">
              <w:rPr>
                <w:sz w:val="28"/>
                <w:szCs w:val="28"/>
                <w:lang w:val="uk-UA"/>
              </w:rPr>
              <w:t>60,0</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jc w:val="center"/>
              <w:rPr>
                <w:sz w:val="28"/>
                <w:szCs w:val="28"/>
                <w:lang w:val="uk-UA"/>
              </w:rPr>
            </w:pPr>
            <w:r w:rsidRPr="002E6ECA">
              <w:rPr>
                <w:sz w:val="28"/>
                <w:szCs w:val="28"/>
                <w:lang w:val="uk-UA"/>
              </w:rPr>
              <w:t>41,8</w:t>
            </w:r>
          </w:p>
        </w:tc>
      </w:tr>
    </w:tbl>
    <w:p w:rsidR="00671012" w:rsidRPr="002E6ECA" w:rsidRDefault="00373A9C" w:rsidP="002C00B3">
      <w:pPr>
        <w:spacing w:line="360" w:lineRule="auto"/>
        <w:ind w:firstLine="142"/>
        <w:jc w:val="both"/>
        <w:rPr>
          <w:lang w:val="uk-UA"/>
        </w:rPr>
      </w:pPr>
      <w:r w:rsidRPr="002E6ECA">
        <w:rPr>
          <w:lang w:val="uk-UA"/>
        </w:rPr>
        <w:t>Примітка:</w:t>
      </w:r>
      <w:r w:rsidR="00671012" w:rsidRPr="002E6ECA">
        <w:rPr>
          <w:vertAlign w:val="superscript"/>
          <w:lang w:val="uk-UA"/>
        </w:rPr>
        <w:t>*</w:t>
      </w:r>
      <w:r w:rsidR="002C00B3" w:rsidRPr="002E6ECA">
        <w:rPr>
          <w:sz w:val="28"/>
          <w:szCs w:val="28"/>
          <w:lang w:val="uk-UA"/>
        </w:rPr>
        <w:t xml:space="preserve"> –</w:t>
      </w:r>
      <w:r w:rsidR="00671012" w:rsidRPr="002E6ECA">
        <w:rPr>
          <w:lang w:val="uk-UA"/>
        </w:rPr>
        <w:t xml:space="preserve"> р&lt;0,05 у порівнянні з іншою групою, </w:t>
      </w:r>
      <w:r w:rsidR="00671012" w:rsidRPr="002E6ECA">
        <w:rPr>
          <w:vertAlign w:val="superscript"/>
          <w:lang w:val="uk-UA"/>
        </w:rPr>
        <w:t xml:space="preserve">** </w:t>
      </w:r>
      <w:r w:rsidR="002C00B3" w:rsidRPr="002E6ECA">
        <w:rPr>
          <w:sz w:val="28"/>
          <w:szCs w:val="28"/>
          <w:lang w:val="uk-UA"/>
        </w:rPr>
        <w:t>–</w:t>
      </w:r>
      <w:r w:rsidR="00671012" w:rsidRPr="002E6ECA">
        <w:rPr>
          <w:lang w:val="uk-UA"/>
        </w:rPr>
        <w:t xml:space="preserve"> р&lt;0,01 у порівнянні з іншою групою </w:t>
      </w:r>
    </w:p>
    <w:p w:rsidR="00671012" w:rsidRPr="002E6ECA" w:rsidRDefault="00671012" w:rsidP="00671012">
      <w:pPr>
        <w:spacing w:line="360" w:lineRule="auto"/>
        <w:ind w:firstLine="709"/>
        <w:jc w:val="both"/>
        <w:rPr>
          <w:sz w:val="28"/>
          <w:szCs w:val="28"/>
          <w:lang w:val="uk-UA"/>
        </w:rPr>
      </w:pPr>
    </w:p>
    <w:p w:rsidR="00373A9C" w:rsidRPr="002E6ECA" w:rsidRDefault="00373A9C" w:rsidP="00373A9C">
      <w:pPr>
        <w:spacing w:line="360" w:lineRule="auto"/>
        <w:ind w:firstLine="709"/>
        <w:jc w:val="both"/>
        <w:rPr>
          <w:sz w:val="28"/>
          <w:szCs w:val="28"/>
          <w:lang w:val="uk-UA"/>
        </w:rPr>
      </w:pPr>
      <w:r w:rsidRPr="002E6ECA">
        <w:rPr>
          <w:sz w:val="28"/>
          <w:szCs w:val="28"/>
          <w:lang w:val="uk-UA"/>
        </w:rPr>
        <w:t>Така поширеність формувалась за рахунок хлопців: 33,0</w:t>
      </w:r>
      <w:r w:rsidR="0080667E" w:rsidRPr="002E6ECA">
        <w:rPr>
          <w:sz w:val="28"/>
          <w:szCs w:val="28"/>
          <w:lang w:val="uk-UA"/>
        </w:rPr>
        <w:t>%</w:t>
      </w:r>
      <w:r w:rsidRPr="002E6ECA">
        <w:rPr>
          <w:sz w:val="28"/>
          <w:szCs w:val="28"/>
          <w:lang w:val="uk-UA"/>
        </w:rPr>
        <w:t xml:space="preserve"> та 0</w:t>
      </w:r>
      <w:r w:rsidR="0080667E" w:rsidRPr="002E6ECA">
        <w:rPr>
          <w:sz w:val="28"/>
          <w:szCs w:val="28"/>
          <w:lang w:val="uk-UA"/>
        </w:rPr>
        <w:t>%</w:t>
      </w:r>
      <w:r w:rsidRPr="002E6ECA">
        <w:rPr>
          <w:sz w:val="28"/>
          <w:szCs w:val="28"/>
          <w:lang w:val="uk-UA"/>
        </w:rPr>
        <w:t xml:space="preserve"> відповідно. Найменша поширеність споживання вуличної їжі була характерна для учнів 6 групи (0</w:t>
      </w:r>
      <w:r w:rsidR="0080667E" w:rsidRPr="002E6ECA">
        <w:rPr>
          <w:sz w:val="28"/>
          <w:szCs w:val="28"/>
          <w:lang w:val="uk-UA"/>
        </w:rPr>
        <w:t>%</w:t>
      </w:r>
      <w:r w:rsidRPr="002E6ECA">
        <w:rPr>
          <w:sz w:val="28"/>
          <w:szCs w:val="28"/>
          <w:lang w:val="uk-UA"/>
        </w:rPr>
        <w:t xml:space="preserve"> тих, хто щоденно вживає та 60% зовсім не вживали протягом останнього місяця), але вірогідно лише у порівнянні з групами 3 та 4 (р&lt;0,05-0,01).</w:t>
      </w:r>
    </w:p>
    <w:p w:rsidR="00671012" w:rsidRPr="002E6ECA" w:rsidRDefault="00671012" w:rsidP="00671012">
      <w:pPr>
        <w:spacing w:line="360" w:lineRule="auto"/>
        <w:ind w:firstLine="709"/>
        <w:jc w:val="both"/>
        <w:rPr>
          <w:sz w:val="28"/>
          <w:szCs w:val="28"/>
          <w:lang w:val="uk-UA"/>
        </w:rPr>
      </w:pPr>
      <w:r w:rsidRPr="002E6ECA">
        <w:rPr>
          <w:sz w:val="28"/>
          <w:szCs w:val="28"/>
          <w:lang w:val="uk-UA"/>
        </w:rPr>
        <w:t>Було проаналізовано частоту вживання солодких газованих напоїв як одного з чинників ризику розвитку ожиріння. Найбільш притаманна звичка їх вживати щоденно характерна для учнів 4 групи, при чому за рахунок хлопців (30,0</w:t>
      </w:r>
      <w:r w:rsidR="0080667E" w:rsidRPr="002E6ECA">
        <w:rPr>
          <w:sz w:val="28"/>
          <w:szCs w:val="28"/>
          <w:lang w:val="uk-UA"/>
        </w:rPr>
        <w:t>%</w:t>
      </w:r>
      <w:r w:rsidRPr="002E6ECA">
        <w:rPr>
          <w:sz w:val="28"/>
          <w:szCs w:val="28"/>
          <w:lang w:val="uk-UA"/>
        </w:rPr>
        <w:t>), а повністю відсутня – в 6 групі незалежно від статі. У середньому ступінь вживання була найбільшою серед школярів 2 та 4 групи у порівнянні з 1, 5 та 6 групами (р&lt;0,05).</w:t>
      </w:r>
    </w:p>
    <w:p w:rsidR="00671012" w:rsidRPr="002E6ECA" w:rsidRDefault="00671012" w:rsidP="00671012">
      <w:pPr>
        <w:spacing w:line="360" w:lineRule="auto"/>
        <w:ind w:firstLine="709"/>
        <w:jc w:val="both"/>
        <w:rPr>
          <w:sz w:val="28"/>
          <w:szCs w:val="28"/>
          <w:lang w:val="uk-UA"/>
        </w:rPr>
      </w:pPr>
      <w:r w:rsidRPr="002E6ECA">
        <w:rPr>
          <w:sz w:val="28"/>
          <w:szCs w:val="28"/>
          <w:lang w:val="uk-UA"/>
        </w:rPr>
        <w:t>Найбільш поширене щоденне споживання свіжих овочів (табл. 4.</w:t>
      </w:r>
      <w:r w:rsidR="00722B83" w:rsidRPr="002E6ECA">
        <w:rPr>
          <w:sz w:val="28"/>
          <w:szCs w:val="28"/>
          <w:lang w:val="uk-UA"/>
        </w:rPr>
        <w:t>7</w:t>
      </w:r>
      <w:r w:rsidRPr="002E6ECA">
        <w:rPr>
          <w:sz w:val="28"/>
          <w:szCs w:val="28"/>
          <w:lang w:val="uk-UA"/>
        </w:rPr>
        <w:t>) було серед учнів 4 групи (80,0±13,3</w:t>
      </w:r>
      <w:r w:rsidR="0080667E" w:rsidRPr="002E6ECA">
        <w:rPr>
          <w:sz w:val="28"/>
          <w:szCs w:val="28"/>
          <w:lang w:val="uk-UA"/>
        </w:rPr>
        <w:t>%</w:t>
      </w:r>
      <w:r w:rsidRPr="002E6ECA">
        <w:rPr>
          <w:sz w:val="28"/>
          <w:szCs w:val="28"/>
          <w:lang w:val="uk-UA"/>
        </w:rPr>
        <w:t>), але вірогідно лише між дівчатами у порівнянні зі всіма іншими групами (р&lt;0,01). На другому місці за даною ознакою була 1 група (74,3±3,6</w:t>
      </w:r>
      <w:r w:rsidR="0080667E" w:rsidRPr="002E6ECA">
        <w:rPr>
          <w:sz w:val="28"/>
          <w:szCs w:val="28"/>
          <w:lang w:val="uk-UA"/>
        </w:rPr>
        <w:t>%)</w:t>
      </w:r>
      <w:r w:rsidRPr="002E6ECA">
        <w:rPr>
          <w:sz w:val="28"/>
          <w:szCs w:val="28"/>
          <w:lang w:val="uk-UA"/>
        </w:rPr>
        <w:t xml:space="preserve">, що вірогідно вище при порівнянні з 1, 5 та 6 (р&lt;0,01) і з 3 групою (р&lt;0,05). </w:t>
      </w:r>
    </w:p>
    <w:p w:rsidR="00FE4735" w:rsidRPr="002E6ECA" w:rsidRDefault="00FE4735" w:rsidP="00FE4735">
      <w:pPr>
        <w:spacing w:line="360" w:lineRule="auto"/>
        <w:ind w:firstLine="709"/>
        <w:jc w:val="both"/>
        <w:rPr>
          <w:sz w:val="28"/>
          <w:szCs w:val="28"/>
          <w:lang w:val="uk-UA"/>
        </w:rPr>
      </w:pPr>
      <w:r w:rsidRPr="002E6ECA">
        <w:rPr>
          <w:sz w:val="28"/>
          <w:szCs w:val="28"/>
          <w:lang w:val="uk-UA"/>
        </w:rPr>
        <w:t xml:space="preserve">Доцільним є й визначення такої ознаки, як самооцінка власного здоров’я та усвідомлення ступеню безпечності поведінки щодо формування шкідливих </w:t>
      </w:r>
      <w:r w:rsidRPr="002E6ECA">
        <w:rPr>
          <w:sz w:val="28"/>
          <w:szCs w:val="28"/>
          <w:lang w:val="uk-UA"/>
        </w:rPr>
        <w:lastRenderedPageBreak/>
        <w:t xml:space="preserve">звичок. Відсоток учнів, що повністю задоволені станом свого здоров’я був вірогідно вищим у 1 групі у порівнянні з 2, 3, 5 та 6 групами (р&lt;0,05-0,01) та складав 77,8±3,4%. Учні 4 групи були частіше за інших не задоволені станом власного здоров’я, а серед 1, 3 та 6 групи такої категорії учнів не визначалось. </w:t>
      </w:r>
    </w:p>
    <w:p w:rsidR="00671012" w:rsidRPr="002E6ECA" w:rsidRDefault="00671012" w:rsidP="00671012">
      <w:pPr>
        <w:spacing w:line="360" w:lineRule="auto"/>
        <w:ind w:firstLine="709"/>
        <w:jc w:val="right"/>
        <w:rPr>
          <w:i/>
          <w:sz w:val="28"/>
          <w:szCs w:val="28"/>
          <w:lang w:val="uk-UA"/>
        </w:rPr>
      </w:pPr>
      <w:r w:rsidRPr="002E6ECA">
        <w:rPr>
          <w:i/>
          <w:sz w:val="28"/>
          <w:szCs w:val="28"/>
          <w:lang w:val="uk-UA"/>
        </w:rPr>
        <w:t>Таблиця 4.</w:t>
      </w:r>
      <w:r w:rsidR="00722B83" w:rsidRPr="002E6ECA">
        <w:rPr>
          <w:i/>
          <w:sz w:val="28"/>
          <w:szCs w:val="28"/>
          <w:lang w:val="uk-UA"/>
        </w:rPr>
        <w:t>7</w:t>
      </w:r>
    </w:p>
    <w:p w:rsidR="00671012" w:rsidRPr="002E6ECA" w:rsidRDefault="00671012" w:rsidP="00C36A0D">
      <w:pPr>
        <w:spacing w:line="360" w:lineRule="auto"/>
        <w:ind w:firstLine="709"/>
        <w:jc w:val="center"/>
        <w:rPr>
          <w:b/>
          <w:sz w:val="28"/>
          <w:szCs w:val="28"/>
          <w:lang w:val="uk-UA"/>
        </w:rPr>
      </w:pPr>
      <w:r w:rsidRPr="002E6ECA">
        <w:rPr>
          <w:b/>
          <w:sz w:val="28"/>
          <w:szCs w:val="28"/>
          <w:lang w:val="uk-UA"/>
        </w:rPr>
        <w:t>Аналіз частоти вживання свіжих овочів, %</w:t>
      </w:r>
    </w:p>
    <w:tbl>
      <w:tblPr>
        <w:tblW w:w="9542" w:type="dxa"/>
        <w:tblInd w:w="93" w:type="dxa"/>
        <w:tblLayout w:type="fixed"/>
        <w:tblLook w:val="04A0" w:firstRow="1" w:lastRow="0" w:firstColumn="1" w:lastColumn="0" w:noHBand="0" w:noVBand="1"/>
      </w:tblPr>
      <w:tblGrid>
        <w:gridCol w:w="2709"/>
        <w:gridCol w:w="992"/>
        <w:gridCol w:w="992"/>
        <w:gridCol w:w="993"/>
        <w:gridCol w:w="992"/>
        <w:gridCol w:w="992"/>
        <w:gridCol w:w="993"/>
        <w:gridCol w:w="879"/>
      </w:tblGrid>
      <w:tr w:rsidR="00671012" w:rsidRPr="002E6ECA" w:rsidTr="002C00B3">
        <w:trPr>
          <w:cantSplit/>
          <w:trHeight w:val="1134"/>
        </w:trPr>
        <w:tc>
          <w:tcPr>
            <w:tcW w:w="2709" w:type="dxa"/>
            <w:tcBorders>
              <w:top w:val="single" w:sz="4" w:space="0" w:color="auto"/>
              <w:left w:val="single" w:sz="4" w:space="0" w:color="auto"/>
              <w:bottom w:val="single" w:sz="4" w:space="0" w:color="000000"/>
              <w:right w:val="single" w:sz="4" w:space="0" w:color="auto"/>
            </w:tcBorders>
            <w:vAlign w:val="center"/>
            <w:hideMark/>
          </w:tcPr>
          <w:p w:rsidR="00671012" w:rsidRPr="002E6ECA" w:rsidRDefault="00671012" w:rsidP="00671012">
            <w:pPr>
              <w:spacing w:line="360" w:lineRule="auto"/>
              <w:ind w:firstLine="49"/>
              <w:jc w:val="both"/>
              <w:rPr>
                <w:sz w:val="28"/>
                <w:szCs w:val="28"/>
                <w:lang w:val="uk-UA" w:eastAsia="uk-UA"/>
              </w:rPr>
            </w:pPr>
            <w:r w:rsidRPr="002E6ECA">
              <w:rPr>
                <w:sz w:val="28"/>
                <w:szCs w:val="28"/>
                <w:lang w:val="uk-UA" w:eastAsia="uk-UA"/>
              </w:rPr>
              <w:t>Частота вживання</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1 група (n=159)</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2 група (n=701)</w:t>
            </w:r>
          </w:p>
        </w:tc>
        <w:tc>
          <w:tcPr>
            <w:tcW w:w="993"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3 група (n=50)</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4 група (n=13)</w:t>
            </w:r>
          </w:p>
        </w:tc>
        <w:tc>
          <w:tcPr>
            <w:tcW w:w="992"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5 група (n=70)</w:t>
            </w:r>
          </w:p>
        </w:tc>
        <w:tc>
          <w:tcPr>
            <w:tcW w:w="993" w:type="dxa"/>
            <w:tcBorders>
              <w:top w:val="nil"/>
              <w:left w:val="nil"/>
              <w:bottom w:val="single" w:sz="4" w:space="0" w:color="auto"/>
              <w:right w:val="single" w:sz="4" w:space="0" w:color="auto"/>
            </w:tcBorders>
            <w:shd w:val="clear" w:color="000000" w:fill="C4D79B"/>
            <w:tcMar>
              <w:left w:w="28" w:type="dxa"/>
              <w:right w:w="28" w:type="dxa"/>
            </w:tcMar>
            <w:textDirection w:val="btLr"/>
            <w:vAlign w:val="center"/>
            <w:hideMark/>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6 група (n=22)</w:t>
            </w:r>
          </w:p>
        </w:tc>
        <w:tc>
          <w:tcPr>
            <w:tcW w:w="879" w:type="dxa"/>
            <w:tcBorders>
              <w:top w:val="nil"/>
              <w:left w:val="nil"/>
              <w:bottom w:val="single" w:sz="4" w:space="0" w:color="auto"/>
              <w:right w:val="single" w:sz="4" w:space="0" w:color="auto"/>
            </w:tcBorders>
            <w:shd w:val="clear" w:color="000000" w:fill="C4D79B"/>
            <w:textDirection w:val="btLr"/>
          </w:tcPr>
          <w:p w:rsidR="00671012" w:rsidRPr="002E6ECA" w:rsidRDefault="00671012" w:rsidP="00671012">
            <w:pPr>
              <w:spacing w:line="360" w:lineRule="auto"/>
              <w:ind w:right="113" w:firstLine="49"/>
              <w:jc w:val="both"/>
              <w:rPr>
                <w:sz w:val="28"/>
                <w:szCs w:val="28"/>
                <w:lang w:val="uk-UA" w:eastAsia="uk-UA"/>
              </w:rPr>
            </w:pPr>
            <w:r w:rsidRPr="002E6ECA">
              <w:rPr>
                <w:sz w:val="28"/>
                <w:szCs w:val="28"/>
                <w:lang w:val="uk-UA" w:eastAsia="uk-UA"/>
              </w:rPr>
              <w:t>В цілому</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Кожен день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74,3</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59,8</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56,3</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80,0</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57,6</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45,0</w:t>
            </w:r>
            <w:r w:rsidRPr="002E6ECA">
              <w:rPr>
                <w:sz w:val="28"/>
                <w:szCs w:val="28"/>
                <w:vertAlign w:val="superscript"/>
                <w:lang w:val="uk-UA"/>
              </w:rPr>
              <w:t>*</w:t>
            </w:r>
          </w:p>
        </w:tc>
        <w:tc>
          <w:tcPr>
            <w:tcW w:w="879"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ind w:firstLine="49"/>
              <w:jc w:val="both"/>
              <w:rPr>
                <w:sz w:val="28"/>
                <w:szCs w:val="28"/>
                <w:lang w:val="uk-UA"/>
              </w:rPr>
            </w:pPr>
            <w:r w:rsidRPr="002E6ECA">
              <w:rPr>
                <w:sz w:val="28"/>
                <w:szCs w:val="28"/>
                <w:lang w:val="uk-UA"/>
              </w:rPr>
              <w:t>66,8</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2-3 рази на тиждень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18,4</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25,9</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25,0</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20,0</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30,3</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40,0</w:t>
            </w:r>
          </w:p>
        </w:tc>
        <w:tc>
          <w:tcPr>
            <w:tcW w:w="879"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ind w:firstLine="49"/>
              <w:jc w:val="both"/>
              <w:rPr>
                <w:sz w:val="28"/>
                <w:szCs w:val="28"/>
                <w:lang w:val="uk-UA"/>
              </w:rPr>
            </w:pPr>
            <w:r w:rsidRPr="002E6ECA">
              <w:rPr>
                <w:sz w:val="28"/>
                <w:szCs w:val="28"/>
                <w:lang w:val="uk-UA"/>
              </w:rPr>
              <w:t>24,1</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 раз на тиждень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5,3</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9,2</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14,6</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0,0</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9,1</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5,0</w:t>
            </w:r>
          </w:p>
        </w:tc>
        <w:tc>
          <w:tcPr>
            <w:tcW w:w="879"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ind w:firstLine="49"/>
              <w:jc w:val="both"/>
              <w:rPr>
                <w:sz w:val="28"/>
                <w:szCs w:val="28"/>
                <w:lang w:val="uk-UA"/>
              </w:rPr>
            </w:pPr>
            <w:r w:rsidRPr="002E6ECA">
              <w:rPr>
                <w:sz w:val="28"/>
                <w:szCs w:val="28"/>
                <w:lang w:val="uk-UA"/>
              </w:rPr>
              <w:t>5,8</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 раз на місяць</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0,0</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2,0</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4,2</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0,0</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1,5</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5,0</w:t>
            </w:r>
          </w:p>
        </w:tc>
        <w:tc>
          <w:tcPr>
            <w:tcW w:w="879"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ind w:firstLine="49"/>
              <w:jc w:val="both"/>
              <w:rPr>
                <w:sz w:val="28"/>
                <w:szCs w:val="28"/>
                <w:lang w:val="uk-UA"/>
              </w:rPr>
            </w:pPr>
            <w:r w:rsidRPr="002E6ECA">
              <w:rPr>
                <w:sz w:val="28"/>
                <w:szCs w:val="28"/>
                <w:lang w:val="uk-UA"/>
              </w:rPr>
              <w:t>1,6</w:t>
            </w:r>
          </w:p>
        </w:tc>
      </w:tr>
      <w:tr w:rsidR="00671012" w:rsidRPr="002E6ECA" w:rsidTr="002C00B3">
        <w:trPr>
          <w:trHeight w:val="315"/>
        </w:trPr>
        <w:tc>
          <w:tcPr>
            <w:tcW w:w="2709" w:type="dxa"/>
            <w:tcBorders>
              <w:top w:val="nil"/>
              <w:left w:val="single" w:sz="4" w:space="0" w:color="auto"/>
              <w:bottom w:val="single" w:sz="4" w:space="0" w:color="auto"/>
              <w:right w:val="single" w:sz="4" w:space="0" w:color="auto"/>
            </w:tcBorders>
            <w:shd w:val="clear" w:color="000000" w:fill="FFFFFF"/>
            <w:noWrap/>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Не вживали</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2,0</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3,2</w:t>
            </w:r>
            <w:r w:rsidRPr="002E6ECA">
              <w:rPr>
                <w:sz w:val="28"/>
                <w:szCs w:val="28"/>
                <w:vertAlign w:val="superscript"/>
                <w:lang w:val="uk-UA"/>
              </w:rPr>
              <w:t>**</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0,0</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0,0</w:t>
            </w:r>
            <w:r w:rsidRPr="002E6ECA">
              <w:rPr>
                <w:sz w:val="28"/>
                <w:szCs w:val="28"/>
                <w:vertAlign w:val="superscript"/>
                <w:lang w:val="uk-UA"/>
              </w:rPr>
              <w:t>**</w:t>
            </w:r>
          </w:p>
        </w:tc>
        <w:tc>
          <w:tcPr>
            <w:tcW w:w="992"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1,5</w:t>
            </w:r>
          </w:p>
        </w:tc>
        <w:tc>
          <w:tcPr>
            <w:tcW w:w="993" w:type="dxa"/>
            <w:tcBorders>
              <w:top w:val="nil"/>
              <w:left w:val="nil"/>
              <w:bottom w:val="single" w:sz="4" w:space="0" w:color="auto"/>
              <w:right w:val="single" w:sz="4" w:space="0" w:color="auto"/>
            </w:tcBorders>
            <w:shd w:val="clear" w:color="auto" w:fill="FFFFFF"/>
            <w:noWrap/>
            <w:tcMar>
              <w:left w:w="28" w:type="dxa"/>
              <w:right w:w="28" w:type="dxa"/>
            </w:tcMar>
            <w:vAlign w:val="bottom"/>
            <w:hideMark/>
          </w:tcPr>
          <w:p w:rsidR="00671012" w:rsidRPr="002E6ECA" w:rsidRDefault="00671012" w:rsidP="00671012">
            <w:pPr>
              <w:spacing w:line="360" w:lineRule="auto"/>
              <w:ind w:firstLine="49"/>
              <w:jc w:val="both"/>
              <w:rPr>
                <w:sz w:val="28"/>
                <w:szCs w:val="28"/>
                <w:lang w:val="uk-UA"/>
              </w:rPr>
            </w:pPr>
            <w:r w:rsidRPr="002E6ECA">
              <w:rPr>
                <w:sz w:val="28"/>
                <w:szCs w:val="28"/>
                <w:lang w:val="uk-UA"/>
              </w:rPr>
              <w:t>5,0</w:t>
            </w:r>
          </w:p>
        </w:tc>
        <w:tc>
          <w:tcPr>
            <w:tcW w:w="879" w:type="dxa"/>
            <w:tcBorders>
              <w:top w:val="nil"/>
              <w:left w:val="nil"/>
              <w:bottom w:val="single" w:sz="4" w:space="0" w:color="auto"/>
              <w:right w:val="single" w:sz="4" w:space="0" w:color="auto"/>
            </w:tcBorders>
            <w:shd w:val="clear" w:color="auto" w:fill="FFFFFF"/>
            <w:vAlign w:val="bottom"/>
          </w:tcPr>
          <w:p w:rsidR="00671012" w:rsidRPr="002E6ECA" w:rsidRDefault="00671012" w:rsidP="00671012">
            <w:pPr>
              <w:spacing w:line="360" w:lineRule="auto"/>
              <w:ind w:firstLine="49"/>
              <w:jc w:val="both"/>
              <w:rPr>
                <w:sz w:val="28"/>
                <w:szCs w:val="28"/>
                <w:lang w:val="uk-UA"/>
              </w:rPr>
            </w:pPr>
            <w:r w:rsidRPr="002E6ECA">
              <w:rPr>
                <w:sz w:val="28"/>
                <w:szCs w:val="28"/>
                <w:lang w:val="uk-UA"/>
              </w:rPr>
              <w:t>1,7</w:t>
            </w:r>
          </w:p>
        </w:tc>
      </w:tr>
    </w:tbl>
    <w:p w:rsidR="00671012" w:rsidRPr="002E6ECA" w:rsidRDefault="00671012" w:rsidP="00BA4524">
      <w:pPr>
        <w:spacing w:line="360" w:lineRule="auto"/>
        <w:ind w:firstLine="709"/>
        <w:jc w:val="both"/>
        <w:rPr>
          <w:lang w:val="uk-UA"/>
        </w:rPr>
      </w:pPr>
      <w:r w:rsidRPr="002E6ECA">
        <w:rPr>
          <w:lang w:val="uk-UA"/>
        </w:rPr>
        <w:t>Примітка:</w:t>
      </w:r>
      <w:r w:rsidR="00BA4524" w:rsidRPr="002E6ECA">
        <w:rPr>
          <w:lang w:val="uk-UA"/>
        </w:rPr>
        <w:t xml:space="preserve"> істотна різниця при порівнянні з іншою групою (</w:t>
      </w:r>
      <w:r w:rsidRPr="002E6ECA">
        <w:rPr>
          <w:vertAlign w:val="superscript"/>
          <w:lang w:val="uk-UA"/>
        </w:rPr>
        <w:t>*</w:t>
      </w:r>
      <w:r w:rsidR="00BA4524" w:rsidRPr="002E6ECA">
        <w:rPr>
          <w:lang w:val="uk-UA"/>
        </w:rPr>
        <w:t>–</w:t>
      </w:r>
      <w:r w:rsidRPr="002E6ECA">
        <w:rPr>
          <w:lang w:val="uk-UA"/>
        </w:rPr>
        <w:t xml:space="preserve"> р&lt;0,05</w:t>
      </w:r>
      <w:r w:rsidR="00BA4524" w:rsidRPr="002E6ECA">
        <w:rPr>
          <w:lang w:val="uk-UA"/>
        </w:rPr>
        <w:t xml:space="preserve">;  </w:t>
      </w:r>
      <w:r w:rsidRPr="002E6ECA">
        <w:rPr>
          <w:vertAlign w:val="superscript"/>
          <w:lang w:val="uk-UA"/>
        </w:rPr>
        <w:t xml:space="preserve">** </w:t>
      </w:r>
      <w:r w:rsidR="00BA4524" w:rsidRPr="002E6ECA">
        <w:rPr>
          <w:lang w:val="uk-UA"/>
        </w:rPr>
        <w:t>–</w:t>
      </w:r>
      <w:r w:rsidRPr="002E6ECA">
        <w:rPr>
          <w:lang w:val="uk-UA"/>
        </w:rPr>
        <w:t xml:space="preserve"> р&lt;0,01</w:t>
      </w:r>
      <w:r w:rsidR="00BA4524" w:rsidRPr="002E6ECA">
        <w:rPr>
          <w:lang w:val="uk-UA"/>
        </w:rPr>
        <w:t>).</w:t>
      </w:r>
    </w:p>
    <w:p w:rsidR="00BA4524" w:rsidRPr="002E6ECA" w:rsidRDefault="00BA4524" w:rsidP="00671012">
      <w:pPr>
        <w:spacing w:line="360" w:lineRule="auto"/>
        <w:ind w:firstLine="709"/>
        <w:jc w:val="both"/>
        <w:rPr>
          <w:sz w:val="28"/>
          <w:szCs w:val="28"/>
          <w:lang w:val="uk-UA"/>
        </w:rPr>
      </w:pPr>
    </w:p>
    <w:p w:rsidR="00671012" w:rsidRPr="002E6ECA" w:rsidRDefault="00671012" w:rsidP="00671012">
      <w:pPr>
        <w:spacing w:line="360" w:lineRule="auto"/>
        <w:ind w:firstLine="709"/>
        <w:jc w:val="both"/>
        <w:rPr>
          <w:sz w:val="28"/>
          <w:szCs w:val="28"/>
          <w:lang w:val="uk-UA" w:eastAsia="uk-UA"/>
        </w:rPr>
      </w:pPr>
      <w:r w:rsidRPr="002E6ECA">
        <w:rPr>
          <w:sz w:val="28"/>
          <w:szCs w:val="28"/>
          <w:lang w:val="uk-UA"/>
        </w:rPr>
        <w:t>Стрімкий розвиток нових форм соціальної реальності, безмежне розширення інформаційного простору, симбіоз реальних і віртуальних форм здоров’язберігаючої активності істотно змінили не тільки структуру повсякденних практик і підстави здоров’язберігаючої поведінки, а й традиційні форми суб'єктивних реакцій, когнітивні і аксіологічні константи соціальної поведінки, рефлексивні і неусвідомлені механізми і мотивації щодо збереження власного здоров’я. У нашому дослідженні ми реалізували цілісний підхід щодо визначення причин ожиріння, включаючи взаємозв’язок його із харчуванням та засобом життя, а також соціально-демографічними чинниками [</w:t>
      </w:r>
      <w:r w:rsidR="00E6025C" w:rsidRPr="002E6ECA">
        <w:rPr>
          <w:sz w:val="28"/>
          <w:szCs w:val="28"/>
          <w:lang w:val="uk-UA"/>
        </w:rPr>
        <w:t>495</w:t>
      </w:r>
      <w:r w:rsidRPr="002E6ECA">
        <w:rPr>
          <w:sz w:val="28"/>
          <w:szCs w:val="28"/>
          <w:lang w:val="uk-UA"/>
        </w:rPr>
        <w:t>].</w:t>
      </w:r>
    </w:p>
    <w:p w:rsidR="00671012" w:rsidRPr="002E6ECA" w:rsidRDefault="00671012" w:rsidP="00671012">
      <w:pPr>
        <w:spacing w:line="360" w:lineRule="auto"/>
        <w:ind w:firstLine="709"/>
        <w:jc w:val="both"/>
        <w:rPr>
          <w:sz w:val="28"/>
          <w:szCs w:val="28"/>
          <w:lang w:val="uk-UA"/>
        </w:rPr>
      </w:pPr>
      <w:r w:rsidRPr="002E6ECA">
        <w:rPr>
          <w:sz w:val="28"/>
          <w:szCs w:val="28"/>
          <w:lang w:val="uk-UA" w:eastAsia="uk-UA"/>
        </w:rPr>
        <w:t xml:space="preserve">Такі дослідження досить поширені у галузі громадського здоров’я. Так, </w:t>
      </w:r>
      <w:hyperlink r:id="rId49" w:history="1">
        <w:r w:rsidRPr="002E6ECA">
          <w:rPr>
            <w:sz w:val="28"/>
            <w:szCs w:val="28"/>
            <w:lang w:val="uk-UA" w:eastAsia="uk-UA"/>
          </w:rPr>
          <w:t>Wadolowska L</w:t>
        </w:r>
      </w:hyperlink>
      <w:r w:rsidRPr="002E6ECA">
        <w:rPr>
          <w:sz w:val="28"/>
          <w:szCs w:val="28"/>
          <w:lang w:val="uk-UA" w:eastAsia="uk-UA"/>
        </w:rPr>
        <w:t xml:space="preserve"> </w:t>
      </w:r>
      <w:r w:rsidRPr="002E6ECA">
        <w:rPr>
          <w:sz w:val="28"/>
          <w:szCs w:val="28"/>
          <w:lang w:val="uk-UA"/>
        </w:rPr>
        <w:t xml:space="preserve">та співавтори визначали рівень сформованості здорового способу життя, у т.ч. питання харчування та рухової активності у взаємозв’язку зі шкільною освітою серед 464 учнів віком 11-12 років. Доведено, що просвітницька робота щодо здорового способу життя, раціонального </w:t>
      </w:r>
      <w:r w:rsidRPr="002E6ECA">
        <w:rPr>
          <w:sz w:val="28"/>
          <w:szCs w:val="28"/>
          <w:lang w:val="uk-UA"/>
        </w:rPr>
        <w:lastRenderedPageBreak/>
        <w:t>харчування та відмова від шкідливих харчових звичок сприяють зниженню поширеності ожиріння.</w:t>
      </w:r>
    </w:p>
    <w:p w:rsidR="00671012" w:rsidRPr="002E6ECA" w:rsidRDefault="004F7283" w:rsidP="00671012">
      <w:pPr>
        <w:spacing w:line="360" w:lineRule="auto"/>
        <w:ind w:firstLine="709"/>
        <w:jc w:val="both"/>
        <w:rPr>
          <w:rStyle w:val="a8"/>
          <w:color w:val="auto"/>
          <w:sz w:val="28"/>
          <w:szCs w:val="28"/>
          <w:lang w:val="en-US"/>
        </w:rPr>
      </w:pPr>
      <w:hyperlink r:id="rId50" w:history="1">
        <w:r w:rsidR="00671012" w:rsidRPr="002E6ECA">
          <w:rPr>
            <w:sz w:val="28"/>
            <w:szCs w:val="28"/>
            <w:lang w:val="uk-UA" w:eastAsia="uk-UA"/>
          </w:rPr>
          <w:t>Hamulka J</w:t>
        </w:r>
      </w:hyperlink>
      <w:r w:rsidR="00116DB2" w:rsidRPr="002E6ECA">
        <w:rPr>
          <w:sz w:val="28"/>
          <w:szCs w:val="28"/>
          <w:lang w:val="uk-UA" w:eastAsia="uk-UA"/>
        </w:rPr>
        <w:t>.</w:t>
      </w:r>
      <w:r w:rsidR="00671012" w:rsidRPr="002E6ECA">
        <w:rPr>
          <w:sz w:val="28"/>
          <w:szCs w:val="28"/>
          <w:lang w:val="uk-UA" w:eastAsia="uk-UA"/>
        </w:rPr>
        <w:t xml:space="preserve"> було здійснено </w:t>
      </w:r>
      <w:r w:rsidR="00671012" w:rsidRPr="002E6ECA">
        <w:rPr>
          <w:sz w:val="28"/>
          <w:szCs w:val="28"/>
          <w:lang w:val="uk-UA"/>
        </w:rPr>
        <w:t>комплексну оцінку перехресних поведінкових моделей, що охоплюють дієту і спосіб життя у польських підлітків.</w:t>
      </w:r>
      <w:r w:rsidR="00BA4524" w:rsidRPr="002E6ECA">
        <w:rPr>
          <w:sz w:val="28"/>
          <w:szCs w:val="28"/>
          <w:lang w:val="uk-UA"/>
        </w:rPr>
        <w:t xml:space="preserve"> </w:t>
      </w:r>
      <w:r w:rsidR="00671012" w:rsidRPr="002E6ECA">
        <w:rPr>
          <w:sz w:val="28"/>
          <w:szCs w:val="28"/>
          <w:lang w:val="uk-UA"/>
        </w:rPr>
        <w:t>У португальскому дослідженні, проведеному серед 5024 підлітків зведений бал здорового способу життя базувався на рівні фізичної активності, тривалості нічного сну, щоденного споживання овочів та фруктів, відмову від куріння та алкоголю і був пов’язаний із якістю життя та самооцінкою здоров’я [</w:t>
      </w:r>
      <w:r w:rsidR="00E6025C" w:rsidRPr="002E6ECA">
        <w:rPr>
          <w:sz w:val="28"/>
          <w:szCs w:val="28"/>
          <w:lang w:val="en-US"/>
        </w:rPr>
        <w:t>376</w:t>
      </w:r>
      <w:r w:rsidR="00116DB2" w:rsidRPr="002E6ECA">
        <w:rPr>
          <w:sz w:val="28"/>
          <w:szCs w:val="28"/>
          <w:lang w:val="uk-UA"/>
        </w:rPr>
        <w:t xml:space="preserve">, </w:t>
      </w:r>
      <w:r w:rsidR="00E6025C" w:rsidRPr="002E6ECA">
        <w:rPr>
          <w:sz w:val="28"/>
          <w:szCs w:val="28"/>
          <w:lang w:val="en-US"/>
        </w:rPr>
        <w:t>396</w:t>
      </w:r>
      <w:r w:rsidR="00671012" w:rsidRPr="002E6ECA">
        <w:rPr>
          <w:sz w:val="28"/>
          <w:szCs w:val="28"/>
          <w:lang w:val="uk-UA"/>
        </w:rPr>
        <w:t xml:space="preserve">]. </w:t>
      </w:r>
      <w:r w:rsidR="00116DB2" w:rsidRPr="002E6ECA">
        <w:rPr>
          <w:sz w:val="28"/>
          <w:szCs w:val="28"/>
          <w:lang w:val="uk-UA"/>
        </w:rPr>
        <w:t>П</w:t>
      </w:r>
      <w:r w:rsidR="00671012" w:rsidRPr="002E6ECA">
        <w:rPr>
          <w:sz w:val="28"/>
          <w:szCs w:val="28"/>
          <w:lang w:val="uk-UA"/>
        </w:rPr>
        <w:t xml:space="preserve">одібних висновків дійшли </w:t>
      </w:r>
      <w:r w:rsidR="00116DB2" w:rsidRPr="002E6ECA">
        <w:rPr>
          <w:sz w:val="28"/>
          <w:szCs w:val="28"/>
          <w:lang w:val="uk-UA"/>
        </w:rPr>
        <w:t xml:space="preserve">вчені щодо впливу харчування на формування психологічних порушень </w:t>
      </w:r>
      <w:r w:rsidR="00671012" w:rsidRPr="002E6ECA">
        <w:rPr>
          <w:sz w:val="28"/>
          <w:szCs w:val="28"/>
          <w:lang w:val="uk-UA"/>
        </w:rPr>
        <w:t>[</w:t>
      </w:r>
      <w:r w:rsidR="00E6025C" w:rsidRPr="002E6ECA">
        <w:rPr>
          <w:sz w:val="28"/>
          <w:szCs w:val="28"/>
          <w:lang w:val="en-US"/>
        </w:rPr>
        <w:t>424</w:t>
      </w:r>
      <w:r w:rsidR="00671012" w:rsidRPr="002E6ECA">
        <w:rPr>
          <w:sz w:val="28"/>
          <w:szCs w:val="28"/>
          <w:lang w:val="uk-UA"/>
        </w:rPr>
        <w:t>]</w:t>
      </w:r>
      <w:r w:rsidR="00E6025C" w:rsidRPr="002E6ECA">
        <w:rPr>
          <w:sz w:val="28"/>
          <w:szCs w:val="28"/>
          <w:lang w:val="en-US"/>
        </w:rPr>
        <w:t>.</w:t>
      </w:r>
    </w:p>
    <w:p w:rsidR="00671012" w:rsidRPr="002E6ECA" w:rsidRDefault="00671012" w:rsidP="00671012">
      <w:pPr>
        <w:spacing w:line="360" w:lineRule="auto"/>
        <w:ind w:firstLine="709"/>
        <w:jc w:val="both"/>
        <w:rPr>
          <w:sz w:val="28"/>
          <w:szCs w:val="28"/>
          <w:lang w:val="uk-UA"/>
        </w:rPr>
      </w:pPr>
      <w:r w:rsidRPr="002E6ECA">
        <w:rPr>
          <w:sz w:val="28"/>
          <w:szCs w:val="28"/>
          <w:lang w:val="uk-UA"/>
        </w:rPr>
        <w:t>Вдосконалене розуміння того, як нездорова поведінка відбувається у окремих дітей у дитинстві та підлітковому віці, може сприяти розробці більш ефективних підходів до профілактики</w:t>
      </w:r>
      <w:r w:rsidR="00116DB2" w:rsidRPr="002E6ECA">
        <w:rPr>
          <w:sz w:val="28"/>
          <w:szCs w:val="28"/>
          <w:lang w:val="uk-UA"/>
        </w:rPr>
        <w:t xml:space="preserve"> [</w:t>
      </w:r>
      <w:r w:rsidR="00E6025C" w:rsidRPr="002E6ECA">
        <w:rPr>
          <w:sz w:val="28"/>
          <w:szCs w:val="28"/>
          <w:lang w:val="en-US"/>
        </w:rPr>
        <w:t>22</w:t>
      </w:r>
      <w:r w:rsidR="00116DB2" w:rsidRPr="002E6ECA">
        <w:rPr>
          <w:sz w:val="28"/>
          <w:szCs w:val="28"/>
          <w:lang w:val="uk-UA"/>
        </w:rPr>
        <w:t>]</w:t>
      </w:r>
      <w:r w:rsidRPr="002E6ECA">
        <w:rPr>
          <w:sz w:val="28"/>
          <w:szCs w:val="28"/>
          <w:lang w:val="uk-UA"/>
        </w:rPr>
        <w:t>. Ступінь розрахунку на допомогу найближчого оточення можна розглядати з одного боку як один зі стресорних чинників, що спонукають підлітка до формування девіантної поведінки. З іншого боку, спираючись на довірчі відносини з батьками, вчителями, дорослими, оцінюючи та беручи приклад з них можна сформувати необхідні навички здорового способу життя.</w:t>
      </w:r>
    </w:p>
    <w:p w:rsidR="00116DB2" w:rsidRPr="002E6ECA" w:rsidRDefault="00116DB2" w:rsidP="00116DB2">
      <w:pPr>
        <w:spacing w:line="360" w:lineRule="auto"/>
        <w:ind w:firstLine="709"/>
        <w:jc w:val="both"/>
        <w:rPr>
          <w:sz w:val="28"/>
          <w:szCs w:val="28"/>
          <w:lang w:val="uk-UA"/>
        </w:rPr>
      </w:pPr>
      <w:r w:rsidRPr="002E6ECA">
        <w:rPr>
          <w:sz w:val="28"/>
          <w:szCs w:val="28"/>
          <w:lang w:val="uk-UA"/>
        </w:rPr>
        <w:t>За результатами досліджень, проведених у Північній Англії, наголошено, що освітні заклади повинні використовувати стратегії щодо залучення працівників шкіл, школярів та їх батьків на тривалий термін. Для забезпечення стійкості вважалося, що програми повинні бути інтегровані в навчальну програму і шкільну політику в довгостроковій перспективі при стійкій підтримці з боку директорів і персоналу [</w:t>
      </w:r>
      <w:r w:rsidR="00E6025C" w:rsidRPr="002E6ECA">
        <w:rPr>
          <w:sz w:val="28"/>
          <w:szCs w:val="28"/>
          <w:lang w:val="uk-UA"/>
        </w:rPr>
        <w:t>319</w:t>
      </w:r>
      <w:r w:rsidRPr="002E6ECA">
        <w:rPr>
          <w:sz w:val="28"/>
          <w:szCs w:val="28"/>
          <w:lang w:val="uk-UA"/>
        </w:rPr>
        <w:t xml:space="preserve">]. </w:t>
      </w:r>
      <w:hyperlink r:id="rId51" w:tooltip="Найти еще записи для этого автора" w:history="1"/>
    </w:p>
    <w:p w:rsidR="00116DB2" w:rsidRPr="002E6ECA" w:rsidRDefault="00116DB2" w:rsidP="00116DB2">
      <w:pPr>
        <w:spacing w:line="360" w:lineRule="auto"/>
        <w:ind w:firstLine="709"/>
        <w:jc w:val="both"/>
        <w:rPr>
          <w:sz w:val="28"/>
          <w:szCs w:val="28"/>
          <w:lang w:val="uk-UA"/>
        </w:rPr>
      </w:pPr>
      <w:r w:rsidRPr="002E6ECA">
        <w:rPr>
          <w:sz w:val="28"/>
          <w:szCs w:val="28"/>
          <w:lang w:val="uk-UA"/>
        </w:rPr>
        <w:t xml:space="preserve">Основні компоненти моделі безпечного харчування для дітей і підлітків, які згідно з сучасними уявленнями повинні поєднуватися з профілактикою ожиріння, включають частоту прийому їжі, вибір продуктів в щоденному раціоні харчування і дотримання норм, що стосуються енергетичної та харчової цінності дієти. Інші фактори включають детермінанти сім'ї та навколишнього </w:t>
      </w:r>
      <w:r w:rsidRPr="002E6ECA">
        <w:rPr>
          <w:sz w:val="28"/>
          <w:szCs w:val="28"/>
          <w:lang w:val="uk-UA"/>
        </w:rPr>
        <w:lastRenderedPageBreak/>
        <w:t>середовища, в тому числі харчові звички і поведінку, знання про харчування і фізичної активності [</w:t>
      </w:r>
      <w:r w:rsidR="00E6025C" w:rsidRPr="002E6ECA">
        <w:rPr>
          <w:sz w:val="28"/>
          <w:szCs w:val="28"/>
          <w:lang w:val="uk-UA"/>
        </w:rPr>
        <w:t>500</w:t>
      </w:r>
      <w:r w:rsidRPr="002E6ECA">
        <w:rPr>
          <w:sz w:val="28"/>
          <w:szCs w:val="28"/>
          <w:lang w:val="uk-UA"/>
        </w:rPr>
        <w:t>].</w:t>
      </w:r>
    </w:p>
    <w:p w:rsidR="00116DB2" w:rsidRPr="002E6ECA" w:rsidRDefault="00116DB2" w:rsidP="00116DB2">
      <w:pPr>
        <w:spacing w:line="360" w:lineRule="auto"/>
        <w:ind w:firstLine="709"/>
        <w:jc w:val="both"/>
        <w:rPr>
          <w:sz w:val="28"/>
          <w:szCs w:val="28"/>
          <w:lang w:val="uk-UA"/>
        </w:rPr>
      </w:pPr>
      <w:r w:rsidRPr="002E6ECA">
        <w:rPr>
          <w:sz w:val="28"/>
          <w:szCs w:val="28"/>
          <w:lang w:val="uk-UA"/>
        </w:rPr>
        <w:t>Профілактичні заходи для підлітків є важливим пріоритетом у шкільних системах. Розроблено кілька втручань, але їх ефективність значно відрізняється між дослідженнями [</w:t>
      </w:r>
      <w:r w:rsidR="009A04FD" w:rsidRPr="002E6ECA">
        <w:rPr>
          <w:sz w:val="28"/>
          <w:szCs w:val="28"/>
          <w:lang w:val="uk-UA"/>
        </w:rPr>
        <w:t>308</w:t>
      </w:r>
      <w:r w:rsidR="00E6025C" w:rsidRPr="002E6ECA">
        <w:rPr>
          <w:sz w:val="28"/>
          <w:szCs w:val="28"/>
          <w:lang w:val="uk-UA"/>
        </w:rPr>
        <w:t xml:space="preserve">, </w:t>
      </w:r>
      <w:hyperlink r:id="rId52" w:history="1">
        <w:r w:rsidR="00E6025C" w:rsidRPr="002E6ECA">
          <w:rPr>
            <w:sz w:val="28"/>
            <w:szCs w:val="28"/>
            <w:lang w:val="uk-UA"/>
          </w:rPr>
          <w:t>475</w:t>
        </w:r>
      </w:hyperlink>
      <w:r w:rsidRPr="002E6ECA">
        <w:rPr>
          <w:sz w:val="28"/>
          <w:szCs w:val="28"/>
          <w:lang w:val="uk-UA"/>
        </w:rPr>
        <w:t>].</w:t>
      </w:r>
    </w:p>
    <w:p w:rsidR="00116DB2" w:rsidRPr="002E6ECA" w:rsidRDefault="00116DB2" w:rsidP="00116DB2">
      <w:pPr>
        <w:spacing w:line="360" w:lineRule="auto"/>
        <w:ind w:firstLine="709"/>
        <w:jc w:val="both"/>
        <w:rPr>
          <w:sz w:val="28"/>
          <w:szCs w:val="28"/>
          <w:lang w:val="uk-UA"/>
        </w:rPr>
      </w:pPr>
      <w:r w:rsidRPr="002E6ECA">
        <w:rPr>
          <w:sz w:val="28"/>
          <w:szCs w:val="28"/>
          <w:lang w:val="uk-UA"/>
        </w:rPr>
        <w:t>У муніципальних школах Греції було впроваджено систему національних дієтичних принципів, спрямовану на профілактику ожиріння серед школярів. Ця система включала просвіту у галузі харчових продуктів (овочі, фрукти, злаки, м’ясо, риба, яйця, молочні та інші продукти) та пропаганду здорового способу життя [</w:t>
      </w:r>
      <w:r w:rsidR="00E6025C" w:rsidRPr="002E6ECA">
        <w:rPr>
          <w:sz w:val="28"/>
          <w:szCs w:val="28"/>
          <w:lang w:val="uk-UA"/>
        </w:rPr>
        <w:t>373</w:t>
      </w:r>
      <w:r w:rsidRPr="002E6ECA">
        <w:rPr>
          <w:sz w:val="28"/>
          <w:szCs w:val="28"/>
          <w:lang w:val="uk-UA"/>
        </w:rPr>
        <w:t xml:space="preserve">]. </w:t>
      </w:r>
    </w:p>
    <w:p w:rsidR="00116DB2" w:rsidRPr="002E6ECA" w:rsidRDefault="00116DB2" w:rsidP="00116DB2">
      <w:pPr>
        <w:spacing w:line="360" w:lineRule="auto"/>
        <w:ind w:firstLine="709"/>
        <w:jc w:val="both"/>
        <w:rPr>
          <w:sz w:val="28"/>
          <w:szCs w:val="28"/>
          <w:lang w:val="uk-UA"/>
        </w:rPr>
      </w:pPr>
      <w:r w:rsidRPr="002E6ECA">
        <w:rPr>
          <w:sz w:val="28"/>
          <w:szCs w:val="28"/>
          <w:lang w:val="uk-UA"/>
        </w:rPr>
        <w:t>На підставі масштабного аналізу електронних баз даних за результатами проведення 27 досліджень, у тому числі 18 у США було виявлено, що серед найпоширеніших стратегій впроваджувались просвітницькі роботи, навчальні матеріали, наради. При цьому час, що витрачають вчителі на виконання цих заходів складав від 26,6 до 54,9 хвилин на тиждень, а економічна оцінка визначалась як рентабельна [</w:t>
      </w:r>
      <w:r w:rsidR="00E6025C" w:rsidRPr="002E6ECA">
        <w:rPr>
          <w:sz w:val="28"/>
          <w:szCs w:val="28"/>
          <w:lang w:val="uk-UA"/>
        </w:rPr>
        <w:t>503</w:t>
      </w:r>
      <w:r w:rsidRPr="002E6ECA">
        <w:rPr>
          <w:sz w:val="28"/>
          <w:szCs w:val="28"/>
          <w:lang w:val="uk-UA"/>
        </w:rPr>
        <w:t>].</w:t>
      </w:r>
    </w:p>
    <w:p w:rsidR="00116DB2" w:rsidRPr="002E6ECA" w:rsidRDefault="00116DB2" w:rsidP="00116DB2">
      <w:pPr>
        <w:spacing w:line="360" w:lineRule="auto"/>
        <w:ind w:firstLine="709"/>
        <w:jc w:val="both"/>
        <w:rPr>
          <w:sz w:val="28"/>
          <w:szCs w:val="28"/>
          <w:lang w:val="uk-UA"/>
        </w:rPr>
      </w:pPr>
      <w:r w:rsidRPr="002E6ECA">
        <w:rPr>
          <w:sz w:val="28"/>
          <w:szCs w:val="28"/>
          <w:lang w:val="uk-UA"/>
        </w:rPr>
        <w:t>За результатами перехресного дослідження серед 413 учнів середньої школи Стамбула було встановлено, що поведінка підлітків стосовно способу життя та довірчі відносини з близькими друзями та членами родини, активна громадська діяльність у вільний час сприяли покращенню якості їх життя незалежно від соціально-демографічних чинників [</w:t>
      </w:r>
      <w:r w:rsidR="00E6025C" w:rsidRPr="002E6ECA">
        <w:rPr>
          <w:sz w:val="28"/>
          <w:szCs w:val="28"/>
          <w:lang w:val="uk-UA"/>
        </w:rPr>
        <w:t>360</w:t>
      </w:r>
      <w:r w:rsidRPr="002E6ECA">
        <w:rPr>
          <w:sz w:val="28"/>
          <w:szCs w:val="28"/>
          <w:lang w:val="uk-UA"/>
        </w:rPr>
        <w:t>].</w:t>
      </w:r>
    </w:p>
    <w:p w:rsidR="00116DB2" w:rsidRPr="002E6ECA" w:rsidRDefault="00116DB2" w:rsidP="00116DB2">
      <w:pPr>
        <w:spacing w:line="360" w:lineRule="auto"/>
        <w:ind w:firstLine="709"/>
        <w:jc w:val="both"/>
        <w:rPr>
          <w:sz w:val="28"/>
          <w:szCs w:val="28"/>
          <w:lang w:val="uk-UA"/>
        </w:rPr>
      </w:pPr>
      <w:r w:rsidRPr="002E6ECA">
        <w:rPr>
          <w:sz w:val="28"/>
          <w:szCs w:val="28"/>
          <w:lang w:val="uk-UA"/>
        </w:rPr>
        <w:t>Подібних висновків дійшли і в іншому опитуванні 812 турецьких учнів середньої школи, розширивши спектр предікторів здорового способу життя, рівень освіти батька та добре самосприйняття власного здоров’я [</w:t>
      </w:r>
      <w:r w:rsidR="00E6025C" w:rsidRPr="002E6ECA">
        <w:rPr>
          <w:sz w:val="28"/>
          <w:szCs w:val="28"/>
          <w:lang w:val="uk-UA"/>
        </w:rPr>
        <w:t>286</w:t>
      </w:r>
      <w:r w:rsidRPr="002E6ECA">
        <w:rPr>
          <w:sz w:val="28"/>
          <w:szCs w:val="28"/>
          <w:lang w:val="uk-UA"/>
        </w:rPr>
        <w:t>].</w:t>
      </w:r>
    </w:p>
    <w:p w:rsidR="00116DB2" w:rsidRPr="002E6ECA" w:rsidRDefault="00116DB2" w:rsidP="00116DB2">
      <w:pPr>
        <w:spacing w:line="360" w:lineRule="auto"/>
        <w:ind w:firstLine="709"/>
        <w:jc w:val="both"/>
        <w:rPr>
          <w:sz w:val="28"/>
          <w:szCs w:val="28"/>
          <w:lang w:val="uk-UA"/>
        </w:rPr>
      </w:pPr>
      <w:r w:rsidRPr="002E6ECA">
        <w:rPr>
          <w:sz w:val="28"/>
          <w:szCs w:val="28"/>
          <w:lang w:val="uk-UA"/>
        </w:rPr>
        <w:t xml:space="preserve">Наше дослідження, як і наведені результати зі світових літературних джерел, встановили важливість формування навичок здорового способу життя з метою профілактики ожиріння, проте вперше було встановлено можливий механізм впливу та шляхи індивідуалізації профілактичних заходів. Це вплив у залежності від характеру відношення підлітків до освітнього закладу та </w:t>
      </w:r>
      <w:r w:rsidRPr="002E6ECA">
        <w:rPr>
          <w:sz w:val="28"/>
          <w:szCs w:val="28"/>
          <w:lang w:val="uk-UA"/>
        </w:rPr>
        <w:lastRenderedPageBreak/>
        <w:t>використання потенціалу шкільного навчання та оточення для розробки і впровадження особистісно орієнтованих профілактичних заходів.</w:t>
      </w:r>
    </w:p>
    <w:p w:rsidR="00671012" w:rsidRPr="002E6ECA" w:rsidRDefault="00671012" w:rsidP="00671012">
      <w:pPr>
        <w:spacing w:line="360" w:lineRule="auto"/>
        <w:ind w:firstLine="709"/>
        <w:jc w:val="center"/>
        <w:rPr>
          <w:b/>
          <w:sz w:val="28"/>
          <w:szCs w:val="28"/>
          <w:lang w:val="uk-UA"/>
        </w:rPr>
      </w:pPr>
    </w:p>
    <w:p w:rsidR="00671012" w:rsidRPr="002E6ECA" w:rsidRDefault="00671012" w:rsidP="00BA4524">
      <w:pPr>
        <w:spacing w:line="360" w:lineRule="auto"/>
        <w:ind w:firstLine="709"/>
        <w:jc w:val="center"/>
        <w:rPr>
          <w:b/>
          <w:sz w:val="28"/>
          <w:szCs w:val="28"/>
          <w:lang w:val="uk-UA"/>
        </w:rPr>
      </w:pPr>
      <w:r w:rsidRPr="002E6ECA">
        <w:rPr>
          <w:b/>
          <w:sz w:val="28"/>
          <w:szCs w:val="28"/>
          <w:lang w:val="uk-UA"/>
        </w:rPr>
        <w:t>Висновки до розділу 4</w:t>
      </w:r>
    </w:p>
    <w:p w:rsidR="00671012" w:rsidRPr="002E6ECA" w:rsidRDefault="00671012" w:rsidP="00671012">
      <w:pPr>
        <w:pStyle w:val="a3"/>
        <w:numPr>
          <w:ilvl w:val="0"/>
          <w:numId w:val="19"/>
        </w:numPr>
        <w:spacing w:line="360" w:lineRule="auto"/>
        <w:ind w:left="0" w:firstLine="709"/>
        <w:jc w:val="both"/>
        <w:rPr>
          <w:sz w:val="28"/>
          <w:szCs w:val="28"/>
          <w:lang w:val="uk-UA"/>
        </w:rPr>
      </w:pPr>
      <w:r w:rsidRPr="002E6ECA">
        <w:rPr>
          <w:sz w:val="28"/>
          <w:szCs w:val="28"/>
          <w:lang w:val="uk-UA"/>
        </w:rPr>
        <w:t>Суттєвих відмінностей за характеристикою умов навчання у різних ЗЗСО та при впровадженні різних навчально-педагогічних проєктів не встановлено, окрім показників рівня штучного освітлення у 9</w:t>
      </w:r>
      <w:r w:rsidR="008A1F3D" w:rsidRPr="002E6ECA">
        <w:rPr>
          <w:sz w:val="28"/>
          <w:szCs w:val="28"/>
          <w:lang w:val="uk-UA"/>
        </w:rPr>
        <w:t>,</w:t>
      </w:r>
      <w:r w:rsidRPr="002E6ECA">
        <w:rPr>
          <w:sz w:val="28"/>
          <w:szCs w:val="28"/>
          <w:lang w:val="uk-UA"/>
        </w:rPr>
        <w:t>94% точок вимірювання у навчальних кабінетах фізики, хімії та інформатики</w:t>
      </w:r>
      <w:r w:rsidR="00E56C20" w:rsidRPr="002E6ECA">
        <w:rPr>
          <w:sz w:val="28"/>
          <w:szCs w:val="28"/>
          <w:lang w:val="uk-UA"/>
        </w:rPr>
        <w:t xml:space="preserve"> </w:t>
      </w:r>
      <w:r w:rsidRPr="002E6ECA">
        <w:rPr>
          <w:sz w:val="28"/>
          <w:szCs w:val="28"/>
          <w:lang w:val="uk-UA"/>
        </w:rPr>
        <w:t>З</w:t>
      </w:r>
      <w:r w:rsidR="00E56C20" w:rsidRPr="002E6ECA">
        <w:rPr>
          <w:sz w:val="28"/>
          <w:szCs w:val="28"/>
          <w:lang w:val="uk-UA"/>
        </w:rPr>
        <w:t>З</w:t>
      </w:r>
      <w:r w:rsidRPr="002E6ECA">
        <w:rPr>
          <w:sz w:val="28"/>
          <w:szCs w:val="28"/>
          <w:lang w:val="uk-UA"/>
        </w:rPr>
        <w:t>СО1 та ЗЗСО2, а також якості питної води за показником загальної жорсткості у ЗЗСО2 та ЗЗСО3, що в умовах забезпечення питного режиму за рахунок бутильованої води не є чинником впливу внутрішньошкільного середовища на стан здоров’я школярів.</w:t>
      </w:r>
    </w:p>
    <w:p w:rsidR="00671012" w:rsidRPr="002E6ECA" w:rsidRDefault="00671012" w:rsidP="00671012">
      <w:pPr>
        <w:pStyle w:val="a3"/>
        <w:numPr>
          <w:ilvl w:val="0"/>
          <w:numId w:val="19"/>
        </w:numPr>
        <w:spacing w:line="360" w:lineRule="auto"/>
        <w:ind w:left="0" w:firstLine="709"/>
        <w:jc w:val="both"/>
        <w:rPr>
          <w:sz w:val="28"/>
          <w:szCs w:val="28"/>
          <w:lang w:val="uk-UA"/>
        </w:rPr>
      </w:pPr>
      <w:r w:rsidRPr="002E6ECA">
        <w:rPr>
          <w:sz w:val="28"/>
          <w:szCs w:val="28"/>
          <w:lang w:val="uk-UA"/>
        </w:rPr>
        <w:t>За умов меритократичної системи рівень навантаження за шкалою важкості навчальних предметів у 5-8 класах вища, а у 9-му класі нижча за традиційну. При цьому незалежно від системи освіти і типу навчально-педагогічного проєкту рівень навантаження зростав з 5-го до 6-го класу у середньому на 7,19 балів (найбільше за проєктом «Інтелект України»; р&lt;0,01), на 2-3 бали щорічно до 8-го класу (за традиційною освітньою програмою) та незначно знижувався при переході до 9-го класу (на 1,30 балу) переважно за рахунок навчання за меритократичною системою.</w:t>
      </w:r>
    </w:p>
    <w:p w:rsidR="00671012" w:rsidRPr="002E6ECA" w:rsidRDefault="00671012" w:rsidP="00671012">
      <w:pPr>
        <w:pStyle w:val="a3"/>
        <w:numPr>
          <w:ilvl w:val="0"/>
          <w:numId w:val="19"/>
        </w:numPr>
        <w:spacing w:line="360" w:lineRule="auto"/>
        <w:ind w:left="0" w:firstLine="709"/>
        <w:jc w:val="both"/>
        <w:rPr>
          <w:sz w:val="28"/>
          <w:szCs w:val="28"/>
          <w:lang w:val="uk-UA"/>
        </w:rPr>
      </w:pPr>
      <w:r w:rsidRPr="002E6ECA">
        <w:rPr>
          <w:sz w:val="28"/>
          <w:szCs w:val="28"/>
          <w:lang w:val="uk-UA"/>
        </w:rPr>
        <w:t xml:space="preserve">Результати опитування учнів дев’ятих класів стосовно деяких моментів їх способу життя свідчать про суттєві відмінності харчової поведінки та фізичної активності у залежності від ставлення до освітнього закладу. Найбільш безпечною групою щодо формування ожиріння та інших захворювань були, учні які відвідували освітній заклад із задоволенням. Вони мали високий рівень фізичної активності, частіше перебували на свіжому повітрі та мали більш сформовані навички щодо раціонального харчування. До групи ризику щодо формування ожиріння доцільно віднести учнів із байдужим ставленням до будь-якої діяльності (активності). Їх харчовий раціон характеризувався недостатнім надходженням головних джерел білку, </w:t>
      </w:r>
      <w:r w:rsidRPr="002E6ECA">
        <w:rPr>
          <w:sz w:val="28"/>
          <w:szCs w:val="28"/>
          <w:lang w:val="uk-UA"/>
        </w:rPr>
        <w:lastRenderedPageBreak/>
        <w:t>щоденним вживанням чіпсів, сухариків, вуличної їжі та солодких газованих напоїв.</w:t>
      </w:r>
    </w:p>
    <w:p w:rsidR="00671012" w:rsidRPr="002E6ECA" w:rsidRDefault="00671012" w:rsidP="00671012">
      <w:pPr>
        <w:pStyle w:val="a3"/>
        <w:numPr>
          <w:ilvl w:val="0"/>
          <w:numId w:val="19"/>
        </w:numPr>
        <w:spacing w:line="360" w:lineRule="auto"/>
        <w:ind w:left="0" w:firstLine="709"/>
        <w:jc w:val="both"/>
        <w:rPr>
          <w:sz w:val="28"/>
          <w:szCs w:val="28"/>
          <w:lang w:val="uk-UA"/>
        </w:rPr>
      </w:pPr>
      <w:r w:rsidRPr="002E6ECA">
        <w:rPr>
          <w:sz w:val="28"/>
          <w:szCs w:val="28"/>
          <w:lang w:val="uk-UA"/>
        </w:rPr>
        <w:t>Вивчення способу життя учнів базової школи з урахуванням соціального середовища певного освітнього закладу, включаючи рухову активність, характер харчування і поширеність шкідливих звичок дає можливість розробити комплексну суб’єкторієнтовану профілактичну програму. Її учасниками повинні виступати не тільки самі учні, а й батьки, вчителі.</w:t>
      </w:r>
    </w:p>
    <w:p w:rsidR="00671012" w:rsidRPr="002E6ECA" w:rsidRDefault="00671012" w:rsidP="00671012">
      <w:pPr>
        <w:spacing w:line="360" w:lineRule="auto"/>
        <w:ind w:firstLine="709"/>
        <w:jc w:val="both"/>
        <w:rPr>
          <w:b/>
          <w:sz w:val="28"/>
          <w:szCs w:val="28"/>
          <w:lang w:val="uk-UA"/>
        </w:rPr>
      </w:pPr>
    </w:p>
    <w:p w:rsidR="00BA4524" w:rsidRPr="002E6ECA" w:rsidRDefault="004341ED" w:rsidP="00671012">
      <w:pPr>
        <w:spacing w:line="360" w:lineRule="auto"/>
        <w:ind w:firstLine="709"/>
        <w:jc w:val="both"/>
        <w:rPr>
          <w:sz w:val="28"/>
          <w:szCs w:val="28"/>
        </w:rPr>
      </w:pPr>
      <w:r w:rsidRPr="002E6ECA">
        <w:rPr>
          <w:sz w:val="28"/>
          <w:szCs w:val="28"/>
          <w:lang w:val="uk-UA"/>
        </w:rPr>
        <w:t>Матеріали розділу викладено у наступних публікаціях:</w:t>
      </w:r>
      <w:r w:rsidR="00671012" w:rsidRPr="002E6ECA">
        <w:rPr>
          <w:sz w:val="28"/>
          <w:szCs w:val="28"/>
          <w:lang w:val="uk-UA"/>
        </w:rPr>
        <w:t xml:space="preserve"> </w:t>
      </w:r>
      <w:r w:rsidR="0036117F" w:rsidRPr="002E6ECA">
        <w:rPr>
          <w:sz w:val="28"/>
          <w:szCs w:val="28"/>
          <w:lang w:val="en-US"/>
        </w:rPr>
        <w:t>1</w:t>
      </w:r>
      <w:r w:rsidR="0036117F" w:rsidRPr="002E6ECA">
        <w:rPr>
          <w:sz w:val="28"/>
          <w:szCs w:val="28"/>
        </w:rPr>
        <w:t>, 67, 73, 221, 224, 318, 470.</w:t>
      </w:r>
    </w:p>
    <w:p w:rsidR="0019266E" w:rsidRPr="002E6ECA" w:rsidRDefault="0019266E" w:rsidP="00671012">
      <w:pPr>
        <w:pStyle w:val="a3"/>
        <w:spacing w:line="360" w:lineRule="auto"/>
        <w:ind w:left="0"/>
        <w:jc w:val="center"/>
        <w:rPr>
          <w:sz w:val="28"/>
          <w:szCs w:val="28"/>
          <w:lang w:val="uk-UA"/>
        </w:rPr>
      </w:pPr>
    </w:p>
    <w:p w:rsidR="003C2935" w:rsidRPr="002E6ECA" w:rsidRDefault="003C2935">
      <w:pPr>
        <w:rPr>
          <w:sz w:val="28"/>
          <w:szCs w:val="28"/>
          <w:lang w:val="uk-UA"/>
        </w:rPr>
      </w:pPr>
      <w:r w:rsidRPr="002E6ECA">
        <w:rPr>
          <w:sz w:val="28"/>
          <w:szCs w:val="28"/>
          <w:lang w:val="uk-UA"/>
        </w:rPr>
        <w:br w:type="page"/>
      </w:r>
    </w:p>
    <w:p w:rsidR="003C2935" w:rsidRPr="002E6ECA" w:rsidRDefault="003C2935" w:rsidP="0019266E">
      <w:pPr>
        <w:spacing w:line="360" w:lineRule="auto"/>
        <w:ind w:firstLine="709"/>
        <w:jc w:val="center"/>
        <w:rPr>
          <w:sz w:val="28"/>
          <w:szCs w:val="28"/>
          <w:lang w:val="uk-UA"/>
        </w:rPr>
      </w:pPr>
    </w:p>
    <w:p w:rsidR="00CE2493" w:rsidRPr="002E6ECA" w:rsidRDefault="00CE2493" w:rsidP="009E0B65">
      <w:pPr>
        <w:spacing w:line="360" w:lineRule="auto"/>
        <w:ind w:firstLine="709"/>
        <w:jc w:val="center"/>
        <w:rPr>
          <w:sz w:val="28"/>
          <w:szCs w:val="28"/>
          <w:lang w:val="uk-UA"/>
        </w:rPr>
      </w:pPr>
      <w:r w:rsidRPr="002E6ECA">
        <w:rPr>
          <w:sz w:val="28"/>
          <w:szCs w:val="28"/>
          <w:lang w:val="uk-UA"/>
        </w:rPr>
        <w:t xml:space="preserve">РОЗДІЛ 5 </w:t>
      </w:r>
    </w:p>
    <w:p w:rsidR="009E0B65" w:rsidRPr="002E6ECA" w:rsidRDefault="009E0B65" w:rsidP="009E0B65">
      <w:pPr>
        <w:spacing w:line="360" w:lineRule="auto"/>
        <w:ind w:firstLine="709"/>
        <w:jc w:val="center"/>
        <w:rPr>
          <w:sz w:val="28"/>
          <w:szCs w:val="28"/>
          <w:lang w:val="uk-UA"/>
        </w:rPr>
      </w:pPr>
      <w:r w:rsidRPr="002E6ECA">
        <w:rPr>
          <w:sz w:val="28"/>
          <w:szCs w:val="28"/>
          <w:lang w:val="uk-UA"/>
        </w:rPr>
        <w:t>ПСИХОФІЗІОЛОГІЧНА ХАРАКТЕРИСТИКА ШКІЛЬНОЇ АДАПТАЦІЇ В УМОВАХ ІНТЕНСИФІКАЦІЇ НАВЧАЛЬНОГО ПРОЦЕСУ</w:t>
      </w:r>
    </w:p>
    <w:p w:rsidR="009E0B65" w:rsidRPr="002E6ECA" w:rsidRDefault="009E0B65" w:rsidP="009E0B65">
      <w:pPr>
        <w:spacing w:line="360" w:lineRule="auto"/>
        <w:ind w:firstLine="709"/>
        <w:jc w:val="center"/>
        <w:rPr>
          <w:sz w:val="28"/>
          <w:szCs w:val="28"/>
          <w:lang w:val="uk-UA"/>
        </w:rPr>
      </w:pPr>
    </w:p>
    <w:p w:rsidR="009E0B65" w:rsidRPr="002E6ECA" w:rsidRDefault="009E0B65" w:rsidP="00CE2493">
      <w:pPr>
        <w:spacing w:line="360" w:lineRule="auto"/>
        <w:ind w:firstLine="709"/>
        <w:rPr>
          <w:b/>
          <w:sz w:val="28"/>
          <w:szCs w:val="28"/>
          <w:lang w:val="uk-UA"/>
        </w:rPr>
      </w:pPr>
      <w:r w:rsidRPr="002E6ECA">
        <w:rPr>
          <w:b/>
          <w:sz w:val="28"/>
          <w:szCs w:val="28"/>
          <w:lang w:val="uk-UA"/>
        </w:rPr>
        <w:t>5.1. Вплив рівня інтенсивності навчального навантаження на рівень розумової працездатності за умов впровадження різних освітніх програм</w:t>
      </w:r>
    </w:p>
    <w:p w:rsidR="005F7F4F" w:rsidRPr="002E6ECA" w:rsidRDefault="005F7F4F" w:rsidP="005F7F4F">
      <w:pPr>
        <w:spacing w:line="360" w:lineRule="auto"/>
        <w:ind w:firstLine="709"/>
        <w:jc w:val="both"/>
        <w:rPr>
          <w:sz w:val="28"/>
          <w:szCs w:val="28"/>
          <w:lang w:val="uk-UA" w:eastAsia="en-US"/>
        </w:rPr>
      </w:pPr>
      <w:bookmarkStart w:id="15" w:name="OLE_LINK1"/>
      <w:r w:rsidRPr="002E6ECA">
        <w:rPr>
          <w:bCs/>
          <w:sz w:val="28"/>
          <w:szCs w:val="28"/>
          <w:lang w:val="uk-UA" w:eastAsia="en-US"/>
        </w:rPr>
        <w:t xml:space="preserve">Сучасна система освіти характеризується впровадженням новітніх технологій та освітніх проєктів, що супроводжуються підвищенням інформаційного та емоційного навантаження. Саме рівень навантаження та складність завдань постають </w:t>
      </w:r>
      <w:r w:rsidRPr="002E6ECA">
        <w:rPr>
          <w:sz w:val="28"/>
          <w:szCs w:val="28"/>
          <w:lang w:val="uk-UA" w:eastAsia="en-US"/>
        </w:rPr>
        <w:t>двома найбільш критичними факторами зниження ефективності та якості роботи [</w:t>
      </w:r>
      <w:r w:rsidR="0036117F" w:rsidRPr="002E6ECA">
        <w:rPr>
          <w:bCs/>
          <w:iCs/>
          <w:sz w:val="28"/>
          <w:szCs w:val="28"/>
          <w:lang w:val="uk-UA" w:eastAsia="en-US"/>
        </w:rPr>
        <w:t>252</w:t>
      </w:r>
      <w:r w:rsidRPr="002E6ECA">
        <w:rPr>
          <w:bCs/>
          <w:iCs/>
          <w:sz w:val="28"/>
          <w:szCs w:val="28"/>
          <w:lang w:val="uk-UA" w:eastAsia="en-US"/>
        </w:rPr>
        <w:t xml:space="preserve">, </w:t>
      </w:r>
      <w:r w:rsidR="0036117F" w:rsidRPr="002E6ECA">
        <w:rPr>
          <w:bCs/>
          <w:iCs/>
          <w:sz w:val="28"/>
          <w:szCs w:val="28"/>
          <w:lang w:val="uk-UA" w:eastAsia="en-US"/>
        </w:rPr>
        <w:t>386</w:t>
      </w:r>
      <w:r w:rsidRPr="002E6ECA">
        <w:rPr>
          <w:sz w:val="28"/>
          <w:szCs w:val="28"/>
          <w:lang w:val="uk-UA" w:eastAsia="en-US"/>
        </w:rPr>
        <w:t>].</w:t>
      </w:r>
      <w:r w:rsidRPr="002E6ECA">
        <w:rPr>
          <w:bCs/>
          <w:sz w:val="28"/>
          <w:szCs w:val="28"/>
          <w:lang w:val="uk-UA" w:eastAsia="en-US"/>
        </w:rPr>
        <w:t xml:space="preserve"> Одним з</w:t>
      </w:r>
      <w:r w:rsidRPr="002E6ECA">
        <w:rPr>
          <w:b/>
          <w:bCs/>
          <w:sz w:val="28"/>
          <w:szCs w:val="28"/>
          <w:lang w:val="uk-UA" w:eastAsia="en-US"/>
        </w:rPr>
        <w:t xml:space="preserve"> </w:t>
      </w:r>
      <w:r w:rsidRPr="002E6ECA">
        <w:rPr>
          <w:sz w:val="28"/>
          <w:szCs w:val="28"/>
          <w:lang w:val="uk-UA" w:eastAsia="en-US"/>
        </w:rPr>
        <w:t>інтегральних показників ефективності розумової діяльності, що віддзеркалює відповідність навчального навантаження функціональним можливостям школяра, постає рівень та динаміка розумової працездатності, яка характеризує не тільки його здатність до виконання конкретної розумової діяльності в рамках заданих часових лімітів і параметрів ефективності, а й використовується у наукових дослідженнях як прогностичний критерій розвитку втоми та шкільної дезадаптації [</w:t>
      </w:r>
      <w:r w:rsidR="0036117F" w:rsidRPr="002E6ECA">
        <w:rPr>
          <w:sz w:val="28"/>
          <w:szCs w:val="28"/>
          <w:lang w:val="uk-UA" w:eastAsia="en-US"/>
        </w:rPr>
        <w:t>126, 131, 176, 386, 431, 494</w:t>
      </w:r>
      <w:r w:rsidRPr="002E6ECA">
        <w:rPr>
          <w:sz w:val="28"/>
          <w:szCs w:val="28"/>
          <w:lang w:val="uk-UA" w:eastAsia="en-US"/>
        </w:rPr>
        <w:t>].</w:t>
      </w:r>
      <w:r w:rsidRPr="002E6ECA">
        <w:rPr>
          <w:rFonts w:eastAsia="Calibri"/>
          <w:sz w:val="28"/>
          <w:szCs w:val="28"/>
          <w:lang w:val="uk-UA" w:eastAsia="en-US"/>
        </w:rPr>
        <w:t xml:space="preserve"> </w:t>
      </w:r>
    </w:p>
    <w:p w:rsidR="005F7F4F" w:rsidRPr="002E6ECA" w:rsidRDefault="005F7F4F" w:rsidP="005F7F4F">
      <w:pPr>
        <w:spacing w:line="360" w:lineRule="auto"/>
        <w:ind w:firstLine="709"/>
        <w:jc w:val="both"/>
        <w:rPr>
          <w:bCs/>
          <w:sz w:val="28"/>
          <w:szCs w:val="28"/>
          <w:lang w:val="uk-UA" w:eastAsia="en-US"/>
        </w:rPr>
      </w:pPr>
      <w:r w:rsidRPr="002E6ECA">
        <w:rPr>
          <w:sz w:val="28"/>
          <w:szCs w:val="28"/>
          <w:lang w:val="uk-UA" w:eastAsia="en-US"/>
        </w:rPr>
        <w:t>У вітчизняних дослідженнях зниження робочої працездатності використовують як одну з головних ознак втоми та здатність до адаптивної перебудови центральної нервової системи у відповідь на навчальне навантаження [</w:t>
      </w:r>
      <w:r w:rsidR="0036117F" w:rsidRPr="002E6ECA">
        <w:rPr>
          <w:sz w:val="28"/>
          <w:szCs w:val="28"/>
          <w:lang w:val="uk-UA" w:eastAsia="en-US"/>
        </w:rPr>
        <w:t>46, 126, 176, 431</w:t>
      </w:r>
      <w:r w:rsidRPr="002E6ECA">
        <w:rPr>
          <w:sz w:val="28"/>
          <w:szCs w:val="28"/>
          <w:lang w:val="uk-UA" w:eastAsia="en-US"/>
        </w:rPr>
        <w:t>]. Встановлено, що підвищення статичної та скорочення динамічної компоненти у режимі дня, нераціональне харчування, зниження тривалості нічного сну негативно позначається на рівні розумової працездатності та академічній успішності учнівської молоді [</w:t>
      </w:r>
      <w:r w:rsidR="0036117F" w:rsidRPr="002E6ECA">
        <w:rPr>
          <w:sz w:val="28"/>
          <w:szCs w:val="28"/>
          <w:lang w:val="uk-UA" w:eastAsia="en-US"/>
        </w:rPr>
        <w:t xml:space="preserve">49, 176, 252, 386]. </w:t>
      </w:r>
      <w:r w:rsidRPr="002E6ECA">
        <w:rPr>
          <w:sz w:val="28"/>
          <w:szCs w:val="28"/>
          <w:lang w:val="uk-UA" w:eastAsia="en-US"/>
        </w:rPr>
        <w:t>Головним інструментом цих досліджень постають коректурні проби В.Анфімова [</w:t>
      </w:r>
      <w:r w:rsidR="0036117F" w:rsidRPr="002E6ECA">
        <w:rPr>
          <w:sz w:val="28"/>
          <w:szCs w:val="28"/>
          <w:lang w:val="uk-UA" w:eastAsia="en-US"/>
        </w:rPr>
        <w:t>49, 126, 131, 176, 431</w:t>
      </w:r>
      <w:r w:rsidRPr="002E6ECA">
        <w:rPr>
          <w:sz w:val="28"/>
          <w:szCs w:val="28"/>
          <w:lang w:val="uk-UA" w:eastAsia="en-US"/>
        </w:rPr>
        <w:t xml:space="preserve">]. Є досвід використання коректурних проб Бурдона для оцінки впливу параметрів мікроклімату на продуктивність праці та фізіологічну реакцію. Проте переважними методиками для визначення </w:t>
      </w:r>
      <w:r w:rsidRPr="002E6ECA">
        <w:rPr>
          <w:sz w:val="28"/>
          <w:szCs w:val="28"/>
          <w:lang w:val="uk-UA" w:eastAsia="en-US"/>
        </w:rPr>
        <w:lastRenderedPageBreak/>
        <w:t>розумової працездатності та розумової втоми у дітей та дорослих у закордонних дослідженнях виступають теппінг-тести [</w:t>
      </w:r>
      <w:r w:rsidR="0036117F" w:rsidRPr="002E6ECA">
        <w:rPr>
          <w:sz w:val="28"/>
          <w:szCs w:val="28"/>
          <w:lang w:val="uk-UA" w:eastAsia="en-US"/>
        </w:rPr>
        <w:t xml:space="preserve">289, </w:t>
      </w:r>
      <w:r w:rsidR="0036117F" w:rsidRPr="002E6ECA">
        <w:rPr>
          <w:sz w:val="28"/>
          <w:szCs w:val="28"/>
          <w:lang w:val="uk-UA" w:eastAsia="uk-UA"/>
        </w:rPr>
        <w:t>431, 432, 486</w:t>
      </w:r>
      <w:r w:rsidRPr="002E6ECA">
        <w:rPr>
          <w:sz w:val="28"/>
          <w:szCs w:val="28"/>
          <w:lang w:val="uk-UA" w:eastAsia="en-US"/>
        </w:rPr>
        <w:t>], завдання прямого та зворотного розряду цифр [</w:t>
      </w:r>
      <w:r w:rsidR="0036117F" w:rsidRPr="002E6ECA">
        <w:rPr>
          <w:sz w:val="28"/>
          <w:szCs w:val="28"/>
          <w:lang w:val="uk-UA" w:eastAsia="en-US"/>
        </w:rPr>
        <w:t>293</w:t>
      </w:r>
      <w:r w:rsidRPr="002E6ECA">
        <w:rPr>
          <w:sz w:val="28"/>
          <w:szCs w:val="28"/>
          <w:lang w:val="uk-UA" w:eastAsia="en-US"/>
        </w:rPr>
        <w:t>], батарея шкал сонливості Стенфорда, цифрового декодування, короткочасної пам'яті, критичної частоти злиття мерехтіння [</w:t>
      </w:r>
      <w:r w:rsidR="0036117F" w:rsidRPr="002E6ECA">
        <w:rPr>
          <w:sz w:val="28"/>
          <w:szCs w:val="28"/>
          <w:lang w:val="uk-UA" w:eastAsia="en-US"/>
        </w:rPr>
        <w:t>331</w:t>
      </w:r>
      <w:r w:rsidRPr="002E6ECA">
        <w:rPr>
          <w:sz w:val="28"/>
          <w:szCs w:val="28"/>
          <w:lang w:val="uk-UA" w:eastAsia="en-US"/>
        </w:rPr>
        <w:t>], комп'ютеризований нейробіологічний тест [</w:t>
      </w:r>
      <w:r w:rsidR="0036117F" w:rsidRPr="002E6ECA">
        <w:rPr>
          <w:sz w:val="28"/>
          <w:szCs w:val="28"/>
          <w:lang w:val="uk-UA" w:eastAsia="en-US"/>
        </w:rPr>
        <w:t>302</w:t>
      </w:r>
      <w:r w:rsidRPr="002E6ECA">
        <w:rPr>
          <w:sz w:val="28"/>
          <w:szCs w:val="28"/>
          <w:lang w:val="uk-UA" w:eastAsia="en-US"/>
        </w:rPr>
        <w:t>], комп’ютеризований тест Корсі-Блока для визначення рівня уваги та робочої пам’яті [</w:t>
      </w:r>
      <w:r w:rsidR="0036117F" w:rsidRPr="002E6ECA">
        <w:rPr>
          <w:sz w:val="28"/>
          <w:szCs w:val="28"/>
          <w:lang w:val="uk-UA" w:eastAsia="uk-UA"/>
        </w:rPr>
        <w:t>426</w:t>
      </w:r>
      <w:r w:rsidRPr="002E6ECA">
        <w:rPr>
          <w:sz w:val="28"/>
          <w:szCs w:val="28"/>
          <w:lang w:val="uk-UA" w:eastAsia="en-US"/>
        </w:rPr>
        <w:t>], у тому числі й у дослідженні виконавчих функцій у дітей шкільного віку з високим інтелектуальним потенціалом [</w:t>
      </w:r>
      <w:r w:rsidR="0036117F" w:rsidRPr="002E6ECA">
        <w:rPr>
          <w:sz w:val="28"/>
          <w:szCs w:val="28"/>
          <w:lang w:val="uk-UA" w:eastAsia="uk-UA"/>
        </w:rPr>
        <w:t>458</w:t>
      </w:r>
      <w:r w:rsidRPr="002E6ECA">
        <w:rPr>
          <w:sz w:val="28"/>
          <w:szCs w:val="28"/>
          <w:lang w:val="uk-UA" w:eastAsia="en-US"/>
        </w:rPr>
        <w:t>]. Відомі і інструментальні методики дослідження щодо визначення нейронних ефектів втоми за результатами магнітоенцефалографії при виконанні мовленево-розумово-арифметичного завдання, що викликає гострий стрес під час голодування [</w:t>
      </w:r>
      <w:r w:rsidR="0036117F" w:rsidRPr="002E6ECA">
        <w:rPr>
          <w:sz w:val="28"/>
          <w:szCs w:val="28"/>
          <w:lang w:val="uk-UA" w:eastAsia="en-US"/>
        </w:rPr>
        <w:t>361, 401, 418</w:t>
      </w:r>
      <w:r w:rsidRPr="002E6ECA">
        <w:rPr>
          <w:sz w:val="28"/>
          <w:szCs w:val="28"/>
          <w:lang w:val="uk-UA" w:eastAsia="en-US"/>
        </w:rPr>
        <w:t>], електроенцефалографії [</w:t>
      </w:r>
      <w:r w:rsidR="0036117F" w:rsidRPr="002E6ECA">
        <w:rPr>
          <w:sz w:val="28"/>
          <w:szCs w:val="28"/>
          <w:lang w:val="uk-UA" w:eastAsia="en-US"/>
        </w:rPr>
        <w:t>507</w:t>
      </w:r>
      <w:r w:rsidRPr="002E6ECA">
        <w:rPr>
          <w:sz w:val="28"/>
          <w:szCs w:val="28"/>
          <w:lang w:val="uk-UA" w:eastAsia="en-US"/>
        </w:rPr>
        <w:t>] та окулометрія [</w:t>
      </w:r>
      <w:r w:rsidR="0036117F" w:rsidRPr="002E6ECA">
        <w:rPr>
          <w:sz w:val="28"/>
          <w:szCs w:val="28"/>
          <w:lang w:val="uk-UA" w:eastAsia="en-US"/>
        </w:rPr>
        <w:t>293, 393, 394</w:t>
      </w:r>
      <w:r w:rsidRPr="002E6ECA">
        <w:rPr>
          <w:rFonts w:eastAsia="MingLiU"/>
          <w:sz w:val="28"/>
          <w:szCs w:val="28"/>
          <w:lang w:val="uk-UA" w:eastAsia="en-US"/>
        </w:rPr>
        <w:t>].</w:t>
      </w:r>
    </w:p>
    <w:p w:rsidR="005F7F4F" w:rsidRPr="002E6ECA" w:rsidRDefault="005F7F4F" w:rsidP="005F7F4F">
      <w:pPr>
        <w:spacing w:line="360" w:lineRule="auto"/>
        <w:ind w:firstLine="709"/>
        <w:jc w:val="both"/>
        <w:rPr>
          <w:sz w:val="28"/>
          <w:szCs w:val="28"/>
          <w:lang w:val="uk-UA"/>
        </w:rPr>
      </w:pPr>
      <w:r w:rsidRPr="002E6ECA">
        <w:rPr>
          <w:sz w:val="28"/>
          <w:szCs w:val="28"/>
          <w:lang w:val="uk-UA"/>
        </w:rPr>
        <w:t>Достатня кількість робіт присвячена вивченню розумової працездатності в динаміці дня, тижня, навчального року, а також під впливом чинників способу життя, у т.ч. харчування і фізичної активність [</w:t>
      </w:r>
      <w:r w:rsidR="0036117F" w:rsidRPr="002E6ECA">
        <w:rPr>
          <w:sz w:val="28"/>
          <w:szCs w:val="28"/>
          <w:lang w:val="uk-UA"/>
        </w:rPr>
        <w:t>46, 49, 106, 176, 252, 366, 507, 512</w:t>
      </w:r>
      <w:r w:rsidRPr="002E6ECA">
        <w:rPr>
          <w:sz w:val="28"/>
          <w:szCs w:val="28"/>
          <w:lang w:val="uk-UA"/>
        </w:rPr>
        <w:t>], проведено вивчення стійкості уваги, просторової робочої пам'яті, епізодичної та семантичної пам'яті та швидкості обробки у взаємозв'язку зі стандартними тестами академічної успішності з математики та читання [</w:t>
      </w:r>
      <w:r w:rsidR="0036117F" w:rsidRPr="002E6ECA">
        <w:rPr>
          <w:sz w:val="28"/>
          <w:szCs w:val="28"/>
          <w:lang w:val="uk-UA"/>
        </w:rPr>
        <w:t>340</w:t>
      </w:r>
      <w:r w:rsidRPr="002E6ECA">
        <w:rPr>
          <w:sz w:val="28"/>
          <w:szCs w:val="28"/>
          <w:lang w:val="uk-UA"/>
        </w:rPr>
        <w:t>].</w:t>
      </w:r>
    </w:p>
    <w:p w:rsidR="005F7F4F" w:rsidRPr="002E6ECA" w:rsidRDefault="005F7F4F" w:rsidP="005F7F4F">
      <w:pPr>
        <w:shd w:val="clear" w:color="auto" w:fill="FFFFFF"/>
        <w:spacing w:line="360" w:lineRule="auto"/>
        <w:ind w:firstLine="709"/>
        <w:jc w:val="both"/>
        <w:rPr>
          <w:sz w:val="28"/>
          <w:szCs w:val="28"/>
          <w:lang w:val="uk-UA"/>
        </w:rPr>
      </w:pPr>
      <w:r w:rsidRPr="002E6ECA">
        <w:rPr>
          <w:sz w:val="28"/>
          <w:szCs w:val="28"/>
          <w:lang w:val="uk-UA"/>
        </w:rPr>
        <w:t>За допомогою однофакторного дисперсійного аналізу було визначено ступінь впливу чинників навчального процесу на кількісний та якісний показники розумової працездатності, а також на реакцію серцево-судинної системи за ЧСС і самопочуття до та після уроків.</w:t>
      </w:r>
    </w:p>
    <w:p w:rsidR="005F7F4F" w:rsidRPr="002E6ECA" w:rsidRDefault="005F7F4F" w:rsidP="005F7F4F">
      <w:pPr>
        <w:shd w:val="clear" w:color="auto" w:fill="FFFFFF"/>
        <w:spacing w:line="360" w:lineRule="auto"/>
        <w:ind w:firstLine="709"/>
        <w:jc w:val="both"/>
        <w:rPr>
          <w:sz w:val="28"/>
          <w:szCs w:val="28"/>
          <w:lang w:val="uk-UA"/>
        </w:rPr>
      </w:pPr>
      <w:r w:rsidRPr="002E6ECA">
        <w:rPr>
          <w:sz w:val="28"/>
          <w:szCs w:val="28"/>
          <w:lang w:val="uk-UA"/>
        </w:rPr>
        <w:t xml:space="preserve">Встановлено, що освітня програма та навчальний колектив в рамках одного освітнього проєкту впливали на всі показники розумової працездатності, пульс та самопочуття до (відповідно F=106,7; F=33,9 та F=25,2; p&lt;0,001 і F=4,5; p=0,011) та після уроків (відповідно F=101,8; F=42,1 та F=38,3; p&lt;0,001 і F=7,44; p=0,001). Так, максимальний обсяг простежених знаків (423,00±6,01 та 419,84±6,59 знаків) у поєднанні з низькою якістю виконання роботи був характерний для учнів НК-2 як до, так і після уроку (відповідно </w:t>
      </w:r>
      <w:r w:rsidRPr="002E6ECA">
        <w:rPr>
          <w:sz w:val="28"/>
          <w:szCs w:val="28"/>
          <w:lang w:val="uk-UA"/>
        </w:rPr>
        <w:lastRenderedPageBreak/>
        <w:t>11,36±0,61 та 12,44±0,65 помилок; p&lt;0,001). Для учнів НК-3 був характерний найвищий рівень самооцінки почуття на початку уроку (2,53±0,09; p&lt;0,05) із незначним його зниженням протягом уроку. Серед учнів НК-1 визначався найвищий ступінь напруження серцево-судинної системи незалежно від етапу дослідження, а пульс складав понад 90 уд./хв. (p&lt;0,001). При цьому у школярів була позитивна динаміка самопочуття і найвищий його рівень наприкінці уроку (2,54±0,11 балів; p&lt;0,001).</w:t>
      </w:r>
    </w:p>
    <w:p w:rsidR="005F7F4F" w:rsidRPr="002E6ECA" w:rsidRDefault="005F7F4F" w:rsidP="005F7F4F">
      <w:pPr>
        <w:shd w:val="clear" w:color="auto" w:fill="FFFFFF"/>
        <w:spacing w:line="360" w:lineRule="auto"/>
        <w:ind w:firstLine="709"/>
        <w:jc w:val="both"/>
        <w:rPr>
          <w:sz w:val="28"/>
          <w:szCs w:val="28"/>
          <w:lang w:val="uk-UA"/>
        </w:rPr>
      </w:pPr>
      <w:r w:rsidRPr="002E6ECA">
        <w:rPr>
          <w:sz w:val="28"/>
          <w:szCs w:val="28"/>
          <w:lang w:val="uk-UA"/>
        </w:rPr>
        <w:t xml:space="preserve">Аналіз розумової працездатності учнів різних статевих груп виявив більш високий її рівень у дівчат як за кількісним, так і за якісним показником (382,31±5,46 знаків та 7,60±0,28 помилок на початку уроку і  372,94±5,46 знаків та 8,33±0,31 помилок – наприкінці; p&lt;0,01) на тлі гіршого самопочуття (р=0,001) та його негативної динаміки (р&gt;0,05). </w:t>
      </w:r>
    </w:p>
    <w:p w:rsidR="005F7F4F" w:rsidRPr="002E6ECA" w:rsidRDefault="005F7F4F" w:rsidP="005F7F4F">
      <w:pPr>
        <w:shd w:val="clear" w:color="auto" w:fill="FFFFFF"/>
        <w:spacing w:line="360" w:lineRule="auto"/>
        <w:ind w:firstLine="709"/>
        <w:jc w:val="both"/>
        <w:rPr>
          <w:sz w:val="28"/>
          <w:szCs w:val="28"/>
          <w:lang w:val="uk-UA"/>
        </w:rPr>
      </w:pPr>
      <w:r w:rsidRPr="002E6ECA">
        <w:rPr>
          <w:sz w:val="28"/>
          <w:szCs w:val="28"/>
          <w:lang w:val="uk-UA"/>
        </w:rPr>
        <w:t>Вплив предметів різного напряму (математика, українська мова та історія) до початку уроку визначався за показниками кількості помилок (F=3,68; p=0,026)  та ЧСС (F=4,40; p=0,013), а також за динамікою показників розумової працездатності (p&lt;0,001). Так, для уроку історії була характерна більш висока точність виконання роботи на тлі меншого напруження серцево-судинної системи (табл. 5.1). Проте саме після цього предмету у школярів визначалось максимальне зниження обсягу та якості роботи (відповідно на 27,65±7,24 знаків та на 3,35±0,49 помилок; p&lt;0,001).</w:t>
      </w:r>
    </w:p>
    <w:p w:rsidR="005F7F4F" w:rsidRPr="002E6ECA" w:rsidRDefault="005F7F4F" w:rsidP="005F7F4F">
      <w:pPr>
        <w:spacing w:line="360" w:lineRule="auto"/>
        <w:ind w:firstLine="709"/>
        <w:jc w:val="both"/>
        <w:rPr>
          <w:sz w:val="28"/>
          <w:szCs w:val="28"/>
          <w:lang w:val="uk-UA"/>
        </w:rPr>
      </w:pPr>
      <w:r w:rsidRPr="002E6ECA">
        <w:rPr>
          <w:sz w:val="28"/>
          <w:szCs w:val="28"/>
          <w:lang w:val="uk-UA"/>
        </w:rPr>
        <w:t xml:space="preserve">День тижня впливав на вихідний рівень обсягу простежених знаків (F=6,60; p&lt;0,001), обидві характеристики розумової працездатності наприкінці уроку (F=9,01; p&lt;0,001 та F=3,75; p=0,005) та їх динаміку протягом уроку (F=3,97; p=0,003 та F=3,90; p=0,004), а також динаміку пульсу (F=3,79; p=0,005). Так, протягом уроку у понеділок та середу обсяг виконаної роботи знижувався на 18-20 знаків, а у четвер – зростав на 6 знаків. </w:t>
      </w:r>
    </w:p>
    <w:p w:rsidR="005F7F4F" w:rsidRPr="002E6ECA" w:rsidRDefault="005F7F4F" w:rsidP="005F7F4F">
      <w:pPr>
        <w:shd w:val="clear" w:color="auto" w:fill="FFFFFF"/>
        <w:spacing w:line="360" w:lineRule="auto"/>
        <w:ind w:firstLine="709"/>
        <w:jc w:val="both"/>
        <w:rPr>
          <w:sz w:val="28"/>
          <w:szCs w:val="28"/>
          <w:lang w:val="uk-UA"/>
        </w:rPr>
      </w:pPr>
      <w:r w:rsidRPr="002E6ECA">
        <w:rPr>
          <w:sz w:val="28"/>
          <w:szCs w:val="28"/>
          <w:lang w:val="uk-UA"/>
        </w:rPr>
        <w:t>День циклу вивчення предмету впливав на кількісну та якісну характеристику розумової працездатності до (F=5,88; р&lt;0,001 та F=2,14; р=0,024) та після уроку (F=5,30; р&lt;0,001 та F=1,98; р=0,038), а також їх динаміку (F=5,82; р&lt;0,001 та F=3,70; р&lt;0,001).</w:t>
      </w:r>
    </w:p>
    <w:p w:rsidR="009E0B65" w:rsidRPr="002E6ECA" w:rsidRDefault="009E0B65" w:rsidP="009E0B65">
      <w:pPr>
        <w:spacing w:line="360" w:lineRule="auto"/>
        <w:ind w:firstLine="709"/>
        <w:jc w:val="right"/>
        <w:rPr>
          <w:i/>
          <w:sz w:val="28"/>
          <w:szCs w:val="28"/>
          <w:lang w:val="uk-UA"/>
        </w:rPr>
      </w:pPr>
      <w:r w:rsidRPr="002E6ECA">
        <w:rPr>
          <w:i/>
          <w:sz w:val="28"/>
          <w:szCs w:val="28"/>
          <w:lang w:val="uk-UA"/>
        </w:rPr>
        <w:lastRenderedPageBreak/>
        <w:t>Таблиця 5.1</w:t>
      </w:r>
    </w:p>
    <w:p w:rsidR="009E0B65" w:rsidRPr="002E6ECA" w:rsidRDefault="009E0B65" w:rsidP="009E0B65">
      <w:pPr>
        <w:spacing w:line="360" w:lineRule="auto"/>
        <w:ind w:firstLine="709"/>
        <w:jc w:val="center"/>
        <w:rPr>
          <w:b/>
          <w:sz w:val="28"/>
          <w:szCs w:val="28"/>
          <w:lang w:val="uk-UA"/>
        </w:rPr>
      </w:pPr>
      <w:r w:rsidRPr="002E6ECA">
        <w:rPr>
          <w:b/>
          <w:sz w:val="28"/>
          <w:szCs w:val="28"/>
          <w:lang w:val="uk-UA"/>
        </w:rPr>
        <w:t>Характеристика розумової працездатності у залежності від напряму предмету</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1701"/>
        <w:gridCol w:w="1701"/>
        <w:gridCol w:w="1674"/>
        <w:gridCol w:w="2012"/>
      </w:tblGrid>
      <w:tr w:rsidR="00CE2493" w:rsidRPr="002E6ECA" w:rsidTr="00CE2493">
        <w:trPr>
          <w:trHeight w:val="1192"/>
        </w:trPr>
        <w:tc>
          <w:tcPr>
            <w:tcW w:w="2660" w:type="dxa"/>
            <w:noWrap/>
            <w:vAlign w:val="center"/>
            <w:hideMark/>
          </w:tcPr>
          <w:bookmarkEnd w:id="15"/>
          <w:p w:rsidR="00CE2493" w:rsidRPr="002E6ECA" w:rsidRDefault="00CE2493" w:rsidP="00CE2493">
            <w:pPr>
              <w:spacing w:line="276" w:lineRule="auto"/>
              <w:jc w:val="center"/>
              <w:rPr>
                <w:sz w:val="28"/>
                <w:szCs w:val="28"/>
                <w:lang w:val="uk-UA" w:eastAsia="uk-UA"/>
              </w:rPr>
            </w:pPr>
            <w:r w:rsidRPr="002E6ECA">
              <w:rPr>
                <w:sz w:val="28"/>
                <w:szCs w:val="28"/>
                <w:lang w:val="uk-UA" w:eastAsia="uk-UA"/>
              </w:rPr>
              <w:t>Показник</w:t>
            </w:r>
          </w:p>
        </w:tc>
        <w:tc>
          <w:tcPr>
            <w:tcW w:w="1701" w:type="dxa"/>
            <w:vAlign w:val="center"/>
          </w:tcPr>
          <w:p w:rsidR="00CE2493" w:rsidRPr="002E6ECA" w:rsidRDefault="00CE2493" w:rsidP="00CE2493">
            <w:pPr>
              <w:spacing w:line="276" w:lineRule="auto"/>
              <w:jc w:val="center"/>
              <w:rPr>
                <w:sz w:val="28"/>
                <w:szCs w:val="28"/>
                <w:lang w:val="uk-UA" w:eastAsia="uk-UA"/>
              </w:rPr>
            </w:pPr>
            <w:r w:rsidRPr="002E6ECA">
              <w:rPr>
                <w:sz w:val="28"/>
                <w:szCs w:val="28"/>
                <w:lang w:val="uk-UA" w:eastAsia="uk-UA"/>
              </w:rPr>
              <w:t>Період проведення</w:t>
            </w:r>
          </w:p>
        </w:tc>
        <w:tc>
          <w:tcPr>
            <w:tcW w:w="1701" w:type="dxa"/>
            <w:noWrap/>
            <w:vAlign w:val="center"/>
            <w:hideMark/>
          </w:tcPr>
          <w:p w:rsidR="00CE2493" w:rsidRPr="002E6ECA" w:rsidRDefault="00CE2493" w:rsidP="00CE2493">
            <w:pPr>
              <w:spacing w:line="276" w:lineRule="auto"/>
              <w:jc w:val="center"/>
              <w:rPr>
                <w:sz w:val="28"/>
                <w:szCs w:val="28"/>
                <w:lang w:val="uk-UA" w:eastAsia="uk-UA"/>
              </w:rPr>
            </w:pPr>
            <w:r w:rsidRPr="002E6ECA">
              <w:rPr>
                <w:sz w:val="28"/>
                <w:szCs w:val="28"/>
                <w:lang w:val="uk-UA" w:eastAsia="uk-UA"/>
              </w:rPr>
              <w:t>Математика (n=408 досліджень)</w:t>
            </w:r>
          </w:p>
        </w:tc>
        <w:tc>
          <w:tcPr>
            <w:tcW w:w="1674" w:type="dxa"/>
            <w:noWrap/>
            <w:vAlign w:val="center"/>
            <w:hideMark/>
          </w:tcPr>
          <w:p w:rsidR="00CE2493" w:rsidRPr="002E6ECA" w:rsidRDefault="00CE2493" w:rsidP="00CE2493">
            <w:pPr>
              <w:spacing w:line="276" w:lineRule="auto"/>
              <w:jc w:val="center"/>
              <w:rPr>
                <w:sz w:val="28"/>
                <w:szCs w:val="28"/>
                <w:lang w:val="uk-UA" w:eastAsia="uk-UA"/>
              </w:rPr>
            </w:pPr>
            <w:r w:rsidRPr="002E6ECA">
              <w:rPr>
                <w:sz w:val="28"/>
                <w:szCs w:val="28"/>
                <w:lang w:val="uk-UA" w:eastAsia="uk-UA"/>
              </w:rPr>
              <w:t>Українська мова (n=390 досліджень)</w:t>
            </w:r>
          </w:p>
        </w:tc>
        <w:tc>
          <w:tcPr>
            <w:tcW w:w="2012" w:type="dxa"/>
            <w:noWrap/>
            <w:vAlign w:val="center"/>
            <w:hideMark/>
          </w:tcPr>
          <w:p w:rsidR="00CE2493" w:rsidRPr="002E6ECA" w:rsidRDefault="00CE2493" w:rsidP="00CE2493">
            <w:pPr>
              <w:spacing w:line="276" w:lineRule="auto"/>
              <w:jc w:val="center"/>
              <w:rPr>
                <w:sz w:val="28"/>
                <w:szCs w:val="28"/>
                <w:lang w:val="uk-UA" w:eastAsia="uk-UA"/>
              </w:rPr>
            </w:pPr>
            <w:r w:rsidRPr="002E6ECA">
              <w:rPr>
                <w:sz w:val="28"/>
                <w:szCs w:val="28"/>
                <w:lang w:val="uk-UA" w:eastAsia="uk-UA"/>
              </w:rPr>
              <w:t>Історія (n=211 досліджень)</w:t>
            </w:r>
          </w:p>
        </w:tc>
      </w:tr>
      <w:tr w:rsidR="00CE2493" w:rsidRPr="002E6ECA" w:rsidTr="00CE2493">
        <w:trPr>
          <w:trHeight w:val="390"/>
        </w:trPr>
        <w:tc>
          <w:tcPr>
            <w:tcW w:w="2660" w:type="dxa"/>
            <w:vMerge w:val="restart"/>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Кількість простежених знаків</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до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362,7±6,2</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365,0±7,1</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379,2±10,0</w:t>
            </w:r>
          </w:p>
        </w:tc>
      </w:tr>
      <w:tr w:rsidR="00CE2493" w:rsidRPr="002E6ECA" w:rsidTr="00CE2493">
        <w:trPr>
          <w:trHeight w:val="390"/>
        </w:trPr>
        <w:tc>
          <w:tcPr>
            <w:tcW w:w="2660" w:type="dxa"/>
            <w:vMerge/>
            <w:hideMark/>
          </w:tcPr>
          <w:p w:rsidR="00CE2493" w:rsidRPr="002E6ECA" w:rsidRDefault="00CE2493" w:rsidP="00CE2493">
            <w:pPr>
              <w:spacing w:line="360" w:lineRule="auto"/>
              <w:jc w:val="both"/>
              <w:rPr>
                <w:sz w:val="28"/>
                <w:szCs w:val="28"/>
                <w:lang w:val="uk-UA" w:eastAsia="uk-UA"/>
              </w:rPr>
            </w:pP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після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357,9±6,6</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369,0±7,4</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351,6±10,5</w:t>
            </w:r>
          </w:p>
        </w:tc>
      </w:tr>
      <w:tr w:rsidR="00CE2493" w:rsidRPr="002E6ECA" w:rsidTr="00CE2493">
        <w:trPr>
          <w:trHeight w:val="390"/>
        </w:trPr>
        <w:tc>
          <w:tcPr>
            <w:tcW w:w="2660" w:type="dxa"/>
            <w:vMerge w:val="restart"/>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Кількість помилок</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до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9,2±0,5</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9,1±0,6</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 xml:space="preserve">7,00±0,59 </w:t>
            </w:r>
            <w:r w:rsidRPr="002E6ECA">
              <w:rPr>
                <w:sz w:val="28"/>
                <w:szCs w:val="28"/>
                <w:vertAlign w:val="superscript"/>
                <w:lang w:val="uk-UA" w:eastAsia="uk-UA"/>
              </w:rPr>
              <w:t>**М,У</w:t>
            </w:r>
          </w:p>
        </w:tc>
      </w:tr>
      <w:tr w:rsidR="00CE2493" w:rsidRPr="002E6ECA" w:rsidTr="00CE2493">
        <w:trPr>
          <w:trHeight w:val="390"/>
        </w:trPr>
        <w:tc>
          <w:tcPr>
            <w:tcW w:w="2660" w:type="dxa"/>
            <w:vMerge/>
            <w:hideMark/>
          </w:tcPr>
          <w:p w:rsidR="00CE2493" w:rsidRPr="002E6ECA" w:rsidRDefault="00CE2493" w:rsidP="00CE2493">
            <w:pPr>
              <w:spacing w:line="360" w:lineRule="auto"/>
              <w:jc w:val="both"/>
              <w:rPr>
                <w:sz w:val="28"/>
                <w:szCs w:val="28"/>
                <w:lang w:val="uk-UA" w:eastAsia="uk-UA"/>
              </w:rPr>
            </w:pP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після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8,7±0,5</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9,3±0,6</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10,4±0,8</w:t>
            </w:r>
          </w:p>
        </w:tc>
      </w:tr>
      <w:tr w:rsidR="00CE2493" w:rsidRPr="002E6ECA" w:rsidTr="00CE2493">
        <w:trPr>
          <w:trHeight w:val="390"/>
        </w:trPr>
        <w:tc>
          <w:tcPr>
            <w:tcW w:w="2660" w:type="dxa"/>
            <w:vMerge w:val="restart"/>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ЧСС, уд./хв.</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до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86,8±0,8</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86,2±0,9</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82,7±1,1</w:t>
            </w:r>
            <w:r w:rsidRPr="002E6ECA">
              <w:rPr>
                <w:sz w:val="28"/>
                <w:szCs w:val="28"/>
                <w:vertAlign w:val="superscript"/>
                <w:lang w:val="uk-UA" w:eastAsia="uk-UA"/>
              </w:rPr>
              <w:t>**М,*У</w:t>
            </w:r>
          </w:p>
        </w:tc>
      </w:tr>
      <w:tr w:rsidR="00CE2493" w:rsidRPr="002E6ECA" w:rsidTr="00CE2493">
        <w:trPr>
          <w:trHeight w:val="390"/>
        </w:trPr>
        <w:tc>
          <w:tcPr>
            <w:tcW w:w="2660" w:type="dxa"/>
            <w:vMerge/>
            <w:hideMark/>
          </w:tcPr>
          <w:p w:rsidR="00CE2493" w:rsidRPr="002E6ECA" w:rsidRDefault="00CE2493" w:rsidP="00CE2493">
            <w:pPr>
              <w:spacing w:line="360" w:lineRule="auto"/>
              <w:jc w:val="both"/>
              <w:rPr>
                <w:sz w:val="28"/>
                <w:szCs w:val="28"/>
                <w:lang w:val="uk-UA" w:eastAsia="uk-UA"/>
              </w:rPr>
            </w:pP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після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85,7±0,8</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85,6±0,8</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84,6±1,2</w:t>
            </w:r>
          </w:p>
        </w:tc>
      </w:tr>
      <w:tr w:rsidR="00CE2493" w:rsidRPr="002E6ECA" w:rsidTr="00CE2493">
        <w:trPr>
          <w:trHeight w:val="390"/>
        </w:trPr>
        <w:tc>
          <w:tcPr>
            <w:tcW w:w="2660" w:type="dxa"/>
            <w:vMerge w:val="restart"/>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Самопочуття, бали</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до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2,3±0,1</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2,3±0,1</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2,2±0,1</w:t>
            </w:r>
          </w:p>
        </w:tc>
      </w:tr>
      <w:tr w:rsidR="00CE2493" w:rsidRPr="002E6ECA" w:rsidTr="00CE2493">
        <w:trPr>
          <w:trHeight w:val="390"/>
        </w:trPr>
        <w:tc>
          <w:tcPr>
            <w:tcW w:w="2660" w:type="dxa"/>
            <w:vMerge/>
            <w:hideMark/>
          </w:tcPr>
          <w:p w:rsidR="00CE2493" w:rsidRPr="002E6ECA" w:rsidRDefault="00CE2493" w:rsidP="00CE2493">
            <w:pPr>
              <w:spacing w:line="360" w:lineRule="auto"/>
              <w:jc w:val="both"/>
              <w:rPr>
                <w:sz w:val="28"/>
                <w:szCs w:val="28"/>
                <w:lang w:val="uk-UA" w:eastAsia="uk-UA"/>
              </w:rPr>
            </w:pP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після уроку</w:t>
            </w:r>
          </w:p>
        </w:tc>
        <w:tc>
          <w:tcPr>
            <w:tcW w:w="1701"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2,3±0,1</w:t>
            </w:r>
          </w:p>
        </w:tc>
        <w:tc>
          <w:tcPr>
            <w:tcW w:w="1674"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2,3±0,1</w:t>
            </w:r>
          </w:p>
        </w:tc>
        <w:tc>
          <w:tcPr>
            <w:tcW w:w="2012" w:type="dxa"/>
            <w:noWrap/>
            <w:hideMark/>
          </w:tcPr>
          <w:p w:rsidR="00CE2493" w:rsidRPr="002E6ECA" w:rsidRDefault="00CE2493" w:rsidP="00CE2493">
            <w:pPr>
              <w:spacing w:line="360" w:lineRule="auto"/>
              <w:jc w:val="both"/>
              <w:rPr>
                <w:sz w:val="28"/>
                <w:szCs w:val="28"/>
                <w:lang w:val="uk-UA" w:eastAsia="uk-UA"/>
              </w:rPr>
            </w:pPr>
            <w:r w:rsidRPr="002E6ECA">
              <w:rPr>
                <w:sz w:val="28"/>
                <w:szCs w:val="28"/>
                <w:lang w:val="uk-UA" w:eastAsia="uk-UA"/>
              </w:rPr>
              <w:t>2,2±0,1</w:t>
            </w:r>
          </w:p>
        </w:tc>
      </w:tr>
    </w:tbl>
    <w:p w:rsidR="009E0B65" w:rsidRPr="002E6ECA" w:rsidRDefault="009E0B65" w:rsidP="005F7F4F">
      <w:pPr>
        <w:spacing w:line="276" w:lineRule="auto"/>
        <w:ind w:firstLine="709"/>
        <w:jc w:val="both"/>
        <w:rPr>
          <w:lang w:val="uk-UA"/>
        </w:rPr>
      </w:pPr>
      <w:r w:rsidRPr="002E6ECA">
        <w:rPr>
          <w:b/>
          <w:lang w:val="uk-UA"/>
        </w:rPr>
        <w:t>Примітка:</w:t>
      </w:r>
      <w:r w:rsidR="00CE2493" w:rsidRPr="002E6ECA">
        <w:rPr>
          <w:b/>
          <w:lang w:val="uk-UA"/>
        </w:rPr>
        <w:t xml:space="preserve"> </w:t>
      </w:r>
      <w:r w:rsidR="00CE2493" w:rsidRPr="002E6ECA">
        <w:rPr>
          <w:lang w:val="uk-UA"/>
        </w:rPr>
        <w:t>при порівнянні з іншими предметами (</w:t>
      </w:r>
      <w:r w:rsidRPr="002E6ECA">
        <w:rPr>
          <w:lang w:val="uk-UA"/>
        </w:rPr>
        <w:t>*</w:t>
      </w:r>
      <w:r w:rsidR="005F7F4F" w:rsidRPr="002E6ECA">
        <w:rPr>
          <w:lang w:val="uk-UA"/>
        </w:rPr>
        <w:t>–</w:t>
      </w:r>
      <w:r w:rsidR="00CE2493" w:rsidRPr="002E6ECA">
        <w:rPr>
          <w:lang w:val="uk-UA"/>
        </w:rPr>
        <w:t xml:space="preserve"> p&lt;0,05; ** </w:t>
      </w:r>
      <w:r w:rsidR="005F7F4F" w:rsidRPr="002E6ECA">
        <w:rPr>
          <w:lang w:val="uk-UA"/>
        </w:rPr>
        <w:t>–</w:t>
      </w:r>
      <w:r w:rsidR="00CE2493" w:rsidRPr="002E6ECA">
        <w:rPr>
          <w:lang w:val="uk-UA"/>
        </w:rPr>
        <w:t xml:space="preserve"> p&lt;0,01; </w:t>
      </w:r>
      <w:r w:rsidRPr="002E6ECA">
        <w:rPr>
          <w:vertAlign w:val="superscript"/>
          <w:lang w:val="uk-UA"/>
        </w:rPr>
        <w:t>М</w:t>
      </w:r>
      <w:r w:rsidRPr="002E6ECA">
        <w:rPr>
          <w:lang w:val="uk-UA"/>
        </w:rPr>
        <w:t xml:space="preserve"> – з  уроком математики, </w:t>
      </w:r>
      <w:r w:rsidRPr="002E6ECA">
        <w:rPr>
          <w:vertAlign w:val="superscript"/>
          <w:lang w:val="uk-UA"/>
        </w:rPr>
        <w:t>У</w:t>
      </w:r>
      <w:r w:rsidRPr="002E6ECA">
        <w:rPr>
          <w:lang w:val="uk-UA"/>
        </w:rPr>
        <w:t xml:space="preserve"> – з уроком української мови, </w:t>
      </w:r>
      <w:r w:rsidRPr="002E6ECA">
        <w:rPr>
          <w:vertAlign w:val="superscript"/>
          <w:lang w:val="uk-UA"/>
        </w:rPr>
        <w:t>І</w:t>
      </w:r>
      <w:r w:rsidRPr="002E6ECA">
        <w:rPr>
          <w:lang w:val="uk-UA"/>
        </w:rPr>
        <w:t xml:space="preserve"> – з уроком історії</w:t>
      </w:r>
      <w:r w:rsidR="00CE2493" w:rsidRPr="002E6ECA">
        <w:rPr>
          <w:lang w:val="uk-UA"/>
        </w:rPr>
        <w:t>)</w:t>
      </w:r>
    </w:p>
    <w:p w:rsidR="009E0B65" w:rsidRPr="002E6ECA" w:rsidRDefault="009E0B65" w:rsidP="009E0B65">
      <w:pPr>
        <w:spacing w:line="360" w:lineRule="auto"/>
        <w:ind w:firstLine="709"/>
        <w:jc w:val="both"/>
        <w:rPr>
          <w:sz w:val="28"/>
          <w:szCs w:val="28"/>
          <w:lang w:val="uk-UA"/>
        </w:rPr>
      </w:pPr>
    </w:p>
    <w:p w:rsidR="009E0B65" w:rsidRPr="002E6ECA" w:rsidRDefault="009E0B65" w:rsidP="009E0B65">
      <w:pPr>
        <w:spacing w:line="360" w:lineRule="auto"/>
        <w:ind w:firstLine="709"/>
        <w:jc w:val="both"/>
        <w:rPr>
          <w:sz w:val="28"/>
          <w:szCs w:val="28"/>
          <w:lang w:val="uk-UA"/>
        </w:rPr>
      </w:pPr>
      <w:r w:rsidRPr="002E6ECA">
        <w:rPr>
          <w:sz w:val="28"/>
          <w:szCs w:val="28"/>
          <w:lang w:val="uk-UA"/>
        </w:rPr>
        <w:t>Визначався вплив також на суб’єктивну та об’єктивну характеристику самопочуття (р&lt;0,05). При цьому на початку циклу вивчення предмету реєструвався високий вихідний обсяг виконання роботи (411,83±13,83 знаків) при найменшому рівні її точності (12,47±1,52 помилок), максимальному рівні самооцінки свого стану (2,75±2,21 бали) та середніх показниках пульсу. Подібна характеристика показників, що аналізуються зберігалась і наприкінці уроку з позитивною динамікою якості виконання роботи. Протягом вивчення предмету ситуація дещо змінювалась і характеризувалась найгіршим протягом циклу вивчення предмету кількісним (269,94±20,35 на початку та 285,52±23,23 знаків наприкінці уроку; р&lt;0,001) та найвищим якісним показником (відповідно 6,68±1,26 та 53,19±0,87 помилок; р&lt;0,05). Фізіологічна «ціна» зростала протягом циклу і визначалась за найнижчим рівнем самопочуття і до, і після уроку (відповідно 1,9-2,1 бали; р&lt;0,05) та максимальними показниками ЧСС (92,13±2,82 уд./хв.; р&lt;0,001).</w:t>
      </w:r>
    </w:p>
    <w:p w:rsidR="009E0B65" w:rsidRPr="002E6ECA" w:rsidRDefault="009E0B65" w:rsidP="009E0B65">
      <w:pPr>
        <w:spacing w:line="360" w:lineRule="auto"/>
        <w:ind w:firstLine="709"/>
        <w:jc w:val="both"/>
        <w:rPr>
          <w:sz w:val="28"/>
          <w:szCs w:val="28"/>
          <w:lang w:val="uk-UA"/>
        </w:rPr>
      </w:pPr>
      <w:r w:rsidRPr="002E6ECA">
        <w:rPr>
          <w:sz w:val="28"/>
          <w:szCs w:val="28"/>
          <w:lang w:val="uk-UA"/>
        </w:rPr>
        <w:lastRenderedPageBreak/>
        <w:t xml:space="preserve">Місце уроку у розкладі занять впливало на показники обсягу та точності роботи (F=4,98 та F=4,24; р&lt;0,001 – до уроку і F=7,50; р&lt;0,001 та F=2,83; р=0,01 – після уроку) і пульсу (відповідно F=4,07; р&lt;0,001 та F=3,03; р=0,006), а також динаміку кількісної та якісної характеристики роботи (р&lt;0,05). Перед початком учбового дня визначалась висока кількісна та низька якісна характеристика розумової працездатності (відповідно 390,78±8,10 знаків та 10,92±0,82 помилок) на тлі середніх значень ЧСС (86,27±1,10 уд./хв.). Наприкінці першого уроку незалежно від напряму предмету характеристика розумової працездатності та пульсу не змінювалась і відповідно складала: 401,35±8,72 зн., 11,35±0,87 пом. та 85,14±0,94 уд./хв. Найбільшої уваги заслуговують четвертий та шостий урок, ще перед початком яких у школярів визначались найвищі критичні значення пульсу (відповідно 90,68±1,71 та 90,44±2,03 уд./хв.) і зберігались на високому рівні під час їх проведення. Рівень розумової працездатності протягом них теж знижувався, але після шостого уроку – за рахунок суттєвого зниження обсягу (на 16,65±10,73 знаки) із зростанням якості виконання роботи (зменшилась кількість помилок на 2,47±0,76), а після четвертого – знижувались обидва показники (на 10,57±8,34 знаків та на 1,63±0,61 помилок; р&lt;0,05).  </w:t>
      </w:r>
    </w:p>
    <w:p w:rsidR="00CE2493" w:rsidRPr="002E6ECA" w:rsidRDefault="009E0B65" w:rsidP="00CE2493">
      <w:pPr>
        <w:spacing w:line="360" w:lineRule="auto"/>
        <w:ind w:firstLine="709"/>
        <w:jc w:val="both"/>
        <w:rPr>
          <w:sz w:val="28"/>
          <w:szCs w:val="28"/>
          <w:lang w:val="uk-UA" w:eastAsia="en-US"/>
        </w:rPr>
      </w:pPr>
      <w:r w:rsidRPr="002E6ECA">
        <w:rPr>
          <w:sz w:val="28"/>
          <w:szCs w:val="28"/>
          <w:lang w:val="uk-UA"/>
        </w:rPr>
        <w:t xml:space="preserve">Було проведено аналіз показників розумової працездатності для учнів, що навчаються за різними освітніми програмами під час вивчення предметів із різного напряму (рис. 5.1, 5.2). </w:t>
      </w:r>
      <w:r w:rsidR="00CE2493" w:rsidRPr="002E6ECA">
        <w:rPr>
          <w:sz w:val="28"/>
          <w:szCs w:val="28"/>
          <w:lang w:val="uk-UA" w:eastAsia="en-US"/>
        </w:rPr>
        <w:t>Встановлено, що найвищий рівень розумової працездатності і до, і після уроку математики за кількісною характеристикою визначався серед учнів НК-2, а за якісною – НК-3 на тлі найнижчого обсягу виконаної роботи (р&lt;0,01).</w:t>
      </w:r>
    </w:p>
    <w:p w:rsidR="005F7F4F" w:rsidRPr="002E6ECA" w:rsidRDefault="005F7F4F" w:rsidP="005F7F4F">
      <w:pPr>
        <w:spacing w:line="360" w:lineRule="auto"/>
        <w:ind w:firstLine="709"/>
        <w:jc w:val="both"/>
        <w:rPr>
          <w:sz w:val="28"/>
          <w:szCs w:val="28"/>
          <w:lang w:val="uk-UA"/>
        </w:rPr>
      </w:pPr>
      <w:r w:rsidRPr="002E6ECA">
        <w:rPr>
          <w:sz w:val="28"/>
          <w:szCs w:val="28"/>
          <w:lang w:val="uk-UA"/>
        </w:rPr>
        <w:t>Найвище напруження серцево-судинної системи визначалось серед учнів НК-1 із критичними значеннями пульсу вже до уроку математики (94,7</w:t>
      </w:r>
      <w:r w:rsidRPr="002E6ECA">
        <w:rPr>
          <w:sz w:val="28"/>
          <w:szCs w:val="28"/>
          <w:lang w:val="uk-UA" w:eastAsia="uk-UA"/>
        </w:rPr>
        <w:t xml:space="preserve">±1,6 уд./хв) зі зростанням до </w:t>
      </w:r>
      <w:r w:rsidRPr="002E6ECA">
        <w:rPr>
          <w:sz w:val="28"/>
          <w:szCs w:val="28"/>
          <w:lang w:val="uk-UA"/>
        </w:rPr>
        <w:t>95,9</w:t>
      </w:r>
      <w:r w:rsidRPr="002E6ECA">
        <w:rPr>
          <w:sz w:val="28"/>
          <w:szCs w:val="28"/>
          <w:lang w:val="uk-UA" w:eastAsia="uk-UA"/>
        </w:rPr>
        <w:t>±1,6</w:t>
      </w:r>
      <w:r w:rsidRPr="002E6ECA">
        <w:rPr>
          <w:sz w:val="28"/>
          <w:szCs w:val="28"/>
          <w:lang w:val="uk-UA"/>
        </w:rPr>
        <w:t xml:space="preserve"> уд./хв (р&lt;0,01). Подібна картина спостерігалась і під час проведення уроку української мови та історії (табл. 5.2).</w:t>
      </w:r>
    </w:p>
    <w:p w:rsidR="009E0B65" w:rsidRPr="002E6ECA" w:rsidRDefault="005F7F4F" w:rsidP="009E0B65">
      <w:pPr>
        <w:spacing w:line="360" w:lineRule="auto"/>
        <w:ind w:firstLine="709"/>
        <w:jc w:val="both"/>
        <w:rPr>
          <w:sz w:val="28"/>
          <w:szCs w:val="28"/>
          <w:lang w:val="uk-UA"/>
        </w:rPr>
      </w:pPr>
      <w:r w:rsidRPr="002E6ECA">
        <w:rPr>
          <w:sz w:val="28"/>
          <w:szCs w:val="28"/>
          <w:lang w:val="uk-UA"/>
        </w:rPr>
        <w:t xml:space="preserve">Для учнів НК-1 точність роботи була істотно вищою перед уроком історії, кількість простежених знаків істотно не відрізнялась до та після проведення </w:t>
      </w:r>
      <w:r w:rsidRPr="002E6ECA">
        <w:rPr>
          <w:sz w:val="28"/>
          <w:szCs w:val="28"/>
          <w:lang w:val="uk-UA"/>
        </w:rPr>
        <w:lastRenderedPageBreak/>
        <w:t xml:space="preserve">уроків різного напряму. Найвище напруження серцево-судинної систему було пов’язано з уроком математики і істотно відрізнялось від уроку історії (р&lt;0,01). </w:t>
      </w:r>
    </w:p>
    <w:p w:rsidR="00A77207" w:rsidRPr="002E6ECA" w:rsidRDefault="00A77207" w:rsidP="009E0B65">
      <w:pPr>
        <w:spacing w:line="360" w:lineRule="auto"/>
        <w:ind w:firstLine="709"/>
        <w:jc w:val="both"/>
        <w:rPr>
          <w:sz w:val="28"/>
          <w:szCs w:val="28"/>
          <w:lang w:val="uk-UA"/>
        </w:rPr>
      </w:pPr>
      <w:r w:rsidRPr="002E6ECA">
        <w:rPr>
          <w:noProof/>
          <w:lang w:val="uk-UA" w:eastAsia="uk-UA"/>
        </w:rPr>
        <w:drawing>
          <wp:inline distT="0" distB="0" distL="0" distR="0" wp14:anchorId="0EBAC304" wp14:editId="2DD82355">
            <wp:extent cx="5340350" cy="3492548"/>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61826" t="26511" r="10892" b="19206"/>
                    <a:stretch/>
                  </pic:blipFill>
                  <pic:spPr bwMode="auto">
                    <a:xfrm>
                      <a:off x="0" y="0"/>
                      <a:ext cx="5339153" cy="3491765"/>
                    </a:xfrm>
                    <a:prstGeom prst="rect">
                      <a:avLst/>
                    </a:prstGeom>
                    <a:ln>
                      <a:noFill/>
                    </a:ln>
                    <a:extLst>
                      <a:ext uri="{53640926-AAD7-44D8-BBD7-CCE9431645EC}">
                        <a14:shadowObscured xmlns:a14="http://schemas.microsoft.com/office/drawing/2010/main"/>
                      </a:ext>
                    </a:extLst>
                  </pic:spPr>
                </pic:pic>
              </a:graphicData>
            </a:graphic>
          </wp:inline>
        </w:drawing>
      </w:r>
    </w:p>
    <w:p w:rsidR="009E0B65" w:rsidRPr="002E6ECA" w:rsidRDefault="009E0B65" w:rsidP="009E0B65">
      <w:pPr>
        <w:spacing w:line="360" w:lineRule="auto"/>
        <w:ind w:firstLine="709"/>
        <w:jc w:val="both"/>
        <w:rPr>
          <w:sz w:val="28"/>
          <w:szCs w:val="28"/>
          <w:lang w:val="uk-UA" w:eastAsia="en-US"/>
        </w:rPr>
      </w:pPr>
      <w:r w:rsidRPr="002E6ECA">
        <w:rPr>
          <w:sz w:val="28"/>
          <w:szCs w:val="28"/>
          <w:lang w:val="uk-UA" w:eastAsia="en-US"/>
        </w:rPr>
        <w:t>Рис. 5.1. Кількісна характеристика розумової працездатності при вивченні предметів за різним напрямом (за кількістю простежених знаків)</w:t>
      </w:r>
    </w:p>
    <w:p w:rsidR="00A77207" w:rsidRPr="002E6ECA" w:rsidRDefault="00A77207" w:rsidP="009E0B65">
      <w:pPr>
        <w:spacing w:line="360" w:lineRule="auto"/>
        <w:ind w:firstLine="709"/>
        <w:jc w:val="both"/>
        <w:rPr>
          <w:sz w:val="28"/>
          <w:szCs w:val="28"/>
          <w:lang w:val="uk-UA" w:eastAsia="en-US"/>
        </w:rPr>
      </w:pPr>
      <w:r w:rsidRPr="002E6ECA">
        <w:rPr>
          <w:noProof/>
          <w:lang w:val="uk-UA" w:eastAsia="uk-UA"/>
        </w:rPr>
        <w:drawing>
          <wp:inline distT="0" distB="0" distL="0" distR="0" wp14:anchorId="57D0342B" wp14:editId="696E299D">
            <wp:extent cx="5340350" cy="3511550"/>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61826" t="17358" r="12552" b="28990"/>
                    <a:stretch/>
                  </pic:blipFill>
                  <pic:spPr bwMode="auto">
                    <a:xfrm>
                      <a:off x="0" y="0"/>
                      <a:ext cx="5338688" cy="3510457"/>
                    </a:xfrm>
                    <a:prstGeom prst="rect">
                      <a:avLst/>
                    </a:prstGeom>
                    <a:ln>
                      <a:noFill/>
                    </a:ln>
                    <a:extLst>
                      <a:ext uri="{53640926-AAD7-44D8-BBD7-CCE9431645EC}">
                        <a14:shadowObscured xmlns:a14="http://schemas.microsoft.com/office/drawing/2010/main"/>
                      </a:ext>
                    </a:extLst>
                  </pic:spPr>
                </pic:pic>
              </a:graphicData>
            </a:graphic>
          </wp:inline>
        </w:drawing>
      </w:r>
    </w:p>
    <w:p w:rsidR="009E0B65" w:rsidRPr="002E6ECA" w:rsidRDefault="009E0B65" w:rsidP="009E0B65">
      <w:pPr>
        <w:spacing w:line="360" w:lineRule="auto"/>
        <w:ind w:firstLine="709"/>
        <w:jc w:val="both"/>
        <w:rPr>
          <w:sz w:val="28"/>
          <w:szCs w:val="28"/>
          <w:lang w:val="uk-UA" w:eastAsia="en-US"/>
        </w:rPr>
      </w:pPr>
      <w:r w:rsidRPr="002E6ECA">
        <w:rPr>
          <w:sz w:val="28"/>
          <w:szCs w:val="28"/>
          <w:lang w:val="uk-UA" w:eastAsia="en-US"/>
        </w:rPr>
        <w:t>Рис. 5.2. Якісна характеристика розумової працездатності при вивченні предметів за різним напрямом (за кількістю помилок)</w:t>
      </w:r>
    </w:p>
    <w:p w:rsidR="005F7F4F" w:rsidRPr="002E6ECA" w:rsidRDefault="005F7F4F" w:rsidP="005F7F4F">
      <w:pPr>
        <w:spacing w:line="360" w:lineRule="auto"/>
        <w:ind w:firstLine="709"/>
        <w:jc w:val="both"/>
        <w:rPr>
          <w:sz w:val="28"/>
          <w:szCs w:val="28"/>
          <w:lang w:val="uk-UA"/>
        </w:rPr>
      </w:pPr>
      <w:r w:rsidRPr="002E6ECA">
        <w:rPr>
          <w:sz w:val="28"/>
          <w:szCs w:val="28"/>
          <w:lang w:val="uk-UA"/>
        </w:rPr>
        <w:lastRenderedPageBreak/>
        <w:t xml:space="preserve">Для учнів НК-2 цей же предмет характеризувався мінімальним обсягом роботи наприкінці уроку та максимальною точністю на його початку (р&lt;0,05). Реакція серцево-судинної системи та самопочуття були однаковими на всі предмети. Серед учнів НК-3 урок історії характеризувався найвищою точністю (істотно при порівнянні з уроком української мови; р&lt;0,05) та мінімальною ЧСС на початку уроку. </w:t>
      </w:r>
    </w:p>
    <w:p w:rsidR="009E0B65" w:rsidRPr="002E6ECA" w:rsidRDefault="009E0B65" w:rsidP="009E0B65">
      <w:pPr>
        <w:spacing w:line="360" w:lineRule="auto"/>
        <w:ind w:firstLine="709"/>
        <w:jc w:val="right"/>
        <w:rPr>
          <w:i/>
          <w:sz w:val="28"/>
          <w:szCs w:val="28"/>
          <w:lang w:val="uk-UA"/>
        </w:rPr>
      </w:pPr>
      <w:r w:rsidRPr="002E6ECA">
        <w:rPr>
          <w:i/>
          <w:sz w:val="28"/>
          <w:szCs w:val="28"/>
          <w:lang w:val="uk-UA"/>
        </w:rPr>
        <w:t xml:space="preserve">Таблиця 5.2 </w:t>
      </w:r>
    </w:p>
    <w:p w:rsidR="009E0B65" w:rsidRPr="002E6ECA" w:rsidRDefault="009E0B65" w:rsidP="00AD0B33">
      <w:pPr>
        <w:spacing w:line="360" w:lineRule="auto"/>
        <w:ind w:firstLine="709"/>
        <w:jc w:val="center"/>
        <w:rPr>
          <w:b/>
          <w:sz w:val="28"/>
          <w:szCs w:val="28"/>
          <w:lang w:val="uk-UA"/>
        </w:rPr>
      </w:pPr>
      <w:r w:rsidRPr="002E6ECA">
        <w:rPr>
          <w:b/>
          <w:sz w:val="28"/>
          <w:szCs w:val="28"/>
          <w:lang w:val="uk-UA"/>
        </w:rPr>
        <w:t>Характеристика діяльності серцево-судинної системи та самопочуття учнів різних навчальних колективів</w:t>
      </w:r>
    </w:p>
    <w:tbl>
      <w:tblPr>
        <w:tblW w:w="955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0"/>
        <w:gridCol w:w="1696"/>
        <w:gridCol w:w="1650"/>
        <w:gridCol w:w="1701"/>
        <w:gridCol w:w="1417"/>
        <w:gridCol w:w="1418"/>
      </w:tblGrid>
      <w:tr w:rsidR="009E0B65" w:rsidRPr="002E6ECA" w:rsidTr="005F7F4F">
        <w:trPr>
          <w:trHeight w:val="300"/>
        </w:trPr>
        <w:tc>
          <w:tcPr>
            <w:tcW w:w="1670" w:type="dxa"/>
            <w:vMerge w:val="restart"/>
            <w:shd w:val="clear" w:color="000000" w:fill="FFFFFF"/>
            <w:noWrap/>
            <w:tcMar>
              <w:left w:w="57" w:type="dxa"/>
              <w:right w:w="28" w:type="dxa"/>
            </w:tcMar>
            <w:vAlign w:val="center"/>
            <w:hideMark/>
          </w:tcPr>
          <w:p w:rsidR="009E0B65" w:rsidRPr="002E6ECA" w:rsidRDefault="009E0B65" w:rsidP="005F7F4F">
            <w:pPr>
              <w:spacing w:line="360" w:lineRule="auto"/>
              <w:ind w:left="191" w:hanging="93"/>
              <w:jc w:val="center"/>
              <w:rPr>
                <w:sz w:val="28"/>
                <w:szCs w:val="28"/>
                <w:lang w:val="uk-UA" w:eastAsia="uk-UA"/>
              </w:rPr>
            </w:pPr>
            <w:r w:rsidRPr="002E6ECA">
              <w:rPr>
                <w:sz w:val="28"/>
                <w:szCs w:val="28"/>
                <w:lang w:val="uk-UA" w:eastAsia="uk-UA"/>
              </w:rPr>
              <w:t>Предмет</w:t>
            </w:r>
          </w:p>
        </w:tc>
        <w:tc>
          <w:tcPr>
            <w:tcW w:w="1696" w:type="dxa"/>
            <w:vMerge w:val="restart"/>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Навчальний колектив</w:t>
            </w:r>
          </w:p>
        </w:tc>
        <w:tc>
          <w:tcPr>
            <w:tcW w:w="3351" w:type="dxa"/>
            <w:gridSpan w:val="2"/>
            <w:shd w:val="clear" w:color="000000" w:fill="FFFFFF"/>
            <w:noWrap/>
            <w:tcMar>
              <w:left w:w="57" w:type="dxa"/>
              <w:right w:w="28" w:type="dxa"/>
            </w:tcMar>
            <w:vAlign w:val="center"/>
            <w:hideMark/>
          </w:tcPr>
          <w:p w:rsidR="009E0B65" w:rsidRPr="002E6ECA" w:rsidRDefault="009E0B65" w:rsidP="00CE2493">
            <w:pPr>
              <w:spacing w:line="360" w:lineRule="auto"/>
              <w:ind w:left="191" w:hanging="93"/>
              <w:jc w:val="center"/>
              <w:rPr>
                <w:sz w:val="28"/>
                <w:szCs w:val="28"/>
                <w:lang w:val="uk-UA" w:eastAsia="uk-UA"/>
              </w:rPr>
            </w:pPr>
            <w:r w:rsidRPr="002E6ECA">
              <w:rPr>
                <w:sz w:val="28"/>
                <w:szCs w:val="28"/>
                <w:lang w:val="uk-UA" w:eastAsia="uk-UA"/>
              </w:rPr>
              <w:t>ЧСС, уд./хв</w:t>
            </w:r>
          </w:p>
        </w:tc>
        <w:tc>
          <w:tcPr>
            <w:tcW w:w="2835" w:type="dxa"/>
            <w:gridSpan w:val="2"/>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Самопочуття, бали</w:t>
            </w:r>
          </w:p>
        </w:tc>
      </w:tr>
      <w:tr w:rsidR="009E0B65" w:rsidRPr="002E6ECA" w:rsidTr="005F7F4F">
        <w:trPr>
          <w:trHeight w:val="315"/>
        </w:trPr>
        <w:tc>
          <w:tcPr>
            <w:tcW w:w="1670" w:type="dxa"/>
            <w:vMerge/>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p>
        </w:tc>
        <w:tc>
          <w:tcPr>
            <w:tcW w:w="1696" w:type="dxa"/>
            <w:vMerge/>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p>
        </w:tc>
        <w:tc>
          <w:tcPr>
            <w:tcW w:w="1650"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bCs/>
                <w:sz w:val="28"/>
                <w:szCs w:val="28"/>
                <w:lang w:val="uk-UA" w:eastAsia="uk-UA"/>
              </w:rPr>
            </w:pPr>
            <w:r w:rsidRPr="002E6ECA">
              <w:rPr>
                <w:bCs/>
                <w:sz w:val="28"/>
                <w:szCs w:val="28"/>
                <w:lang w:val="uk-UA" w:eastAsia="uk-UA"/>
              </w:rPr>
              <w:t>до уроку</w:t>
            </w:r>
          </w:p>
        </w:tc>
        <w:tc>
          <w:tcPr>
            <w:tcW w:w="1701"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bCs/>
                <w:sz w:val="28"/>
                <w:szCs w:val="28"/>
                <w:lang w:val="uk-UA" w:eastAsia="uk-UA"/>
              </w:rPr>
            </w:pPr>
            <w:r w:rsidRPr="002E6ECA">
              <w:rPr>
                <w:bCs/>
                <w:sz w:val="28"/>
                <w:szCs w:val="28"/>
                <w:lang w:val="uk-UA" w:eastAsia="uk-UA"/>
              </w:rPr>
              <w:t>після уроку</w:t>
            </w:r>
          </w:p>
        </w:tc>
        <w:tc>
          <w:tcPr>
            <w:tcW w:w="1417"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bCs/>
                <w:sz w:val="28"/>
                <w:szCs w:val="28"/>
                <w:lang w:val="uk-UA" w:eastAsia="uk-UA"/>
              </w:rPr>
            </w:pPr>
            <w:r w:rsidRPr="002E6ECA">
              <w:rPr>
                <w:bCs/>
                <w:sz w:val="28"/>
                <w:szCs w:val="28"/>
                <w:lang w:val="uk-UA" w:eastAsia="uk-UA"/>
              </w:rPr>
              <w:t>до уроку</w:t>
            </w:r>
          </w:p>
        </w:tc>
        <w:tc>
          <w:tcPr>
            <w:tcW w:w="1418"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bCs/>
                <w:sz w:val="28"/>
                <w:szCs w:val="28"/>
                <w:lang w:val="uk-UA" w:eastAsia="uk-UA"/>
              </w:rPr>
            </w:pPr>
            <w:r w:rsidRPr="002E6ECA">
              <w:rPr>
                <w:bCs/>
                <w:sz w:val="28"/>
                <w:szCs w:val="28"/>
                <w:lang w:val="uk-UA" w:eastAsia="uk-UA"/>
              </w:rPr>
              <w:t>після уроку</w:t>
            </w:r>
          </w:p>
        </w:tc>
      </w:tr>
      <w:tr w:rsidR="009E0B65" w:rsidRPr="002E6ECA" w:rsidTr="005F7F4F">
        <w:trPr>
          <w:trHeight w:val="375"/>
        </w:trPr>
        <w:tc>
          <w:tcPr>
            <w:tcW w:w="1670" w:type="dxa"/>
            <w:vMerge w:val="restart"/>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Математика</w:t>
            </w: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НК-1</w:t>
            </w:r>
          </w:p>
        </w:tc>
        <w:tc>
          <w:tcPr>
            <w:tcW w:w="1650"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94,7±1,6</w:t>
            </w:r>
            <w:r w:rsidRPr="002E6ECA">
              <w:rPr>
                <w:sz w:val="28"/>
                <w:szCs w:val="28"/>
                <w:vertAlign w:val="superscript"/>
                <w:lang w:val="uk-UA" w:eastAsia="uk-UA"/>
              </w:rPr>
              <w:t>**2,3</w:t>
            </w:r>
          </w:p>
        </w:tc>
        <w:tc>
          <w:tcPr>
            <w:tcW w:w="1701"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95,9±1,6</w:t>
            </w:r>
            <w:r w:rsidRPr="002E6ECA">
              <w:rPr>
                <w:sz w:val="28"/>
                <w:szCs w:val="28"/>
                <w:vertAlign w:val="superscript"/>
                <w:lang w:val="uk-UA" w:eastAsia="uk-UA"/>
              </w:rPr>
              <w:t>**2,3</w:t>
            </w:r>
          </w:p>
        </w:tc>
        <w:tc>
          <w:tcPr>
            <w:tcW w:w="1417"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2,2±0,1</w:t>
            </w:r>
            <w:r w:rsidRPr="002E6ECA">
              <w:rPr>
                <w:sz w:val="28"/>
                <w:szCs w:val="28"/>
                <w:vertAlign w:val="superscript"/>
                <w:lang w:val="uk-UA" w:eastAsia="uk-UA"/>
              </w:rPr>
              <w:t>*3</w:t>
            </w:r>
          </w:p>
        </w:tc>
        <w:tc>
          <w:tcPr>
            <w:tcW w:w="1418"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2,6±0,2</w:t>
            </w:r>
            <w:r w:rsidRPr="002E6ECA">
              <w:rPr>
                <w:sz w:val="28"/>
                <w:szCs w:val="28"/>
                <w:vertAlign w:val="superscript"/>
                <w:lang w:val="uk-UA" w:eastAsia="uk-UA"/>
              </w:rPr>
              <w:t>*2</w:t>
            </w:r>
          </w:p>
        </w:tc>
      </w:tr>
      <w:tr w:rsidR="009E0B65" w:rsidRPr="002E6ECA" w:rsidTr="005F7F4F">
        <w:trPr>
          <w:trHeight w:val="375"/>
        </w:trPr>
        <w:tc>
          <w:tcPr>
            <w:tcW w:w="1670" w:type="dxa"/>
            <w:vMerge/>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НК-2</w:t>
            </w:r>
          </w:p>
        </w:tc>
        <w:tc>
          <w:tcPr>
            <w:tcW w:w="1650"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84,1±1,1</w:t>
            </w:r>
          </w:p>
        </w:tc>
        <w:tc>
          <w:tcPr>
            <w:tcW w:w="1701"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82,7±1,1</w:t>
            </w:r>
          </w:p>
        </w:tc>
        <w:tc>
          <w:tcPr>
            <w:tcW w:w="1417"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2,2±0,1</w:t>
            </w:r>
            <w:r w:rsidRPr="002E6ECA">
              <w:rPr>
                <w:sz w:val="28"/>
                <w:szCs w:val="28"/>
                <w:vertAlign w:val="superscript"/>
                <w:lang w:val="uk-UA" w:eastAsia="uk-UA"/>
              </w:rPr>
              <w:t>*3</w:t>
            </w:r>
          </w:p>
        </w:tc>
        <w:tc>
          <w:tcPr>
            <w:tcW w:w="1418"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2,1±0,1</w:t>
            </w:r>
          </w:p>
        </w:tc>
      </w:tr>
      <w:tr w:rsidR="009E0B65" w:rsidRPr="002E6ECA" w:rsidTr="005F7F4F">
        <w:trPr>
          <w:trHeight w:val="390"/>
        </w:trPr>
        <w:tc>
          <w:tcPr>
            <w:tcW w:w="1670" w:type="dxa"/>
            <w:vMerge/>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НК-3</w:t>
            </w:r>
          </w:p>
        </w:tc>
        <w:tc>
          <w:tcPr>
            <w:tcW w:w="1650"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83,8±1,2</w:t>
            </w:r>
          </w:p>
        </w:tc>
        <w:tc>
          <w:tcPr>
            <w:tcW w:w="1701"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81,3±1,1</w:t>
            </w:r>
          </w:p>
        </w:tc>
        <w:tc>
          <w:tcPr>
            <w:tcW w:w="1417"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2,6±0,1</w:t>
            </w:r>
          </w:p>
        </w:tc>
        <w:tc>
          <w:tcPr>
            <w:tcW w:w="1418"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2,2±0,1</w:t>
            </w:r>
          </w:p>
        </w:tc>
      </w:tr>
      <w:tr w:rsidR="009E0B65" w:rsidRPr="002E6ECA" w:rsidTr="005F7F4F">
        <w:trPr>
          <w:trHeight w:val="375"/>
        </w:trPr>
        <w:tc>
          <w:tcPr>
            <w:tcW w:w="1670" w:type="dxa"/>
            <w:vMerge w:val="restart"/>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Українська мова</w:t>
            </w: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НК-1</w:t>
            </w:r>
          </w:p>
        </w:tc>
        <w:tc>
          <w:tcPr>
            <w:tcW w:w="1650"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91,7±1,9</w:t>
            </w:r>
            <w:r w:rsidRPr="002E6ECA">
              <w:rPr>
                <w:sz w:val="28"/>
                <w:szCs w:val="28"/>
                <w:vertAlign w:val="superscript"/>
                <w:lang w:val="uk-UA" w:eastAsia="uk-UA"/>
              </w:rPr>
              <w:t>**2,3</w:t>
            </w:r>
          </w:p>
        </w:tc>
        <w:tc>
          <w:tcPr>
            <w:tcW w:w="1701"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91,8±1,7</w:t>
            </w:r>
            <w:r w:rsidRPr="002E6ECA">
              <w:rPr>
                <w:sz w:val="28"/>
                <w:szCs w:val="28"/>
                <w:vertAlign w:val="superscript"/>
                <w:lang w:val="uk-UA" w:eastAsia="uk-UA"/>
              </w:rPr>
              <w:t>**2*3</w:t>
            </w:r>
          </w:p>
        </w:tc>
        <w:tc>
          <w:tcPr>
            <w:tcW w:w="1417"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2,3±0,2</w:t>
            </w:r>
          </w:p>
        </w:tc>
        <w:tc>
          <w:tcPr>
            <w:tcW w:w="1418"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2,6±0,2</w:t>
            </w:r>
            <w:r w:rsidRPr="002E6ECA">
              <w:rPr>
                <w:sz w:val="28"/>
                <w:szCs w:val="28"/>
                <w:vertAlign w:val="superscript"/>
                <w:lang w:val="uk-UA" w:eastAsia="uk-UA"/>
              </w:rPr>
              <w:t>*2</w:t>
            </w:r>
          </w:p>
        </w:tc>
      </w:tr>
      <w:tr w:rsidR="009E0B65" w:rsidRPr="002E6ECA" w:rsidTr="005F7F4F">
        <w:trPr>
          <w:trHeight w:val="375"/>
        </w:trPr>
        <w:tc>
          <w:tcPr>
            <w:tcW w:w="1670" w:type="dxa"/>
            <w:vMerge/>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НК-2</w:t>
            </w:r>
          </w:p>
        </w:tc>
        <w:tc>
          <w:tcPr>
            <w:tcW w:w="1650"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83,5±1,1</w:t>
            </w:r>
          </w:p>
        </w:tc>
        <w:tc>
          <w:tcPr>
            <w:tcW w:w="1701"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83,5±1,1</w:t>
            </w:r>
          </w:p>
        </w:tc>
        <w:tc>
          <w:tcPr>
            <w:tcW w:w="1417"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2,3±0,1</w:t>
            </w:r>
          </w:p>
        </w:tc>
        <w:tc>
          <w:tcPr>
            <w:tcW w:w="1418"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2,1±0,1</w:t>
            </w:r>
          </w:p>
        </w:tc>
      </w:tr>
      <w:tr w:rsidR="009E0B65" w:rsidRPr="002E6ECA" w:rsidTr="005F7F4F">
        <w:trPr>
          <w:trHeight w:val="390"/>
        </w:trPr>
        <w:tc>
          <w:tcPr>
            <w:tcW w:w="1670" w:type="dxa"/>
            <w:vMerge/>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НК-3</w:t>
            </w:r>
          </w:p>
        </w:tc>
        <w:tc>
          <w:tcPr>
            <w:tcW w:w="1650"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86,2±1,9</w:t>
            </w:r>
          </w:p>
        </w:tc>
        <w:tc>
          <w:tcPr>
            <w:tcW w:w="1701"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83,7±1,5</w:t>
            </w:r>
          </w:p>
        </w:tc>
        <w:tc>
          <w:tcPr>
            <w:tcW w:w="1417"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2,4±0,1</w:t>
            </w:r>
          </w:p>
        </w:tc>
        <w:tc>
          <w:tcPr>
            <w:tcW w:w="1418"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2,5±0,2</w:t>
            </w:r>
          </w:p>
        </w:tc>
      </w:tr>
      <w:tr w:rsidR="009E0B65" w:rsidRPr="002E6ECA" w:rsidTr="005F7F4F">
        <w:trPr>
          <w:trHeight w:val="375"/>
        </w:trPr>
        <w:tc>
          <w:tcPr>
            <w:tcW w:w="1670" w:type="dxa"/>
            <w:vMerge w:val="restart"/>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Історія</w:t>
            </w: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НК-1</w:t>
            </w:r>
          </w:p>
        </w:tc>
        <w:tc>
          <w:tcPr>
            <w:tcW w:w="1650"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86,4±2</w:t>
            </w:r>
            <w:r w:rsidRPr="002E6ECA">
              <w:rPr>
                <w:sz w:val="28"/>
                <w:szCs w:val="28"/>
                <w:vertAlign w:val="superscript"/>
                <w:lang w:val="uk-UA" w:eastAsia="uk-UA"/>
              </w:rPr>
              <w:t>*3</w:t>
            </w:r>
          </w:p>
        </w:tc>
        <w:tc>
          <w:tcPr>
            <w:tcW w:w="1701"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86,7±2,3</w:t>
            </w:r>
          </w:p>
        </w:tc>
        <w:tc>
          <w:tcPr>
            <w:tcW w:w="1417"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1,9±0,2</w:t>
            </w:r>
          </w:p>
        </w:tc>
        <w:tc>
          <w:tcPr>
            <w:tcW w:w="1418"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2,4±0,3</w:t>
            </w:r>
          </w:p>
        </w:tc>
      </w:tr>
      <w:tr w:rsidR="009E0B65" w:rsidRPr="002E6ECA" w:rsidTr="005F7F4F">
        <w:trPr>
          <w:trHeight w:val="375"/>
        </w:trPr>
        <w:tc>
          <w:tcPr>
            <w:tcW w:w="1670" w:type="dxa"/>
            <w:vMerge/>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НК-2</w:t>
            </w:r>
          </w:p>
        </w:tc>
        <w:tc>
          <w:tcPr>
            <w:tcW w:w="1650"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83±1,5</w:t>
            </w:r>
            <w:r w:rsidRPr="002E6ECA">
              <w:rPr>
                <w:sz w:val="28"/>
                <w:szCs w:val="28"/>
                <w:vertAlign w:val="superscript"/>
                <w:lang w:val="uk-UA" w:eastAsia="uk-UA"/>
              </w:rPr>
              <w:t>*3</w:t>
            </w:r>
          </w:p>
        </w:tc>
        <w:tc>
          <w:tcPr>
            <w:tcW w:w="1701"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84,6±1,5</w:t>
            </w:r>
          </w:p>
        </w:tc>
        <w:tc>
          <w:tcPr>
            <w:tcW w:w="1417"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2,2±0,1</w:t>
            </w:r>
          </w:p>
        </w:tc>
        <w:tc>
          <w:tcPr>
            <w:tcW w:w="1418"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2,0±0,1</w:t>
            </w:r>
            <w:r w:rsidRPr="002E6ECA">
              <w:rPr>
                <w:sz w:val="28"/>
                <w:szCs w:val="28"/>
                <w:vertAlign w:val="superscript"/>
                <w:lang w:val="uk-UA" w:eastAsia="uk-UA"/>
              </w:rPr>
              <w:t>*3</w:t>
            </w:r>
          </w:p>
        </w:tc>
      </w:tr>
      <w:tr w:rsidR="009E0B65" w:rsidRPr="002E6ECA" w:rsidTr="005F7F4F">
        <w:trPr>
          <w:trHeight w:val="375"/>
        </w:trPr>
        <w:tc>
          <w:tcPr>
            <w:tcW w:w="1670" w:type="dxa"/>
            <w:vMerge/>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p>
        </w:tc>
        <w:tc>
          <w:tcPr>
            <w:tcW w:w="1696" w:type="dxa"/>
            <w:shd w:val="clear" w:color="000000" w:fill="FFFFFF"/>
            <w:noWrap/>
            <w:tcMar>
              <w:left w:w="57" w:type="dxa"/>
              <w:right w:w="28" w:type="dxa"/>
            </w:tcMar>
            <w:vAlign w:val="bottom"/>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НК-3</w:t>
            </w:r>
          </w:p>
        </w:tc>
        <w:tc>
          <w:tcPr>
            <w:tcW w:w="1650"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77,4±0,2</w:t>
            </w:r>
          </w:p>
        </w:tc>
        <w:tc>
          <w:tcPr>
            <w:tcW w:w="1701" w:type="dxa"/>
            <w:shd w:val="clear" w:color="000000" w:fill="FFFFFF"/>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82,5±0,3</w:t>
            </w:r>
          </w:p>
        </w:tc>
        <w:tc>
          <w:tcPr>
            <w:tcW w:w="1417"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2,6±0,2</w:t>
            </w:r>
          </w:p>
        </w:tc>
        <w:tc>
          <w:tcPr>
            <w:tcW w:w="1418" w:type="dxa"/>
            <w:shd w:val="clear" w:color="000000" w:fill="FFFFFF"/>
            <w:noWrap/>
            <w:tcMar>
              <w:left w:w="57" w:type="dxa"/>
              <w:right w:w="28" w:type="dxa"/>
            </w:tcMar>
            <w:vAlign w:val="center"/>
            <w:hideMark/>
          </w:tcPr>
          <w:p w:rsidR="009E0B65" w:rsidRPr="002E6ECA" w:rsidRDefault="009E0B65" w:rsidP="009E0B65">
            <w:pPr>
              <w:spacing w:line="360" w:lineRule="auto"/>
              <w:ind w:left="191" w:hanging="93"/>
              <w:jc w:val="both"/>
              <w:rPr>
                <w:sz w:val="28"/>
                <w:szCs w:val="28"/>
                <w:lang w:val="uk-UA" w:eastAsia="uk-UA"/>
              </w:rPr>
            </w:pPr>
            <w:r w:rsidRPr="002E6ECA">
              <w:rPr>
                <w:sz w:val="28"/>
                <w:szCs w:val="28"/>
                <w:lang w:val="uk-UA" w:eastAsia="uk-UA"/>
              </w:rPr>
              <w:t>2,7±0,3</w:t>
            </w:r>
          </w:p>
        </w:tc>
      </w:tr>
    </w:tbl>
    <w:p w:rsidR="009E0B65" w:rsidRPr="002E6ECA" w:rsidRDefault="009E0B65" w:rsidP="005F7F4F">
      <w:pPr>
        <w:spacing w:line="276" w:lineRule="auto"/>
        <w:ind w:firstLine="709"/>
        <w:jc w:val="both"/>
        <w:rPr>
          <w:lang w:val="uk-UA"/>
        </w:rPr>
      </w:pPr>
      <w:r w:rsidRPr="002E6ECA">
        <w:rPr>
          <w:b/>
          <w:lang w:val="uk-UA"/>
        </w:rPr>
        <w:t>Примітка:</w:t>
      </w:r>
      <w:r w:rsidR="008F59A7" w:rsidRPr="002E6ECA">
        <w:rPr>
          <w:b/>
          <w:lang w:val="uk-UA"/>
        </w:rPr>
        <w:t xml:space="preserve"> </w:t>
      </w:r>
      <w:r w:rsidR="008F59A7" w:rsidRPr="002E6ECA">
        <w:rPr>
          <w:lang w:val="uk-UA"/>
        </w:rPr>
        <w:t>при порівнянні з іншими навчальними колективами (</w:t>
      </w:r>
      <w:r w:rsidRPr="002E6ECA">
        <w:rPr>
          <w:vertAlign w:val="superscript"/>
          <w:lang w:val="uk-UA"/>
        </w:rPr>
        <w:t>*</w:t>
      </w:r>
      <w:r w:rsidR="005F7F4F" w:rsidRPr="002E6ECA">
        <w:rPr>
          <w:lang w:val="uk-UA"/>
        </w:rPr>
        <w:t>–</w:t>
      </w:r>
      <w:r w:rsidRPr="002E6ECA">
        <w:rPr>
          <w:lang w:val="uk-UA"/>
        </w:rPr>
        <w:t xml:space="preserve"> p&lt;0,05</w:t>
      </w:r>
      <w:r w:rsidR="008F59A7" w:rsidRPr="002E6ECA">
        <w:rPr>
          <w:lang w:val="uk-UA"/>
        </w:rPr>
        <w:t xml:space="preserve">; </w:t>
      </w:r>
      <w:r w:rsidRPr="002E6ECA">
        <w:rPr>
          <w:vertAlign w:val="superscript"/>
          <w:lang w:val="uk-UA"/>
        </w:rPr>
        <w:t>**</w:t>
      </w:r>
      <w:r w:rsidRPr="002E6ECA">
        <w:rPr>
          <w:lang w:val="uk-UA"/>
        </w:rPr>
        <w:t xml:space="preserve"> </w:t>
      </w:r>
      <w:r w:rsidR="005F7F4F" w:rsidRPr="002E6ECA">
        <w:rPr>
          <w:lang w:val="uk-UA"/>
        </w:rPr>
        <w:t>–</w:t>
      </w:r>
      <w:r w:rsidRPr="002E6ECA">
        <w:rPr>
          <w:lang w:val="uk-UA"/>
        </w:rPr>
        <w:t xml:space="preserve"> p&lt;0,0</w:t>
      </w:r>
      <w:r w:rsidR="008F59A7" w:rsidRPr="002E6ECA">
        <w:rPr>
          <w:lang w:val="uk-UA"/>
        </w:rPr>
        <w:t xml:space="preserve">1; </w:t>
      </w:r>
      <w:r w:rsidRPr="002E6ECA">
        <w:rPr>
          <w:vertAlign w:val="superscript"/>
          <w:lang w:val="uk-UA"/>
        </w:rPr>
        <w:t>1</w:t>
      </w:r>
      <w:r w:rsidRPr="002E6ECA">
        <w:rPr>
          <w:lang w:val="uk-UA"/>
        </w:rPr>
        <w:t xml:space="preserve"> –</w:t>
      </w:r>
      <w:r w:rsidR="008F59A7" w:rsidRPr="002E6ECA">
        <w:rPr>
          <w:lang w:val="uk-UA"/>
        </w:rPr>
        <w:t xml:space="preserve"> </w:t>
      </w:r>
      <w:r w:rsidRPr="002E6ECA">
        <w:rPr>
          <w:lang w:val="uk-UA"/>
        </w:rPr>
        <w:t xml:space="preserve">з НК-1, </w:t>
      </w:r>
      <w:r w:rsidRPr="002E6ECA">
        <w:rPr>
          <w:vertAlign w:val="superscript"/>
          <w:lang w:val="uk-UA"/>
        </w:rPr>
        <w:t>2</w:t>
      </w:r>
      <w:r w:rsidRPr="002E6ECA">
        <w:rPr>
          <w:lang w:val="uk-UA"/>
        </w:rPr>
        <w:t xml:space="preserve"> –</w:t>
      </w:r>
      <w:r w:rsidR="008F59A7" w:rsidRPr="002E6ECA">
        <w:rPr>
          <w:lang w:val="uk-UA"/>
        </w:rPr>
        <w:t xml:space="preserve"> </w:t>
      </w:r>
      <w:r w:rsidRPr="002E6ECA">
        <w:rPr>
          <w:lang w:val="uk-UA"/>
        </w:rPr>
        <w:t xml:space="preserve">з НК-2, </w:t>
      </w:r>
      <w:r w:rsidRPr="002E6ECA">
        <w:rPr>
          <w:vertAlign w:val="superscript"/>
          <w:lang w:val="uk-UA"/>
        </w:rPr>
        <w:t>3</w:t>
      </w:r>
      <w:r w:rsidRPr="002E6ECA">
        <w:rPr>
          <w:lang w:val="uk-UA"/>
        </w:rPr>
        <w:t xml:space="preserve"> –</w:t>
      </w:r>
      <w:r w:rsidR="008F59A7" w:rsidRPr="002E6ECA">
        <w:rPr>
          <w:lang w:val="uk-UA"/>
        </w:rPr>
        <w:t xml:space="preserve"> </w:t>
      </w:r>
      <w:r w:rsidRPr="002E6ECA">
        <w:rPr>
          <w:lang w:val="uk-UA"/>
        </w:rPr>
        <w:t>з НК-3</w:t>
      </w:r>
      <w:r w:rsidR="008F59A7" w:rsidRPr="002E6ECA">
        <w:rPr>
          <w:lang w:val="uk-UA"/>
        </w:rPr>
        <w:t>)</w:t>
      </w:r>
    </w:p>
    <w:p w:rsidR="009E0B65" w:rsidRPr="002E6ECA" w:rsidRDefault="009E0B65" w:rsidP="009E0B65">
      <w:pPr>
        <w:spacing w:line="360" w:lineRule="auto"/>
        <w:ind w:firstLine="709"/>
        <w:jc w:val="both"/>
        <w:rPr>
          <w:sz w:val="28"/>
          <w:szCs w:val="28"/>
          <w:lang w:val="uk-UA"/>
        </w:rPr>
      </w:pPr>
    </w:p>
    <w:p w:rsidR="005F7F4F" w:rsidRPr="002E6ECA" w:rsidRDefault="005F7F4F" w:rsidP="005F7F4F">
      <w:pPr>
        <w:spacing w:line="360" w:lineRule="auto"/>
        <w:ind w:firstLine="709"/>
        <w:jc w:val="both"/>
        <w:rPr>
          <w:spacing w:val="-2"/>
          <w:sz w:val="28"/>
          <w:szCs w:val="28"/>
          <w:lang w:val="uk-UA"/>
        </w:rPr>
      </w:pPr>
      <w:r w:rsidRPr="002E6ECA">
        <w:rPr>
          <w:spacing w:val="-2"/>
          <w:sz w:val="28"/>
          <w:szCs w:val="28"/>
          <w:lang w:val="uk-UA"/>
        </w:rPr>
        <w:t xml:space="preserve">Кожний з предметів було охарактеризовано в циклі його вивчення окремо для учнів, що навчаються за різними освітніми програмами та проаналізовано характеристику реакції серцево-судинної системи та загального стану організму за даними самооцінки при різних типах змін розумової працездатності (рис.  5.3). </w:t>
      </w:r>
    </w:p>
    <w:p w:rsidR="005F7F4F" w:rsidRPr="002E6ECA" w:rsidRDefault="005F7F4F" w:rsidP="005F7F4F">
      <w:pPr>
        <w:spacing w:line="360" w:lineRule="auto"/>
        <w:ind w:firstLine="709"/>
        <w:jc w:val="both"/>
        <w:rPr>
          <w:sz w:val="28"/>
          <w:szCs w:val="28"/>
          <w:lang w:val="uk-UA"/>
        </w:rPr>
      </w:pPr>
      <w:r w:rsidRPr="002E6ECA">
        <w:rPr>
          <w:sz w:val="28"/>
          <w:szCs w:val="28"/>
          <w:lang w:val="uk-UA"/>
        </w:rPr>
        <w:t xml:space="preserve">При вивченні предмету «Математика» 1-й тип зміни РП у НК-1 реєструвався на тлі зниження ЧСС та підвищення самопочуття у більшості </w:t>
      </w:r>
      <w:r w:rsidRPr="002E6ECA">
        <w:rPr>
          <w:sz w:val="28"/>
          <w:szCs w:val="28"/>
          <w:lang w:val="uk-UA"/>
        </w:rPr>
        <w:lastRenderedPageBreak/>
        <w:t>школярів, а у 1/3 дітей – підвищення пульсу до 102,5 уд./хв. при незмінному рівні самопочуття. Зниження РП у 70% учнів супроводжувалось підвищенням пульсу, а при його критичних значеннях (понад 100 уд./за хв.) і  погіршенням самопочуття. Кількісне зниження РП (4-й тип зміни)  визначалось на тлі підвищення ЧСС та самопочуття, а у іншої – незначним зниженням пульсу при незмінній самооцінці стану свого здоров’я.</w:t>
      </w:r>
    </w:p>
    <w:p w:rsidR="00A77207" w:rsidRPr="002E6ECA" w:rsidRDefault="00A77207" w:rsidP="007B7A4B">
      <w:pPr>
        <w:spacing w:line="360" w:lineRule="auto"/>
        <w:ind w:firstLine="709"/>
        <w:jc w:val="both"/>
        <w:rPr>
          <w:sz w:val="28"/>
          <w:szCs w:val="28"/>
          <w:lang w:val="uk-UA" w:eastAsia="en-US"/>
        </w:rPr>
      </w:pPr>
      <w:r w:rsidRPr="002E6ECA">
        <w:rPr>
          <w:noProof/>
          <w:lang w:val="uk-UA" w:eastAsia="uk-UA"/>
        </w:rPr>
        <w:drawing>
          <wp:inline distT="0" distB="0" distL="0" distR="0" wp14:anchorId="423F5DA0" wp14:editId="13F7AB0E">
            <wp:extent cx="5492750" cy="4624331"/>
            <wp:effectExtent l="0" t="0" r="0" b="508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61929" t="15780" r="11826" b="16997"/>
                    <a:stretch/>
                  </pic:blipFill>
                  <pic:spPr bwMode="auto">
                    <a:xfrm>
                      <a:off x="0" y="0"/>
                      <a:ext cx="5493394" cy="4624873"/>
                    </a:xfrm>
                    <a:prstGeom prst="rect">
                      <a:avLst/>
                    </a:prstGeom>
                    <a:ln>
                      <a:noFill/>
                    </a:ln>
                    <a:extLst>
                      <a:ext uri="{53640926-AAD7-44D8-BBD7-CCE9431645EC}">
                        <a14:shadowObscured xmlns:a14="http://schemas.microsoft.com/office/drawing/2010/main"/>
                      </a:ext>
                    </a:extLst>
                  </pic:spPr>
                </pic:pic>
              </a:graphicData>
            </a:graphic>
          </wp:inline>
        </w:drawing>
      </w:r>
    </w:p>
    <w:p w:rsidR="009E0B65" w:rsidRPr="002E6ECA" w:rsidRDefault="009E0B65" w:rsidP="007B7A4B">
      <w:pPr>
        <w:spacing w:line="360" w:lineRule="auto"/>
        <w:ind w:firstLine="709"/>
        <w:jc w:val="both"/>
        <w:rPr>
          <w:sz w:val="28"/>
          <w:szCs w:val="28"/>
          <w:lang w:val="uk-UA" w:eastAsia="en-US"/>
        </w:rPr>
      </w:pPr>
      <w:r w:rsidRPr="002E6ECA">
        <w:rPr>
          <w:sz w:val="28"/>
          <w:szCs w:val="28"/>
          <w:lang w:val="uk-UA" w:eastAsia="en-US"/>
        </w:rPr>
        <w:t>Рис. 5.3</w:t>
      </w:r>
      <w:r w:rsidRPr="002E6ECA">
        <w:rPr>
          <w:b/>
          <w:sz w:val="28"/>
          <w:szCs w:val="28"/>
          <w:lang w:val="uk-UA" w:eastAsia="en-US"/>
        </w:rPr>
        <w:t>.</w:t>
      </w:r>
      <w:r w:rsidRPr="002E6ECA">
        <w:rPr>
          <w:sz w:val="28"/>
          <w:szCs w:val="28"/>
          <w:lang w:val="uk-UA" w:eastAsia="en-US"/>
        </w:rPr>
        <w:t xml:space="preserve"> Розподіл типів змін розумової працездатності у залежності від предмету.</w:t>
      </w:r>
    </w:p>
    <w:p w:rsidR="009E0B65" w:rsidRPr="002E6ECA" w:rsidRDefault="009E0B65" w:rsidP="009E0B65">
      <w:pPr>
        <w:spacing w:line="360" w:lineRule="auto"/>
        <w:ind w:firstLine="709"/>
        <w:jc w:val="both"/>
        <w:rPr>
          <w:sz w:val="28"/>
          <w:szCs w:val="28"/>
          <w:lang w:val="uk-UA" w:eastAsia="en-US"/>
        </w:rPr>
      </w:pP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Для учнів НК-2 вивчення предмету «Математика» у 40% випадків супроводжувалась 1-м типом зміни РП на тлі зниження ЧСС та самопочуття у більшості дітей. Якісне (2-й тип) або кількісне (4-й тип) зниження РП супроводжувалось зниженням самопочуття та зміною пульсу (у половини дітей він зростав, у половини – знижувався). Загальне зниження РП, що </w:t>
      </w:r>
      <w:r w:rsidRPr="002E6ECA">
        <w:rPr>
          <w:sz w:val="28"/>
          <w:szCs w:val="28"/>
          <w:lang w:val="uk-UA"/>
        </w:rPr>
        <w:lastRenderedPageBreak/>
        <w:t xml:space="preserve">реєструвалось у 10% школярів, визначалось на тлі зростання ЧСС та покращення самопочуття. </w:t>
      </w:r>
    </w:p>
    <w:p w:rsidR="009E0B65" w:rsidRPr="002E6ECA" w:rsidRDefault="009E0B65" w:rsidP="009E0B65">
      <w:pPr>
        <w:spacing w:line="360" w:lineRule="auto"/>
        <w:ind w:firstLine="709"/>
        <w:jc w:val="both"/>
        <w:rPr>
          <w:sz w:val="28"/>
          <w:szCs w:val="28"/>
          <w:lang w:val="uk-UA"/>
        </w:rPr>
      </w:pPr>
      <w:r w:rsidRPr="002E6ECA">
        <w:rPr>
          <w:sz w:val="28"/>
          <w:szCs w:val="28"/>
          <w:lang w:val="uk-UA"/>
        </w:rPr>
        <w:t>Для учнів НК-3 вивчення математики у більшій мірі приводило до зниження розумової працездатності та лише у 10% випадків спостерігався 1-й тип зміни РП на тлі зниження пульсу та самопочуття. У такої ж кількості учнів зареєстровано 2-й тип зміни РП зі зниженням показника самопочуття і незмінним пульсом. Загальне та кількісне зниження РП супроводжувалось зниженням рівня самопочуття та різноспрямованою динамікою ЧСС.</w:t>
      </w:r>
    </w:p>
    <w:p w:rsidR="009E0B65" w:rsidRPr="002E6ECA" w:rsidRDefault="009E0B65" w:rsidP="009E0B65">
      <w:pPr>
        <w:spacing w:line="360" w:lineRule="auto"/>
        <w:ind w:firstLine="709"/>
        <w:jc w:val="both"/>
        <w:rPr>
          <w:sz w:val="28"/>
          <w:szCs w:val="28"/>
          <w:lang w:val="uk-UA" w:eastAsia="en-US"/>
        </w:rPr>
      </w:pPr>
      <w:r w:rsidRPr="002E6ECA">
        <w:rPr>
          <w:sz w:val="28"/>
          <w:szCs w:val="28"/>
          <w:lang w:val="uk-UA" w:eastAsia="en-US"/>
        </w:rPr>
        <w:t xml:space="preserve">1-й тип змін РП незалежно від освітнього проєкту та навчального колективу супроводжувався зниженням ЧСС та рівня самопочуття на уроках української мови та історії у НК-1. Для учнів НК-2 та НК-3 цей тип зміни РП супроводжувався різноспрямованою динамікою реакції серцево-судинної системи під час вивчення української мови, а серед школярів НК-2 при вивченні історії зовсім не реєструвався. </w:t>
      </w:r>
    </w:p>
    <w:p w:rsidR="009E0B65" w:rsidRPr="002E6ECA" w:rsidRDefault="009E0B65" w:rsidP="009E0B65">
      <w:pPr>
        <w:spacing w:line="360" w:lineRule="auto"/>
        <w:ind w:firstLine="709"/>
        <w:jc w:val="both"/>
        <w:rPr>
          <w:sz w:val="28"/>
          <w:szCs w:val="28"/>
          <w:lang w:val="uk-UA" w:eastAsia="en-US"/>
        </w:rPr>
      </w:pPr>
      <w:r w:rsidRPr="002E6ECA">
        <w:rPr>
          <w:sz w:val="28"/>
          <w:szCs w:val="28"/>
          <w:lang w:val="uk-UA" w:eastAsia="en-US"/>
        </w:rPr>
        <w:t>Якісне зниження РП на уроках української мови та історії у НК-1 супроводжувалось підвищенням рівня самооцінки та ЧСС, а у інших колективах незалежно від напряму навчальної дисципліни – переважно протилежною реакцією.</w:t>
      </w:r>
    </w:p>
    <w:p w:rsidR="009E0B65" w:rsidRPr="002E6ECA" w:rsidRDefault="009E0B65" w:rsidP="009E0B65">
      <w:pPr>
        <w:spacing w:line="360" w:lineRule="auto"/>
        <w:ind w:firstLine="709"/>
        <w:jc w:val="both"/>
        <w:rPr>
          <w:sz w:val="28"/>
          <w:szCs w:val="28"/>
          <w:lang w:val="uk-UA" w:eastAsia="en-US"/>
        </w:rPr>
      </w:pPr>
      <w:r w:rsidRPr="002E6ECA">
        <w:rPr>
          <w:sz w:val="28"/>
          <w:szCs w:val="28"/>
          <w:lang w:val="uk-UA" w:eastAsia="en-US"/>
        </w:rPr>
        <w:t xml:space="preserve">Для 3-го типу зміни РП були більш чітко розмежовані результати самооцінювання самопочуття та пульсу. Так, при вивченні української мови спостерігалось зниження ЧСС, а також зростання рівня самопочуття у НК-1 та НК-3 і різноспрямована динаміка вказаних показників у НК-2. Під час вивчення історії у всіх НК реєструвалось зростання пульсу та рівня самооцінки. </w:t>
      </w:r>
    </w:p>
    <w:p w:rsidR="009E0B65" w:rsidRPr="002E6ECA" w:rsidRDefault="009E0B65" w:rsidP="009E0B65">
      <w:pPr>
        <w:spacing w:line="360" w:lineRule="auto"/>
        <w:ind w:firstLine="709"/>
        <w:jc w:val="both"/>
        <w:rPr>
          <w:sz w:val="28"/>
          <w:szCs w:val="28"/>
          <w:lang w:val="uk-UA" w:eastAsia="en-US"/>
        </w:rPr>
      </w:pPr>
      <w:r w:rsidRPr="002E6ECA">
        <w:rPr>
          <w:sz w:val="28"/>
          <w:szCs w:val="28"/>
          <w:lang w:val="uk-UA" w:eastAsia="en-US"/>
        </w:rPr>
        <w:t xml:space="preserve">Така ж динаміка визначалась під час вивчення української мови та історії у НК-1 та НК-3 на тлі кількісного зниження розумової працездатності. </w:t>
      </w:r>
    </w:p>
    <w:p w:rsidR="005F7F4F" w:rsidRPr="002E6ECA" w:rsidRDefault="005F7F4F" w:rsidP="005F7F4F">
      <w:pPr>
        <w:spacing w:line="360" w:lineRule="auto"/>
        <w:ind w:firstLine="709"/>
        <w:jc w:val="both"/>
        <w:rPr>
          <w:sz w:val="28"/>
          <w:szCs w:val="28"/>
          <w:lang w:val="uk-UA" w:eastAsia="en-US"/>
        </w:rPr>
      </w:pPr>
      <w:r w:rsidRPr="002E6ECA">
        <w:rPr>
          <w:sz w:val="28"/>
          <w:szCs w:val="28"/>
          <w:lang w:val="uk-UA" w:eastAsia="en-US"/>
        </w:rPr>
        <w:t xml:space="preserve">На сьогоднішній день у науковому світі існують різні підходи щодо визначення впливу чинників навчального або виробничого процесу на розвиток втоми, у т.ч. і на розумову працездатність. У своїх дослідженнях </w:t>
      </w:r>
      <w:hyperlink r:id="rId56" w:history="1">
        <w:r w:rsidRPr="002E6ECA">
          <w:rPr>
            <w:sz w:val="28"/>
            <w:szCs w:val="28"/>
            <w:lang w:val="uk-UA" w:eastAsia="en-US"/>
          </w:rPr>
          <w:t>Tianhong Duan</w:t>
        </w:r>
      </w:hyperlink>
      <w:r w:rsidRPr="002E6ECA">
        <w:rPr>
          <w:sz w:val="28"/>
          <w:szCs w:val="28"/>
          <w:lang w:val="uk-UA" w:eastAsia="en-US"/>
        </w:rPr>
        <w:t xml:space="preserve"> та співавтори за результатами використання 6 критеріїв втоми (шкала сонливості Стенфорда, цифровий діапазон, цифрове декодування, короткочасна </w:t>
      </w:r>
      <w:r w:rsidRPr="002E6ECA">
        <w:rPr>
          <w:sz w:val="28"/>
          <w:szCs w:val="28"/>
          <w:lang w:val="uk-UA" w:eastAsia="en-US"/>
        </w:rPr>
        <w:lastRenderedPageBreak/>
        <w:t>пам'ять, критична частота злиття мерехтіння та відхилення сприйняття швидкості) запропонували розрахунок індексу відносної втоми на підставі найбільш значущої та чутливої методики – цифрового декодування [</w:t>
      </w:r>
      <w:r w:rsidR="0036117F" w:rsidRPr="002E6ECA">
        <w:rPr>
          <w:sz w:val="28"/>
          <w:szCs w:val="28"/>
          <w:lang w:val="uk-UA" w:eastAsia="en-US"/>
        </w:rPr>
        <w:t>331</w:t>
      </w:r>
      <w:r w:rsidRPr="002E6ECA">
        <w:rPr>
          <w:sz w:val="28"/>
          <w:szCs w:val="28"/>
          <w:lang w:val="uk-UA" w:eastAsia="en-US"/>
        </w:rPr>
        <w:t xml:space="preserve">]. </w:t>
      </w:r>
      <w:hyperlink r:id="rId57" w:history="1">
        <w:r w:rsidRPr="002E6ECA">
          <w:rPr>
            <w:sz w:val="28"/>
            <w:szCs w:val="28"/>
            <w:lang w:val="uk-UA" w:eastAsia="en-US"/>
          </w:rPr>
          <w:t>Akira Ishii</w:t>
        </w:r>
      </w:hyperlink>
      <w:r w:rsidRPr="002E6ECA">
        <w:rPr>
          <w:sz w:val="28"/>
          <w:szCs w:val="28"/>
          <w:lang w:val="uk-UA" w:eastAsia="en-US"/>
        </w:rPr>
        <w:t xml:space="preserve"> та співавтори довели, що існує механізм зниження працездатності без відчуття втоми за допомогою магнітоенцефалографії [</w:t>
      </w:r>
      <w:r w:rsidR="0036117F" w:rsidRPr="002E6ECA">
        <w:rPr>
          <w:sz w:val="28"/>
          <w:szCs w:val="28"/>
          <w:lang w:val="uk-UA" w:eastAsia="en-US"/>
        </w:rPr>
        <w:t>361</w:t>
      </w:r>
      <w:r w:rsidRPr="002E6ECA">
        <w:rPr>
          <w:sz w:val="28"/>
          <w:szCs w:val="28"/>
          <w:lang w:val="uk-UA" w:eastAsia="en-US"/>
        </w:rPr>
        <w:t>]. Реакцію зіниці як оціночного показнику розумової втоми використовували у дослідженні кількісної характеристики когнітивного навантаження, що моделювалось за допомогою селективних та розділених завдань на слухову увагу, а також прямого та зворотного розряду цифр [</w:t>
      </w:r>
      <w:r w:rsidR="0036117F" w:rsidRPr="002E6ECA">
        <w:rPr>
          <w:sz w:val="28"/>
          <w:szCs w:val="28"/>
          <w:lang w:val="uk-UA" w:eastAsia="en-US"/>
        </w:rPr>
        <w:t>293</w:t>
      </w:r>
      <w:r w:rsidRPr="002E6ECA">
        <w:rPr>
          <w:sz w:val="28"/>
          <w:szCs w:val="28"/>
          <w:lang w:val="uk-UA" w:eastAsia="en-US"/>
        </w:rPr>
        <w:t>]. Розроблено обчислювальні моделі на основі окулометрії для відстеження розвитку втоми та відпрацьовано план синхронізації мікро-перерв для її попередження під час роботи на комп’ютері [</w:t>
      </w:r>
      <w:r w:rsidR="0036117F" w:rsidRPr="002E6ECA">
        <w:rPr>
          <w:sz w:val="28"/>
          <w:szCs w:val="28"/>
          <w:lang w:val="uk-UA" w:eastAsia="en-US"/>
        </w:rPr>
        <w:t>393,</w:t>
      </w:r>
      <w:r w:rsidR="0036117F" w:rsidRPr="002E6ECA">
        <w:rPr>
          <w:lang w:val="uk-UA" w:eastAsia="en-US"/>
        </w:rPr>
        <w:t xml:space="preserve"> </w:t>
      </w:r>
      <w:r w:rsidR="0036117F" w:rsidRPr="002E6ECA">
        <w:rPr>
          <w:sz w:val="28"/>
          <w:szCs w:val="28"/>
          <w:lang w:val="uk-UA" w:eastAsia="en-US"/>
        </w:rPr>
        <w:t>394</w:t>
      </w:r>
      <w:r w:rsidRPr="002E6ECA">
        <w:rPr>
          <w:sz w:val="28"/>
          <w:szCs w:val="28"/>
          <w:lang w:val="uk-UA" w:eastAsia="en-US"/>
        </w:rPr>
        <w:t xml:space="preserve">]. Проте найбільш прийнятним способом визначення ознак втоми при оцінці колективу учнів залишається комплексне дослідження з використанням коректурних проб у сполученні з об’єктивними та суб’єктивними методиками. У якості додаткових методів </w:t>
      </w:r>
      <w:r w:rsidRPr="002E6ECA">
        <w:rPr>
          <w:bCs/>
          <w:sz w:val="28"/>
          <w:szCs w:val="28"/>
          <w:lang w:val="uk-UA" w:eastAsia="en-US"/>
        </w:rPr>
        <w:t>Подрігало</w:t>
      </w:r>
      <w:r w:rsidR="00E24816" w:rsidRPr="002E6ECA">
        <w:rPr>
          <w:sz w:val="28"/>
          <w:szCs w:val="28"/>
          <w:lang w:val="en-US"/>
        </w:rPr>
        <w:t> </w:t>
      </w:r>
      <w:r w:rsidRPr="002E6ECA">
        <w:rPr>
          <w:bCs/>
          <w:sz w:val="28"/>
          <w:szCs w:val="28"/>
          <w:lang w:val="uk-UA" w:eastAsia="en-US"/>
        </w:rPr>
        <w:t>Л.</w:t>
      </w:r>
      <w:r w:rsidR="00E24816" w:rsidRPr="002E6ECA">
        <w:rPr>
          <w:sz w:val="28"/>
          <w:szCs w:val="28"/>
          <w:lang w:val="en-US"/>
        </w:rPr>
        <w:t> </w:t>
      </w:r>
      <w:r w:rsidRPr="002E6ECA">
        <w:rPr>
          <w:bCs/>
          <w:sz w:val="28"/>
          <w:szCs w:val="28"/>
          <w:lang w:val="uk-UA" w:eastAsia="en-US"/>
        </w:rPr>
        <w:t xml:space="preserve">В. та співавторами </w:t>
      </w:r>
      <w:r w:rsidRPr="002E6ECA">
        <w:rPr>
          <w:sz w:val="28"/>
          <w:szCs w:val="28"/>
          <w:lang w:val="uk-UA" w:eastAsia="en-US"/>
        </w:rPr>
        <w:t xml:space="preserve">використовувались теппінг-тест для визначення динаміки розумової працездатності у студентів </w:t>
      </w:r>
      <w:r w:rsidRPr="002E6ECA">
        <w:rPr>
          <w:bCs/>
          <w:sz w:val="28"/>
          <w:szCs w:val="28"/>
          <w:lang w:val="uk-UA" w:eastAsia="en-US"/>
        </w:rPr>
        <w:t>[</w:t>
      </w:r>
      <w:r w:rsidR="0036117F" w:rsidRPr="002E6ECA">
        <w:rPr>
          <w:bCs/>
          <w:sz w:val="28"/>
          <w:szCs w:val="28"/>
          <w:lang w:val="uk-UA" w:eastAsia="en-US"/>
        </w:rPr>
        <w:t>431</w:t>
      </w:r>
      <w:r w:rsidRPr="002E6ECA">
        <w:rPr>
          <w:bCs/>
          <w:sz w:val="28"/>
          <w:szCs w:val="28"/>
          <w:lang w:val="uk-UA" w:eastAsia="en-US"/>
        </w:rPr>
        <w:t xml:space="preserve">], </w:t>
      </w:r>
      <w:r w:rsidRPr="002E6ECA">
        <w:rPr>
          <w:sz w:val="28"/>
          <w:szCs w:val="28"/>
          <w:lang w:val="uk-UA" w:eastAsia="en-US"/>
        </w:rPr>
        <w:t>Гозак</w:t>
      </w:r>
      <w:r w:rsidR="00E24816" w:rsidRPr="002E6ECA">
        <w:rPr>
          <w:sz w:val="28"/>
          <w:szCs w:val="28"/>
          <w:lang w:val="en-US"/>
        </w:rPr>
        <w:t> </w:t>
      </w:r>
      <w:r w:rsidRPr="002E6ECA">
        <w:rPr>
          <w:sz w:val="28"/>
          <w:szCs w:val="28"/>
          <w:lang w:val="uk-UA" w:eastAsia="en-US"/>
        </w:rPr>
        <w:t>С.</w:t>
      </w:r>
      <w:r w:rsidR="00E24816" w:rsidRPr="002E6ECA">
        <w:rPr>
          <w:sz w:val="28"/>
          <w:szCs w:val="28"/>
          <w:lang w:val="en-US"/>
        </w:rPr>
        <w:t> </w:t>
      </w:r>
      <w:r w:rsidRPr="002E6ECA">
        <w:rPr>
          <w:sz w:val="28"/>
          <w:szCs w:val="28"/>
          <w:lang w:val="uk-UA" w:eastAsia="en-US"/>
        </w:rPr>
        <w:t>В. та співавторами – оцінка шкільних та позашкільних чинників для визначення залежності розумової працездатності від організації режиму дня [</w:t>
      </w:r>
      <w:r w:rsidR="0036117F" w:rsidRPr="002E6ECA">
        <w:rPr>
          <w:bCs/>
          <w:sz w:val="28"/>
          <w:szCs w:val="28"/>
          <w:lang w:val="uk-UA" w:eastAsia="en-US"/>
        </w:rPr>
        <w:t>46</w:t>
      </w:r>
      <w:r w:rsidRPr="002E6ECA">
        <w:rPr>
          <w:sz w:val="28"/>
          <w:szCs w:val="28"/>
          <w:lang w:val="uk-UA" w:eastAsia="en-US"/>
        </w:rPr>
        <w:t>], загальна тривожність [</w:t>
      </w:r>
      <w:r w:rsidR="0036117F" w:rsidRPr="002E6ECA">
        <w:rPr>
          <w:sz w:val="28"/>
          <w:szCs w:val="28"/>
          <w:lang w:val="uk-UA" w:eastAsia="en-US"/>
        </w:rPr>
        <w:t>131</w:t>
      </w:r>
      <w:r w:rsidRPr="002E6ECA">
        <w:rPr>
          <w:sz w:val="28"/>
          <w:szCs w:val="28"/>
          <w:lang w:val="uk-UA" w:eastAsia="en-US"/>
        </w:rPr>
        <w:t>], аналіз навчальної успішності [</w:t>
      </w:r>
      <w:r w:rsidR="0036117F" w:rsidRPr="002E6ECA">
        <w:rPr>
          <w:bCs/>
          <w:sz w:val="28"/>
          <w:szCs w:val="28"/>
          <w:lang w:val="uk-UA" w:eastAsia="en-US"/>
        </w:rPr>
        <w:t>126</w:t>
      </w:r>
      <w:r w:rsidRPr="002E6ECA">
        <w:rPr>
          <w:sz w:val="28"/>
          <w:szCs w:val="28"/>
          <w:lang w:val="uk-UA" w:eastAsia="en-US"/>
        </w:rPr>
        <w:t>], педагогічне спостереження [</w:t>
      </w:r>
      <w:r w:rsidR="0036117F" w:rsidRPr="002E6ECA">
        <w:rPr>
          <w:sz w:val="28"/>
          <w:szCs w:val="28"/>
          <w:lang w:val="uk-UA" w:eastAsia="en-US"/>
        </w:rPr>
        <w:t>106</w:t>
      </w:r>
      <w:r w:rsidRPr="002E6ECA">
        <w:rPr>
          <w:sz w:val="28"/>
          <w:szCs w:val="28"/>
          <w:lang w:val="uk-UA" w:eastAsia="en-US"/>
        </w:rPr>
        <w:t>].</w:t>
      </w:r>
    </w:p>
    <w:p w:rsidR="005F7F4F" w:rsidRPr="002E6ECA" w:rsidRDefault="005F7F4F" w:rsidP="005F7F4F">
      <w:pPr>
        <w:spacing w:line="360" w:lineRule="auto"/>
        <w:ind w:firstLine="709"/>
        <w:jc w:val="both"/>
        <w:rPr>
          <w:sz w:val="28"/>
          <w:szCs w:val="28"/>
          <w:lang w:val="uk-UA" w:eastAsia="en-US"/>
        </w:rPr>
      </w:pPr>
      <w:r w:rsidRPr="002E6ECA">
        <w:rPr>
          <w:sz w:val="28"/>
          <w:szCs w:val="28"/>
          <w:lang w:val="uk-UA" w:eastAsia="en-US"/>
        </w:rPr>
        <w:t xml:space="preserve">Об’єктивні методики дозволяють визначати рівень втоми у різній площині: у залежності від впливу розумового, фізичного навантаження, системи освіти, академічної успішності та іншого. Так, на відміну від існуючого стереотипу про розвантаження головного мозку при фізичній праці, </w:t>
      </w:r>
      <w:hyperlink r:id="rId58" w:history="1">
        <w:r w:rsidRPr="002E6ECA">
          <w:rPr>
            <w:sz w:val="28"/>
            <w:szCs w:val="28"/>
            <w:lang w:val="uk-UA" w:eastAsia="en-US"/>
          </w:rPr>
          <w:t>Rui Xu</w:t>
        </w:r>
      </w:hyperlink>
      <w:r w:rsidRPr="002E6ECA">
        <w:rPr>
          <w:sz w:val="28"/>
          <w:szCs w:val="28"/>
          <w:lang w:val="uk-UA" w:eastAsia="en-US"/>
        </w:rPr>
        <w:t xml:space="preserve"> та співавтори на основі електроенцефалографії встановили, що надмірне фізичне навантаження при моделюванні комбінації розумово-фізичної втоми навпаки посилює розумову стомлюваність і прискорює процес втоми на основі активації мозку, функціонального зв'язку та складності [</w:t>
      </w:r>
      <w:r w:rsidR="0036117F" w:rsidRPr="002E6ECA">
        <w:rPr>
          <w:sz w:val="28"/>
          <w:szCs w:val="28"/>
          <w:lang w:val="uk-UA" w:eastAsia="en-US"/>
        </w:rPr>
        <w:t>507</w:t>
      </w:r>
      <w:r w:rsidRPr="002E6ECA">
        <w:rPr>
          <w:sz w:val="28"/>
          <w:szCs w:val="28"/>
          <w:lang w:val="uk-UA" w:eastAsia="en-US"/>
        </w:rPr>
        <w:t>].</w:t>
      </w:r>
    </w:p>
    <w:p w:rsidR="005F7F4F" w:rsidRPr="002E6ECA" w:rsidRDefault="005F7F4F" w:rsidP="005F7F4F">
      <w:pPr>
        <w:spacing w:line="360" w:lineRule="auto"/>
        <w:ind w:firstLine="709"/>
        <w:jc w:val="both"/>
        <w:rPr>
          <w:sz w:val="28"/>
          <w:szCs w:val="28"/>
          <w:lang w:val="uk-UA" w:eastAsia="en-US"/>
        </w:rPr>
      </w:pPr>
      <w:r w:rsidRPr="002E6ECA">
        <w:rPr>
          <w:sz w:val="28"/>
          <w:szCs w:val="28"/>
          <w:lang w:val="uk-UA" w:eastAsia="en-US"/>
        </w:rPr>
        <w:t>При визначенні впливу різних стилів освіти або соціально-економічного статусу</w:t>
      </w:r>
      <w:r w:rsidRPr="002E6ECA">
        <w:rPr>
          <w:bCs/>
          <w:sz w:val="28"/>
          <w:szCs w:val="28"/>
          <w:lang w:val="uk-UA" w:eastAsia="en-US"/>
        </w:rPr>
        <w:t xml:space="preserve"> на </w:t>
      </w:r>
      <w:r w:rsidRPr="002E6ECA">
        <w:rPr>
          <w:sz w:val="28"/>
          <w:szCs w:val="28"/>
          <w:lang w:val="uk-UA" w:eastAsia="en-US"/>
        </w:rPr>
        <w:t xml:space="preserve">рухову здатність та показники робочої пам’яті дітей молодшого </w:t>
      </w:r>
      <w:r w:rsidRPr="002E6ECA">
        <w:rPr>
          <w:sz w:val="28"/>
          <w:szCs w:val="28"/>
          <w:lang w:val="uk-UA" w:eastAsia="en-US"/>
        </w:rPr>
        <w:lastRenderedPageBreak/>
        <w:t>шкільного віку</w:t>
      </w:r>
      <w:r w:rsidRPr="002E6ECA">
        <w:rPr>
          <w:bCs/>
          <w:sz w:val="28"/>
          <w:szCs w:val="28"/>
          <w:lang w:val="uk-UA" w:eastAsia="en-US"/>
        </w:rPr>
        <w:t xml:space="preserve"> </w:t>
      </w:r>
      <w:hyperlink r:id="rId59" w:history="1">
        <w:r w:rsidRPr="002E6ECA">
          <w:rPr>
            <w:sz w:val="28"/>
            <w:szCs w:val="28"/>
            <w:lang w:val="uk-UA" w:eastAsia="en-US"/>
          </w:rPr>
          <w:t>Petra Jansen</w:t>
        </w:r>
      </w:hyperlink>
      <w:r w:rsidRPr="002E6ECA">
        <w:rPr>
          <w:sz w:val="28"/>
          <w:szCs w:val="28"/>
          <w:lang w:val="uk-UA" w:eastAsia="en-US"/>
        </w:rPr>
        <w:t xml:space="preserve"> зі співавторами за допомогою тестів Digit-Span та Corsi Block-Tapping дійшли висновку, що більш високі рівні обох показників реєструються у німецьких дітей порівняно з оманськими </w:t>
      </w:r>
      <w:r w:rsidRPr="002E6ECA">
        <w:rPr>
          <w:bCs/>
          <w:sz w:val="28"/>
          <w:szCs w:val="28"/>
          <w:lang w:val="uk-UA" w:eastAsia="en-US"/>
        </w:rPr>
        <w:t>[</w:t>
      </w:r>
      <w:r w:rsidR="0036117F" w:rsidRPr="002E6ECA">
        <w:rPr>
          <w:sz w:val="28"/>
          <w:szCs w:val="28"/>
          <w:lang w:val="uk-UA" w:eastAsia="en-US"/>
        </w:rPr>
        <w:t>366</w:t>
      </w:r>
      <w:r w:rsidRPr="002E6ECA">
        <w:rPr>
          <w:bCs/>
          <w:sz w:val="28"/>
          <w:szCs w:val="28"/>
          <w:lang w:val="uk-UA" w:eastAsia="en-US"/>
        </w:rPr>
        <w:t xml:space="preserve">]. Крім того у ході визначення рівня академічних досягнень з </w:t>
      </w:r>
      <w:r w:rsidRPr="002E6ECA">
        <w:rPr>
          <w:sz w:val="28"/>
          <w:szCs w:val="28"/>
          <w:lang w:val="uk-UA" w:eastAsia="en-US"/>
        </w:rPr>
        <w:t>математики, природознавства та арабської мови</w:t>
      </w:r>
      <w:r w:rsidRPr="002E6ECA">
        <w:rPr>
          <w:bCs/>
          <w:sz w:val="28"/>
          <w:szCs w:val="28"/>
          <w:lang w:val="uk-UA" w:eastAsia="en-US"/>
        </w:rPr>
        <w:t xml:space="preserve"> запропоновано їх прогнозування за допомогою не тільки </w:t>
      </w:r>
      <w:r w:rsidRPr="002E6ECA">
        <w:rPr>
          <w:sz w:val="28"/>
          <w:szCs w:val="28"/>
          <w:lang w:val="uk-UA" w:eastAsia="en-US"/>
        </w:rPr>
        <w:t xml:space="preserve">базових когнітивних, а й рухових здібностей </w:t>
      </w:r>
      <w:r w:rsidRPr="002E6ECA">
        <w:rPr>
          <w:bCs/>
          <w:sz w:val="28"/>
          <w:szCs w:val="28"/>
          <w:lang w:val="uk-UA" w:eastAsia="en-US"/>
        </w:rPr>
        <w:t>[</w:t>
      </w:r>
      <w:r w:rsidR="0036117F" w:rsidRPr="002E6ECA">
        <w:rPr>
          <w:sz w:val="28"/>
          <w:szCs w:val="28"/>
          <w:lang w:val="uk-UA" w:eastAsia="uk-UA"/>
        </w:rPr>
        <w:t>512</w:t>
      </w:r>
      <w:r w:rsidRPr="002E6ECA">
        <w:rPr>
          <w:bCs/>
          <w:sz w:val="28"/>
          <w:szCs w:val="28"/>
          <w:lang w:val="uk-UA" w:eastAsia="en-US"/>
        </w:rPr>
        <w:t xml:space="preserve">]. </w:t>
      </w:r>
      <w:r w:rsidRPr="002E6ECA">
        <w:rPr>
          <w:sz w:val="28"/>
          <w:szCs w:val="28"/>
          <w:lang w:val="uk-UA" w:eastAsia="en-US"/>
        </w:rPr>
        <w:t>При обстеженні дітей шкільного віку з високим інтелектуальним потенціалом із профілями обдарованості, конвергентного або різнорідного таланту отримані суттєві відмінності між досліджуваними профілями та виконавчими функціями гнучкості та гальмування, але не в робочій пам’яті [</w:t>
      </w:r>
      <w:r w:rsidR="0036117F" w:rsidRPr="002E6ECA">
        <w:rPr>
          <w:sz w:val="28"/>
          <w:szCs w:val="28"/>
          <w:lang w:val="uk-UA" w:eastAsia="en-US"/>
        </w:rPr>
        <w:t>458</w:t>
      </w:r>
      <w:r w:rsidR="00153378" w:rsidRPr="002E6ECA">
        <w:rPr>
          <w:sz w:val="28"/>
          <w:szCs w:val="28"/>
          <w:lang w:val="uk-UA" w:eastAsia="en-US"/>
        </w:rPr>
        <w:t>].</w:t>
      </w:r>
    </w:p>
    <w:p w:rsidR="002F2E0D" w:rsidRPr="002E6ECA" w:rsidRDefault="002F2E0D" w:rsidP="002F2E0D">
      <w:pPr>
        <w:spacing w:line="360" w:lineRule="auto"/>
        <w:ind w:firstLine="709"/>
        <w:jc w:val="both"/>
        <w:rPr>
          <w:sz w:val="28"/>
          <w:szCs w:val="28"/>
          <w:lang w:val="uk-UA"/>
        </w:rPr>
      </w:pPr>
      <w:r w:rsidRPr="002E6ECA">
        <w:rPr>
          <w:sz w:val="28"/>
          <w:szCs w:val="28"/>
          <w:lang w:val="uk-UA" w:eastAsia="en-US"/>
        </w:rPr>
        <w:t>У нашому дослідженні було апробовано спеціальну функціональну пробу із використанням</w:t>
      </w:r>
      <w:r w:rsidRPr="002E6ECA">
        <w:rPr>
          <w:sz w:val="28"/>
          <w:szCs w:val="28"/>
          <w:lang w:val="uk-UA"/>
        </w:rPr>
        <w:t xml:space="preserve"> планшету компанії Apple (iPad), що передбачала виконання 3 серій з 10 спроб із середньою тривалістю (168,02±1,27) секунди у вигляді вибору одного з п’яти запропонованих сигналів із визначенням часу реакції, яка синхронізувалась із записом ЧСС. Результати виконання цієї проби дозволили оцінити адаптаційні можливості 63 спортсменів-єдиноборців та змоделювати їх </w:t>
      </w:r>
      <w:r w:rsidR="00746B53" w:rsidRPr="002E6ECA">
        <w:rPr>
          <w:sz w:val="28"/>
          <w:szCs w:val="28"/>
          <w:lang w:val="uk-UA"/>
        </w:rPr>
        <w:t xml:space="preserve">функціональний </w:t>
      </w:r>
      <w:r w:rsidRPr="002E6ECA">
        <w:rPr>
          <w:sz w:val="28"/>
          <w:szCs w:val="28"/>
          <w:lang w:val="uk-UA"/>
        </w:rPr>
        <w:t xml:space="preserve">стан на підставі кореляційного аналізу психофізіологічних і фізіологічних показників. Встановлено, що найбільший показник системоутворення (155,16 ум.од.) визначався для часу реакції вибору і найвищий коефіцієнт синхронізації (24,12 ум.од.) – у борців греко-римської боротьби, що обумовлено незвичними для цього виду спорту умов (на відміну від ударних видів єдиноборств) і, відповідно виникненням додаткової напруги адаптації. Це доводить можливість використання даної функціональної проби для моніторингу фізіологічного стану, визначення адаптаційного потенціалу та прогнозу успішності у спорті.  </w:t>
      </w:r>
    </w:p>
    <w:p w:rsidR="005F7F4F" w:rsidRPr="002E6ECA" w:rsidRDefault="002F2E0D" w:rsidP="002F2E0D">
      <w:pPr>
        <w:spacing w:line="336" w:lineRule="auto"/>
        <w:ind w:firstLine="709"/>
        <w:jc w:val="both"/>
        <w:rPr>
          <w:bCs/>
          <w:sz w:val="28"/>
          <w:szCs w:val="28"/>
          <w:lang w:val="uk-UA" w:eastAsia="en-US"/>
        </w:rPr>
      </w:pPr>
      <w:r w:rsidRPr="002E6ECA">
        <w:rPr>
          <w:sz w:val="28"/>
          <w:szCs w:val="28"/>
          <w:lang w:val="uk-UA"/>
        </w:rPr>
        <w:t xml:space="preserve">Використання даної функціональної проби зарекомендувало себе і для визначення фізіологічних особливостей дітей з міжпівкульною асиметрією у дослідженні згідно з НДР </w:t>
      </w:r>
      <w:r w:rsidRPr="002E6ECA">
        <w:rPr>
          <w:spacing w:val="-4"/>
          <w:sz w:val="28"/>
          <w:szCs w:val="28"/>
          <w:lang w:val="uk-UA"/>
        </w:rPr>
        <w:t>«Гігієнічне обґрунтування оптимальних моделей стратегій адаптації до навчальної діяльності ліворуких учнів початкової школи».</w:t>
      </w:r>
      <w:r w:rsidR="005B58FC" w:rsidRPr="002E6ECA">
        <w:rPr>
          <w:spacing w:val="-4"/>
          <w:sz w:val="28"/>
          <w:szCs w:val="28"/>
          <w:lang w:val="uk-UA"/>
        </w:rPr>
        <w:t xml:space="preserve"> </w:t>
      </w:r>
      <w:r w:rsidR="00FF3827" w:rsidRPr="002E6ECA">
        <w:rPr>
          <w:spacing w:val="-4"/>
          <w:sz w:val="28"/>
          <w:szCs w:val="28"/>
          <w:lang w:val="uk-UA"/>
        </w:rPr>
        <w:t xml:space="preserve">За результатами однофакторного дисперсійного аналізу було встановлено, що при </w:t>
      </w:r>
      <w:r w:rsidR="00FF3827" w:rsidRPr="002E6ECA">
        <w:rPr>
          <w:spacing w:val="-4"/>
          <w:sz w:val="28"/>
          <w:szCs w:val="28"/>
          <w:lang w:val="uk-UA"/>
        </w:rPr>
        <w:lastRenderedPageBreak/>
        <w:t>виконанні тесту з оцінки реакції вибору з віком збільшувалась кількість натискувань з 135,52±2,17 до 177,87±1,87 за час виконання завдання, а середня  тривалість дотику знижувалась з 73,8±2,87 до 70,88±2,77 мс (</w:t>
      </w:r>
      <w:r w:rsidR="00FF3827" w:rsidRPr="002E6ECA">
        <w:rPr>
          <w:spacing w:val="-4"/>
          <w:sz w:val="28"/>
          <w:szCs w:val="28"/>
          <w:lang w:val="en-US"/>
        </w:rPr>
        <w:t>F</w:t>
      </w:r>
      <w:r w:rsidR="00FF3827" w:rsidRPr="002E6ECA">
        <w:rPr>
          <w:spacing w:val="-4"/>
          <w:sz w:val="28"/>
          <w:szCs w:val="28"/>
        </w:rPr>
        <w:t>=32,754; р&lt;</w:t>
      </w:r>
      <w:r w:rsidR="00FF3827" w:rsidRPr="002E6ECA">
        <w:rPr>
          <w:spacing w:val="-4"/>
          <w:sz w:val="28"/>
          <w:szCs w:val="28"/>
          <w:lang w:val="uk-UA"/>
        </w:rPr>
        <w:t xml:space="preserve">0,001). </w:t>
      </w:r>
      <w:r w:rsidR="005B58FC" w:rsidRPr="002E6ECA">
        <w:rPr>
          <w:spacing w:val="-4"/>
          <w:sz w:val="28"/>
          <w:szCs w:val="28"/>
          <w:lang w:val="uk-UA"/>
        </w:rPr>
        <w:t xml:space="preserve">  </w:t>
      </w:r>
      <w:r w:rsidRPr="002E6ECA">
        <w:rPr>
          <w:spacing w:val="-4"/>
          <w:sz w:val="28"/>
          <w:szCs w:val="28"/>
          <w:lang w:val="uk-UA"/>
        </w:rPr>
        <w:t>Проте при оцінці групового здоров’я ми вважаємо більш доцільним використання традиційної коректурної проби за таблицями Анфімова, що і було реалізовано для визначення психофізіологічної характеристики шкільної адаптації в умовах інтенсифікації освітнього процесу</w:t>
      </w:r>
      <w:r w:rsidR="00FF3827" w:rsidRPr="002E6ECA">
        <w:rPr>
          <w:spacing w:val="-4"/>
          <w:sz w:val="28"/>
          <w:szCs w:val="28"/>
          <w:lang w:val="uk-UA"/>
        </w:rPr>
        <w:t xml:space="preserve"> декілько</w:t>
      </w:r>
      <w:r w:rsidR="00730929" w:rsidRPr="002E6ECA">
        <w:rPr>
          <w:spacing w:val="-4"/>
          <w:sz w:val="28"/>
          <w:szCs w:val="28"/>
          <w:lang w:val="uk-UA"/>
        </w:rPr>
        <w:t>х</w:t>
      </w:r>
      <w:r w:rsidR="00FF3827" w:rsidRPr="002E6ECA">
        <w:rPr>
          <w:spacing w:val="-4"/>
          <w:sz w:val="28"/>
          <w:szCs w:val="28"/>
          <w:lang w:val="uk-UA"/>
        </w:rPr>
        <w:t xml:space="preserve"> навчальних колективів</w:t>
      </w:r>
      <w:r w:rsidRPr="002E6ECA">
        <w:rPr>
          <w:spacing w:val="-4"/>
          <w:sz w:val="28"/>
          <w:szCs w:val="28"/>
          <w:lang w:val="uk-UA"/>
        </w:rPr>
        <w:t xml:space="preserve">. </w:t>
      </w:r>
      <w:r w:rsidR="005F7F4F" w:rsidRPr="002E6ECA">
        <w:rPr>
          <w:sz w:val="28"/>
          <w:szCs w:val="28"/>
          <w:lang w:val="uk-UA" w:eastAsia="en-US"/>
        </w:rPr>
        <w:t>В ході нашого дослідження встановлено різну «психофізіологічну ціну» вивчення предметів різного напряму та за різними системами освіти. Так, високий рівень розумової працездатності на уроках математики, що за шкалою важкості [</w:t>
      </w:r>
      <w:r w:rsidR="0036117F" w:rsidRPr="002E6ECA">
        <w:rPr>
          <w:sz w:val="28"/>
          <w:szCs w:val="28"/>
          <w:lang w:val="uk-UA" w:eastAsia="en-US"/>
        </w:rPr>
        <w:t>51, 123</w:t>
      </w:r>
      <w:r w:rsidR="005F7F4F" w:rsidRPr="002E6ECA">
        <w:rPr>
          <w:sz w:val="28"/>
          <w:szCs w:val="28"/>
          <w:lang w:val="uk-UA" w:eastAsia="en-US"/>
        </w:rPr>
        <w:t>] предметів має найвищий бал, забезпечувався за рахунок фізіологічного та психоемоційного виснаження. Подібних висновків дійшли С.</w:t>
      </w:r>
      <w:r w:rsidR="00730929" w:rsidRPr="002E6ECA">
        <w:rPr>
          <w:sz w:val="28"/>
          <w:szCs w:val="28"/>
          <w:lang w:val="en-US"/>
        </w:rPr>
        <w:t> </w:t>
      </w:r>
      <w:r w:rsidR="005F7F4F" w:rsidRPr="002E6ECA">
        <w:rPr>
          <w:sz w:val="28"/>
          <w:szCs w:val="28"/>
          <w:lang w:val="uk-UA" w:eastAsia="en-US"/>
        </w:rPr>
        <w:t>В.</w:t>
      </w:r>
      <w:r w:rsidR="00730929" w:rsidRPr="002E6ECA">
        <w:rPr>
          <w:sz w:val="28"/>
          <w:szCs w:val="28"/>
          <w:lang w:val="en-US"/>
        </w:rPr>
        <w:t> </w:t>
      </w:r>
      <w:r w:rsidR="005F7F4F" w:rsidRPr="002E6ECA">
        <w:rPr>
          <w:sz w:val="28"/>
          <w:szCs w:val="28"/>
          <w:lang w:val="uk-UA" w:eastAsia="en-US"/>
        </w:rPr>
        <w:t>Гозак зі співавторами, встановивши підвищений ризик виникнення стомлення при вивченні предметів високої та середньої складності за кількісною та якісною характеристиками [</w:t>
      </w:r>
      <w:r w:rsidR="005F7F4F" w:rsidRPr="002E6ECA">
        <w:rPr>
          <w:bCs/>
          <w:sz w:val="28"/>
          <w:szCs w:val="28"/>
          <w:lang w:val="uk-UA" w:eastAsia="en-US"/>
        </w:rPr>
        <w:t>46</w:t>
      </w:r>
      <w:r w:rsidR="005F7F4F" w:rsidRPr="002E6ECA">
        <w:rPr>
          <w:sz w:val="28"/>
          <w:szCs w:val="28"/>
          <w:lang w:val="uk-UA" w:eastAsia="en-US"/>
        </w:rPr>
        <w:t>]. В свою чергу датські дослідники в</w:t>
      </w:r>
      <w:r w:rsidR="005F7F4F" w:rsidRPr="002E6ECA">
        <w:rPr>
          <w:bCs/>
          <w:sz w:val="28"/>
          <w:szCs w:val="28"/>
          <w:lang w:val="uk-UA" w:eastAsia="en-US"/>
        </w:rPr>
        <w:t xml:space="preserve">становили, що </w:t>
      </w:r>
      <w:r w:rsidR="005F7F4F" w:rsidRPr="002E6ECA">
        <w:rPr>
          <w:sz w:val="28"/>
          <w:szCs w:val="28"/>
          <w:lang w:val="uk-UA" w:eastAsia="en-US"/>
        </w:rPr>
        <w:t>фізична здатність та когнітивні функції (робоча пам’ять, епізодична пам’ять, стійка увага та швидкість обробки) асоціюються з кращими показниками математики та читання</w:t>
      </w:r>
      <w:r w:rsidR="005F7F4F" w:rsidRPr="002E6ECA">
        <w:rPr>
          <w:bCs/>
          <w:sz w:val="28"/>
          <w:szCs w:val="28"/>
          <w:lang w:val="uk-UA" w:eastAsia="en-US"/>
        </w:rPr>
        <w:t xml:space="preserve"> [</w:t>
      </w:r>
      <w:r w:rsidR="0036117F" w:rsidRPr="002E6ECA">
        <w:rPr>
          <w:sz w:val="28"/>
          <w:szCs w:val="28"/>
          <w:lang w:val="uk-UA" w:eastAsia="en-US"/>
        </w:rPr>
        <w:t>340</w:t>
      </w:r>
      <w:r w:rsidR="005F7F4F" w:rsidRPr="002E6ECA">
        <w:rPr>
          <w:bCs/>
          <w:sz w:val="28"/>
          <w:szCs w:val="28"/>
          <w:lang w:val="uk-UA" w:eastAsia="en-US"/>
        </w:rPr>
        <w:t>].</w:t>
      </w:r>
    </w:p>
    <w:p w:rsidR="005F7F4F" w:rsidRPr="002E6ECA" w:rsidRDefault="005F7F4F" w:rsidP="005F7F4F">
      <w:pPr>
        <w:spacing w:line="360" w:lineRule="auto"/>
        <w:ind w:firstLine="709"/>
        <w:jc w:val="both"/>
        <w:rPr>
          <w:sz w:val="28"/>
          <w:szCs w:val="28"/>
          <w:lang w:val="uk-UA" w:eastAsia="en-US"/>
        </w:rPr>
      </w:pPr>
      <w:r w:rsidRPr="002E6ECA">
        <w:rPr>
          <w:sz w:val="28"/>
          <w:szCs w:val="28"/>
          <w:lang w:val="uk-UA" w:eastAsia="en-US"/>
        </w:rPr>
        <w:t>Таким чином вивчення математики за умов правильної організації освітнього процесу рівень розумової працездатності не тільки зберігався, а й підвищувався за кількісним та якісним критеріями. Вибір освітнього проєкту та навчальної програми не мав такого впливу на розумову працездатність при вивченні української мови та історії.</w:t>
      </w:r>
    </w:p>
    <w:p w:rsidR="009E0B65" w:rsidRPr="002E6ECA" w:rsidRDefault="009E0B65" w:rsidP="009E0B65">
      <w:pPr>
        <w:spacing w:line="360" w:lineRule="auto"/>
        <w:ind w:firstLine="709"/>
        <w:jc w:val="center"/>
        <w:rPr>
          <w:sz w:val="28"/>
          <w:szCs w:val="28"/>
          <w:lang w:val="uk-UA"/>
        </w:rPr>
      </w:pPr>
    </w:p>
    <w:p w:rsidR="009E0B65" w:rsidRPr="002E6ECA" w:rsidRDefault="009E0B65" w:rsidP="008F59A7">
      <w:pPr>
        <w:spacing w:line="360" w:lineRule="auto"/>
        <w:ind w:firstLine="709"/>
        <w:jc w:val="both"/>
        <w:rPr>
          <w:b/>
          <w:sz w:val="28"/>
          <w:szCs w:val="28"/>
          <w:lang w:val="uk-UA" w:eastAsia="uk-UA"/>
        </w:rPr>
      </w:pPr>
      <w:r w:rsidRPr="002E6ECA">
        <w:rPr>
          <w:b/>
          <w:sz w:val="28"/>
          <w:szCs w:val="28"/>
          <w:lang w:val="uk-UA"/>
        </w:rPr>
        <w:t xml:space="preserve">5.2. </w:t>
      </w:r>
      <w:r w:rsidRPr="002E6ECA">
        <w:rPr>
          <w:b/>
          <w:sz w:val="28"/>
          <w:szCs w:val="28"/>
          <w:lang w:val="uk-UA" w:eastAsia="uk-UA"/>
        </w:rPr>
        <w:t>Донозологічний скринінг напруженості вегетативних регуляторних систем учнів як критерій рівня шкільного стресу</w:t>
      </w:r>
    </w:p>
    <w:p w:rsidR="00F24679" w:rsidRPr="002E6ECA" w:rsidRDefault="00F24679" w:rsidP="00F24679">
      <w:pPr>
        <w:spacing w:line="360" w:lineRule="auto"/>
        <w:ind w:firstLine="709"/>
        <w:jc w:val="both"/>
        <w:rPr>
          <w:sz w:val="28"/>
          <w:szCs w:val="28"/>
          <w:lang w:val="uk-UA"/>
        </w:rPr>
      </w:pPr>
      <w:r w:rsidRPr="002E6ECA">
        <w:rPr>
          <w:sz w:val="28"/>
          <w:szCs w:val="28"/>
          <w:lang w:val="uk-UA"/>
        </w:rPr>
        <w:t>На період навчання в основній школі припадають процеси самоідентифікації особистості на фоні взаємопов’язаних, але гетерохронних змін у біологічному, когнітивному, емоційному та соціальному функціонуванні організму [</w:t>
      </w:r>
      <w:r w:rsidR="0036117F" w:rsidRPr="002E6ECA">
        <w:rPr>
          <w:sz w:val="28"/>
          <w:szCs w:val="28"/>
          <w:lang w:val="uk-UA"/>
        </w:rPr>
        <w:t>375</w:t>
      </w:r>
      <w:r w:rsidRPr="002E6ECA">
        <w:rPr>
          <w:sz w:val="28"/>
          <w:szCs w:val="28"/>
          <w:lang w:val="uk-UA"/>
        </w:rPr>
        <w:t>]. Саме тому підлітковий вік розглядається як період підвищеної схильності до стресу [</w:t>
      </w:r>
      <w:r w:rsidR="0036117F" w:rsidRPr="002E6ECA">
        <w:rPr>
          <w:sz w:val="28"/>
          <w:szCs w:val="28"/>
          <w:shd w:val="clear" w:color="auto" w:fill="FFFFFF"/>
          <w:lang w:val="uk-UA"/>
        </w:rPr>
        <w:t>369,</w:t>
      </w:r>
      <w:r w:rsidR="0036117F" w:rsidRPr="002E6ECA">
        <w:rPr>
          <w:lang w:val="uk-UA"/>
        </w:rPr>
        <w:t xml:space="preserve"> </w:t>
      </w:r>
      <w:r w:rsidR="0036117F" w:rsidRPr="002E6ECA">
        <w:rPr>
          <w:sz w:val="28"/>
          <w:szCs w:val="28"/>
          <w:shd w:val="clear" w:color="auto" w:fill="FFFFFF"/>
          <w:lang w:val="uk-UA"/>
        </w:rPr>
        <w:t>476</w:t>
      </w:r>
      <w:r w:rsidRPr="002E6ECA">
        <w:rPr>
          <w:sz w:val="28"/>
          <w:szCs w:val="28"/>
          <w:lang w:val="uk-UA"/>
        </w:rPr>
        <w:t xml:space="preserve">]. Джерелами стресу у підлітковому віці можуть </w:t>
      </w:r>
      <w:r w:rsidRPr="002E6ECA">
        <w:rPr>
          <w:sz w:val="28"/>
          <w:szCs w:val="28"/>
          <w:lang w:val="uk-UA"/>
        </w:rPr>
        <w:lastRenderedPageBreak/>
        <w:t>бути різні фактори, у тому числі й освітнє середовище [</w:t>
      </w:r>
      <w:r w:rsidR="0036117F" w:rsidRPr="002E6ECA">
        <w:rPr>
          <w:sz w:val="28"/>
          <w:szCs w:val="28"/>
          <w:lang w:val="uk-UA"/>
        </w:rPr>
        <w:t>359,</w:t>
      </w:r>
      <w:r w:rsidR="0036117F" w:rsidRPr="002E6ECA">
        <w:rPr>
          <w:lang w:val="uk-UA"/>
        </w:rPr>
        <w:t xml:space="preserve"> </w:t>
      </w:r>
      <w:r w:rsidR="0036117F" w:rsidRPr="002E6ECA">
        <w:rPr>
          <w:sz w:val="28"/>
          <w:szCs w:val="28"/>
          <w:lang w:val="uk-UA"/>
        </w:rPr>
        <w:t>369, 390</w:t>
      </w:r>
      <w:r w:rsidRPr="002E6ECA">
        <w:rPr>
          <w:sz w:val="28"/>
          <w:szCs w:val="28"/>
          <w:lang w:val="uk-UA"/>
        </w:rPr>
        <w:t>]. Стресові ситуації є поширеними в освітньому середовищі та щоденно впливають на учнів [</w:t>
      </w:r>
      <w:r w:rsidR="0036117F" w:rsidRPr="002E6ECA">
        <w:rPr>
          <w:sz w:val="28"/>
          <w:szCs w:val="28"/>
          <w:lang w:val="uk-UA"/>
        </w:rPr>
        <w:t>410, 472</w:t>
      </w:r>
      <w:r w:rsidRPr="002E6ECA">
        <w:rPr>
          <w:sz w:val="28"/>
          <w:szCs w:val="28"/>
          <w:lang w:val="uk-UA"/>
        </w:rPr>
        <w:t>]. Зокрема, попередніми дослідженнями визначено наступні фактори шкільного стресу: зміст навчального матеріалу, методика навчання і викладання, особисті переживання пов’язанні з навчанням, міжособистісні відносини з вчителями та однокласниками, групові соціальні фактори. Провідними факторами шкільного стресу є зміст освіти та організація навчального процесу, а саме:  великий обсяг навчального матеріалу; складний для розуміння зміст освіти; занадто щільний графік навчання; недостатність часу для повторення та закріплення навчального матеріалу; занадто частий контроль знань; підсумкове оцінювання; несправедлива система оцінювання; конкурентне освітнє середовище [</w:t>
      </w:r>
      <w:r w:rsidR="0036117F" w:rsidRPr="002E6ECA">
        <w:rPr>
          <w:sz w:val="28"/>
          <w:szCs w:val="28"/>
          <w:lang w:val="uk-UA"/>
        </w:rPr>
        <w:t>472</w:t>
      </w:r>
      <w:r w:rsidRPr="002E6ECA">
        <w:rPr>
          <w:sz w:val="28"/>
          <w:szCs w:val="28"/>
          <w:lang w:val="uk-UA"/>
        </w:rPr>
        <w:t>]. У міру переходу учнів на вищі рівні в системі освіти, вони стикаються з більш високими академічними вимогами та очікуваннями. Необхідність відповідати цим очікуванням та академічним вимогам також може бути джерелом стресу в підлітковому віці. Так, у дослідженні [</w:t>
      </w:r>
      <w:r w:rsidR="0036117F" w:rsidRPr="002E6ECA">
        <w:rPr>
          <w:sz w:val="28"/>
          <w:szCs w:val="28"/>
          <w:lang w:val="uk-UA"/>
        </w:rPr>
        <w:t>390</w:t>
      </w:r>
      <w:r w:rsidRPr="002E6ECA">
        <w:rPr>
          <w:sz w:val="28"/>
          <w:szCs w:val="28"/>
          <w:lang w:val="uk-UA"/>
        </w:rPr>
        <w:t>] показано, що серед 11-річних учнів рівень шкільного стресу був стабільним, тоді як шкільний стрес збільшувався у 13- і 15-річних учнів. Згідно досліджень [</w:t>
      </w:r>
      <w:r w:rsidR="0036117F" w:rsidRPr="002E6ECA">
        <w:rPr>
          <w:sz w:val="28"/>
          <w:szCs w:val="28"/>
          <w:shd w:val="clear" w:color="auto" w:fill="FCFCFC"/>
          <w:lang w:val="uk-UA"/>
        </w:rPr>
        <w:t>381</w:t>
      </w:r>
      <w:r w:rsidRPr="002E6ECA">
        <w:rPr>
          <w:sz w:val="28"/>
          <w:szCs w:val="28"/>
          <w:lang w:val="uk-UA"/>
        </w:rPr>
        <w:t>] найвища психофізіологічна «вартість» інтенсивної інтелектуальної діяльності притаманна учням на початку навчання в школі та в період статевого дозрівання.</w:t>
      </w:r>
    </w:p>
    <w:p w:rsidR="00F24679" w:rsidRPr="002E6ECA" w:rsidRDefault="00F24679" w:rsidP="00F24679">
      <w:pPr>
        <w:spacing w:line="360" w:lineRule="auto"/>
        <w:ind w:firstLine="709"/>
        <w:jc w:val="both"/>
        <w:rPr>
          <w:sz w:val="28"/>
          <w:szCs w:val="28"/>
          <w:lang w:val="uk-UA"/>
        </w:rPr>
      </w:pPr>
      <w:r w:rsidRPr="002E6ECA">
        <w:rPr>
          <w:sz w:val="28"/>
          <w:szCs w:val="28"/>
          <w:lang w:val="uk-UA"/>
        </w:rPr>
        <w:t>Попередніми дослідженнями показано, що шкільний стрес може перешкоджати академічній успішності учнів [</w:t>
      </w:r>
      <w:r w:rsidR="00F16D26" w:rsidRPr="002E6ECA">
        <w:rPr>
          <w:sz w:val="28"/>
          <w:szCs w:val="28"/>
          <w:shd w:val="clear" w:color="auto" w:fill="FAFAFA"/>
          <w:lang w:val="uk-UA"/>
        </w:rPr>
        <w:t>371</w:t>
      </w:r>
      <w:r w:rsidRPr="002E6ECA">
        <w:rPr>
          <w:sz w:val="28"/>
          <w:szCs w:val="28"/>
          <w:lang w:val="uk-UA"/>
        </w:rPr>
        <w:t>], імовірно, внаслідок негативного впливу на процеси пам’яті [</w:t>
      </w:r>
      <w:r w:rsidR="00F16D26" w:rsidRPr="002E6ECA">
        <w:rPr>
          <w:sz w:val="28"/>
          <w:szCs w:val="28"/>
          <w:shd w:val="clear" w:color="auto" w:fill="FFFFFF"/>
          <w:lang w:val="uk-UA"/>
        </w:rPr>
        <w:t>460,</w:t>
      </w:r>
      <w:r w:rsidR="00F16D26" w:rsidRPr="002E6ECA">
        <w:rPr>
          <w:lang w:val="uk-UA"/>
        </w:rPr>
        <w:t xml:space="preserve"> </w:t>
      </w:r>
      <w:r w:rsidR="00F16D26" w:rsidRPr="002E6ECA">
        <w:rPr>
          <w:sz w:val="28"/>
          <w:szCs w:val="28"/>
          <w:shd w:val="clear" w:color="auto" w:fill="FFFFFF"/>
          <w:lang w:val="uk-UA"/>
        </w:rPr>
        <w:t>487</w:t>
      </w:r>
      <w:r w:rsidRPr="002E6ECA">
        <w:rPr>
          <w:sz w:val="28"/>
          <w:szCs w:val="28"/>
          <w:lang w:val="uk-UA"/>
        </w:rPr>
        <w:t xml:space="preserve">]. </w:t>
      </w:r>
      <w:r w:rsidRPr="002E6ECA">
        <w:rPr>
          <w:sz w:val="28"/>
          <w:szCs w:val="28"/>
          <w:shd w:val="clear" w:color="auto" w:fill="FFFFFF"/>
          <w:lang w:val="uk-UA"/>
        </w:rPr>
        <w:t>Крім того, стрес може перешкоджати інтеграції нової інформації в існуючу структуру знань, що може перешкодити глибокому мультидисциплінарному розумінню навчального матеріалу Крім того, стрес, змінюючи баланс між системами пам'яті, може перешкоджати  творчому вирішенню  складних та/або нових проблем, що, в свою чергу, може призвести до недооцінки здібностей учнів та заниження їх  самооцінки [</w:t>
      </w:r>
      <w:r w:rsidR="00F16D26" w:rsidRPr="002E6ECA">
        <w:rPr>
          <w:sz w:val="28"/>
          <w:szCs w:val="28"/>
          <w:shd w:val="clear" w:color="auto" w:fill="FFFFFF"/>
          <w:lang w:val="uk-UA"/>
        </w:rPr>
        <w:t>493</w:t>
      </w:r>
      <w:r w:rsidRPr="002E6ECA">
        <w:rPr>
          <w:sz w:val="28"/>
          <w:szCs w:val="28"/>
          <w:shd w:val="clear" w:color="auto" w:fill="FFFFFF"/>
          <w:lang w:val="uk-UA"/>
        </w:rPr>
        <w:t>].</w:t>
      </w:r>
    </w:p>
    <w:p w:rsidR="00F24679" w:rsidRPr="002E6ECA" w:rsidRDefault="00F24679" w:rsidP="00F24679">
      <w:pPr>
        <w:spacing w:line="360" w:lineRule="auto"/>
        <w:ind w:firstLine="709"/>
        <w:jc w:val="both"/>
        <w:rPr>
          <w:sz w:val="28"/>
          <w:szCs w:val="28"/>
          <w:lang w:val="uk-UA"/>
        </w:rPr>
      </w:pPr>
      <w:r w:rsidRPr="002E6ECA">
        <w:rPr>
          <w:sz w:val="28"/>
          <w:szCs w:val="28"/>
          <w:lang w:val="uk-UA"/>
        </w:rPr>
        <w:lastRenderedPageBreak/>
        <w:t>Дослідження шкільного стресу в більш ніж у 18 країнах в регіонах Північної Америки, Великобританії, Східної Європи, Скандинавських країнах і Німеччині виявило тенденцію до помітного зростання шкільного стресу в підлітковому віці в період з 1994 р. по 2010 р. [</w:t>
      </w:r>
      <w:r w:rsidR="00F16D26" w:rsidRPr="002E6ECA">
        <w:rPr>
          <w:sz w:val="28"/>
          <w:szCs w:val="28"/>
          <w:shd w:val="clear" w:color="auto" w:fill="FAFAFA"/>
          <w:lang w:val="uk-UA"/>
        </w:rPr>
        <w:t>377</w:t>
      </w:r>
      <w:r w:rsidRPr="002E6ECA">
        <w:rPr>
          <w:sz w:val="28"/>
          <w:szCs w:val="28"/>
          <w:lang w:val="uk-UA"/>
        </w:rPr>
        <w:t>]. Подібних висновків дійшли дослідники при визначенні взаємозв’язків між рівнем навчального навантаження, формуванням академічного стресу, у т.ч. у обдарованих дітей і при вираженому перфекціонізмі [</w:t>
      </w:r>
      <w:r w:rsidR="00F16D26" w:rsidRPr="002E6ECA">
        <w:rPr>
          <w:sz w:val="28"/>
          <w:szCs w:val="28"/>
          <w:lang w:val="uk-UA"/>
        </w:rPr>
        <w:t>294, 315, 351</w:t>
      </w:r>
      <w:r w:rsidRPr="002E6ECA">
        <w:rPr>
          <w:sz w:val="28"/>
          <w:szCs w:val="28"/>
          <w:lang w:val="uk-UA"/>
        </w:rPr>
        <w:t>].</w:t>
      </w:r>
    </w:p>
    <w:p w:rsidR="00F24679" w:rsidRPr="002E6ECA" w:rsidRDefault="00F24679" w:rsidP="00F24679">
      <w:pPr>
        <w:spacing w:line="360" w:lineRule="auto"/>
        <w:ind w:firstLine="709"/>
        <w:jc w:val="both"/>
        <w:rPr>
          <w:spacing w:val="-2"/>
          <w:sz w:val="28"/>
          <w:szCs w:val="28"/>
          <w:lang w:val="uk-UA"/>
        </w:rPr>
      </w:pPr>
      <w:r w:rsidRPr="002E6ECA">
        <w:rPr>
          <w:spacing w:val="-2"/>
          <w:sz w:val="28"/>
          <w:szCs w:val="28"/>
          <w:lang w:val="uk-UA"/>
        </w:rPr>
        <w:t>Зазначені дані є досить вагомим підґрунтям для проведення моніторингу рівня шкільного стресу серед учнівської молоді України, оскільки наразі наша система освіти  зазнає суттєвого реформування і заклади освіти набувають значної автономності у визначенні змісту освіти та вибору форм організації навчального процесу. Зокрема, у  2008 р. стартував всеукраїнський педагогічний проєкт «Інтелект України» на засадах меритократичної освіти з використанням освітніх моделей прискорення, поглиблення, збагачення та проблематизації [</w:t>
      </w:r>
      <w:r w:rsidRPr="002E6ECA">
        <w:rPr>
          <w:spacing w:val="-2"/>
          <w:sz w:val="28"/>
          <w:szCs w:val="28"/>
          <w:shd w:val="clear" w:color="auto" w:fill="FFFFFF"/>
          <w:lang w:val="uk-UA"/>
        </w:rPr>
        <w:t>3</w:t>
      </w:r>
      <w:r w:rsidR="00F16D26" w:rsidRPr="002E6ECA">
        <w:rPr>
          <w:spacing w:val="-2"/>
          <w:sz w:val="28"/>
          <w:szCs w:val="28"/>
          <w:shd w:val="clear" w:color="auto" w:fill="FFFFFF"/>
          <w:lang w:val="uk-UA"/>
        </w:rPr>
        <w:t>6</w:t>
      </w:r>
      <w:r w:rsidRPr="002E6ECA">
        <w:rPr>
          <w:spacing w:val="-2"/>
          <w:sz w:val="28"/>
          <w:szCs w:val="28"/>
          <w:lang w:val="uk-UA"/>
        </w:rPr>
        <w:t xml:space="preserve">]. Як бачимо, методологічна основа проєкту передбачає інтенсифікацію навчального процесу, що є провідним фактором шкільного стресу. </w:t>
      </w:r>
    </w:p>
    <w:p w:rsidR="00F24679" w:rsidRPr="002E6ECA" w:rsidRDefault="00F24679" w:rsidP="00F24679">
      <w:pPr>
        <w:spacing w:line="360" w:lineRule="auto"/>
        <w:ind w:firstLine="709"/>
        <w:jc w:val="both"/>
        <w:rPr>
          <w:sz w:val="28"/>
          <w:szCs w:val="28"/>
          <w:lang w:val="uk-UA"/>
        </w:rPr>
      </w:pPr>
      <w:r w:rsidRPr="002E6ECA">
        <w:rPr>
          <w:sz w:val="28"/>
          <w:szCs w:val="28"/>
          <w:lang w:val="uk-UA"/>
        </w:rPr>
        <w:t>Отже, мета даного етапу дослідження полягала у вивченні рівня напруженості вегетативних регуляторних систем як об’єктивного маркеру шкільного стресу, серед учнів основної школи, які навчаються за меритократичною та традиційною гімназійною системами навчання.</w:t>
      </w:r>
    </w:p>
    <w:p w:rsidR="00F24679" w:rsidRPr="002E6ECA" w:rsidRDefault="00F24679" w:rsidP="00F24679">
      <w:pPr>
        <w:spacing w:line="360" w:lineRule="auto"/>
        <w:ind w:firstLine="709"/>
        <w:jc w:val="both"/>
        <w:rPr>
          <w:sz w:val="28"/>
          <w:szCs w:val="28"/>
          <w:lang w:val="uk-UA"/>
        </w:rPr>
      </w:pPr>
      <w:r w:rsidRPr="002E6ECA">
        <w:rPr>
          <w:sz w:val="28"/>
          <w:szCs w:val="28"/>
          <w:lang w:val="uk-UA"/>
        </w:rPr>
        <w:t>Адаптація підлітків до шкільного стресу та академічного навантаження висуває підвищені вимоги до регулюючих систем, які й так є напруженими внаслідок статевого дозрівання учнів. Такий дисбаланс між навантаженням на систему та її можливостями досить часто стає причиною розвитку вегетативних дисфункцій та психічних розладів у підлітковому віці [</w:t>
      </w:r>
      <w:r w:rsidR="00F16D26" w:rsidRPr="002E6ECA">
        <w:rPr>
          <w:sz w:val="28"/>
          <w:szCs w:val="28"/>
          <w:lang w:val="uk-UA"/>
        </w:rPr>
        <w:t>320,</w:t>
      </w:r>
      <w:r w:rsidR="00F16D26" w:rsidRPr="002E6ECA">
        <w:rPr>
          <w:lang w:val="uk-UA"/>
        </w:rPr>
        <w:t xml:space="preserve"> </w:t>
      </w:r>
      <w:r w:rsidR="00F16D26" w:rsidRPr="002E6ECA">
        <w:rPr>
          <w:sz w:val="28"/>
          <w:szCs w:val="28"/>
          <w:lang w:val="uk-UA"/>
        </w:rPr>
        <w:t>342,</w:t>
      </w:r>
      <w:r w:rsidR="00F16D26" w:rsidRPr="002E6ECA">
        <w:rPr>
          <w:lang w:val="uk-UA"/>
        </w:rPr>
        <w:t xml:space="preserve"> </w:t>
      </w:r>
      <w:r w:rsidR="00F16D26" w:rsidRPr="002E6ECA">
        <w:rPr>
          <w:sz w:val="28"/>
          <w:szCs w:val="28"/>
          <w:lang w:val="uk-UA"/>
        </w:rPr>
        <w:t>409</w:t>
      </w:r>
      <w:r w:rsidRPr="002E6ECA">
        <w:rPr>
          <w:sz w:val="28"/>
          <w:szCs w:val="28"/>
          <w:lang w:val="uk-UA"/>
        </w:rPr>
        <w:t>].</w:t>
      </w:r>
    </w:p>
    <w:p w:rsidR="00F24679" w:rsidRPr="002E6ECA" w:rsidRDefault="00F24679" w:rsidP="00F24679">
      <w:pPr>
        <w:spacing w:line="360" w:lineRule="auto"/>
        <w:ind w:firstLine="709"/>
        <w:jc w:val="both"/>
        <w:rPr>
          <w:sz w:val="28"/>
          <w:szCs w:val="28"/>
          <w:lang w:val="uk-UA"/>
        </w:rPr>
      </w:pPr>
      <w:r w:rsidRPr="002E6ECA">
        <w:rPr>
          <w:sz w:val="28"/>
          <w:szCs w:val="28"/>
          <w:lang w:val="uk-UA"/>
        </w:rPr>
        <w:t>При дослідженні стресу серед учнівської молоді традиційно використовують оцінку стану вегетативної нервової системи або гіпоталамо-гіпофізарно-наднирникової системи [</w:t>
      </w:r>
      <w:r w:rsidR="00F16D26" w:rsidRPr="002E6ECA">
        <w:rPr>
          <w:sz w:val="28"/>
          <w:szCs w:val="28"/>
          <w:shd w:val="clear" w:color="auto" w:fill="FFFFFF"/>
          <w:lang w:val="uk-UA"/>
        </w:rPr>
        <w:t>448</w:t>
      </w:r>
      <w:r w:rsidRPr="002E6ECA">
        <w:rPr>
          <w:sz w:val="28"/>
          <w:szCs w:val="28"/>
          <w:lang w:val="uk-UA"/>
        </w:rPr>
        <w:t xml:space="preserve">]. У поточному дослідженні ми зупинили свій вибір на оцінці стану вегетативної нервової системи за параметрами варіабельності серцевого ритму (ВСР), оскільки ВСР вважається </w:t>
      </w:r>
      <w:r w:rsidRPr="002E6ECA">
        <w:rPr>
          <w:sz w:val="28"/>
          <w:szCs w:val="28"/>
          <w:lang w:val="uk-UA"/>
        </w:rPr>
        <w:lastRenderedPageBreak/>
        <w:t>стандартним, надійним і неінвазивним засобом для забезпечення всебічної, кількісної та якісної оцінки вегетативної нервової системи [</w:t>
      </w:r>
      <w:r w:rsidR="00F16D26" w:rsidRPr="002E6ECA">
        <w:rPr>
          <w:sz w:val="28"/>
          <w:szCs w:val="28"/>
          <w:shd w:val="clear" w:color="auto" w:fill="FFFFFF"/>
          <w:lang w:val="uk-UA"/>
        </w:rPr>
        <w:t>462</w:t>
      </w:r>
      <w:r w:rsidRPr="002E6ECA">
        <w:rPr>
          <w:sz w:val="28"/>
          <w:szCs w:val="28"/>
          <w:lang w:val="uk-UA"/>
        </w:rPr>
        <w:t xml:space="preserve">]. Крім того, параметри ВСР визнаються надійний і чутливий маркер як фізичного, так і психологічного стресу </w:t>
      </w:r>
      <w:r w:rsidRPr="002E6ECA">
        <w:rPr>
          <w:sz w:val="28"/>
          <w:szCs w:val="28"/>
          <w:shd w:val="clear" w:color="auto" w:fill="FFFFFF"/>
          <w:lang w:val="uk-UA"/>
        </w:rPr>
        <w:t>[</w:t>
      </w:r>
      <w:r w:rsidR="00F16D26" w:rsidRPr="002E6ECA">
        <w:rPr>
          <w:sz w:val="28"/>
          <w:szCs w:val="28"/>
          <w:shd w:val="clear" w:color="auto" w:fill="FFFFFF"/>
          <w:lang w:val="uk-UA"/>
        </w:rPr>
        <w:t>292,</w:t>
      </w:r>
      <w:r w:rsidR="00F16D26" w:rsidRPr="002E6ECA">
        <w:rPr>
          <w:lang w:val="uk-UA"/>
        </w:rPr>
        <w:t xml:space="preserve"> </w:t>
      </w:r>
      <w:r w:rsidR="00F16D26" w:rsidRPr="002E6ECA">
        <w:rPr>
          <w:sz w:val="28"/>
          <w:szCs w:val="28"/>
          <w:shd w:val="clear" w:color="auto" w:fill="FFFFFF"/>
          <w:lang w:val="uk-UA"/>
        </w:rPr>
        <w:t>333,</w:t>
      </w:r>
      <w:r w:rsidR="00F16D26" w:rsidRPr="002E6ECA">
        <w:rPr>
          <w:lang w:val="uk-UA"/>
        </w:rPr>
        <w:t xml:space="preserve"> </w:t>
      </w:r>
      <w:r w:rsidR="00F16D26" w:rsidRPr="002E6ECA">
        <w:rPr>
          <w:sz w:val="28"/>
          <w:szCs w:val="28"/>
          <w:shd w:val="clear" w:color="auto" w:fill="FFFFFF"/>
          <w:lang w:val="uk-UA"/>
        </w:rPr>
        <w:t>482</w:t>
      </w:r>
      <w:r w:rsidRPr="002E6ECA">
        <w:rPr>
          <w:sz w:val="28"/>
          <w:szCs w:val="28"/>
          <w:lang w:val="uk-UA"/>
        </w:rPr>
        <w:t>], зокрема шкільного стресу [</w:t>
      </w:r>
      <w:r w:rsidR="00F16D26" w:rsidRPr="002E6ECA">
        <w:rPr>
          <w:sz w:val="28"/>
          <w:szCs w:val="28"/>
          <w:shd w:val="clear" w:color="auto" w:fill="FFFFFF"/>
          <w:lang w:val="uk-UA"/>
        </w:rPr>
        <w:t>406,</w:t>
      </w:r>
      <w:r w:rsidR="00F16D26" w:rsidRPr="002E6ECA">
        <w:rPr>
          <w:lang w:val="uk-UA"/>
        </w:rPr>
        <w:t xml:space="preserve"> </w:t>
      </w:r>
      <w:r w:rsidR="00F16D26" w:rsidRPr="002E6ECA">
        <w:rPr>
          <w:sz w:val="28"/>
          <w:szCs w:val="28"/>
          <w:shd w:val="clear" w:color="auto" w:fill="FFFFFF"/>
          <w:lang w:val="uk-UA"/>
        </w:rPr>
        <w:t>461</w:t>
      </w:r>
      <w:r w:rsidRPr="002E6ECA">
        <w:rPr>
          <w:sz w:val="28"/>
          <w:szCs w:val="28"/>
          <w:lang w:val="uk-UA"/>
        </w:rPr>
        <w:t>], або стресосійкості [</w:t>
      </w:r>
      <w:r w:rsidR="009A04FD" w:rsidRPr="002E6ECA">
        <w:rPr>
          <w:sz w:val="28"/>
          <w:szCs w:val="28"/>
          <w:lang w:val="uk-UA"/>
        </w:rPr>
        <w:t>303</w:t>
      </w:r>
      <w:r w:rsidRPr="002E6ECA">
        <w:rPr>
          <w:sz w:val="28"/>
          <w:szCs w:val="28"/>
          <w:lang w:val="uk-UA"/>
        </w:rPr>
        <w:t>].</w:t>
      </w:r>
    </w:p>
    <w:p w:rsidR="00F24679" w:rsidRPr="002E6ECA" w:rsidRDefault="00F24679" w:rsidP="00F24679">
      <w:pPr>
        <w:spacing w:line="360" w:lineRule="auto"/>
        <w:ind w:firstLine="709"/>
        <w:jc w:val="both"/>
        <w:rPr>
          <w:sz w:val="28"/>
          <w:szCs w:val="28"/>
          <w:lang w:val="uk-UA"/>
        </w:rPr>
      </w:pPr>
      <w:r w:rsidRPr="002E6ECA">
        <w:rPr>
          <w:sz w:val="28"/>
          <w:szCs w:val="28"/>
          <w:lang w:val="uk-UA"/>
        </w:rPr>
        <w:t>ВСР на різних етапах онтогенезу розглядається як надійний біомаркер низхідної регуляції емоційний, когнітивних і поведінкових процесів [</w:t>
      </w:r>
      <w:r w:rsidR="00F16D26" w:rsidRPr="002E6ECA">
        <w:rPr>
          <w:sz w:val="28"/>
          <w:szCs w:val="28"/>
          <w:shd w:val="clear" w:color="auto" w:fill="FFFFFF"/>
          <w:lang w:val="uk-UA"/>
        </w:rPr>
        <w:t>356</w:t>
      </w:r>
      <w:r w:rsidRPr="002E6ECA">
        <w:rPr>
          <w:sz w:val="28"/>
          <w:szCs w:val="28"/>
          <w:lang w:val="uk-UA"/>
        </w:rPr>
        <w:t>]. Оптимальний рівень ВСР пов'язаний з станом здоров’я та здатністю до саморегуляції, а також здатністю до адаптації та резистентності. Вища ВСР у стані спокою є ознакою більш досконалого управління емоціями та стресом, вищої виконавчої продуктивності та кращого соціального функціонування [</w:t>
      </w:r>
      <w:r w:rsidR="00F16D26" w:rsidRPr="002E6ECA">
        <w:rPr>
          <w:sz w:val="28"/>
          <w:szCs w:val="28"/>
          <w:shd w:val="clear" w:color="auto" w:fill="FFFFFF"/>
          <w:lang w:val="uk-UA"/>
        </w:rPr>
        <w:t>387, 449,</w:t>
      </w:r>
      <w:r w:rsidR="00F16D26" w:rsidRPr="002E6ECA">
        <w:rPr>
          <w:lang w:val="uk-UA"/>
        </w:rPr>
        <w:t xml:space="preserve"> </w:t>
      </w:r>
      <w:r w:rsidR="00F16D26" w:rsidRPr="002E6ECA">
        <w:rPr>
          <w:sz w:val="28"/>
          <w:szCs w:val="28"/>
          <w:shd w:val="clear" w:color="auto" w:fill="FFFFFF"/>
          <w:lang w:val="uk-UA"/>
        </w:rPr>
        <w:t>482</w:t>
      </w:r>
      <w:r w:rsidRPr="002E6ECA">
        <w:rPr>
          <w:sz w:val="28"/>
          <w:szCs w:val="28"/>
          <w:lang w:val="uk-UA"/>
        </w:rPr>
        <w:t>].</w:t>
      </w:r>
    </w:p>
    <w:p w:rsidR="00F24679" w:rsidRPr="002E6ECA" w:rsidRDefault="00F24679" w:rsidP="00F24679">
      <w:pPr>
        <w:spacing w:line="360" w:lineRule="auto"/>
        <w:ind w:firstLine="709"/>
        <w:jc w:val="both"/>
        <w:rPr>
          <w:sz w:val="28"/>
          <w:szCs w:val="28"/>
          <w:shd w:val="clear" w:color="auto" w:fill="FFFFFF"/>
          <w:lang w:val="uk-UA"/>
        </w:rPr>
      </w:pPr>
      <w:r w:rsidRPr="002E6ECA">
        <w:rPr>
          <w:sz w:val="28"/>
          <w:szCs w:val="28"/>
          <w:lang w:val="uk-UA"/>
        </w:rPr>
        <w:t xml:space="preserve">Висока ВСР вказує на здорову і адаптивну систему вегетативного забезпечення, в </w:t>
      </w:r>
      <w:r w:rsidRPr="002E6ECA">
        <w:rPr>
          <w:spacing w:val="-4"/>
          <w:sz w:val="28"/>
          <w:szCs w:val="28"/>
          <w:lang w:val="uk-UA"/>
        </w:rPr>
        <w:t>той час як низька ВСР може бути раннім індикатором аномального функціонування ВНС [</w:t>
      </w:r>
      <w:r w:rsidR="00F16D26" w:rsidRPr="002E6ECA">
        <w:rPr>
          <w:sz w:val="28"/>
          <w:szCs w:val="28"/>
          <w:shd w:val="clear" w:color="auto" w:fill="FFFFFF"/>
          <w:lang w:val="uk-UA"/>
        </w:rPr>
        <w:t>312,</w:t>
      </w:r>
      <w:r w:rsidR="00F16D26" w:rsidRPr="002E6ECA">
        <w:rPr>
          <w:lang w:val="uk-UA"/>
        </w:rPr>
        <w:t xml:space="preserve"> </w:t>
      </w:r>
      <w:r w:rsidR="00F16D26" w:rsidRPr="002E6ECA">
        <w:rPr>
          <w:sz w:val="28"/>
          <w:szCs w:val="28"/>
          <w:shd w:val="clear" w:color="auto" w:fill="FFFFFF"/>
          <w:lang w:val="uk-UA"/>
        </w:rPr>
        <w:t>407</w:t>
      </w:r>
      <w:r w:rsidRPr="002E6ECA">
        <w:rPr>
          <w:spacing w:val="-4"/>
          <w:sz w:val="28"/>
          <w:szCs w:val="28"/>
          <w:lang w:val="uk-UA"/>
        </w:rPr>
        <w:t>]. Висока симпатовагальна модуляція (LF, LF/HF), зниження активності вагусу (HF) є типовими маркерами стресу [</w:t>
      </w:r>
      <w:r w:rsidR="00F16D26" w:rsidRPr="002E6ECA">
        <w:rPr>
          <w:sz w:val="28"/>
          <w:szCs w:val="28"/>
          <w:shd w:val="clear" w:color="auto" w:fill="FFFFFF"/>
          <w:lang w:val="uk-UA"/>
        </w:rPr>
        <w:t>453</w:t>
      </w:r>
      <w:r w:rsidRPr="002E6ECA">
        <w:rPr>
          <w:spacing w:val="-4"/>
          <w:sz w:val="28"/>
          <w:szCs w:val="28"/>
          <w:lang w:val="uk-UA"/>
        </w:rPr>
        <w:t>] та суб’єктивного сприйняття стресової ситуації як більш сильної [</w:t>
      </w:r>
      <w:r w:rsidR="00F16D26" w:rsidRPr="002E6ECA">
        <w:rPr>
          <w:sz w:val="28"/>
          <w:szCs w:val="28"/>
          <w:shd w:val="clear" w:color="auto" w:fill="FFFFFF"/>
          <w:lang w:val="uk-UA"/>
        </w:rPr>
        <w:t>448</w:t>
      </w:r>
      <w:r w:rsidRPr="002E6ECA">
        <w:rPr>
          <w:spacing w:val="-4"/>
          <w:sz w:val="28"/>
          <w:szCs w:val="28"/>
          <w:shd w:val="clear" w:color="auto" w:fill="FFFFFF"/>
          <w:lang w:val="uk-UA"/>
        </w:rPr>
        <w:t>]</w:t>
      </w:r>
      <w:r w:rsidRPr="002E6ECA">
        <w:rPr>
          <w:sz w:val="28"/>
          <w:szCs w:val="28"/>
          <w:shd w:val="clear" w:color="auto" w:fill="FFFFFF"/>
          <w:lang w:val="uk-UA"/>
        </w:rPr>
        <w:t>.</w:t>
      </w:r>
    </w:p>
    <w:p w:rsidR="00F24679" w:rsidRPr="002E6ECA" w:rsidRDefault="00F24679" w:rsidP="00F24679">
      <w:pPr>
        <w:spacing w:line="360" w:lineRule="auto"/>
        <w:ind w:firstLine="709"/>
        <w:contextualSpacing/>
        <w:jc w:val="both"/>
        <w:rPr>
          <w:sz w:val="28"/>
          <w:szCs w:val="28"/>
        </w:rPr>
      </w:pPr>
      <w:r w:rsidRPr="002E6ECA">
        <w:rPr>
          <w:sz w:val="28"/>
          <w:szCs w:val="28"/>
          <w:lang w:val="uk-UA"/>
        </w:rPr>
        <w:t>Середній шкільний вік охоплює період пубертатного розвитку організму дитини, який супроводжується значними морфофункціональними перебудовами в організмі дитини, що створює передумови для напруження механізмів вегетативної регуляції, а за  надмірного впливу факторів освітнього середовища може спровокувати розвиток вегетативної дисфункції з подальшою соматичною патологією. Тому при побудові освітніх програм для середньої школи важливо знати, на який саме вік припадає сенситивний період розвитку регуляторних механізмів. З метою пошуку відповіді на це питання проведено лонгітюдне дослідження ВСР 60 учнів в період навчання з 5-го по 7-й клас.</w:t>
      </w:r>
    </w:p>
    <w:p w:rsidR="008C1121" w:rsidRPr="002E6ECA" w:rsidRDefault="00F24679" w:rsidP="008C1121">
      <w:pPr>
        <w:spacing w:line="360" w:lineRule="auto"/>
        <w:ind w:firstLine="709"/>
        <w:contextualSpacing/>
        <w:jc w:val="both"/>
        <w:rPr>
          <w:sz w:val="28"/>
          <w:szCs w:val="28"/>
          <w:lang w:val="uk-UA"/>
        </w:rPr>
      </w:pPr>
      <w:r w:rsidRPr="002E6ECA">
        <w:rPr>
          <w:sz w:val="28"/>
          <w:szCs w:val="28"/>
          <w:lang w:val="uk-UA"/>
        </w:rPr>
        <w:t>За результатами однофакторного дисперсійного аналізу за Фрідманом встановлено, що у середньому шкільному віці відбуваються статистично достовірні (</w:t>
      </w:r>
      <w:r w:rsidRPr="002E6ECA">
        <w:rPr>
          <w:sz w:val="28"/>
          <w:szCs w:val="28"/>
          <w:lang w:val="en-US"/>
        </w:rPr>
        <w:t>p</w:t>
      </w:r>
      <w:r w:rsidRPr="002E6ECA">
        <w:rPr>
          <w:sz w:val="28"/>
          <w:szCs w:val="28"/>
        </w:rPr>
        <w:t>&lt;</w:t>
      </w:r>
      <w:r w:rsidRPr="002E6ECA">
        <w:rPr>
          <w:sz w:val="28"/>
          <w:szCs w:val="28"/>
          <w:lang w:val="uk-UA"/>
        </w:rPr>
        <w:t xml:space="preserve">0,05) зміни 17 з 24 досліджуваних параметрів ВСР (табл. 5.3). </w:t>
      </w:r>
      <w:r w:rsidR="008C1121" w:rsidRPr="002E6ECA">
        <w:rPr>
          <w:sz w:val="28"/>
          <w:szCs w:val="28"/>
          <w:lang w:val="uk-UA"/>
        </w:rPr>
        <w:t xml:space="preserve">Спостерігалося зниження загальної варіабельності серцевого ритму (SDNN, TP, </w:t>
      </w:r>
      <w:r w:rsidR="008C1121" w:rsidRPr="002E6ECA">
        <w:rPr>
          <w:sz w:val="28"/>
          <w:szCs w:val="28"/>
          <w:lang w:val="uk-UA"/>
        </w:rPr>
        <w:lastRenderedPageBreak/>
        <w:t>Δ</w:t>
      </w:r>
      <w:r w:rsidR="00C23DB8" w:rsidRPr="002E6ECA">
        <w:rPr>
          <w:sz w:val="28"/>
          <w:szCs w:val="28"/>
          <w:lang w:val="en-US"/>
        </w:rPr>
        <w:t>X</w:t>
      </w:r>
      <w:r w:rsidR="008C1121" w:rsidRPr="002E6ECA">
        <w:rPr>
          <w:sz w:val="28"/>
          <w:szCs w:val="28"/>
          <w:lang w:val="uk-UA"/>
        </w:rPr>
        <w:t>) та спектральної потужності усіх частотних діапазонів ВСР (VLF, HF, LF), питомої (CVr, RMSSD, pNN50, HF%, HFn) активності парасимпатичної нервової системи на фоні збільшення значень показників активності центрального та автономного контурів регуляції (СС0, СС1), симпато-вагального балансу (LF/HF, ВПР), питомої активності вищих вегетативних центрів (%VLF) та показника адекватності процесів регуляції.</w:t>
      </w:r>
    </w:p>
    <w:p w:rsidR="008F59A7" w:rsidRPr="002E6ECA" w:rsidRDefault="008F59A7" w:rsidP="00337390">
      <w:pPr>
        <w:spacing w:line="276" w:lineRule="auto"/>
        <w:ind w:firstLine="709"/>
        <w:jc w:val="right"/>
        <w:rPr>
          <w:i/>
          <w:sz w:val="28"/>
          <w:szCs w:val="28"/>
          <w:lang w:val="uk-UA"/>
        </w:rPr>
      </w:pPr>
      <w:r w:rsidRPr="002E6ECA">
        <w:rPr>
          <w:i/>
          <w:sz w:val="28"/>
          <w:szCs w:val="28"/>
          <w:lang w:val="uk-UA"/>
        </w:rPr>
        <w:t>Таблиця 5.3</w:t>
      </w:r>
    </w:p>
    <w:p w:rsidR="008F59A7" w:rsidRPr="002E6ECA" w:rsidRDefault="008F59A7" w:rsidP="00591BE4">
      <w:pPr>
        <w:spacing w:line="360" w:lineRule="auto"/>
        <w:ind w:firstLine="709"/>
        <w:rPr>
          <w:b/>
          <w:sz w:val="28"/>
          <w:szCs w:val="28"/>
          <w:lang w:val="uk-UA"/>
        </w:rPr>
      </w:pPr>
      <w:r w:rsidRPr="002E6ECA">
        <w:rPr>
          <w:b/>
          <w:sz w:val="28"/>
          <w:szCs w:val="28"/>
          <w:lang w:val="uk-UA"/>
        </w:rPr>
        <w:t>Вікова динаміка показників ВСР в період з 5-го по 7-й роки навчання</w:t>
      </w:r>
    </w:p>
    <w:tbl>
      <w:tblPr>
        <w:tblW w:w="9813" w:type="dxa"/>
        <w:tblInd w:w="91" w:type="dxa"/>
        <w:tblLayout w:type="fixed"/>
        <w:tblLook w:val="04A0" w:firstRow="1" w:lastRow="0" w:firstColumn="1" w:lastColumn="0" w:noHBand="0" w:noVBand="1"/>
      </w:tblPr>
      <w:tblGrid>
        <w:gridCol w:w="1212"/>
        <w:gridCol w:w="993"/>
        <w:gridCol w:w="993"/>
        <w:gridCol w:w="945"/>
        <w:gridCol w:w="945"/>
        <w:gridCol w:w="945"/>
        <w:gridCol w:w="945"/>
        <w:gridCol w:w="945"/>
        <w:gridCol w:w="945"/>
        <w:gridCol w:w="945"/>
      </w:tblGrid>
      <w:tr w:rsidR="008F59A7" w:rsidRPr="002E6ECA" w:rsidTr="00FF3827">
        <w:trPr>
          <w:trHeight w:val="595"/>
        </w:trPr>
        <w:tc>
          <w:tcPr>
            <w:tcW w:w="1213" w:type="dxa"/>
            <w:vMerge w:val="restart"/>
            <w:tcBorders>
              <w:top w:val="single" w:sz="4" w:space="0" w:color="auto"/>
              <w:left w:val="single" w:sz="4" w:space="0" w:color="auto"/>
              <w:right w:val="single" w:sz="4" w:space="0" w:color="auto"/>
            </w:tcBorders>
            <w:shd w:val="clear" w:color="auto" w:fill="auto"/>
            <w:noWrap/>
            <w:tcMar>
              <w:left w:w="28" w:type="dxa"/>
            </w:tcMar>
            <w:vAlign w:val="center"/>
          </w:tcPr>
          <w:p w:rsidR="008F59A7" w:rsidRPr="002E6ECA" w:rsidRDefault="008F59A7" w:rsidP="00DC591A">
            <w:pPr>
              <w:spacing w:line="312" w:lineRule="auto"/>
              <w:ind w:firstLine="51"/>
              <w:jc w:val="center"/>
              <w:rPr>
                <w:sz w:val="26"/>
                <w:szCs w:val="26"/>
                <w:lang w:val="uk-UA"/>
              </w:rPr>
            </w:pPr>
            <w:r w:rsidRPr="002E6ECA">
              <w:rPr>
                <w:bCs/>
                <w:spacing w:val="-10"/>
                <w:sz w:val="26"/>
                <w:szCs w:val="26"/>
                <w:lang w:val="uk-UA"/>
              </w:rPr>
              <w:t>Показник</w:t>
            </w:r>
          </w:p>
        </w:tc>
        <w:tc>
          <w:tcPr>
            <w:tcW w:w="2930" w:type="dxa"/>
            <w:gridSpan w:val="3"/>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tcPr>
          <w:p w:rsidR="008F59A7" w:rsidRPr="002E6ECA" w:rsidRDefault="008F59A7" w:rsidP="00FF3827">
            <w:pPr>
              <w:spacing w:line="312" w:lineRule="auto"/>
              <w:ind w:firstLine="51"/>
              <w:jc w:val="center"/>
              <w:rPr>
                <w:bCs/>
                <w:spacing w:val="-10"/>
                <w:sz w:val="26"/>
                <w:szCs w:val="26"/>
                <w:lang w:val="uk-UA"/>
              </w:rPr>
            </w:pPr>
            <w:r w:rsidRPr="002E6ECA">
              <w:rPr>
                <w:bCs/>
                <w:spacing w:val="-10"/>
                <w:sz w:val="26"/>
                <w:szCs w:val="26"/>
                <w:lang w:val="uk-UA"/>
              </w:rPr>
              <w:t>5-й рік навчання</w:t>
            </w:r>
            <w:r w:rsidR="00FF3827" w:rsidRPr="002E6ECA">
              <w:rPr>
                <w:bCs/>
                <w:spacing w:val="-10"/>
                <w:sz w:val="26"/>
                <w:szCs w:val="26"/>
                <w:lang w:val="uk-UA"/>
              </w:rPr>
              <w:t xml:space="preserve"> </w:t>
            </w:r>
            <w:r w:rsidRPr="002E6ECA">
              <w:rPr>
                <w:bCs/>
                <w:spacing w:val="-10"/>
                <w:sz w:val="26"/>
                <w:szCs w:val="26"/>
                <w:lang w:val="uk-UA"/>
              </w:rPr>
              <w:t>(n=60)</w:t>
            </w:r>
          </w:p>
        </w:tc>
        <w:tc>
          <w:tcPr>
            <w:tcW w:w="2835" w:type="dxa"/>
            <w:gridSpan w:val="3"/>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312" w:lineRule="auto"/>
              <w:ind w:firstLine="51"/>
              <w:jc w:val="center"/>
              <w:rPr>
                <w:bCs/>
                <w:spacing w:val="-10"/>
                <w:sz w:val="26"/>
                <w:szCs w:val="26"/>
                <w:lang w:val="uk-UA"/>
              </w:rPr>
            </w:pPr>
            <w:r w:rsidRPr="002E6ECA">
              <w:rPr>
                <w:bCs/>
                <w:spacing w:val="-10"/>
                <w:sz w:val="26"/>
                <w:szCs w:val="26"/>
                <w:lang w:val="uk-UA"/>
              </w:rPr>
              <w:t>6-й рік навчання (n=60)</w:t>
            </w:r>
          </w:p>
        </w:tc>
        <w:tc>
          <w:tcPr>
            <w:tcW w:w="2835" w:type="dxa"/>
            <w:gridSpan w:val="3"/>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312" w:lineRule="auto"/>
              <w:ind w:firstLine="51"/>
              <w:jc w:val="center"/>
              <w:rPr>
                <w:bCs/>
                <w:spacing w:val="-10"/>
                <w:sz w:val="26"/>
                <w:szCs w:val="26"/>
                <w:lang w:val="uk-UA"/>
              </w:rPr>
            </w:pPr>
            <w:r w:rsidRPr="002E6ECA">
              <w:rPr>
                <w:bCs/>
                <w:spacing w:val="-10"/>
                <w:sz w:val="26"/>
                <w:szCs w:val="26"/>
                <w:lang w:val="uk-UA"/>
              </w:rPr>
              <w:t>7-й рік навчання (n=60)</w:t>
            </w:r>
          </w:p>
        </w:tc>
      </w:tr>
      <w:tr w:rsidR="008F59A7" w:rsidRPr="002E6ECA" w:rsidTr="00DC591A">
        <w:trPr>
          <w:trHeight w:val="555"/>
        </w:trPr>
        <w:tc>
          <w:tcPr>
            <w:tcW w:w="1213" w:type="dxa"/>
            <w:vMerge/>
            <w:tcBorders>
              <w:left w:val="single" w:sz="4" w:space="0" w:color="auto"/>
              <w:bottom w:val="single" w:sz="4" w:space="0" w:color="auto"/>
              <w:right w:val="single" w:sz="4" w:space="0" w:color="auto"/>
            </w:tcBorders>
            <w:shd w:val="clear" w:color="auto" w:fill="auto"/>
            <w:noWrap/>
            <w:tcMar>
              <w:left w:w="28" w:type="dxa"/>
            </w:tcMar>
            <w:vAlign w:val="center"/>
          </w:tcPr>
          <w:p w:rsidR="008F59A7" w:rsidRPr="002E6ECA" w:rsidRDefault="008F59A7" w:rsidP="00DC591A">
            <w:pPr>
              <w:spacing w:line="312" w:lineRule="auto"/>
              <w:ind w:firstLine="51"/>
              <w:jc w:val="center"/>
              <w:rPr>
                <w:bCs/>
                <w:spacing w:val="-10"/>
                <w:sz w:val="26"/>
                <w:szCs w:val="26"/>
                <w:lang w:val="uk-UA"/>
              </w:rPr>
            </w:pP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6"/>
                <w:sz w:val="26"/>
                <w:szCs w:val="26"/>
                <w:lang w:val="uk-UA"/>
              </w:rPr>
              <w:t>Медіана</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tcPr>
          <w:p w:rsidR="008F59A7" w:rsidRPr="002E6ECA" w:rsidRDefault="008F59A7" w:rsidP="00337390">
            <w:pPr>
              <w:spacing w:line="276" w:lineRule="auto"/>
              <w:ind w:right="-61" w:hanging="28"/>
              <w:jc w:val="center"/>
              <w:rPr>
                <w:bCs/>
                <w:spacing w:val="-16"/>
                <w:sz w:val="26"/>
                <w:szCs w:val="26"/>
                <w:lang w:val="uk-UA"/>
              </w:rPr>
            </w:pPr>
            <w:r w:rsidRPr="002E6ECA">
              <w:rPr>
                <w:bCs/>
                <w:spacing w:val="-16"/>
                <w:sz w:val="26"/>
                <w:szCs w:val="26"/>
                <w:lang w:val="uk-UA"/>
              </w:rPr>
              <w:t>Нижній квартиль</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8"/>
                <w:sz w:val="26"/>
                <w:szCs w:val="26"/>
                <w:lang w:val="uk-UA"/>
              </w:rPr>
              <w:t>Верхній</w:t>
            </w:r>
            <w:r w:rsidR="00730929" w:rsidRPr="002E6ECA">
              <w:rPr>
                <w:bCs/>
                <w:spacing w:val="-18"/>
                <w:sz w:val="26"/>
                <w:szCs w:val="26"/>
                <w:lang w:val="uk-UA"/>
              </w:rPr>
              <w:t xml:space="preserve"> </w:t>
            </w:r>
            <w:r w:rsidRPr="002E6ECA">
              <w:rPr>
                <w:bCs/>
                <w:spacing w:val="-18"/>
                <w:sz w:val="26"/>
                <w:szCs w:val="26"/>
                <w:lang w:val="uk-UA"/>
              </w:rPr>
              <w:t>квартиль</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6"/>
                <w:sz w:val="26"/>
                <w:szCs w:val="26"/>
                <w:lang w:val="uk-UA"/>
              </w:rPr>
              <w:t>Медіана</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6"/>
                <w:sz w:val="26"/>
                <w:szCs w:val="26"/>
                <w:lang w:val="uk-UA"/>
              </w:rPr>
              <w:t>Нижній квартиль</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8"/>
                <w:sz w:val="26"/>
                <w:szCs w:val="26"/>
                <w:lang w:val="uk-UA"/>
              </w:rPr>
              <w:t>Верхній</w:t>
            </w:r>
            <w:r w:rsidR="00DC591A" w:rsidRPr="002E6ECA">
              <w:rPr>
                <w:bCs/>
                <w:spacing w:val="-18"/>
                <w:sz w:val="26"/>
                <w:szCs w:val="26"/>
                <w:lang w:val="uk-UA"/>
              </w:rPr>
              <w:t xml:space="preserve"> </w:t>
            </w:r>
            <w:r w:rsidRPr="002E6ECA">
              <w:rPr>
                <w:bCs/>
                <w:spacing w:val="-18"/>
                <w:sz w:val="26"/>
                <w:szCs w:val="26"/>
                <w:lang w:val="uk-UA"/>
              </w:rPr>
              <w:t>квартиль</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6"/>
                <w:sz w:val="26"/>
                <w:szCs w:val="26"/>
                <w:lang w:val="uk-UA"/>
              </w:rPr>
              <w:t>Медіана</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6"/>
                <w:sz w:val="26"/>
                <w:szCs w:val="26"/>
                <w:lang w:val="uk-UA"/>
              </w:rPr>
              <w:t>Нижній квартиль</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337390">
            <w:pPr>
              <w:spacing w:line="276" w:lineRule="auto"/>
              <w:ind w:right="-108" w:hanging="28"/>
              <w:jc w:val="center"/>
              <w:rPr>
                <w:bCs/>
                <w:spacing w:val="-16"/>
                <w:sz w:val="26"/>
                <w:szCs w:val="26"/>
                <w:lang w:val="uk-UA"/>
              </w:rPr>
            </w:pPr>
            <w:r w:rsidRPr="002E6ECA">
              <w:rPr>
                <w:bCs/>
                <w:spacing w:val="-18"/>
                <w:sz w:val="26"/>
                <w:szCs w:val="26"/>
                <w:lang w:val="uk-UA"/>
              </w:rPr>
              <w:t>Верхній</w:t>
            </w:r>
            <w:r w:rsidR="00DC591A" w:rsidRPr="002E6ECA">
              <w:rPr>
                <w:bCs/>
                <w:spacing w:val="-18"/>
                <w:sz w:val="26"/>
                <w:szCs w:val="26"/>
                <w:lang w:val="uk-UA"/>
              </w:rPr>
              <w:t xml:space="preserve"> </w:t>
            </w:r>
            <w:r w:rsidRPr="002E6ECA">
              <w:rPr>
                <w:bCs/>
                <w:spacing w:val="-18"/>
                <w:sz w:val="26"/>
                <w:szCs w:val="26"/>
                <w:lang w:val="uk-UA"/>
              </w:rPr>
              <w:t>квартиль</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337390">
            <w:pPr>
              <w:spacing w:line="276" w:lineRule="auto"/>
              <w:ind w:firstLine="51"/>
              <w:jc w:val="center"/>
              <w:rPr>
                <w:bCs/>
                <w:spacing w:val="-10"/>
                <w:sz w:val="26"/>
                <w:szCs w:val="26"/>
                <w:lang w:val="uk-UA"/>
              </w:rPr>
            </w:pPr>
            <w:r w:rsidRPr="002E6ECA">
              <w:rPr>
                <w:bCs/>
                <w:spacing w:val="-10"/>
                <w:sz w:val="26"/>
                <w:szCs w:val="26"/>
                <w:lang w:val="uk-UA"/>
              </w:rPr>
              <w:t>ЧСС, уд./хв.</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84,76</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76,43</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92,33</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84,67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76,80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93,62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85,26</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79,08</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94,09</w:t>
            </w:r>
          </w:p>
        </w:tc>
      </w:tr>
      <w:tr w:rsidR="008F59A7" w:rsidRPr="002E6ECA" w:rsidTr="00DC591A">
        <w:trPr>
          <w:trHeight w:val="211"/>
        </w:trPr>
        <w:tc>
          <w:tcPr>
            <w:tcW w:w="9813" w:type="dxa"/>
            <w:gridSpan w:val="10"/>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Статистичні показники</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Mean, мс</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707,91</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649,87</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785,07</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708,66</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640,90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781,20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703,77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637,67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758,76</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C23DB8" w:rsidP="00FF3827">
            <w:pPr>
              <w:spacing w:line="276" w:lineRule="auto"/>
              <w:ind w:firstLine="51"/>
              <w:jc w:val="center"/>
              <w:rPr>
                <w:bCs/>
                <w:spacing w:val="-10"/>
                <w:sz w:val="26"/>
                <w:szCs w:val="26"/>
                <w:lang w:val="uk-UA"/>
              </w:rPr>
            </w:pPr>
            <w:r w:rsidRPr="002E6ECA">
              <w:rPr>
                <w:bCs/>
                <w:spacing w:val="-10"/>
                <w:sz w:val="26"/>
                <w:szCs w:val="26"/>
                <w:lang w:val="en-US"/>
              </w:rPr>
              <w:t>C</w:t>
            </w:r>
            <w:r w:rsidR="008F59A7" w:rsidRPr="002E6ECA">
              <w:rPr>
                <w:bCs/>
                <w:spacing w:val="-10"/>
                <w:sz w:val="26"/>
                <w:szCs w:val="26"/>
                <w:lang w:val="uk-UA"/>
              </w:rPr>
              <w:t>Vr,%</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8,48*</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6,93</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9,98</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7,61</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6,46</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9,11</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7,24</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5,65</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9,06</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SDNN, мс</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60,63*</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48,06</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75,72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56,14</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42,79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70,49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49,32</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38,22</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62,09</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2"/>
                <w:sz w:val="26"/>
                <w:szCs w:val="26"/>
                <w:lang w:val="uk-UA"/>
              </w:rPr>
            </w:pPr>
            <w:r w:rsidRPr="002E6ECA">
              <w:rPr>
                <w:bCs/>
                <w:spacing w:val="-12"/>
                <w:sz w:val="26"/>
                <w:szCs w:val="26"/>
                <w:lang w:val="uk-UA"/>
              </w:rPr>
              <w:t>RMSSD, мс</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49,47*</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35,64</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82,17</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47,33</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34,69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65,32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37,97</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29,38</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52,96</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pNN50, %</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31,45*</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17,30</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53,10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26,59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13,99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47,79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16,86</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8,02</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33,12</w:t>
            </w:r>
          </w:p>
        </w:tc>
      </w:tr>
      <w:tr w:rsidR="008F59A7" w:rsidRPr="002E6ECA" w:rsidTr="00DC591A">
        <w:trPr>
          <w:trHeight w:val="300"/>
        </w:trPr>
        <w:tc>
          <w:tcPr>
            <w:tcW w:w="9813" w:type="dxa"/>
            <w:gridSpan w:val="10"/>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Варіаційна пульсометрія за Р.М. Баєвським</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Мо, мс</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675,49</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601,99</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759,49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682,50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620,01</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772,00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698,99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629,00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737,50</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Амо, %</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8,85</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7,31</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16,01</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9,04</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7,31</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11,39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9,78</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7,89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12,43</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C23DB8">
            <w:pPr>
              <w:spacing w:line="276" w:lineRule="auto"/>
              <w:ind w:firstLine="51"/>
              <w:jc w:val="center"/>
              <w:rPr>
                <w:bCs/>
                <w:spacing w:val="-10"/>
                <w:sz w:val="26"/>
                <w:szCs w:val="26"/>
                <w:lang w:val="uk-UA"/>
              </w:rPr>
            </w:pPr>
            <w:r w:rsidRPr="002E6ECA">
              <w:rPr>
                <w:bCs/>
                <w:spacing w:val="-10"/>
                <w:sz w:val="26"/>
                <w:szCs w:val="26"/>
                <w:lang w:val="uk-UA"/>
              </w:rPr>
              <w:t>Δ</w:t>
            </w:r>
            <w:r w:rsidR="00C23DB8" w:rsidRPr="002E6ECA">
              <w:rPr>
                <w:bCs/>
                <w:spacing w:val="-10"/>
                <w:sz w:val="26"/>
                <w:szCs w:val="26"/>
                <w:lang w:val="en-US"/>
              </w:rPr>
              <w:t>X</w:t>
            </w:r>
            <w:r w:rsidRPr="002E6ECA">
              <w:rPr>
                <w:bCs/>
                <w:spacing w:val="-10"/>
                <w:sz w:val="26"/>
                <w:szCs w:val="26"/>
                <w:lang w:val="uk-UA"/>
              </w:rPr>
              <w:t>, мс</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340,49*</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266,00</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425,00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328,00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261,50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378,00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276,51</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228,50</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372,51</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ІН, ум. од.</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17,73</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13,27</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40,17</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19,77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12,69</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31,77</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25,23</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15,97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40,60</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ПАПР, ум.од.</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0,62*</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0,29</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0,95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0,52</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0,26</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1,02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0,89</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0,54</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1,54</w:t>
            </w:r>
          </w:p>
        </w:tc>
      </w:tr>
      <w:tr w:rsidR="00337390" w:rsidRPr="002E6ECA" w:rsidTr="00337390">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ІВР, ум. од.</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24,63</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19,00</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51,35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26,42</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18,87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41,29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34,46</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23,65</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337390" w:rsidRPr="002E6ECA" w:rsidRDefault="00337390" w:rsidP="00FF3827">
            <w:pPr>
              <w:spacing w:line="276" w:lineRule="auto"/>
              <w:ind w:firstLine="51"/>
              <w:jc w:val="center"/>
              <w:rPr>
                <w:bCs/>
                <w:spacing w:val="-10"/>
                <w:sz w:val="26"/>
                <w:szCs w:val="26"/>
                <w:lang w:val="uk-UA"/>
              </w:rPr>
            </w:pPr>
            <w:r w:rsidRPr="002E6ECA">
              <w:rPr>
                <w:bCs/>
                <w:spacing w:val="-10"/>
                <w:sz w:val="26"/>
                <w:szCs w:val="26"/>
                <w:lang w:val="uk-UA"/>
              </w:rPr>
              <w:t>53,59</w:t>
            </w:r>
          </w:p>
        </w:tc>
      </w:tr>
      <w:tr w:rsidR="00FF3827" w:rsidRPr="002E6ECA" w:rsidTr="00FF3827">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ВПР, ум. од.</w:t>
            </w:r>
          </w:p>
        </w:tc>
        <w:tc>
          <w:tcPr>
            <w:tcW w:w="993"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4,18*</w:t>
            </w:r>
          </w:p>
        </w:tc>
        <w:tc>
          <w:tcPr>
            <w:tcW w:w="99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3,43</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5,84</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4,54</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3,31</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5,58</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5,14</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3,97</w:t>
            </w:r>
          </w:p>
        </w:tc>
        <w:tc>
          <w:tcPr>
            <w:tcW w:w="945"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FF3827">
            <w:pPr>
              <w:spacing w:line="276" w:lineRule="auto"/>
              <w:ind w:firstLine="51"/>
              <w:jc w:val="center"/>
              <w:rPr>
                <w:bCs/>
                <w:spacing w:val="-10"/>
                <w:sz w:val="26"/>
                <w:szCs w:val="26"/>
                <w:lang w:val="uk-UA"/>
              </w:rPr>
            </w:pPr>
            <w:r w:rsidRPr="002E6ECA">
              <w:rPr>
                <w:bCs/>
                <w:spacing w:val="-10"/>
                <w:sz w:val="26"/>
                <w:szCs w:val="26"/>
                <w:lang w:val="uk-UA"/>
              </w:rPr>
              <w:t>6,92</w:t>
            </w:r>
          </w:p>
        </w:tc>
      </w:tr>
      <w:tr w:rsidR="00FF3827" w:rsidRPr="002E6ECA" w:rsidTr="008009FB">
        <w:trPr>
          <w:trHeight w:val="300"/>
        </w:trPr>
        <w:tc>
          <w:tcPr>
            <w:tcW w:w="9813" w:type="dxa"/>
            <w:gridSpan w:val="10"/>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Автокореляційні показники</w:t>
            </w:r>
          </w:p>
        </w:tc>
      </w:tr>
      <w:tr w:rsidR="00FF3827" w:rsidRPr="002E6ECA" w:rsidTr="008009FB">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СС1</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0,60*</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0,41</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0,72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0,60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0,50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0,71</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0,69</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0,54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0,81</w:t>
            </w:r>
          </w:p>
        </w:tc>
      </w:tr>
      <w:tr w:rsidR="00FF3827" w:rsidRPr="002E6ECA" w:rsidTr="008009FB">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СС0</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4,50*</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2,00</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20,00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5,00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2,00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26,50</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8,00</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6,00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FF3827" w:rsidRPr="002E6ECA" w:rsidRDefault="00FF3827" w:rsidP="008009FB">
            <w:pPr>
              <w:spacing w:line="312" w:lineRule="auto"/>
              <w:ind w:firstLine="51"/>
              <w:jc w:val="center"/>
              <w:rPr>
                <w:bCs/>
                <w:spacing w:val="-10"/>
                <w:sz w:val="26"/>
                <w:szCs w:val="26"/>
                <w:lang w:val="uk-UA"/>
              </w:rPr>
            </w:pPr>
            <w:r w:rsidRPr="002E6ECA">
              <w:rPr>
                <w:bCs/>
                <w:spacing w:val="-10"/>
                <w:sz w:val="26"/>
                <w:szCs w:val="26"/>
                <w:lang w:val="uk-UA"/>
              </w:rPr>
              <w:t>32,00</w:t>
            </w:r>
          </w:p>
        </w:tc>
      </w:tr>
    </w:tbl>
    <w:p w:rsidR="008F59A7" w:rsidRPr="002E6ECA" w:rsidRDefault="008F59A7" w:rsidP="00DC591A">
      <w:pPr>
        <w:spacing w:line="312" w:lineRule="auto"/>
        <w:jc w:val="right"/>
        <w:rPr>
          <w:lang w:val="uk-UA"/>
        </w:rPr>
      </w:pPr>
      <w:r w:rsidRPr="002E6ECA">
        <w:rPr>
          <w:i/>
          <w:sz w:val="28"/>
          <w:szCs w:val="28"/>
          <w:lang w:val="uk-UA"/>
        </w:rPr>
        <w:lastRenderedPageBreak/>
        <w:t>Продовження табл. 5.3</w:t>
      </w:r>
    </w:p>
    <w:tbl>
      <w:tblPr>
        <w:tblW w:w="9813" w:type="dxa"/>
        <w:tblInd w:w="91" w:type="dxa"/>
        <w:tblLayout w:type="fixed"/>
        <w:tblLook w:val="04A0" w:firstRow="1" w:lastRow="0" w:firstColumn="1" w:lastColumn="0" w:noHBand="0" w:noVBand="1"/>
      </w:tblPr>
      <w:tblGrid>
        <w:gridCol w:w="1213"/>
        <w:gridCol w:w="992"/>
        <w:gridCol w:w="993"/>
        <w:gridCol w:w="945"/>
        <w:gridCol w:w="945"/>
        <w:gridCol w:w="945"/>
        <w:gridCol w:w="945"/>
        <w:gridCol w:w="945"/>
        <w:gridCol w:w="945"/>
        <w:gridCol w:w="945"/>
      </w:tblGrid>
      <w:tr w:rsidR="008F59A7" w:rsidRPr="002E6ECA" w:rsidTr="00FF3827">
        <w:trPr>
          <w:trHeight w:val="534"/>
        </w:trPr>
        <w:tc>
          <w:tcPr>
            <w:tcW w:w="1213" w:type="dxa"/>
            <w:vMerge w:val="restart"/>
            <w:tcBorders>
              <w:top w:val="single" w:sz="4" w:space="0" w:color="auto"/>
              <w:left w:val="single" w:sz="4" w:space="0" w:color="auto"/>
              <w:right w:val="single" w:sz="4" w:space="0" w:color="auto"/>
            </w:tcBorders>
            <w:shd w:val="clear" w:color="auto" w:fill="auto"/>
            <w:noWrap/>
            <w:tcMar>
              <w:left w:w="28" w:type="dxa"/>
              <w:right w:w="28" w:type="dxa"/>
            </w:tcMar>
            <w:vAlign w:val="center"/>
          </w:tcPr>
          <w:p w:rsidR="008F59A7" w:rsidRPr="002E6ECA" w:rsidRDefault="008F59A7" w:rsidP="00DC591A">
            <w:pPr>
              <w:spacing w:line="312" w:lineRule="auto"/>
              <w:ind w:firstLine="51"/>
              <w:jc w:val="center"/>
              <w:rPr>
                <w:sz w:val="26"/>
                <w:szCs w:val="26"/>
                <w:lang w:val="uk-UA"/>
              </w:rPr>
            </w:pPr>
            <w:r w:rsidRPr="002E6ECA">
              <w:rPr>
                <w:bCs/>
                <w:spacing w:val="-10"/>
                <w:sz w:val="26"/>
                <w:szCs w:val="26"/>
                <w:lang w:val="uk-UA"/>
              </w:rPr>
              <w:t>Показник</w:t>
            </w:r>
          </w:p>
        </w:tc>
        <w:tc>
          <w:tcPr>
            <w:tcW w:w="2930" w:type="dxa"/>
            <w:gridSpan w:val="3"/>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8F59A7" w:rsidRPr="002E6ECA" w:rsidRDefault="008F59A7" w:rsidP="00FF3827">
            <w:pPr>
              <w:spacing w:line="312" w:lineRule="auto"/>
              <w:ind w:firstLine="51"/>
              <w:jc w:val="center"/>
              <w:rPr>
                <w:bCs/>
                <w:spacing w:val="-10"/>
                <w:sz w:val="26"/>
                <w:szCs w:val="26"/>
                <w:lang w:val="uk-UA"/>
              </w:rPr>
            </w:pPr>
            <w:r w:rsidRPr="002E6ECA">
              <w:rPr>
                <w:bCs/>
                <w:spacing w:val="-10"/>
                <w:sz w:val="26"/>
                <w:szCs w:val="26"/>
                <w:lang w:val="uk-UA"/>
              </w:rPr>
              <w:t>5-й рік навчання</w:t>
            </w:r>
            <w:r w:rsidR="00FF3827" w:rsidRPr="002E6ECA">
              <w:rPr>
                <w:bCs/>
                <w:spacing w:val="-10"/>
                <w:sz w:val="26"/>
                <w:szCs w:val="26"/>
                <w:lang w:val="uk-UA"/>
              </w:rPr>
              <w:t xml:space="preserve"> </w:t>
            </w:r>
            <w:r w:rsidRPr="002E6ECA">
              <w:rPr>
                <w:bCs/>
                <w:spacing w:val="-10"/>
                <w:sz w:val="26"/>
                <w:szCs w:val="26"/>
                <w:lang w:val="uk-UA"/>
              </w:rPr>
              <w:t>(n=60)</w:t>
            </w:r>
          </w:p>
        </w:tc>
        <w:tc>
          <w:tcPr>
            <w:tcW w:w="2835"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FF3827">
            <w:pPr>
              <w:spacing w:line="312" w:lineRule="auto"/>
              <w:ind w:firstLine="51"/>
              <w:jc w:val="center"/>
              <w:rPr>
                <w:bCs/>
                <w:spacing w:val="-10"/>
                <w:sz w:val="26"/>
                <w:szCs w:val="26"/>
                <w:lang w:val="uk-UA"/>
              </w:rPr>
            </w:pPr>
            <w:r w:rsidRPr="002E6ECA">
              <w:rPr>
                <w:bCs/>
                <w:spacing w:val="-10"/>
                <w:sz w:val="26"/>
                <w:szCs w:val="26"/>
                <w:lang w:val="uk-UA"/>
              </w:rPr>
              <w:t>6-й рік навчання</w:t>
            </w:r>
            <w:r w:rsidR="00FF3827" w:rsidRPr="002E6ECA">
              <w:rPr>
                <w:bCs/>
                <w:spacing w:val="-10"/>
                <w:sz w:val="26"/>
                <w:szCs w:val="26"/>
                <w:lang w:val="uk-UA"/>
              </w:rPr>
              <w:t xml:space="preserve"> </w:t>
            </w:r>
            <w:r w:rsidRPr="002E6ECA">
              <w:rPr>
                <w:bCs/>
                <w:spacing w:val="-10"/>
                <w:sz w:val="26"/>
                <w:szCs w:val="26"/>
                <w:lang w:val="uk-UA"/>
              </w:rPr>
              <w:t xml:space="preserve"> (n=60)</w:t>
            </w:r>
          </w:p>
        </w:tc>
        <w:tc>
          <w:tcPr>
            <w:tcW w:w="2835" w:type="dxa"/>
            <w:gridSpan w:val="3"/>
            <w:tcBorders>
              <w:top w:val="single" w:sz="4" w:space="0" w:color="auto"/>
              <w:left w:val="single" w:sz="4" w:space="0" w:color="auto"/>
              <w:bottom w:val="single" w:sz="4" w:space="0" w:color="auto"/>
              <w:right w:val="single" w:sz="4" w:space="0" w:color="auto"/>
            </w:tcBorders>
            <w:tcMar>
              <w:left w:w="28" w:type="dxa"/>
              <w:right w:w="28" w:type="dxa"/>
            </w:tcMar>
          </w:tcPr>
          <w:p w:rsidR="008F59A7" w:rsidRPr="002E6ECA" w:rsidRDefault="008F59A7" w:rsidP="00FF3827">
            <w:pPr>
              <w:spacing w:line="312" w:lineRule="auto"/>
              <w:ind w:firstLine="51"/>
              <w:jc w:val="center"/>
              <w:rPr>
                <w:bCs/>
                <w:spacing w:val="-10"/>
                <w:sz w:val="26"/>
                <w:szCs w:val="26"/>
                <w:lang w:val="uk-UA"/>
              </w:rPr>
            </w:pPr>
            <w:r w:rsidRPr="002E6ECA">
              <w:rPr>
                <w:bCs/>
                <w:spacing w:val="-10"/>
                <w:sz w:val="26"/>
                <w:szCs w:val="26"/>
                <w:lang w:val="uk-UA"/>
              </w:rPr>
              <w:t>7-й рік навчання</w:t>
            </w:r>
            <w:r w:rsidR="00FF3827" w:rsidRPr="002E6ECA">
              <w:rPr>
                <w:bCs/>
                <w:spacing w:val="-10"/>
                <w:sz w:val="26"/>
                <w:szCs w:val="26"/>
                <w:lang w:val="uk-UA"/>
              </w:rPr>
              <w:t xml:space="preserve"> </w:t>
            </w:r>
            <w:r w:rsidRPr="002E6ECA">
              <w:rPr>
                <w:bCs/>
                <w:spacing w:val="-10"/>
                <w:sz w:val="26"/>
                <w:szCs w:val="26"/>
                <w:lang w:val="uk-UA"/>
              </w:rPr>
              <w:t xml:space="preserve"> (n=60)</w:t>
            </w:r>
          </w:p>
        </w:tc>
      </w:tr>
      <w:tr w:rsidR="008F59A7" w:rsidRPr="002E6ECA" w:rsidTr="00DC591A">
        <w:trPr>
          <w:trHeight w:val="555"/>
        </w:trPr>
        <w:tc>
          <w:tcPr>
            <w:tcW w:w="1213"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tcPr>
          <w:p w:rsidR="008F59A7" w:rsidRPr="002E6ECA" w:rsidRDefault="008F59A7" w:rsidP="00FF3827">
            <w:pPr>
              <w:spacing w:line="276" w:lineRule="auto"/>
              <w:ind w:right="-27" w:hanging="28"/>
              <w:jc w:val="center"/>
              <w:rPr>
                <w:bCs/>
                <w:spacing w:val="-16"/>
                <w:sz w:val="26"/>
                <w:szCs w:val="26"/>
                <w:lang w:val="uk-UA"/>
              </w:rPr>
            </w:pPr>
            <w:r w:rsidRPr="002E6ECA">
              <w:rPr>
                <w:bCs/>
                <w:spacing w:val="-16"/>
                <w:sz w:val="26"/>
                <w:szCs w:val="26"/>
                <w:lang w:val="uk-UA"/>
              </w:rPr>
              <w:t>Медіана</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8"/>
                <w:sz w:val="26"/>
                <w:szCs w:val="26"/>
                <w:lang w:val="uk-UA"/>
              </w:rPr>
              <w:t>Нижній квартиль</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8"/>
                <w:sz w:val="26"/>
                <w:szCs w:val="26"/>
                <w:lang w:val="uk-UA"/>
              </w:rPr>
              <w:t>Верхній</w:t>
            </w:r>
            <w:r w:rsidR="00DC591A" w:rsidRPr="002E6ECA">
              <w:rPr>
                <w:bCs/>
                <w:spacing w:val="-18"/>
                <w:sz w:val="26"/>
                <w:szCs w:val="26"/>
                <w:lang w:val="uk-UA"/>
              </w:rPr>
              <w:t xml:space="preserve"> </w:t>
            </w:r>
            <w:r w:rsidRPr="002E6ECA">
              <w:rPr>
                <w:bCs/>
                <w:spacing w:val="-18"/>
                <w:sz w:val="26"/>
                <w:szCs w:val="26"/>
                <w:lang w:val="uk-UA"/>
              </w:rPr>
              <w:t>квартиль</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6"/>
                <w:sz w:val="26"/>
                <w:szCs w:val="26"/>
                <w:lang w:val="uk-UA"/>
              </w:rPr>
              <w:t>Медіана</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6"/>
                <w:sz w:val="26"/>
                <w:szCs w:val="26"/>
                <w:lang w:val="uk-UA"/>
              </w:rPr>
              <w:t>Нижній квартиль</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8"/>
                <w:sz w:val="26"/>
                <w:szCs w:val="26"/>
                <w:lang w:val="uk-UA"/>
              </w:rPr>
              <w:t>Верхній</w:t>
            </w:r>
            <w:r w:rsidR="00DC591A" w:rsidRPr="002E6ECA">
              <w:rPr>
                <w:bCs/>
                <w:spacing w:val="-18"/>
                <w:sz w:val="26"/>
                <w:szCs w:val="26"/>
                <w:lang w:val="uk-UA"/>
              </w:rPr>
              <w:t xml:space="preserve"> </w:t>
            </w:r>
            <w:r w:rsidRPr="002E6ECA">
              <w:rPr>
                <w:bCs/>
                <w:spacing w:val="-18"/>
                <w:sz w:val="26"/>
                <w:szCs w:val="26"/>
                <w:lang w:val="uk-UA"/>
              </w:rPr>
              <w:t>квартиль</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6"/>
                <w:sz w:val="26"/>
                <w:szCs w:val="26"/>
                <w:lang w:val="uk-UA"/>
              </w:rPr>
              <w:t>Медіана</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6"/>
                <w:sz w:val="26"/>
                <w:szCs w:val="26"/>
                <w:lang w:val="uk-UA"/>
              </w:rPr>
              <w:t>Нижній квартиль</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FF3827">
            <w:pPr>
              <w:spacing w:line="276" w:lineRule="auto"/>
              <w:ind w:hanging="28"/>
              <w:jc w:val="center"/>
              <w:rPr>
                <w:bCs/>
                <w:spacing w:val="-16"/>
                <w:sz w:val="26"/>
                <w:szCs w:val="26"/>
                <w:lang w:val="uk-UA"/>
              </w:rPr>
            </w:pPr>
            <w:r w:rsidRPr="002E6ECA">
              <w:rPr>
                <w:bCs/>
                <w:spacing w:val="-18"/>
                <w:sz w:val="26"/>
                <w:szCs w:val="26"/>
                <w:lang w:val="uk-UA"/>
              </w:rPr>
              <w:t>Верхній</w:t>
            </w:r>
            <w:r w:rsidR="00DC591A" w:rsidRPr="002E6ECA">
              <w:rPr>
                <w:bCs/>
                <w:spacing w:val="-18"/>
                <w:sz w:val="26"/>
                <w:szCs w:val="26"/>
                <w:lang w:val="uk-UA"/>
              </w:rPr>
              <w:t xml:space="preserve"> </w:t>
            </w:r>
            <w:r w:rsidRPr="002E6ECA">
              <w:rPr>
                <w:bCs/>
                <w:spacing w:val="-18"/>
                <w:sz w:val="26"/>
                <w:szCs w:val="26"/>
                <w:lang w:val="uk-UA"/>
              </w:rPr>
              <w:t>квартиль</w:t>
            </w:r>
          </w:p>
        </w:tc>
      </w:tr>
      <w:tr w:rsidR="008F59A7" w:rsidRPr="002E6ECA" w:rsidTr="00DC591A">
        <w:trPr>
          <w:trHeight w:val="300"/>
        </w:trPr>
        <w:tc>
          <w:tcPr>
            <w:tcW w:w="9813" w:type="dxa"/>
            <w:gridSpan w:val="10"/>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Спектральні показники</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TP, мс</w:t>
            </w:r>
            <w:r w:rsidRPr="002E6ECA">
              <w:rPr>
                <w:bCs/>
                <w:spacing w:val="-10"/>
                <w:sz w:val="26"/>
                <w:szCs w:val="26"/>
                <w:vertAlign w:val="superscript"/>
                <w:lang w:val="uk-UA"/>
              </w:rPr>
              <w:t>2</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hanging="28"/>
              <w:jc w:val="center"/>
              <w:rPr>
                <w:bCs/>
                <w:spacing w:val="-10"/>
                <w:sz w:val="26"/>
                <w:szCs w:val="26"/>
                <w:lang w:val="uk-UA"/>
              </w:rPr>
            </w:pPr>
            <w:r w:rsidRPr="002E6ECA">
              <w:rPr>
                <w:bCs/>
                <w:spacing w:val="-10"/>
                <w:sz w:val="26"/>
                <w:szCs w:val="26"/>
                <w:lang w:val="uk-UA"/>
              </w:rPr>
              <w:t>1385,24*</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921,74</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2387,65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1257,79</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644,90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1981,35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886,38</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533,22</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1368,10</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VLF, мс</w:t>
            </w:r>
            <w:r w:rsidRPr="002E6ECA">
              <w:rPr>
                <w:bCs/>
                <w:spacing w:val="-10"/>
                <w:sz w:val="26"/>
                <w:szCs w:val="26"/>
                <w:vertAlign w:val="superscript"/>
                <w:lang w:val="uk-UA"/>
              </w:rPr>
              <w:t>2</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155,30*</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88,84</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221,23</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131,54</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72,44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179,27</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117,17</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67,76</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210,92</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LF, мс</w:t>
            </w:r>
            <w:r w:rsidRPr="002E6ECA">
              <w:rPr>
                <w:bCs/>
                <w:spacing w:val="-10"/>
                <w:sz w:val="26"/>
                <w:szCs w:val="26"/>
                <w:vertAlign w:val="superscript"/>
                <w:lang w:val="uk-UA"/>
              </w:rPr>
              <w:t>2</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377,58</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299,48</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637,12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322,18</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181,01</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523,61</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342,61</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182,87</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564,83</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HF, мс</w:t>
            </w:r>
            <w:r w:rsidRPr="002E6ECA">
              <w:rPr>
                <w:bCs/>
                <w:spacing w:val="-10"/>
                <w:sz w:val="26"/>
                <w:szCs w:val="26"/>
                <w:vertAlign w:val="superscript"/>
                <w:lang w:val="uk-UA"/>
              </w:rPr>
              <w:t>2</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688,99*</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366,10</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1542,23</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604,93</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308,63</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1180,22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358,24</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207,34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653,28</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hanging="91"/>
              <w:jc w:val="center"/>
              <w:rPr>
                <w:bCs/>
                <w:spacing w:val="-10"/>
                <w:sz w:val="26"/>
                <w:szCs w:val="26"/>
                <w:lang w:val="uk-UA"/>
              </w:rPr>
            </w:pPr>
            <w:r w:rsidRPr="002E6ECA">
              <w:rPr>
                <w:bCs/>
                <w:spacing w:val="-10"/>
                <w:sz w:val="26"/>
                <w:szCs w:val="26"/>
                <w:lang w:val="uk-UA"/>
              </w:rPr>
              <w:t>%VLF, %</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11,03*</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7,30</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16,59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9,83</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7,12</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14,73</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12,78</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9,54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19,00</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%LF, %</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33,05*</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20,71</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41,35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30,26</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19,14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44,06</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38,31</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29,25</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52,21</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%HF, %</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54,00*</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40,67</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72,39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55,40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40,46</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68,93</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44,63</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31,86</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55,23</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LFn, %</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38,39*</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22,24</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48,61</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34,33</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20,71</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50,37</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46,97</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35,04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60,63</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HFn, %</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61,61*</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51,39</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77,76</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65,67</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49,63</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79,29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53,03</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39,37</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64,96</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LF/HF, ум. од.</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0,62*</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FF3827">
            <w:pPr>
              <w:spacing w:line="276" w:lineRule="auto"/>
              <w:ind w:firstLine="51"/>
              <w:jc w:val="center"/>
              <w:rPr>
                <w:bCs/>
                <w:spacing w:val="-10"/>
                <w:sz w:val="26"/>
                <w:szCs w:val="26"/>
                <w:lang w:val="uk-UA"/>
              </w:rPr>
            </w:pPr>
            <w:r w:rsidRPr="002E6ECA">
              <w:rPr>
                <w:bCs/>
                <w:spacing w:val="-10"/>
                <w:sz w:val="26"/>
                <w:szCs w:val="26"/>
                <w:lang w:val="uk-UA"/>
              </w:rPr>
              <w:t>0,29</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0,95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0,52</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0,26</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1,02</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0,89</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0,54</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1,54</w:t>
            </w:r>
          </w:p>
        </w:tc>
      </w:tr>
      <w:tr w:rsidR="008F59A7" w:rsidRPr="002E6ECA" w:rsidTr="00DC591A">
        <w:trPr>
          <w:trHeight w:val="300"/>
        </w:trPr>
        <w:tc>
          <w:tcPr>
            <w:tcW w:w="121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jc w:val="center"/>
              <w:rPr>
                <w:bCs/>
                <w:spacing w:val="-10"/>
                <w:sz w:val="26"/>
                <w:szCs w:val="26"/>
                <w:lang w:val="uk-UA"/>
              </w:rPr>
            </w:pPr>
            <w:r w:rsidRPr="002E6ECA">
              <w:rPr>
                <w:bCs/>
                <w:spacing w:val="-10"/>
                <w:sz w:val="26"/>
                <w:szCs w:val="26"/>
                <w:lang w:val="uk-UA"/>
              </w:rPr>
              <w:t>ІС, ум.од.</w:t>
            </w:r>
          </w:p>
        </w:tc>
        <w:tc>
          <w:tcPr>
            <w:tcW w:w="992"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1,52*</w:t>
            </w:r>
          </w:p>
        </w:tc>
        <w:tc>
          <w:tcPr>
            <w:tcW w:w="993"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0,69</w:t>
            </w:r>
          </w:p>
        </w:tc>
        <w:tc>
          <w:tcPr>
            <w:tcW w:w="94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3,05</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1,22</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0,70</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2,59</w:t>
            </w:r>
          </w:p>
        </w:tc>
        <w:tc>
          <w:tcPr>
            <w:tcW w:w="94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2,47</w:t>
            </w:r>
            <w:r w:rsidRPr="002E6ECA">
              <w:rPr>
                <w:bCs/>
                <w:spacing w:val="-10"/>
                <w:sz w:val="26"/>
                <w:szCs w:val="26"/>
                <w:vertAlign w:val="superscript"/>
                <w:lang w:val="en-US"/>
              </w:rPr>
              <w:t>#</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1,46</w:t>
            </w:r>
          </w:p>
        </w:tc>
        <w:tc>
          <w:tcPr>
            <w:tcW w:w="94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F59A7" w:rsidRPr="002E6ECA" w:rsidRDefault="008F59A7" w:rsidP="00DC591A">
            <w:pPr>
              <w:spacing w:line="312" w:lineRule="auto"/>
              <w:ind w:firstLine="51"/>
              <w:jc w:val="center"/>
              <w:rPr>
                <w:bCs/>
                <w:spacing w:val="-10"/>
                <w:sz w:val="26"/>
                <w:szCs w:val="26"/>
                <w:lang w:val="uk-UA"/>
              </w:rPr>
            </w:pPr>
            <w:r w:rsidRPr="002E6ECA">
              <w:rPr>
                <w:bCs/>
                <w:spacing w:val="-10"/>
                <w:sz w:val="26"/>
                <w:szCs w:val="26"/>
                <w:lang w:val="uk-UA"/>
              </w:rPr>
              <w:t>4,58</w:t>
            </w:r>
          </w:p>
        </w:tc>
      </w:tr>
    </w:tbl>
    <w:p w:rsidR="009E0B65" w:rsidRPr="002E6ECA" w:rsidRDefault="008F59A7" w:rsidP="00DC591A">
      <w:pPr>
        <w:spacing w:line="276" w:lineRule="auto"/>
        <w:ind w:firstLine="709"/>
        <w:jc w:val="both"/>
        <w:rPr>
          <w:sz w:val="28"/>
          <w:szCs w:val="28"/>
          <w:lang w:val="uk-UA"/>
        </w:rPr>
      </w:pPr>
      <w:r w:rsidRPr="002E6ECA">
        <w:rPr>
          <w:bCs/>
          <w:lang w:val="uk-UA"/>
        </w:rPr>
        <w:t xml:space="preserve">Примітки: </w:t>
      </w:r>
      <w:r w:rsidRPr="002E6ECA">
        <w:rPr>
          <w:bCs/>
          <w:vertAlign w:val="superscript"/>
          <w:lang w:val="uk-UA"/>
        </w:rPr>
        <w:t>#</w:t>
      </w:r>
      <w:r w:rsidRPr="002E6ECA">
        <w:rPr>
          <w:bCs/>
          <w:lang w:val="uk-UA"/>
        </w:rPr>
        <w:t xml:space="preserve"> – вірогідні відмінності з показниками на попереднього року навчання при </w:t>
      </w:r>
      <w:r w:rsidRPr="002E6ECA">
        <w:rPr>
          <w:shd w:val="clear" w:color="auto" w:fill="FFFFFF"/>
          <w:lang w:val="uk-UA"/>
        </w:rPr>
        <w:t>р&lt;0,05</w:t>
      </w:r>
      <w:r w:rsidRPr="002E6ECA">
        <w:rPr>
          <w:bCs/>
          <w:lang w:val="uk-UA"/>
        </w:rPr>
        <w:t xml:space="preserve">; * – вірогідні відмінності з показниками 7-го року навчання при </w:t>
      </w:r>
      <w:r w:rsidRPr="002E6ECA">
        <w:rPr>
          <w:shd w:val="clear" w:color="auto" w:fill="FFFFFF"/>
          <w:lang w:val="uk-UA"/>
        </w:rPr>
        <w:t xml:space="preserve">р&lt;0,05 </w:t>
      </w:r>
    </w:p>
    <w:p w:rsidR="00591BE4" w:rsidRPr="002E6ECA" w:rsidRDefault="00591BE4" w:rsidP="009E0B65">
      <w:pPr>
        <w:spacing w:line="360" w:lineRule="auto"/>
        <w:ind w:firstLine="709"/>
        <w:jc w:val="both"/>
        <w:rPr>
          <w:b/>
          <w:sz w:val="28"/>
          <w:szCs w:val="28"/>
          <w:lang w:val="uk-UA"/>
        </w:rPr>
      </w:pPr>
    </w:p>
    <w:p w:rsidR="00FF3827" w:rsidRPr="002E6ECA" w:rsidRDefault="00FF3827" w:rsidP="00FF3827">
      <w:pPr>
        <w:spacing w:line="360" w:lineRule="auto"/>
        <w:ind w:firstLine="709"/>
        <w:contextualSpacing/>
        <w:jc w:val="both"/>
        <w:rPr>
          <w:sz w:val="28"/>
          <w:szCs w:val="28"/>
          <w:lang w:val="uk-UA"/>
        </w:rPr>
      </w:pPr>
      <w:r w:rsidRPr="002E6ECA">
        <w:rPr>
          <w:sz w:val="28"/>
          <w:szCs w:val="28"/>
          <w:lang w:val="uk-UA"/>
        </w:rPr>
        <w:t>Подальший аналіз виявив, що з 5-го по 6-й роки навчання спостерігалося достовірне (</w:t>
      </w:r>
      <w:r w:rsidRPr="002E6ECA">
        <w:rPr>
          <w:sz w:val="28"/>
          <w:szCs w:val="28"/>
          <w:shd w:val="clear" w:color="auto" w:fill="FFFFFF"/>
          <w:lang w:val="uk-UA"/>
        </w:rPr>
        <w:t>р&lt;0,05</w:t>
      </w:r>
      <w:r w:rsidRPr="002E6ECA">
        <w:rPr>
          <w:sz w:val="28"/>
          <w:szCs w:val="28"/>
          <w:lang w:val="uk-UA"/>
        </w:rPr>
        <w:t>) зниження загальної ВСР (SDNN) та абсолютної потужності дуже низькочастотної складової спектру ВСР (VLF), тоді як у період між 6-м та 7-м роками навчання спостерігалося виражене посилення взаємозв’язку між центральним і автономним контурами регуляції, посилення централізації управління серцевим ритмом, активності сегментарних та надсегментарних рівнів симпатичної нервової системи на фоні ослаблення активності парасимпатичної нервової системи. У цей же період спостерігалося надмірне вегетативне забезпечення серцевої діяльності.</w:t>
      </w:r>
    </w:p>
    <w:p w:rsidR="00F24679" w:rsidRPr="002E6ECA" w:rsidRDefault="00F24679" w:rsidP="00F24679">
      <w:pPr>
        <w:spacing w:line="360" w:lineRule="auto"/>
        <w:ind w:firstLine="709"/>
        <w:contextualSpacing/>
        <w:jc w:val="both"/>
        <w:rPr>
          <w:sz w:val="28"/>
          <w:szCs w:val="28"/>
          <w:lang w:val="uk-UA"/>
        </w:rPr>
      </w:pPr>
      <w:r w:rsidRPr="002E6ECA">
        <w:rPr>
          <w:sz w:val="28"/>
          <w:szCs w:val="28"/>
          <w:lang w:val="uk-UA"/>
        </w:rPr>
        <w:t xml:space="preserve">Зазначена вікова динаміка показників ВСР дозволяє стверджувати, що 12-13-річний вік є сенситивним періодом в становленні функцій вегетативної нервової системи. Це означає, що доцільним є впровадження регулярного систематичного моніторингу адаптаційних можливостей організму учнів на 6-му та 7-му роках навчання з метою своєчасного виявлення донозологічних </w:t>
      </w:r>
      <w:r w:rsidRPr="002E6ECA">
        <w:rPr>
          <w:sz w:val="28"/>
          <w:szCs w:val="28"/>
          <w:lang w:val="uk-UA"/>
        </w:rPr>
        <w:lastRenderedPageBreak/>
        <w:t>станів і впровадження відповідних профілактичних і здоров’язберігаючих технологій в освітній процес.</w:t>
      </w: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Наступним етапом нашого дослідження стало з’ясування рівня напруженості регуляторних систем учнів основної школи в залежності від системи навчання. Для цього проведено порівняння показників ВСР учнів, які навчаються за меритократичною системою навчання з такими в учнів, які навчаються за традиційною системою навчання. </w:t>
      </w:r>
    </w:p>
    <w:p w:rsidR="009E0B65" w:rsidRPr="002E6ECA" w:rsidRDefault="009E0B65" w:rsidP="00DC591A">
      <w:pPr>
        <w:spacing w:line="336" w:lineRule="auto"/>
        <w:ind w:firstLine="709"/>
        <w:jc w:val="both"/>
        <w:rPr>
          <w:sz w:val="28"/>
          <w:szCs w:val="28"/>
          <w:lang w:val="uk-UA"/>
        </w:rPr>
      </w:pPr>
      <w:r w:rsidRPr="002E6ECA">
        <w:rPr>
          <w:sz w:val="28"/>
          <w:szCs w:val="28"/>
          <w:lang w:val="uk-UA"/>
        </w:rPr>
        <w:t>Встановлено, що у період навчання у 5-му та 7-му класах стан вегетативних регуляторних систем учнів, які навчаються за традиційною та меритократичною системою навчання, є подібним, на що вказує відсутність статистично значимих відмінностей за усіма досліджуваними параметрами ВСР (табл. 5.4</w:t>
      </w:r>
      <w:r w:rsidR="00591BE4" w:rsidRPr="002E6ECA">
        <w:rPr>
          <w:sz w:val="28"/>
          <w:szCs w:val="28"/>
          <w:lang w:val="uk-UA"/>
        </w:rPr>
        <w:t>-</w:t>
      </w:r>
      <w:r w:rsidRPr="002E6ECA">
        <w:rPr>
          <w:sz w:val="28"/>
          <w:szCs w:val="28"/>
          <w:lang w:val="uk-UA"/>
        </w:rPr>
        <w:t>5.6). Типова структура спектру ВСР в стані відносного спокою представлена HF &gt; LF &gt; VLF, що вказує на превалювання автономного контуру регуляції над центральним.</w:t>
      </w:r>
    </w:p>
    <w:p w:rsidR="00591BE4" w:rsidRPr="002E6ECA" w:rsidRDefault="00591BE4" w:rsidP="00591BE4">
      <w:pPr>
        <w:spacing w:line="360" w:lineRule="auto"/>
        <w:ind w:firstLine="709"/>
        <w:jc w:val="right"/>
        <w:rPr>
          <w:i/>
          <w:sz w:val="28"/>
          <w:szCs w:val="28"/>
          <w:lang w:val="uk-UA"/>
        </w:rPr>
      </w:pPr>
      <w:r w:rsidRPr="002E6ECA">
        <w:rPr>
          <w:i/>
          <w:sz w:val="28"/>
          <w:szCs w:val="28"/>
          <w:lang w:val="uk-UA"/>
        </w:rPr>
        <w:t>Таблиця 5.4</w:t>
      </w:r>
    </w:p>
    <w:p w:rsidR="00591BE4" w:rsidRPr="002E6ECA" w:rsidRDefault="00591BE4" w:rsidP="00591BE4">
      <w:pPr>
        <w:spacing w:line="360" w:lineRule="auto"/>
        <w:ind w:firstLine="709"/>
        <w:jc w:val="center"/>
        <w:rPr>
          <w:b/>
          <w:sz w:val="28"/>
          <w:szCs w:val="28"/>
          <w:lang w:val="uk-UA"/>
        </w:rPr>
      </w:pPr>
      <w:r w:rsidRPr="002E6ECA">
        <w:rPr>
          <w:b/>
          <w:sz w:val="28"/>
          <w:szCs w:val="28"/>
          <w:lang w:val="uk-UA"/>
        </w:rPr>
        <w:t>Показники ВСР учнів 5-класів за різних систем навчання</w:t>
      </w:r>
    </w:p>
    <w:tbl>
      <w:tblPr>
        <w:tblW w:w="9535" w:type="dxa"/>
        <w:tblInd w:w="91" w:type="dxa"/>
        <w:tblLook w:val="04A0" w:firstRow="1" w:lastRow="0" w:firstColumn="1" w:lastColumn="0" w:noHBand="0" w:noVBand="1"/>
      </w:tblPr>
      <w:tblGrid>
        <w:gridCol w:w="1780"/>
        <w:gridCol w:w="1208"/>
        <w:gridCol w:w="1289"/>
        <w:gridCol w:w="1472"/>
        <w:gridCol w:w="1208"/>
        <w:gridCol w:w="1289"/>
        <w:gridCol w:w="1289"/>
      </w:tblGrid>
      <w:tr w:rsidR="00591BE4" w:rsidRPr="002E6ECA" w:rsidTr="00FF3827">
        <w:trPr>
          <w:trHeight w:val="644"/>
        </w:trPr>
        <w:tc>
          <w:tcPr>
            <w:tcW w:w="1780" w:type="dxa"/>
            <w:vMerge w:val="restart"/>
            <w:tcBorders>
              <w:top w:val="single" w:sz="4" w:space="0" w:color="auto"/>
              <w:left w:val="single" w:sz="4" w:space="0" w:color="auto"/>
              <w:bottom w:val="nil"/>
              <w:right w:val="single" w:sz="4" w:space="0" w:color="auto"/>
            </w:tcBorders>
            <w:shd w:val="clear" w:color="auto" w:fill="auto"/>
            <w:noWrap/>
            <w:tcMar>
              <w:left w:w="28" w:type="dxa"/>
            </w:tcMar>
            <w:vAlign w:val="center"/>
            <w:hideMark/>
          </w:tcPr>
          <w:p w:rsidR="00591BE4" w:rsidRPr="002E6ECA" w:rsidRDefault="00591BE4" w:rsidP="00DC591A">
            <w:pPr>
              <w:spacing w:line="312" w:lineRule="auto"/>
              <w:jc w:val="center"/>
              <w:rPr>
                <w:bCs/>
                <w:sz w:val="26"/>
                <w:szCs w:val="26"/>
                <w:lang w:val="uk-UA"/>
              </w:rPr>
            </w:pPr>
            <w:r w:rsidRPr="002E6ECA">
              <w:rPr>
                <w:bCs/>
                <w:sz w:val="26"/>
                <w:szCs w:val="26"/>
                <w:lang w:val="uk-UA"/>
              </w:rPr>
              <w:t>Показники</w:t>
            </w:r>
          </w:p>
        </w:tc>
        <w:tc>
          <w:tcPr>
            <w:tcW w:w="3969" w:type="dxa"/>
            <w:gridSpan w:val="3"/>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Меритократичне навчання (n=42)</w:t>
            </w:r>
          </w:p>
        </w:tc>
        <w:tc>
          <w:tcPr>
            <w:tcW w:w="3786" w:type="dxa"/>
            <w:gridSpan w:val="3"/>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FF3827">
            <w:pPr>
              <w:spacing w:line="312" w:lineRule="auto"/>
              <w:ind w:firstLine="51"/>
              <w:jc w:val="center"/>
              <w:rPr>
                <w:bCs/>
                <w:sz w:val="26"/>
                <w:szCs w:val="26"/>
                <w:lang w:val="uk-UA"/>
              </w:rPr>
            </w:pPr>
            <w:r w:rsidRPr="002E6ECA">
              <w:rPr>
                <w:bCs/>
                <w:sz w:val="26"/>
                <w:szCs w:val="26"/>
                <w:lang w:val="uk-UA"/>
              </w:rPr>
              <w:t>Традиційне навчання</w:t>
            </w:r>
            <w:r w:rsidR="00FF3827" w:rsidRPr="002E6ECA">
              <w:rPr>
                <w:bCs/>
                <w:sz w:val="26"/>
                <w:szCs w:val="26"/>
                <w:lang w:val="uk-UA"/>
              </w:rPr>
              <w:t xml:space="preserve"> </w:t>
            </w:r>
            <w:r w:rsidRPr="002E6ECA">
              <w:rPr>
                <w:bCs/>
                <w:sz w:val="26"/>
                <w:szCs w:val="26"/>
                <w:lang w:val="uk-UA"/>
              </w:rPr>
              <w:t xml:space="preserve"> (n=18)</w:t>
            </w:r>
          </w:p>
        </w:tc>
      </w:tr>
      <w:tr w:rsidR="00591BE4" w:rsidRPr="002E6ECA" w:rsidTr="00FF3827">
        <w:trPr>
          <w:trHeight w:val="300"/>
        </w:trPr>
        <w:tc>
          <w:tcPr>
            <w:tcW w:w="1780" w:type="dxa"/>
            <w:vMerge/>
            <w:tcBorders>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FF3827">
            <w:pPr>
              <w:spacing w:line="276" w:lineRule="auto"/>
              <w:ind w:firstLine="51"/>
              <w:jc w:val="center"/>
              <w:rPr>
                <w:bCs/>
                <w:sz w:val="26"/>
                <w:szCs w:val="26"/>
                <w:lang w:val="uk-UA"/>
              </w:rPr>
            </w:pPr>
            <w:r w:rsidRPr="002E6ECA">
              <w:rPr>
                <w:bCs/>
                <w:sz w:val="26"/>
                <w:szCs w:val="26"/>
                <w:lang w:val="uk-UA"/>
              </w:rPr>
              <w:t>Медіана</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FF3827">
            <w:pPr>
              <w:spacing w:line="276" w:lineRule="auto"/>
              <w:ind w:firstLine="51"/>
              <w:jc w:val="center"/>
              <w:rPr>
                <w:bCs/>
                <w:sz w:val="26"/>
                <w:szCs w:val="26"/>
                <w:lang w:val="uk-UA"/>
              </w:rPr>
            </w:pPr>
            <w:r w:rsidRPr="002E6ECA">
              <w:rPr>
                <w:bCs/>
                <w:sz w:val="26"/>
                <w:szCs w:val="26"/>
                <w:lang w:val="uk-UA"/>
              </w:rPr>
              <w:t>Нижній квартиль</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FF3827">
            <w:pPr>
              <w:spacing w:line="276" w:lineRule="auto"/>
              <w:ind w:firstLine="51"/>
              <w:jc w:val="center"/>
              <w:rPr>
                <w:bCs/>
                <w:sz w:val="26"/>
                <w:szCs w:val="26"/>
                <w:lang w:val="uk-UA"/>
              </w:rPr>
            </w:pPr>
            <w:r w:rsidRPr="002E6ECA">
              <w:rPr>
                <w:bCs/>
                <w:sz w:val="26"/>
                <w:szCs w:val="26"/>
                <w:lang w:val="uk-UA"/>
              </w:rPr>
              <w:t>Верхній</w:t>
            </w:r>
          </w:p>
          <w:p w:rsidR="00591BE4" w:rsidRPr="002E6ECA" w:rsidRDefault="00591BE4" w:rsidP="00FF3827">
            <w:pPr>
              <w:spacing w:line="276" w:lineRule="auto"/>
              <w:ind w:firstLine="51"/>
              <w:jc w:val="center"/>
              <w:rPr>
                <w:bCs/>
                <w:sz w:val="26"/>
                <w:szCs w:val="26"/>
                <w:lang w:val="uk-UA"/>
              </w:rPr>
            </w:pPr>
            <w:r w:rsidRPr="002E6ECA">
              <w:rPr>
                <w:bCs/>
                <w:sz w:val="26"/>
                <w:szCs w:val="26"/>
                <w:lang w:val="uk-UA"/>
              </w:rPr>
              <w:t>квартиль</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FF3827">
            <w:pPr>
              <w:spacing w:line="276" w:lineRule="auto"/>
              <w:ind w:firstLine="51"/>
              <w:jc w:val="center"/>
              <w:rPr>
                <w:bCs/>
                <w:sz w:val="26"/>
                <w:szCs w:val="26"/>
                <w:lang w:val="uk-UA"/>
              </w:rPr>
            </w:pPr>
            <w:r w:rsidRPr="002E6ECA">
              <w:rPr>
                <w:bCs/>
                <w:sz w:val="26"/>
                <w:szCs w:val="26"/>
                <w:lang w:val="uk-UA"/>
              </w:rPr>
              <w:t>Медіана</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FF3827">
            <w:pPr>
              <w:spacing w:line="276" w:lineRule="auto"/>
              <w:ind w:firstLine="51"/>
              <w:jc w:val="center"/>
              <w:rPr>
                <w:bCs/>
                <w:sz w:val="26"/>
                <w:szCs w:val="26"/>
                <w:lang w:val="uk-UA"/>
              </w:rPr>
            </w:pPr>
            <w:r w:rsidRPr="002E6ECA">
              <w:rPr>
                <w:bCs/>
                <w:sz w:val="26"/>
                <w:szCs w:val="26"/>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FF3827">
            <w:pPr>
              <w:spacing w:line="276" w:lineRule="auto"/>
              <w:ind w:firstLine="51"/>
              <w:jc w:val="center"/>
              <w:rPr>
                <w:bCs/>
                <w:sz w:val="26"/>
                <w:szCs w:val="26"/>
                <w:lang w:val="uk-UA"/>
              </w:rPr>
            </w:pPr>
            <w:r w:rsidRPr="002E6ECA">
              <w:rPr>
                <w:bCs/>
                <w:sz w:val="26"/>
                <w:szCs w:val="26"/>
                <w:lang w:val="uk-UA"/>
              </w:rPr>
              <w:t>Верхній</w:t>
            </w:r>
          </w:p>
          <w:p w:rsidR="00591BE4" w:rsidRPr="002E6ECA" w:rsidRDefault="00591BE4" w:rsidP="00FF3827">
            <w:pPr>
              <w:spacing w:line="276" w:lineRule="auto"/>
              <w:ind w:firstLine="51"/>
              <w:jc w:val="center"/>
              <w:rPr>
                <w:bCs/>
                <w:sz w:val="26"/>
                <w:szCs w:val="26"/>
                <w:lang w:val="uk-UA"/>
              </w:rPr>
            </w:pPr>
            <w:r w:rsidRPr="002E6ECA">
              <w:rPr>
                <w:bCs/>
                <w:sz w:val="26"/>
                <w:szCs w:val="26"/>
                <w:lang w:val="uk-UA"/>
              </w:rPr>
              <w:t>квартиль</w:t>
            </w:r>
          </w:p>
        </w:tc>
      </w:tr>
      <w:tr w:rsidR="00591BE4" w:rsidRPr="002E6ECA" w:rsidTr="00FF3827">
        <w:trPr>
          <w:trHeight w:val="302"/>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ЧСС, уд./хв.</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85,19</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76,66</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90,96</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82,27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74,05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93,16</w:t>
            </w:r>
          </w:p>
        </w:tc>
      </w:tr>
      <w:tr w:rsidR="00591BE4" w:rsidRPr="002E6ECA" w:rsidTr="00FF3827">
        <w:trPr>
          <w:trHeight w:val="300"/>
        </w:trPr>
        <w:tc>
          <w:tcPr>
            <w:tcW w:w="9535"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Статистичні показники ВСР</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Mean,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704,32</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659,63</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782,72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729,51</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644,03</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810,28</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C23DB8" w:rsidP="00DC591A">
            <w:pPr>
              <w:spacing w:line="312" w:lineRule="auto"/>
              <w:ind w:firstLine="51"/>
              <w:rPr>
                <w:bCs/>
                <w:sz w:val="26"/>
                <w:szCs w:val="26"/>
                <w:lang w:val="uk-UA"/>
              </w:rPr>
            </w:pPr>
            <w:r w:rsidRPr="002E6ECA">
              <w:rPr>
                <w:bCs/>
                <w:sz w:val="26"/>
                <w:szCs w:val="26"/>
                <w:lang w:val="en-US"/>
              </w:rPr>
              <w:t>C</w:t>
            </w:r>
            <w:r w:rsidR="00591BE4" w:rsidRPr="002E6ECA">
              <w:rPr>
                <w:bCs/>
                <w:sz w:val="26"/>
                <w:szCs w:val="26"/>
                <w:lang w:val="uk-UA"/>
              </w:rPr>
              <w:t>Vr,%</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8,57</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6,59</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9,89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8,38</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7,80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10,51</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SDNN,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60,34</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44,65</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75,44</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62,07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48,35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76,00</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RMSSD,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52,09</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34,72</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70,06</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48,16</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38,11</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90,19</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pNN50,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33,11</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15,33</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50,82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26,29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18,14</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62,28</w:t>
            </w:r>
          </w:p>
        </w:tc>
      </w:tr>
      <w:tr w:rsidR="00591BE4" w:rsidRPr="002E6ECA" w:rsidTr="00FF3827">
        <w:trPr>
          <w:trHeight w:val="300"/>
        </w:trPr>
        <w:tc>
          <w:tcPr>
            <w:tcW w:w="9535"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Варіаційна пульсомерія за Р.М. Баєвським</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Мо,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670,49</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600,98</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720,00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703,52</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603,00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793,00</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Амо,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9,14</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7,35</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16,11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8,23</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7,17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15,91</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C23DB8">
            <w:pPr>
              <w:spacing w:line="312" w:lineRule="auto"/>
              <w:ind w:firstLine="51"/>
              <w:rPr>
                <w:bCs/>
                <w:sz w:val="26"/>
                <w:szCs w:val="26"/>
                <w:lang w:val="uk-UA"/>
              </w:rPr>
            </w:pPr>
            <w:r w:rsidRPr="002E6ECA">
              <w:rPr>
                <w:bCs/>
                <w:sz w:val="26"/>
                <w:szCs w:val="26"/>
                <w:lang w:val="uk-UA"/>
              </w:rPr>
              <w:t>Δ</w:t>
            </w:r>
            <w:r w:rsidR="00C23DB8" w:rsidRPr="002E6ECA">
              <w:rPr>
                <w:bCs/>
                <w:sz w:val="26"/>
                <w:szCs w:val="26"/>
                <w:lang w:val="en-US"/>
              </w:rPr>
              <w:t>X</w:t>
            </w:r>
            <w:r w:rsidRPr="002E6ECA">
              <w:rPr>
                <w:bCs/>
                <w:sz w:val="26"/>
                <w:szCs w:val="26"/>
                <w:lang w:val="uk-UA"/>
              </w:rPr>
              <w:t>,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339,00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265,01</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418,00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356,99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266,99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431,99</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ІН,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18,00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13,46</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37,62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16,80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9,85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66,74</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ПАПР,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0,55</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0,27</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0,94</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0,76</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0,36</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1,05</w:t>
            </w:r>
          </w:p>
        </w:tc>
      </w:tr>
      <w:tr w:rsidR="00591BE4" w:rsidRPr="002E6ECA" w:rsidTr="00FF3827">
        <w:trPr>
          <w:trHeight w:val="300"/>
        </w:trPr>
        <w:tc>
          <w:tcPr>
            <w:tcW w:w="1780"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ІВР,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24,63</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20,15</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51,24</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24,18</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17,74</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85,56</w:t>
            </w:r>
          </w:p>
        </w:tc>
      </w:tr>
    </w:tbl>
    <w:p w:rsidR="00591BE4" w:rsidRPr="002E6ECA" w:rsidRDefault="00591BE4" w:rsidP="00DC591A">
      <w:pPr>
        <w:spacing w:line="312" w:lineRule="auto"/>
        <w:jc w:val="right"/>
      </w:pPr>
      <w:r w:rsidRPr="002E6ECA">
        <w:rPr>
          <w:i/>
          <w:sz w:val="28"/>
          <w:szCs w:val="28"/>
          <w:lang w:val="uk-UA"/>
        </w:rPr>
        <w:lastRenderedPageBreak/>
        <w:t>Продовження табл. 5.4</w:t>
      </w:r>
    </w:p>
    <w:tbl>
      <w:tblPr>
        <w:tblW w:w="9677" w:type="dxa"/>
        <w:tblInd w:w="91" w:type="dxa"/>
        <w:tblLook w:val="04A0" w:firstRow="1" w:lastRow="0" w:firstColumn="1" w:lastColumn="0" w:noHBand="0" w:noVBand="1"/>
      </w:tblPr>
      <w:tblGrid>
        <w:gridCol w:w="1922"/>
        <w:gridCol w:w="1208"/>
        <w:gridCol w:w="1289"/>
        <w:gridCol w:w="1472"/>
        <w:gridCol w:w="1208"/>
        <w:gridCol w:w="1289"/>
        <w:gridCol w:w="1289"/>
      </w:tblGrid>
      <w:tr w:rsidR="00591BE4" w:rsidRPr="002E6ECA" w:rsidTr="00FF3827">
        <w:trPr>
          <w:trHeight w:val="768"/>
        </w:trPr>
        <w:tc>
          <w:tcPr>
            <w:tcW w:w="1922" w:type="dxa"/>
            <w:vMerge w:val="restart"/>
            <w:tcBorders>
              <w:top w:val="single" w:sz="4" w:space="0" w:color="auto"/>
              <w:left w:val="single" w:sz="4" w:space="0" w:color="auto"/>
              <w:right w:val="single" w:sz="4" w:space="0" w:color="auto"/>
            </w:tcBorders>
            <w:shd w:val="clear" w:color="auto" w:fill="auto"/>
            <w:noWrap/>
            <w:tcMar>
              <w:left w:w="28" w:type="dxa"/>
            </w:tcMar>
            <w:vAlign w:val="center"/>
            <w:hideMark/>
          </w:tcPr>
          <w:p w:rsidR="00591BE4" w:rsidRPr="002E6ECA" w:rsidRDefault="00591BE4" w:rsidP="00337390">
            <w:pPr>
              <w:spacing w:line="276" w:lineRule="auto"/>
              <w:jc w:val="center"/>
              <w:rPr>
                <w:bCs/>
                <w:sz w:val="28"/>
                <w:szCs w:val="28"/>
                <w:lang w:val="uk-UA"/>
              </w:rPr>
            </w:pPr>
            <w:r w:rsidRPr="002E6ECA">
              <w:rPr>
                <w:bCs/>
                <w:sz w:val="28"/>
                <w:szCs w:val="28"/>
                <w:lang w:val="uk-UA"/>
              </w:rPr>
              <w:t>Показники</w:t>
            </w:r>
          </w:p>
        </w:tc>
        <w:tc>
          <w:tcPr>
            <w:tcW w:w="3969" w:type="dxa"/>
            <w:gridSpan w:val="3"/>
            <w:tcBorders>
              <w:top w:val="single" w:sz="4" w:space="0" w:color="auto"/>
              <w:left w:val="single" w:sz="4" w:space="0" w:color="auto"/>
              <w:right w:val="single" w:sz="4" w:space="0" w:color="auto"/>
            </w:tcBorders>
            <w:shd w:val="clear" w:color="auto" w:fill="auto"/>
            <w:noWrap/>
            <w:tcMar>
              <w:left w:w="28" w:type="dxa"/>
            </w:tcMar>
            <w:vAlign w:val="center"/>
            <w:hideMark/>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Меритократичне навчання (n=42)</w:t>
            </w:r>
          </w:p>
        </w:tc>
        <w:tc>
          <w:tcPr>
            <w:tcW w:w="3786" w:type="dxa"/>
            <w:gridSpan w:val="3"/>
            <w:tcBorders>
              <w:top w:val="single" w:sz="4" w:space="0" w:color="auto"/>
              <w:left w:val="single" w:sz="4" w:space="0" w:color="auto"/>
              <w:right w:val="single" w:sz="4" w:space="0" w:color="auto"/>
            </w:tcBorders>
            <w:tcMar>
              <w:left w:w="28" w:type="dxa"/>
            </w:tcMar>
            <w:vAlign w:val="center"/>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Традиційне навчання</w:t>
            </w:r>
          </w:p>
          <w:p w:rsidR="00591BE4" w:rsidRPr="002E6ECA" w:rsidRDefault="00591BE4" w:rsidP="00337390">
            <w:pPr>
              <w:spacing w:line="276" w:lineRule="auto"/>
              <w:ind w:firstLine="51"/>
              <w:jc w:val="center"/>
              <w:rPr>
                <w:bCs/>
                <w:sz w:val="28"/>
                <w:szCs w:val="28"/>
                <w:lang w:val="uk-UA"/>
              </w:rPr>
            </w:pPr>
            <w:r w:rsidRPr="002E6ECA">
              <w:rPr>
                <w:bCs/>
                <w:sz w:val="28"/>
                <w:szCs w:val="28"/>
                <w:lang w:val="uk-UA"/>
              </w:rPr>
              <w:t xml:space="preserve"> (n=18)</w:t>
            </w:r>
          </w:p>
        </w:tc>
      </w:tr>
      <w:tr w:rsidR="00591BE4" w:rsidRPr="002E6ECA" w:rsidTr="00FF3827">
        <w:trPr>
          <w:trHeight w:val="300"/>
        </w:trPr>
        <w:tc>
          <w:tcPr>
            <w:tcW w:w="1922" w:type="dxa"/>
            <w:vMerge/>
            <w:tcBorders>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337390">
            <w:pPr>
              <w:spacing w:line="276" w:lineRule="auto"/>
              <w:ind w:firstLine="51"/>
              <w:jc w:val="center"/>
              <w:rPr>
                <w:bCs/>
                <w:sz w:val="28"/>
                <w:szCs w:val="28"/>
                <w:lang w:val="uk-UA"/>
              </w:rPr>
            </w:pP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Медіана</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Нижній квартиль</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Верхній</w:t>
            </w:r>
          </w:p>
          <w:p w:rsidR="00591BE4" w:rsidRPr="002E6ECA" w:rsidRDefault="00591BE4" w:rsidP="00337390">
            <w:pPr>
              <w:spacing w:line="276" w:lineRule="auto"/>
              <w:ind w:firstLine="51"/>
              <w:jc w:val="center"/>
              <w:rPr>
                <w:bCs/>
                <w:sz w:val="28"/>
                <w:szCs w:val="28"/>
                <w:lang w:val="uk-UA"/>
              </w:rPr>
            </w:pPr>
            <w:r w:rsidRPr="002E6ECA">
              <w:rPr>
                <w:bCs/>
                <w:sz w:val="28"/>
                <w:szCs w:val="28"/>
                <w:lang w:val="uk-UA"/>
              </w:rPr>
              <w:t>квартиль</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Медіана</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337390">
            <w:pPr>
              <w:spacing w:line="276" w:lineRule="auto"/>
              <w:ind w:firstLine="51"/>
              <w:jc w:val="center"/>
              <w:rPr>
                <w:bCs/>
                <w:sz w:val="28"/>
                <w:szCs w:val="28"/>
                <w:lang w:val="uk-UA"/>
              </w:rPr>
            </w:pPr>
            <w:r w:rsidRPr="002E6ECA">
              <w:rPr>
                <w:bCs/>
                <w:sz w:val="28"/>
                <w:szCs w:val="28"/>
                <w:lang w:val="uk-UA"/>
              </w:rPr>
              <w:t>Верхній</w:t>
            </w:r>
          </w:p>
          <w:p w:rsidR="00591BE4" w:rsidRPr="002E6ECA" w:rsidRDefault="00591BE4" w:rsidP="00337390">
            <w:pPr>
              <w:spacing w:line="276" w:lineRule="auto"/>
              <w:ind w:firstLine="51"/>
              <w:jc w:val="center"/>
              <w:rPr>
                <w:bCs/>
                <w:sz w:val="28"/>
                <w:szCs w:val="28"/>
                <w:lang w:val="uk-UA"/>
              </w:rPr>
            </w:pPr>
            <w:r w:rsidRPr="002E6ECA">
              <w:rPr>
                <w:bCs/>
                <w:sz w:val="28"/>
                <w:szCs w:val="28"/>
                <w:lang w:val="uk-UA"/>
              </w:rPr>
              <w:t>квартиль</w:t>
            </w:r>
          </w:p>
        </w:tc>
      </w:tr>
      <w:tr w:rsidR="00FF3827"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rPr>
                <w:bCs/>
                <w:sz w:val="26"/>
                <w:szCs w:val="26"/>
                <w:lang w:val="uk-UA"/>
              </w:rPr>
            </w:pPr>
            <w:r w:rsidRPr="002E6ECA">
              <w:rPr>
                <w:bCs/>
                <w:sz w:val="26"/>
                <w:szCs w:val="26"/>
                <w:lang w:val="uk-UA"/>
              </w:rPr>
              <w:t>ВПР,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4,37</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3,48</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5,69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3,93</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2,75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5,99</w:t>
            </w:r>
          </w:p>
        </w:tc>
      </w:tr>
      <w:tr w:rsidR="00FF3827" w:rsidRPr="002E6ECA" w:rsidTr="00FF3827">
        <w:trPr>
          <w:trHeight w:val="300"/>
        </w:trPr>
        <w:tc>
          <w:tcPr>
            <w:tcW w:w="9677"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Автокореляційні показники ВСР</w:t>
            </w:r>
          </w:p>
        </w:tc>
      </w:tr>
      <w:tr w:rsidR="00FF3827"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rPr>
                <w:bCs/>
                <w:sz w:val="26"/>
                <w:szCs w:val="26"/>
                <w:lang w:val="uk-UA"/>
              </w:rPr>
            </w:pPr>
            <w:r w:rsidRPr="002E6ECA">
              <w:rPr>
                <w:bCs/>
                <w:sz w:val="26"/>
                <w:szCs w:val="26"/>
                <w:lang w:val="uk-UA"/>
              </w:rPr>
              <w:t>СС1</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0,60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0,42</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0,74</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0,59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0,35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0,71</w:t>
            </w:r>
          </w:p>
        </w:tc>
      </w:tr>
      <w:tr w:rsidR="00FF3827"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rPr>
                <w:bCs/>
                <w:sz w:val="26"/>
                <w:szCs w:val="26"/>
                <w:lang w:val="uk-UA"/>
              </w:rPr>
            </w:pPr>
            <w:r w:rsidRPr="002E6ECA">
              <w:rPr>
                <w:bCs/>
                <w:sz w:val="26"/>
                <w:szCs w:val="26"/>
                <w:lang w:val="uk-UA"/>
              </w:rPr>
              <w:t>СС0</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6,00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2,00</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22,00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4,00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2,00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FF3827" w:rsidRPr="002E6ECA" w:rsidRDefault="00FF3827" w:rsidP="008009FB">
            <w:pPr>
              <w:spacing w:line="312" w:lineRule="auto"/>
              <w:ind w:firstLine="51"/>
              <w:jc w:val="center"/>
              <w:rPr>
                <w:bCs/>
                <w:sz w:val="26"/>
                <w:szCs w:val="26"/>
                <w:lang w:val="uk-UA"/>
              </w:rPr>
            </w:pPr>
            <w:r w:rsidRPr="002E6ECA">
              <w:rPr>
                <w:bCs/>
                <w:sz w:val="26"/>
                <w:szCs w:val="26"/>
                <w:lang w:val="uk-UA"/>
              </w:rPr>
              <w:t>7,00</w:t>
            </w:r>
          </w:p>
        </w:tc>
      </w:tr>
      <w:tr w:rsidR="00DC591A" w:rsidRPr="002E6ECA" w:rsidTr="00FF3827">
        <w:trPr>
          <w:trHeight w:val="300"/>
        </w:trPr>
        <w:tc>
          <w:tcPr>
            <w:tcW w:w="9677"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Спектральні показники ВСР</w:t>
            </w:r>
          </w:p>
        </w:tc>
      </w:tr>
      <w:tr w:rsidR="00DC591A"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TP,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1362,92</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720,22</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2186,33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1385,24</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1033,10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2412,94</w:t>
            </w:r>
          </w:p>
        </w:tc>
      </w:tr>
      <w:tr w:rsidR="00DC591A"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VLF,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150,33</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83,94</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209,19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162,55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91,07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282,36</w:t>
            </w:r>
          </w:p>
        </w:tc>
      </w:tr>
      <w:tr w:rsidR="00DC591A"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LF,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354,90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256,73</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643,89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434,97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355,19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610,92</w:t>
            </w:r>
          </w:p>
        </w:tc>
      </w:tr>
      <w:tr w:rsidR="00DC591A"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HF,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653,07</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337,35</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1636,95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719,78</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400,93</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1447,52</w:t>
            </w:r>
          </w:p>
        </w:tc>
      </w:tr>
      <w:tr w:rsidR="00DC591A"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ЧСС, уд./хв.</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85,19</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76,66</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90,96</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82,27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74,05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93,16</w:t>
            </w:r>
          </w:p>
        </w:tc>
      </w:tr>
      <w:tr w:rsidR="00DC591A"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%VLF,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10,84</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7,38</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15,40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11,40</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6,67</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18,97</w:t>
            </w:r>
          </w:p>
        </w:tc>
      </w:tr>
      <w:tr w:rsidR="00591BE4"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8"/>
                <w:szCs w:val="28"/>
                <w:lang w:val="uk-UA"/>
              </w:rPr>
            </w:pPr>
            <w:r w:rsidRPr="002E6ECA">
              <w:rPr>
                <w:bCs/>
                <w:sz w:val="28"/>
                <w:szCs w:val="28"/>
                <w:lang w:val="uk-UA"/>
              </w:rPr>
              <w:t>%LF,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31,40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19,80</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40,39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34,76</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21,98</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44,75</w:t>
            </w:r>
          </w:p>
        </w:tc>
      </w:tr>
      <w:tr w:rsidR="00591BE4"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8"/>
                <w:szCs w:val="28"/>
                <w:lang w:val="uk-UA"/>
              </w:rPr>
            </w:pPr>
            <w:r w:rsidRPr="002E6ECA">
              <w:rPr>
                <w:bCs/>
                <w:sz w:val="28"/>
                <w:szCs w:val="28"/>
                <w:lang w:val="uk-UA"/>
              </w:rPr>
              <w:t>%HF,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55,77</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42,30</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72,60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50,35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39,53</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65,88</w:t>
            </w:r>
          </w:p>
        </w:tc>
      </w:tr>
      <w:tr w:rsidR="00591BE4"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8"/>
                <w:szCs w:val="28"/>
                <w:lang w:val="uk-UA"/>
              </w:rPr>
            </w:pPr>
            <w:r w:rsidRPr="002E6ECA">
              <w:rPr>
                <w:bCs/>
                <w:sz w:val="28"/>
                <w:szCs w:val="28"/>
                <w:lang w:val="uk-UA"/>
              </w:rPr>
              <w:t>LFn,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35,63</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21,43</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48,55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43,25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26,35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51,21</w:t>
            </w:r>
          </w:p>
        </w:tc>
      </w:tr>
      <w:tr w:rsidR="00591BE4"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8"/>
                <w:szCs w:val="28"/>
                <w:lang w:val="uk-UA"/>
              </w:rPr>
            </w:pPr>
            <w:r w:rsidRPr="002E6ECA">
              <w:rPr>
                <w:bCs/>
                <w:sz w:val="28"/>
                <w:szCs w:val="28"/>
                <w:lang w:val="uk-UA"/>
              </w:rPr>
              <w:t>HFn,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64,37</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51,45</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78,57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56,75</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48,79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73,65</w:t>
            </w:r>
          </w:p>
        </w:tc>
      </w:tr>
      <w:tr w:rsidR="00591BE4"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FF3827">
            <w:pPr>
              <w:spacing w:line="276" w:lineRule="auto"/>
              <w:ind w:firstLine="51"/>
              <w:rPr>
                <w:bCs/>
                <w:sz w:val="28"/>
                <w:szCs w:val="28"/>
                <w:lang w:val="uk-UA"/>
              </w:rPr>
            </w:pPr>
            <w:r w:rsidRPr="002E6ECA">
              <w:rPr>
                <w:bCs/>
                <w:sz w:val="28"/>
                <w:szCs w:val="28"/>
                <w:lang w:val="uk-UA"/>
              </w:rPr>
              <w:t>LF/HF,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0,55</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0,27</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0,94</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0,76</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0,36</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1,05</w:t>
            </w:r>
          </w:p>
        </w:tc>
      </w:tr>
      <w:tr w:rsidR="00591BE4" w:rsidRPr="002E6ECA" w:rsidTr="00FF382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rPr>
                <w:bCs/>
                <w:sz w:val="28"/>
                <w:szCs w:val="28"/>
                <w:lang w:val="uk-UA"/>
              </w:rPr>
            </w:pPr>
            <w:r w:rsidRPr="002E6ECA">
              <w:rPr>
                <w:bCs/>
                <w:sz w:val="28"/>
                <w:szCs w:val="28"/>
                <w:lang w:val="uk-UA"/>
              </w:rPr>
              <w:t>ІС,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1,34</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0,62</w:t>
            </w:r>
          </w:p>
        </w:tc>
        <w:tc>
          <w:tcPr>
            <w:tcW w:w="1472" w:type="dxa"/>
            <w:tcBorders>
              <w:top w:val="single" w:sz="4" w:space="0" w:color="auto"/>
              <w:left w:val="single" w:sz="4" w:space="0" w:color="auto"/>
              <w:bottom w:val="single" w:sz="4" w:space="0" w:color="auto"/>
              <w:right w:val="single" w:sz="4" w:space="0" w:color="auto"/>
            </w:tcBorders>
            <w:shd w:val="clear" w:color="auto" w:fill="auto"/>
            <w:noWrap/>
            <w:tcMar>
              <w:left w:w="28" w:type="dxa"/>
            </w:tcMar>
            <w:vAlign w:val="center"/>
            <w:hideMark/>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3,09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1,59</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1,14</w:t>
            </w:r>
          </w:p>
        </w:tc>
        <w:tc>
          <w:tcPr>
            <w:tcW w:w="1289" w:type="dxa"/>
            <w:tcBorders>
              <w:top w:val="single" w:sz="4" w:space="0" w:color="auto"/>
              <w:left w:val="single" w:sz="4" w:space="0" w:color="auto"/>
              <w:bottom w:val="single" w:sz="4" w:space="0" w:color="auto"/>
              <w:right w:val="single" w:sz="4" w:space="0" w:color="auto"/>
            </w:tcBorders>
            <w:tcMar>
              <w:left w:w="28" w:type="dxa"/>
            </w:tcMar>
            <w:vAlign w:val="center"/>
          </w:tcPr>
          <w:p w:rsidR="00591BE4" w:rsidRPr="002E6ECA" w:rsidRDefault="00591BE4" w:rsidP="00DC591A">
            <w:pPr>
              <w:spacing w:line="312" w:lineRule="auto"/>
              <w:ind w:firstLine="51"/>
              <w:jc w:val="center"/>
              <w:rPr>
                <w:bCs/>
                <w:sz w:val="28"/>
                <w:szCs w:val="28"/>
                <w:lang w:val="uk-UA"/>
              </w:rPr>
            </w:pPr>
            <w:r w:rsidRPr="002E6ECA">
              <w:rPr>
                <w:bCs/>
                <w:sz w:val="28"/>
                <w:szCs w:val="28"/>
                <w:lang w:val="uk-UA"/>
              </w:rPr>
              <w:t>2,67</w:t>
            </w:r>
          </w:p>
        </w:tc>
      </w:tr>
    </w:tbl>
    <w:p w:rsidR="00591BE4" w:rsidRPr="002E6ECA" w:rsidRDefault="00591BE4" w:rsidP="00591BE4">
      <w:pPr>
        <w:rPr>
          <w:lang w:val="uk-UA"/>
        </w:rPr>
      </w:pPr>
    </w:p>
    <w:p w:rsidR="00DC591A" w:rsidRPr="002E6ECA" w:rsidRDefault="00DC591A" w:rsidP="00DC591A">
      <w:pPr>
        <w:spacing w:line="360" w:lineRule="auto"/>
        <w:ind w:firstLine="709"/>
        <w:jc w:val="both"/>
        <w:rPr>
          <w:sz w:val="28"/>
          <w:szCs w:val="28"/>
          <w:lang w:val="uk-UA"/>
        </w:rPr>
      </w:pPr>
      <w:r w:rsidRPr="002E6ECA">
        <w:rPr>
          <w:sz w:val="28"/>
          <w:szCs w:val="28"/>
          <w:lang w:val="uk-UA"/>
        </w:rPr>
        <w:t>У той же час, у період навчання у 6-му класі ми спостерігали вірогідні (</w:t>
      </w:r>
      <w:r w:rsidRPr="002E6ECA">
        <w:rPr>
          <w:sz w:val="28"/>
          <w:szCs w:val="28"/>
          <w:shd w:val="clear" w:color="auto" w:fill="FFFFFF"/>
          <w:lang w:val="uk-UA"/>
        </w:rPr>
        <w:t>р&lt;0,05</w:t>
      </w:r>
      <w:r w:rsidRPr="002E6ECA">
        <w:rPr>
          <w:sz w:val="28"/>
          <w:szCs w:val="28"/>
          <w:lang w:val="uk-UA"/>
        </w:rPr>
        <w:t xml:space="preserve">) відмінності за такими показниками варіаційної пульсометрії за </w:t>
      </w:r>
      <w:r w:rsidRPr="002E6ECA">
        <w:rPr>
          <w:sz w:val="28"/>
          <w:szCs w:val="28"/>
        </w:rPr>
        <w:t xml:space="preserve">      </w:t>
      </w:r>
      <w:r w:rsidRPr="002E6ECA">
        <w:rPr>
          <w:sz w:val="28"/>
          <w:szCs w:val="28"/>
          <w:lang w:val="uk-UA"/>
        </w:rPr>
        <w:t xml:space="preserve">Р.М.  Баєвським, як індекс напруження та вегативний показник ритму, що виявилися вищими в учнів, які навчаються за меритократичною системою (табл. 5.5), на 57,9% і 27,1%. </w:t>
      </w:r>
    </w:p>
    <w:p w:rsidR="008C1121" w:rsidRPr="002E6ECA" w:rsidRDefault="008C1121" w:rsidP="008C1121">
      <w:pPr>
        <w:spacing w:line="360" w:lineRule="auto"/>
        <w:ind w:firstLine="709"/>
        <w:jc w:val="both"/>
        <w:rPr>
          <w:sz w:val="28"/>
          <w:szCs w:val="28"/>
          <w:lang w:val="uk-UA"/>
        </w:rPr>
      </w:pPr>
      <w:r w:rsidRPr="002E6ECA">
        <w:rPr>
          <w:sz w:val="28"/>
          <w:szCs w:val="28"/>
          <w:lang w:val="uk-UA"/>
        </w:rPr>
        <w:t>Відомо, що показники варіаційної пульсометрії більшою мірою характеризують симпато-вагальний баланс на рівні автономного контуру регуляції [</w:t>
      </w:r>
      <w:r w:rsidR="00F16D26" w:rsidRPr="002E6ECA">
        <w:rPr>
          <w:sz w:val="28"/>
          <w:szCs w:val="28"/>
          <w:lang w:val="uk-UA"/>
        </w:rPr>
        <w:t>10</w:t>
      </w:r>
      <w:r w:rsidRPr="002E6ECA">
        <w:rPr>
          <w:sz w:val="28"/>
          <w:szCs w:val="28"/>
          <w:lang w:val="uk-UA"/>
        </w:rPr>
        <w:t>], а вищі значення ІН і ВПР свідчать про ослаблення активності автономного контуру регуляції на фоні посилення симпатичних впливів на серце в учнів, які навчаються за меритократичною системою навчання.</w:t>
      </w:r>
    </w:p>
    <w:p w:rsidR="00AA026D" w:rsidRPr="002E6ECA" w:rsidRDefault="00AA026D" w:rsidP="00AA026D">
      <w:pPr>
        <w:spacing w:line="360" w:lineRule="auto"/>
        <w:ind w:firstLine="709"/>
        <w:jc w:val="both"/>
        <w:rPr>
          <w:sz w:val="28"/>
          <w:szCs w:val="28"/>
          <w:lang w:val="uk-UA"/>
        </w:rPr>
      </w:pPr>
      <w:r w:rsidRPr="002E6ECA">
        <w:rPr>
          <w:sz w:val="28"/>
          <w:szCs w:val="28"/>
          <w:lang w:val="uk-UA"/>
        </w:rPr>
        <w:lastRenderedPageBreak/>
        <w:t>Зазначене знаходить відображення у тенденції до коротшої тривалості кардіоциклу на 6,7% (Р=0,07) та вищої ЧСС на 7,2% (Р=0,07), нижчої варіабельності серцевого ритму на 14,6% за показником SDNN (Р=0,06) та 35,0% за показником ТР (Р=0,06) у учнів, які навчаються за меритократичною системою навчання. У цих учнів тенденція до зниження загальної ВСР обумовлена тенденцією до посилення активності центрального контуру регуляції (на 36,3% вищі значення ІВР, Р=0,06) на фоні тенденції до ослаблення парасимпатичної активності (нижчі значення Δ</w:t>
      </w:r>
      <w:r w:rsidR="00DE59E3" w:rsidRPr="002E6ECA">
        <w:rPr>
          <w:sz w:val="28"/>
          <w:szCs w:val="28"/>
          <w:lang w:val="en-US"/>
        </w:rPr>
        <w:t>X</w:t>
      </w:r>
      <w:r w:rsidRPr="002E6ECA">
        <w:rPr>
          <w:sz w:val="28"/>
          <w:szCs w:val="28"/>
          <w:lang w:val="uk-UA"/>
        </w:rPr>
        <w:t xml:space="preserve"> (на 9,3%, Р=0,053), RMSSD (на 30,7%, Р=0,07), pNN50 (на 41,9%, Р=0,07)).</w:t>
      </w:r>
    </w:p>
    <w:p w:rsidR="009E0B65" w:rsidRPr="002E6ECA" w:rsidRDefault="009E0B65" w:rsidP="009E0B65">
      <w:pPr>
        <w:spacing w:line="360" w:lineRule="auto"/>
        <w:ind w:firstLine="709"/>
        <w:jc w:val="right"/>
        <w:rPr>
          <w:i/>
          <w:sz w:val="28"/>
          <w:szCs w:val="28"/>
          <w:lang w:val="uk-UA"/>
        </w:rPr>
      </w:pPr>
      <w:r w:rsidRPr="002E6ECA">
        <w:rPr>
          <w:i/>
          <w:sz w:val="28"/>
          <w:szCs w:val="28"/>
          <w:lang w:val="uk-UA"/>
        </w:rPr>
        <w:t>Таблиця 5.5</w:t>
      </w:r>
    </w:p>
    <w:p w:rsidR="00591BE4" w:rsidRPr="002E6ECA" w:rsidRDefault="00591BE4" w:rsidP="00591BE4">
      <w:pPr>
        <w:spacing w:line="360" w:lineRule="auto"/>
        <w:ind w:firstLine="709"/>
        <w:jc w:val="center"/>
        <w:rPr>
          <w:b/>
          <w:sz w:val="28"/>
          <w:szCs w:val="28"/>
          <w:lang w:val="uk-UA"/>
        </w:rPr>
      </w:pPr>
      <w:r w:rsidRPr="002E6ECA">
        <w:rPr>
          <w:b/>
          <w:sz w:val="28"/>
          <w:szCs w:val="28"/>
          <w:lang w:val="uk-UA"/>
        </w:rPr>
        <w:t>Показники ВСР учнів 6-класів за різних систем навчання</w:t>
      </w:r>
    </w:p>
    <w:tbl>
      <w:tblPr>
        <w:tblW w:w="9718" w:type="dxa"/>
        <w:tblInd w:w="91" w:type="dxa"/>
        <w:tblLayout w:type="fixed"/>
        <w:tblLook w:val="04A0" w:firstRow="1" w:lastRow="0" w:firstColumn="1" w:lastColumn="0" w:noHBand="0" w:noVBand="1"/>
      </w:tblPr>
      <w:tblGrid>
        <w:gridCol w:w="1922"/>
        <w:gridCol w:w="1295"/>
        <w:gridCol w:w="1295"/>
        <w:gridCol w:w="1296"/>
        <w:gridCol w:w="1295"/>
        <w:gridCol w:w="1295"/>
        <w:gridCol w:w="1320"/>
      </w:tblGrid>
      <w:tr w:rsidR="00591BE4" w:rsidRPr="002E6ECA" w:rsidTr="00337390">
        <w:trPr>
          <w:trHeight w:val="644"/>
        </w:trPr>
        <w:tc>
          <w:tcPr>
            <w:tcW w:w="1922" w:type="dxa"/>
            <w:vMerge w:val="restart"/>
            <w:tcBorders>
              <w:top w:val="single" w:sz="4" w:space="0" w:color="auto"/>
              <w:left w:val="single" w:sz="4" w:space="0" w:color="auto"/>
              <w:bottom w:val="nil"/>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jc w:val="center"/>
              <w:rPr>
                <w:bCs/>
                <w:sz w:val="26"/>
                <w:szCs w:val="26"/>
                <w:lang w:val="uk-UA"/>
              </w:rPr>
            </w:pPr>
            <w:r w:rsidRPr="002E6ECA">
              <w:rPr>
                <w:bCs/>
                <w:sz w:val="26"/>
                <w:szCs w:val="26"/>
                <w:lang w:val="uk-UA"/>
              </w:rPr>
              <w:t>Показники</w:t>
            </w:r>
          </w:p>
        </w:tc>
        <w:tc>
          <w:tcPr>
            <w:tcW w:w="3886" w:type="dxa"/>
            <w:gridSpan w:val="3"/>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Меритократичне навчання (n=42)</w:t>
            </w:r>
          </w:p>
        </w:tc>
        <w:tc>
          <w:tcPr>
            <w:tcW w:w="3910"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337390">
            <w:pPr>
              <w:spacing w:line="312" w:lineRule="auto"/>
              <w:ind w:firstLine="51"/>
              <w:jc w:val="center"/>
              <w:rPr>
                <w:bCs/>
                <w:sz w:val="26"/>
                <w:szCs w:val="26"/>
                <w:lang w:val="uk-UA"/>
              </w:rPr>
            </w:pPr>
            <w:r w:rsidRPr="002E6ECA">
              <w:rPr>
                <w:bCs/>
                <w:sz w:val="26"/>
                <w:szCs w:val="26"/>
                <w:lang w:val="uk-UA"/>
              </w:rPr>
              <w:t>Традиційне навчання</w:t>
            </w:r>
            <w:r w:rsidR="00337390" w:rsidRPr="002E6ECA">
              <w:rPr>
                <w:bCs/>
                <w:sz w:val="26"/>
                <w:szCs w:val="26"/>
                <w:lang w:val="uk-UA"/>
              </w:rPr>
              <w:t xml:space="preserve"> </w:t>
            </w:r>
            <w:r w:rsidRPr="002E6ECA">
              <w:rPr>
                <w:bCs/>
                <w:sz w:val="26"/>
                <w:szCs w:val="26"/>
                <w:lang w:val="uk-UA"/>
              </w:rPr>
              <w:t xml:space="preserve"> (n=18)</w:t>
            </w:r>
          </w:p>
        </w:tc>
      </w:tr>
      <w:tr w:rsidR="00591BE4" w:rsidRPr="002E6ECA" w:rsidTr="00337390">
        <w:trPr>
          <w:trHeight w:val="785"/>
        </w:trPr>
        <w:tc>
          <w:tcPr>
            <w:tcW w:w="1922"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337390">
            <w:pPr>
              <w:spacing w:line="276" w:lineRule="auto"/>
              <w:ind w:firstLine="51"/>
              <w:jc w:val="center"/>
              <w:rPr>
                <w:bCs/>
                <w:sz w:val="26"/>
                <w:szCs w:val="26"/>
                <w:lang w:val="uk-UA"/>
              </w:rPr>
            </w:pPr>
            <w:r w:rsidRPr="002E6ECA">
              <w:rPr>
                <w:bCs/>
                <w:sz w:val="26"/>
                <w:szCs w:val="26"/>
                <w:lang w:val="uk-UA"/>
              </w:rPr>
              <w:t>Медіана</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337390">
            <w:pPr>
              <w:spacing w:line="276" w:lineRule="auto"/>
              <w:ind w:firstLine="51"/>
              <w:jc w:val="center"/>
              <w:rPr>
                <w:bCs/>
                <w:sz w:val="26"/>
                <w:szCs w:val="26"/>
                <w:lang w:val="uk-UA"/>
              </w:rPr>
            </w:pPr>
            <w:r w:rsidRPr="002E6ECA">
              <w:rPr>
                <w:bCs/>
                <w:sz w:val="26"/>
                <w:szCs w:val="26"/>
                <w:lang w:val="uk-UA"/>
              </w:rPr>
              <w:t>Нижній квартиль</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337390">
            <w:pPr>
              <w:spacing w:line="276" w:lineRule="auto"/>
              <w:ind w:firstLine="51"/>
              <w:jc w:val="center"/>
              <w:rPr>
                <w:bCs/>
                <w:sz w:val="26"/>
                <w:szCs w:val="26"/>
                <w:lang w:val="uk-UA"/>
              </w:rPr>
            </w:pPr>
            <w:r w:rsidRPr="002E6ECA">
              <w:rPr>
                <w:bCs/>
                <w:sz w:val="26"/>
                <w:szCs w:val="26"/>
                <w:lang w:val="uk-UA"/>
              </w:rPr>
              <w:t>Верхній</w:t>
            </w:r>
          </w:p>
          <w:p w:rsidR="00591BE4" w:rsidRPr="002E6ECA" w:rsidRDefault="00591BE4" w:rsidP="00337390">
            <w:pPr>
              <w:spacing w:line="276" w:lineRule="auto"/>
              <w:ind w:firstLine="51"/>
              <w:jc w:val="center"/>
              <w:rPr>
                <w:bCs/>
                <w:sz w:val="26"/>
                <w:szCs w:val="26"/>
                <w:lang w:val="uk-UA"/>
              </w:rPr>
            </w:pPr>
            <w:r w:rsidRPr="002E6ECA">
              <w:rPr>
                <w:bCs/>
                <w:sz w:val="26"/>
                <w:szCs w:val="26"/>
                <w:lang w:val="uk-UA"/>
              </w:rPr>
              <w:t>квартиль</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337390">
            <w:pPr>
              <w:spacing w:line="276" w:lineRule="auto"/>
              <w:ind w:firstLine="51"/>
              <w:jc w:val="center"/>
              <w:rPr>
                <w:bCs/>
                <w:sz w:val="26"/>
                <w:szCs w:val="26"/>
                <w:lang w:val="uk-UA"/>
              </w:rPr>
            </w:pPr>
            <w:r w:rsidRPr="002E6ECA">
              <w:rPr>
                <w:bCs/>
                <w:sz w:val="26"/>
                <w:szCs w:val="26"/>
                <w:lang w:val="uk-UA"/>
              </w:rPr>
              <w:t>Медіана</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337390">
            <w:pPr>
              <w:spacing w:line="276" w:lineRule="auto"/>
              <w:ind w:firstLine="51"/>
              <w:jc w:val="center"/>
              <w:rPr>
                <w:bCs/>
                <w:sz w:val="26"/>
                <w:szCs w:val="26"/>
                <w:lang w:val="uk-UA"/>
              </w:rPr>
            </w:pPr>
            <w:r w:rsidRPr="002E6ECA">
              <w:rPr>
                <w:bCs/>
                <w:sz w:val="26"/>
                <w:szCs w:val="26"/>
                <w:lang w:val="uk-UA"/>
              </w:rPr>
              <w:t>Нижній квартиль</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337390">
            <w:pPr>
              <w:spacing w:line="276" w:lineRule="auto"/>
              <w:ind w:firstLine="51"/>
              <w:jc w:val="center"/>
              <w:rPr>
                <w:bCs/>
                <w:sz w:val="26"/>
                <w:szCs w:val="26"/>
                <w:lang w:val="uk-UA"/>
              </w:rPr>
            </w:pPr>
            <w:r w:rsidRPr="002E6ECA">
              <w:rPr>
                <w:bCs/>
                <w:sz w:val="26"/>
                <w:szCs w:val="26"/>
                <w:lang w:val="uk-UA"/>
              </w:rPr>
              <w:t>Верхній</w:t>
            </w:r>
          </w:p>
          <w:p w:rsidR="00591BE4" w:rsidRPr="002E6ECA" w:rsidRDefault="00591BE4" w:rsidP="00337390">
            <w:pPr>
              <w:spacing w:line="276" w:lineRule="auto"/>
              <w:ind w:firstLine="51"/>
              <w:jc w:val="center"/>
              <w:rPr>
                <w:bCs/>
                <w:sz w:val="26"/>
                <w:szCs w:val="26"/>
                <w:lang w:val="uk-UA"/>
              </w:rPr>
            </w:pPr>
            <w:r w:rsidRPr="002E6ECA">
              <w:rPr>
                <w:bCs/>
                <w:sz w:val="26"/>
                <w:szCs w:val="26"/>
                <w:lang w:val="uk-UA"/>
              </w:rPr>
              <w:t>квартиль</w:t>
            </w:r>
          </w:p>
        </w:tc>
      </w:tr>
      <w:tr w:rsidR="00591BE4"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ЧСС, уд./хв.</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86,15</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78,83</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94,12</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80,35</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73,51</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88,64</w:t>
            </w:r>
          </w:p>
        </w:tc>
      </w:tr>
      <w:tr w:rsidR="00591BE4" w:rsidRPr="002E6ECA" w:rsidTr="00337390">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Статистичні показники ВСР</w:t>
            </w:r>
          </w:p>
        </w:tc>
      </w:tr>
      <w:tr w:rsidR="00591BE4"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Mean, мс</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696,43</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637,47</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761,15</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746,72</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676,88</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816,24</w:t>
            </w:r>
          </w:p>
        </w:tc>
      </w:tr>
      <w:tr w:rsidR="00591BE4"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DE59E3" w:rsidP="00DC591A">
            <w:pPr>
              <w:spacing w:line="312" w:lineRule="auto"/>
              <w:ind w:firstLine="51"/>
              <w:rPr>
                <w:bCs/>
                <w:sz w:val="26"/>
                <w:szCs w:val="26"/>
                <w:lang w:val="uk-UA"/>
              </w:rPr>
            </w:pPr>
            <w:r w:rsidRPr="002E6ECA">
              <w:rPr>
                <w:bCs/>
                <w:sz w:val="26"/>
                <w:szCs w:val="26"/>
                <w:lang w:val="en-US"/>
              </w:rPr>
              <w:t>C</w:t>
            </w:r>
            <w:r w:rsidR="00591BE4" w:rsidRPr="002E6ECA">
              <w:rPr>
                <w:bCs/>
                <w:sz w:val="26"/>
                <w:szCs w:val="26"/>
                <w:lang w:val="uk-UA"/>
              </w:rPr>
              <w:t>Vr,%</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7,50</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5,89</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9,01</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8,01</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7,23</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10,08</w:t>
            </w:r>
          </w:p>
        </w:tc>
      </w:tr>
      <w:tr w:rsidR="00591BE4"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rPr>
                <w:bCs/>
                <w:sz w:val="26"/>
                <w:szCs w:val="26"/>
                <w:lang w:val="uk-UA"/>
              </w:rPr>
            </w:pPr>
            <w:r w:rsidRPr="002E6ECA">
              <w:rPr>
                <w:bCs/>
                <w:sz w:val="26"/>
                <w:szCs w:val="26"/>
                <w:lang w:val="uk-UA"/>
              </w:rPr>
              <w:t>SDNN, мс</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53,28</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41,41</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65,30</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62,36</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47,45</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DC591A">
            <w:pPr>
              <w:spacing w:line="312" w:lineRule="auto"/>
              <w:ind w:firstLine="51"/>
              <w:jc w:val="center"/>
              <w:rPr>
                <w:bCs/>
                <w:sz w:val="26"/>
                <w:szCs w:val="26"/>
                <w:lang w:val="uk-UA"/>
              </w:rPr>
            </w:pPr>
            <w:r w:rsidRPr="002E6ECA">
              <w:rPr>
                <w:bCs/>
                <w:sz w:val="26"/>
                <w:szCs w:val="26"/>
                <w:lang w:val="uk-UA"/>
              </w:rPr>
              <w:t>76,18</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RMSSD, мс</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43,08</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32,49</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62,05</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62,14</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44,65</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79,75</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pNN50, %</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24,48</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10,21</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41,33</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42,17</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26,08</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52,54</w:t>
            </w:r>
          </w:p>
        </w:tc>
      </w:tr>
      <w:tr w:rsidR="00DC591A" w:rsidRPr="002E6ECA" w:rsidTr="00337390">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Варіаційна пульсомерія за Р.М. Баєвським</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Мо, мс</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662,49</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616,03</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757,02</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720,99</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666,02</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806,00</w:t>
            </w:r>
          </w:p>
        </w:tc>
      </w:tr>
      <w:tr w:rsidR="00DC591A" w:rsidRPr="002E6ECA" w:rsidTr="00337390">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Варіаційна пульсомерія за Р.М. Баєвським</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Амо, %</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9,60</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7,82</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11,76</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7,89</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6,45</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10,41</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E59E3">
            <w:pPr>
              <w:spacing w:line="312" w:lineRule="auto"/>
              <w:ind w:firstLine="51"/>
              <w:rPr>
                <w:bCs/>
                <w:sz w:val="26"/>
                <w:szCs w:val="26"/>
                <w:lang w:val="uk-UA"/>
              </w:rPr>
            </w:pPr>
            <w:r w:rsidRPr="002E6ECA">
              <w:rPr>
                <w:bCs/>
                <w:sz w:val="26"/>
                <w:szCs w:val="26"/>
                <w:lang w:val="uk-UA"/>
              </w:rPr>
              <w:t>Δ</w:t>
            </w:r>
            <w:r w:rsidR="00DE59E3" w:rsidRPr="002E6ECA">
              <w:rPr>
                <w:bCs/>
                <w:sz w:val="26"/>
                <w:szCs w:val="26"/>
                <w:lang w:val="en-US"/>
              </w:rPr>
              <w:t>X</w:t>
            </w:r>
            <w:r w:rsidRPr="002E6ECA">
              <w:rPr>
                <w:bCs/>
                <w:sz w:val="26"/>
                <w:szCs w:val="26"/>
                <w:lang w:val="uk-UA"/>
              </w:rPr>
              <w:t>, мс</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320,51</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253,99</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374,99</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353,49</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315,98</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445,01</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ІН, ум. од.</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23,85</w:t>
            </w:r>
            <w:r w:rsidRPr="002E6ECA">
              <w:rPr>
                <w:bCs/>
                <w:sz w:val="26"/>
                <w:szCs w:val="26"/>
                <w:vertAlign w:val="superscript"/>
                <w:lang w:val="en-US"/>
              </w:rPr>
              <w:t>#</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14,04</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34,07</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15,11</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9,53</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21,93</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ПАПР, ум. од.</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0,52</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0,30</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1,04</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0,58</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0,24</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0,99</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ІВР, ум. од.</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30,80</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19,93</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45,25</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22,60</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15,58</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29,65</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ВПР, ум. од.</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4,70</w:t>
            </w:r>
            <w:r w:rsidRPr="002E6ECA">
              <w:rPr>
                <w:bCs/>
                <w:sz w:val="26"/>
                <w:szCs w:val="26"/>
                <w:vertAlign w:val="superscript"/>
                <w:lang w:val="en-US"/>
              </w:rPr>
              <w:t>#</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3,52</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6,22</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3,70</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2,89</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4,88</w:t>
            </w:r>
          </w:p>
        </w:tc>
      </w:tr>
      <w:tr w:rsidR="00DC591A" w:rsidRPr="002E6ECA" w:rsidTr="00337390">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Автокореляційні показники ВСР</w:t>
            </w:r>
          </w:p>
        </w:tc>
      </w:tr>
      <w:tr w:rsidR="00DC591A"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rPr>
                <w:bCs/>
                <w:sz w:val="26"/>
                <w:szCs w:val="26"/>
                <w:lang w:val="uk-UA"/>
              </w:rPr>
            </w:pPr>
            <w:r w:rsidRPr="002E6ECA">
              <w:rPr>
                <w:bCs/>
                <w:sz w:val="26"/>
                <w:szCs w:val="26"/>
                <w:lang w:val="uk-UA"/>
              </w:rPr>
              <w:t>СС1</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0,61</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0,51</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0,72</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0,56</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0,49</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C591A" w:rsidRPr="002E6ECA" w:rsidRDefault="00DC591A" w:rsidP="00DC591A">
            <w:pPr>
              <w:spacing w:line="312" w:lineRule="auto"/>
              <w:ind w:firstLine="51"/>
              <w:jc w:val="center"/>
              <w:rPr>
                <w:bCs/>
                <w:sz w:val="26"/>
                <w:szCs w:val="26"/>
                <w:lang w:val="uk-UA"/>
              </w:rPr>
            </w:pPr>
            <w:r w:rsidRPr="002E6ECA">
              <w:rPr>
                <w:bCs/>
                <w:sz w:val="26"/>
                <w:szCs w:val="26"/>
                <w:lang w:val="uk-UA"/>
              </w:rPr>
              <w:t>0,69</w:t>
            </w:r>
          </w:p>
        </w:tc>
      </w:tr>
      <w:tr w:rsidR="00337390"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337390" w:rsidRPr="002E6ECA" w:rsidRDefault="00337390" w:rsidP="00337390">
            <w:pPr>
              <w:spacing w:line="312" w:lineRule="auto"/>
              <w:ind w:firstLine="51"/>
              <w:rPr>
                <w:bCs/>
                <w:sz w:val="26"/>
                <w:szCs w:val="26"/>
                <w:lang w:val="uk-UA"/>
              </w:rPr>
            </w:pPr>
            <w:r w:rsidRPr="002E6ECA">
              <w:rPr>
                <w:bCs/>
                <w:sz w:val="26"/>
                <w:szCs w:val="26"/>
                <w:lang w:val="uk-UA"/>
              </w:rPr>
              <w:t>СС0</w:t>
            </w:r>
          </w:p>
        </w:tc>
        <w:tc>
          <w:tcPr>
            <w:tcW w:w="1295"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337390" w:rsidRPr="002E6ECA" w:rsidRDefault="00337390" w:rsidP="00337390">
            <w:pPr>
              <w:spacing w:line="312" w:lineRule="auto"/>
              <w:ind w:firstLine="51"/>
              <w:jc w:val="center"/>
              <w:rPr>
                <w:bCs/>
                <w:sz w:val="26"/>
                <w:szCs w:val="26"/>
                <w:lang w:val="uk-UA"/>
              </w:rPr>
            </w:pPr>
            <w:r w:rsidRPr="002E6ECA">
              <w:rPr>
                <w:bCs/>
                <w:sz w:val="26"/>
                <w:szCs w:val="26"/>
                <w:lang w:val="uk-UA"/>
              </w:rPr>
              <w:t>3,50</w:t>
            </w:r>
          </w:p>
        </w:tc>
        <w:tc>
          <w:tcPr>
            <w:tcW w:w="1295"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337390" w:rsidRPr="002E6ECA" w:rsidRDefault="00337390" w:rsidP="00337390">
            <w:pPr>
              <w:spacing w:line="312" w:lineRule="auto"/>
              <w:ind w:firstLine="51"/>
              <w:jc w:val="center"/>
              <w:rPr>
                <w:bCs/>
                <w:sz w:val="26"/>
                <w:szCs w:val="26"/>
                <w:lang w:val="uk-UA"/>
              </w:rPr>
            </w:pPr>
            <w:r w:rsidRPr="002E6ECA">
              <w:rPr>
                <w:bCs/>
                <w:sz w:val="26"/>
                <w:szCs w:val="26"/>
                <w:lang w:val="uk-UA"/>
              </w:rPr>
              <w:t>2,00</w:t>
            </w:r>
          </w:p>
        </w:tc>
        <w:tc>
          <w:tcPr>
            <w:tcW w:w="1296"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337390" w:rsidRPr="002E6ECA" w:rsidRDefault="00337390" w:rsidP="00337390">
            <w:pPr>
              <w:spacing w:line="312" w:lineRule="auto"/>
              <w:ind w:firstLine="51"/>
              <w:jc w:val="center"/>
              <w:rPr>
                <w:bCs/>
                <w:sz w:val="26"/>
                <w:szCs w:val="26"/>
                <w:lang w:val="uk-UA"/>
              </w:rPr>
            </w:pPr>
            <w:r w:rsidRPr="002E6ECA">
              <w:rPr>
                <w:bCs/>
                <w:sz w:val="26"/>
                <w:szCs w:val="26"/>
                <w:lang w:val="uk-UA"/>
              </w:rPr>
              <w:t>22,00</w:t>
            </w:r>
          </w:p>
        </w:tc>
        <w:tc>
          <w:tcPr>
            <w:tcW w:w="1295"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337390" w:rsidRPr="002E6ECA" w:rsidRDefault="00337390" w:rsidP="00337390">
            <w:pPr>
              <w:spacing w:line="312" w:lineRule="auto"/>
              <w:ind w:firstLine="51"/>
              <w:jc w:val="center"/>
              <w:rPr>
                <w:bCs/>
                <w:sz w:val="26"/>
                <w:szCs w:val="26"/>
                <w:lang w:val="uk-UA"/>
              </w:rPr>
            </w:pPr>
            <w:r w:rsidRPr="002E6ECA">
              <w:rPr>
                <w:bCs/>
                <w:sz w:val="26"/>
                <w:szCs w:val="26"/>
                <w:lang w:val="uk-UA"/>
              </w:rPr>
              <w:t>7,00</w:t>
            </w:r>
          </w:p>
        </w:tc>
        <w:tc>
          <w:tcPr>
            <w:tcW w:w="12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37390" w:rsidRPr="002E6ECA" w:rsidRDefault="00337390" w:rsidP="00337390">
            <w:pPr>
              <w:spacing w:line="312" w:lineRule="auto"/>
              <w:ind w:firstLine="51"/>
              <w:jc w:val="center"/>
              <w:rPr>
                <w:bCs/>
                <w:sz w:val="26"/>
                <w:szCs w:val="26"/>
                <w:lang w:val="uk-UA"/>
              </w:rPr>
            </w:pPr>
            <w:r w:rsidRPr="002E6ECA">
              <w:rPr>
                <w:bCs/>
                <w:sz w:val="26"/>
                <w:szCs w:val="26"/>
                <w:lang w:val="uk-UA"/>
              </w:rPr>
              <w:t>2,00</w:t>
            </w:r>
          </w:p>
        </w:tc>
        <w:tc>
          <w:tcPr>
            <w:tcW w:w="132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37390" w:rsidRPr="002E6ECA" w:rsidRDefault="00337390" w:rsidP="00337390">
            <w:pPr>
              <w:spacing w:line="312" w:lineRule="auto"/>
              <w:ind w:firstLine="51"/>
              <w:jc w:val="center"/>
              <w:rPr>
                <w:bCs/>
                <w:sz w:val="26"/>
                <w:szCs w:val="26"/>
                <w:lang w:val="uk-UA"/>
              </w:rPr>
            </w:pPr>
            <w:r w:rsidRPr="002E6ECA">
              <w:rPr>
                <w:bCs/>
                <w:sz w:val="26"/>
                <w:szCs w:val="26"/>
                <w:lang w:val="uk-UA"/>
              </w:rPr>
              <w:t>39,00</w:t>
            </w:r>
          </w:p>
        </w:tc>
      </w:tr>
    </w:tbl>
    <w:p w:rsidR="00591BE4" w:rsidRPr="002E6ECA" w:rsidRDefault="00591BE4" w:rsidP="00591BE4">
      <w:pPr>
        <w:spacing w:line="360" w:lineRule="auto"/>
        <w:ind w:firstLine="709"/>
        <w:jc w:val="right"/>
        <w:rPr>
          <w:sz w:val="28"/>
          <w:szCs w:val="28"/>
          <w:lang w:val="uk-UA"/>
        </w:rPr>
      </w:pPr>
      <w:r w:rsidRPr="002E6ECA">
        <w:rPr>
          <w:i/>
          <w:sz w:val="28"/>
          <w:szCs w:val="28"/>
          <w:lang w:val="uk-UA"/>
        </w:rPr>
        <w:lastRenderedPageBreak/>
        <w:t>Продовження табл. 5.5</w:t>
      </w:r>
    </w:p>
    <w:tbl>
      <w:tblPr>
        <w:tblW w:w="9620" w:type="dxa"/>
        <w:tblInd w:w="91" w:type="dxa"/>
        <w:tblLook w:val="04A0" w:firstRow="1" w:lastRow="0" w:firstColumn="1" w:lastColumn="0" w:noHBand="0" w:noVBand="1"/>
      </w:tblPr>
      <w:tblGrid>
        <w:gridCol w:w="1922"/>
        <w:gridCol w:w="1276"/>
        <w:gridCol w:w="1164"/>
        <w:gridCol w:w="1387"/>
        <w:gridCol w:w="1418"/>
        <w:gridCol w:w="1164"/>
        <w:gridCol w:w="1289"/>
      </w:tblGrid>
      <w:tr w:rsidR="00591BE4" w:rsidRPr="002E6ECA" w:rsidTr="0086629E">
        <w:trPr>
          <w:trHeight w:val="464"/>
        </w:trPr>
        <w:tc>
          <w:tcPr>
            <w:tcW w:w="1922" w:type="dxa"/>
            <w:vMerge w:val="restart"/>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jc w:val="center"/>
              <w:rPr>
                <w:bCs/>
                <w:sz w:val="26"/>
                <w:szCs w:val="26"/>
                <w:lang w:val="uk-UA"/>
              </w:rPr>
            </w:pPr>
            <w:r w:rsidRPr="002E6ECA">
              <w:rPr>
                <w:bCs/>
                <w:sz w:val="26"/>
                <w:szCs w:val="26"/>
                <w:lang w:val="uk-UA"/>
              </w:rPr>
              <w:t>Показники</w:t>
            </w:r>
          </w:p>
        </w:tc>
        <w:tc>
          <w:tcPr>
            <w:tcW w:w="3827" w:type="dxa"/>
            <w:gridSpan w:val="3"/>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86629E">
            <w:pPr>
              <w:ind w:firstLine="51"/>
              <w:jc w:val="center"/>
              <w:rPr>
                <w:bCs/>
                <w:sz w:val="26"/>
                <w:szCs w:val="26"/>
                <w:lang w:val="uk-UA"/>
              </w:rPr>
            </w:pPr>
            <w:r w:rsidRPr="002E6ECA">
              <w:rPr>
                <w:bCs/>
                <w:sz w:val="26"/>
                <w:szCs w:val="26"/>
                <w:lang w:val="uk-UA"/>
              </w:rPr>
              <w:t>Меритократичне навчання n=42)</w:t>
            </w:r>
          </w:p>
        </w:tc>
        <w:tc>
          <w:tcPr>
            <w:tcW w:w="3871" w:type="dxa"/>
            <w:gridSpan w:val="3"/>
            <w:tcBorders>
              <w:top w:val="single" w:sz="4" w:space="0" w:color="auto"/>
              <w:left w:val="single" w:sz="4" w:space="0" w:color="auto"/>
              <w:right w:val="single" w:sz="4" w:space="0" w:color="auto"/>
            </w:tcBorders>
            <w:tcMar>
              <w:left w:w="28" w:type="dxa"/>
              <w:right w:w="28" w:type="dxa"/>
            </w:tcMar>
            <w:vAlign w:val="center"/>
          </w:tcPr>
          <w:p w:rsidR="00591BE4" w:rsidRPr="002E6ECA" w:rsidRDefault="00591BE4" w:rsidP="00337390">
            <w:pPr>
              <w:ind w:firstLine="51"/>
              <w:jc w:val="center"/>
              <w:rPr>
                <w:bCs/>
                <w:sz w:val="26"/>
                <w:szCs w:val="26"/>
                <w:lang w:val="uk-UA"/>
              </w:rPr>
            </w:pPr>
            <w:r w:rsidRPr="002E6ECA">
              <w:rPr>
                <w:bCs/>
                <w:sz w:val="26"/>
                <w:szCs w:val="26"/>
                <w:lang w:val="uk-UA"/>
              </w:rPr>
              <w:t>Традиційне навчання</w:t>
            </w:r>
            <w:r w:rsidR="00337390" w:rsidRPr="002E6ECA">
              <w:rPr>
                <w:bCs/>
                <w:sz w:val="26"/>
                <w:szCs w:val="26"/>
                <w:lang w:val="uk-UA"/>
              </w:rPr>
              <w:t xml:space="preserve"> </w:t>
            </w:r>
            <w:r w:rsidRPr="002E6ECA">
              <w:rPr>
                <w:bCs/>
                <w:sz w:val="26"/>
                <w:szCs w:val="26"/>
                <w:lang w:val="uk-UA"/>
              </w:rPr>
              <w:t xml:space="preserve"> (n=18)</w:t>
            </w:r>
          </w:p>
        </w:tc>
      </w:tr>
      <w:tr w:rsidR="00591BE4" w:rsidRPr="002E6ECA" w:rsidTr="0086629E">
        <w:trPr>
          <w:trHeight w:val="785"/>
        </w:trPr>
        <w:tc>
          <w:tcPr>
            <w:tcW w:w="1922"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ind w:firstLine="51"/>
              <w:jc w:val="center"/>
              <w:rPr>
                <w:bCs/>
                <w:sz w:val="26"/>
                <w:szCs w:val="26"/>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86629E">
            <w:pPr>
              <w:spacing w:line="276" w:lineRule="auto"/>
              <w:ind w:firstLine="51"/>
              <w:jc w:val="center"/>
              <w:rPr>
                <w:bCs/>
                <w:sz w:val="26"/>
                <w:szCs w:val="26"/>
                <w:lang w:val="uk-UA"/>
              </w:rPr>
            </w:pPr>
            <w:r w:rsidRPr="002E6ECA">
              <w:rPr>
                <w:bCs/>
                <w:sz w:val="26"/>
                <w:szCs w:val="26"/>
                <w:lang w:val="uk-UA"/>
              </w:rPr>
              <w:t>Медіана</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86629E">
            <w:pPr>
              <w:spacing w:line="276" w:lineRule="auto"/>
              <w:ind w:firstLine="51"/>
              <w:jc w:val="center"/>
              <w:rPr>
                <w:bCs/>
                <w:sz w:val="26"/>
                <w:szCs w:val="26"/>
                <w:lang w:val="uk-UA"/>
              </w:rPr>
            </w:pPr>
            <w:r w:rsidRPr="002E6ECA">
              <w:rPr>
                <w:bCs/>
                <w:sz w:val="26"/>
                <w:szCs w:val="26"/>
                <w:lang w:val="uk-UA"/>
              </w:rPr>
              <w:t>Нижній квартиль</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86629E">
            <w:pPr>
              <w:spacing w:line="276" w:lineRule="auto"/>
              <w:ind w:firstLine="51"/>
              <w:jc w:val="center"/>
              <w:rPr>
                <w:bCs/>
                <w:sz w:val="26"/>
                <w:szCs w:val="26"/>
                <w:lang w:val="uk-UA"/>
              </w:rPr>
            </w:pPr>
            <w:r w:rsidRPr="002E6ECA">
              <w:rPr>
                <w:bCs/>
                <w:sz w:val="26"/>
                <w:szCs w:val="26"/>
                <w:lang w:val="uk-UA"/>
              </w:rPr>
              <w:t>Верхній</w:t>
            </w:r>
          </w:p>
          <w:p w:rsidR="00591BE4" w:rsidRPr="002E6ECA" w:rsidRDefault="00591BE4" w:rsidP="0086629E">
            <w:pPr>
              <w:spacing w:line="276" w:lineRule="auto"/>
              <w:ind w:firstLine="51"/>
              <w:jc w:val="center"/>
              <w:rPr>
                <w:bCs/>
                <w:sz w:val="26"/>
                <w:szCs w:val="26"/>
                <w:lang w:val="uk-UA"/>
              </w:rPr>
            </w:pPr>
            <w:r w:rsidRPr="002E6ECA">
              <w:rPr>
                <w:bCs/>
                <w:sz w:val="26"/>
                <w:szCs w:val="26"/>
                <w:lang w:val="uk-UA"/>
              </w:rPr>
              <w:t>квартиль</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86629E">
            <w:pPr>
              <w:spacing w:line="276" w:lineRule="auto"/>
              <w:ind w:firstLine="51"/>
              <w:jc w:val="center"/>
              <w:rPr>
                <w:bCs/>
                <w:sz w:val="26"/>
                <w:szCs w:val="26"/>
                <w:lang w:val="uk-UA"/>
              </w:rPr>
            </w:pPr>
            <w:r w:rsidRPr="002E6ECA">
              <w:rPr>
                <w:bCs/>
                <w:sz w:val="26"/>
                <w:szCs w:val="26"/>
                <w:lang w:val="uk-UA"/>
              </w:rPr>
              <w:t>Медіана</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86629E">
            <w:pPr>
              <w:spacing w:line="276" w:lineRule="auto"/>
              <w:ind w:firstLine="51"/>
              <w:jc w:val="center"/>
              <w:rPr>
                <w:bCs/>
                <w:sz w:val="26"/>
                <w:szCs w:val="26"/>
                <w:lang w:val="uk-UA"/>
              </w:rPr>
            </w:pPr>
            <w:r w:rsidRPr="002E6ECA">
              <w:rPr>
                <w:bCs/>
                <w:sz w:val="26"/>
                <w:szCs w:val="26"/>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86629E">
            <w:pPr>
              <w:spacing w:line="276" w:lineRule="auto"/>
              <w:ind w:firstLine="51"/>
              <w:jc w:val="center"/>
              <w:rPr>
                <w:bCs/>
                <w:sz w:val="26"/>
                <w:szCs w:val="26"/>
                <w:lang w:val="uk-UA"/>
              </w:rPr>
            </w:pPr>
            <w:r w:rsidRPr="002E6ECA">
              <w:rPr>
                <w:bCs/>
                <w:sz w:val="26"/>
                <w:szCs w:val="26"/>
                <w:lang w:val="uk-UA"/>
              </w:rPr>
              <w:t>Верхній</w:t>
            </w:r>
          </w:p>
          <w:p w:rsidR="00591BE4" w:rsidRPr="002E6ECA" w:rsidRDefault="00591BE4" w:rsidP="0086629E">
            <w:pPr>
              <w:spacing w:line="276" w:lineRule="auto"/>
              <w:ind w:firstLine="51"/>
              <w:jc w:val="center"/>
              <w:rPr>
                <w:bCs/>
                <w:sz w:val="26"/>
                <w:szCs w:val="26"/>
                <w:lang w:val="uk-UA"/>
              </w:rPr>
            </w:pPr>
            <w:r w:rsidRPr="002E6ECA">
              <w:rPr>
                <w:bCs/>
                <w:sz w:val="26"/>
                <w:szCs w:val="26"/>
                <w:lang w:val="uk-UA"/>
              </w:rPr>
              <w:t>квартиль</w:t>
            </w:r>
          </w:p>
        </w:tc>
      </w:tr>
      <w:tr w:rsidR="0086629E" w:rsidRPr="002E6ECA" w:rsidTr="0086629E">
        <w:trPr>
          <w:trHeight w:val="300"/>
        </w:trPr>
        <w:tc>
          <w:tcPr>
            <w:tcW w:w="9620"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ind w:firstLine="51"/>
              <w:jc w:val="center"/>
              <w:rPr>
                <w:bCs/>
                <w:sz w:val="26"/>
                <w:szCs w:val="26"/>
                <w:lang w:val="uk-UA"/>
              </w:rPr>
            </w:pPr>
            <w:r w:rsidRPr="002E6ECA">
              <w:rPr>
                <w:bCs/>
                <w:sz w:val="26"/>
                <w:szCs w:val="26"/>
                <w:lang w:val="uk-UA"/>
              </w:rPr>
              <w:t>Спектральні показники ВСР</w:t>
            </w:r>
          </w:p>
        </w:tc>
      </w:tr>
      <w:tr w:rsidR="0086629E"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6"/>
                <w:szCs w:val="26"/>
                <w:lang w:val="uk-UA"/>
              </w:rPr>
            </w:pPr>
            <w:r w:rsidRPr="002E6ECA">
              <w:rPr>
                <w:bCs/>
                <w:sz w:val="26"/>
                <w:szCs w:val="26"/>
                <w:lang w:val="uk-UA"/>
              </w:rPr>
              <w:t>TP, мс</w:t>
            </w:r>
            <w:r w:rsidRPr="002E6ECA">
              <w:rPr>
                <w:bCs/>
                <w:sz w:val="26"/>
                <w:szCs w:val="26"/>
                <w:vertAlign w:val="superscript"/>
                <w:lang w:val="uk-UA"/>
              </w:rPr>
              <w:t>2</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1062,96</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583,44</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1613,89</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1634,64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797,98</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2067,67</w:t>
            </w:r>
          </w:p>
        </w:tc>
      </w:tr>
      <w:tr w:rsidR="0086629E"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6"/>
                <w:szCs w:val="26"/>
                <w:lang w:val="uk-UA"/>
              </w:rPr>
            </w:pPr>
            <w:r w:rsidRPr="002E6ECA">
              <w:rPr>
                <w:bCs/>
                <w:sz w:val="26"/>
                <w:szCs w:val="26"/>
                <w:lang w:val="uk-UA"/>
              </w:rPr>
              <w:t>VLF, мс</w:t>
            </w:r>
            <w:r w:rsidRPr="002E6ECA">
              <w:rPr>
                <w:bCs/>
                <w:sz w:val="26"/>
                <w:szCs w:val="26"/>
                <w:vertAlign w:val="superscript"/>
                <w:lang w:val="uk-UA"/>
              </w:rPr>
              <w:t>2</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113,91</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71,21</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172,27</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144,32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89,13</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194,91</w:t>
            </w:r>
          </w:p>
        </w:tc>
      </w:tr>
      <w:tr w:rsidR="0086629E"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6"/>
                <w:szCs w:val="26"/>
                <w:lang w:val="uk-UA"/>
              </w:rPr>
            </w:pPr>
            <w:r w:rsidRPr="002E6ECA">
              <w:rPr>
                <w:bCs/>
                <w:sz w:val="26"/>
                <w:szCs w:val="26"/>
                <w:lang w:val="uk-UA"/>
              </w:rPr>
              <w:t>LF, мс</w:t>
            </w:r>
            <w:r w:rsidRPr="002E6ECA">
              <w:rPr>
                <w:bCs/>
                <w:sz w:val="26"/>
                <w:szCs w:val="26"/>
                <w:vertAlign w:val="superscript"/>
                <w:lang w:val="uk-UA"/>
              </w:rPr>
              <w:t>2</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319,43</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172,17</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465,23</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325,12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274,70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808,98</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HF, мс</w:t>
            </w:r>
            <w:r w:rsidRPr="002E6ECA">
              <w:rPr>
                <w:bCs/>
                <w:sz w:val="26"/>
                <w:szCs w:val="26"/>
                <w:vertAlign w:val="superscript"/>
                <w:lang w:val="uk-UA"/>
              </w:rPr>
              <w:t>2</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442,04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294,90</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937,74</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906,02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481,19</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1327,40</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%VLF, %</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10,11</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7,37</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14,29</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9,52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5,80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18,77</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 %</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30,26</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19,74</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43,35</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31,99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18,00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44,76</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%HF, %</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59,27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40,19</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68,46</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53,00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40,73</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74,17</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LFn, %</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34,33</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22,87</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50,89</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36,36</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19,57</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49,76</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HFn, %</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65,67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49,11</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77,13</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63,64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50,24</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80,43</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LF/HF, ум.од.</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0,52</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0,30</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1,04</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0,58</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0,24</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0,99</w:t>
            </w:r>
          </w:p>
        </w:tc>
      </w:tr>
      <w:tr w:rsidR="00591BE4"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ІС, ум.од.</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1,17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0,57</w:t>
            </w:r>
          </w:p>
        </w:tc>
        <w:tc>
          <w:tcPr>
            <w:tcW w:w="138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2,63</w:t>
            </w:r>
          </w:p>
        </w:tc>
        <w:tc>
          <w:tcPr>
            <w:tcW w:w="141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1,43</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0,72</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2,41</w:t>
            </w:r>
          </w:p>
        </w:tc>
      </w:tr>
    </w:tbl>
    <w:p w:rsidR="00591BE4" w:rsidRPr="002E6ECA" w:rsidRDefault="00591BE4" w:rsidP="00591BE4">
      <w:pPr>
        <w:ind w:firstLine="709"/>
        <w:jc w:val="both"/>
        <w:rPr>
          <w:bCs/>
          <w:lang w:val="uk-UA"/>
        </w:rPr>
      </w:pPr>
      <w:r w:rsidRPr="002E6ECA">
        <w:rPr>
          <w:bCs/>
          <w:lang w:val="uk-UA"/>
        </w:rPr>
        <w:t>Примітка</w:t>
      </w:r>
      <w:r w:rsidR="00AA026D" w:rsidRPr="002E6ECA">
        <w:rPr>
          <w:bCs/>
          <w:lang w:val="uk-UA"/>
        </w:rPr>
        <w:t>:</w:t>
      </w:r>
      <w:r w:rsidRPr="002E6ECA">
        <w:rPr>
          <w:bCs/>
          <w:lang w:val="uk-UA"/>
        </w:rPr>
        <w:t xml:space="preserve"> </w:t>
      </w:r>
      <w:r w:rsidRPr="002E6ECA">
        <w:rPr>
          <w:bCs/>
          <w:vertAlign w:val="superscript"/>
        </w:rPr>
        <w:t>#</w:t>
      </w:r>
      <w:r w:rsidRPr="002E6ECA">
        <w:rPr>
          <w:bCs/>
          <w:lang w:val="uk-UA"/>
        </w:rPr>
        <w:t xml:space="preserve"> – вірогідні (</w:t>
      </w:r>
      <w:r w:rsidRPr="002E6ECA">
        <w:rPr>
          <w:shd w:val="clear" w:color="auto" w:fill="FFFFFF"/>
          <w:lang w:val="uk-UA"/>
        </w:rPr>
        <w:t>р&lt;0,05</w:t>
      </w:r>
      <w:r w:rsidRPr="002E6ECA">
        <w:rPr>
          <w:bCs/>
          <w:lang w:val="uk-UA"/>
        </w:rPr>
        <w:t>) відмінності між меритократичною та традиційною системами навчання</w:t>
      </w:r>
    </w:p>
    <w:p w:rsidR="00591BE4" w:rsidRPr="002E6ECA" w:rsidRDefault="00591BE4" w:rsidP="0086629E">
      <w:pPr>
        <w:ind w:firstLine="709"/>
        <w:jc w:val="right"/>
        <w:rPr>
          <w:i/>
          <w:sz w:val="28"/>
          <w:szCs w:val="28"/>
          <w:lang w:val="uk-UA"/>
        </w:rPr>
      </w:pPr>
    </w:p>
    <w:p w:rsidR="00AA026D" w:rsidRPr="002E6ECA" w:rsidRDefault="00AA026D" w:rsidP="00AA026D">
      <w:pPr>
        <w:spacing w:line="360" w:lineRule="auto"/>
        <w:ind w:firstLine="709"/>
        <w:jc w:val="both"/>
        <w:rPr>
          <w:sz w:val="28"/>
          <w:szCs w:val="28"/>
          <w:lang w:val="uk-UA"/>
        </w:rPr>
      </w:pPr>
      <w:r w:rsidRPr="002E6ECA">
        <w:rPr>
          <w:sz w:val="28"/>
          <w:szCs w:val="28"/>
          <w:lang w:val="uk-UA"/>
        </w:rPr>
        <w:t xml:space="preserve">Нами проведено індивідуальний аналіз активності регуляторних систем учнів, які навчаються за різними системами навчання, на основі показника ПАРС. Встановлено, що тільки третина учнів основної школи мають оптимальну активність вегетативних регуляторних систем (рис. 5.4). </w:t>
      </w:r>
    </w:p>
    <w:p w:rsidR="009E0B65" w:rsidRPr="002E6ECA" w:rsidRDefault="009E0B65" w:rsidP="009E0B65">
      <w:pPr>
        <w:spacing w:line="360" w:lineRule="auto"/>
        <w:ind w:firstLine="709"/>
        <w:jc w:val="right"/>
        <w:rPr>
          <w:i/>
          <w:sz w:val="28"/>
          <w:szCs w:val="28"/>
          <w:lang w:val="uk-UA"/>
        </w:rPr>
      </w:pPr>
      <w:r w:rsidRPr="002E6ECA">
        <w:rPr>
          <w:i/>
          <w:sz w:val="28"/>
          <w:szCs w:val="28"/>
          <w:lang w:val="uk-UA"/>
        </w:rPr>
        <w:t>Таблиця 5.6</w:t>
      </w:r>
    </w:p>
    <w:p w:rsidR="00591BE4" w:rsidRPr="002E6ECA" w:rsidRDefault="00591BE4" w:rsidP="00591BE4">
      <w:pPr>
        <w:spacing w:line="360" w:lineRule="auto"/>
        <w:ind w:firstLine="709"/>
        <w:jc w:val="center"/>
        <w:rPr>
          <w:b/>
          <w:sz w:val="28"/>
          <w:szCs w:val="28"/>
          <w:lang w:val="uk-UA"/>
        </w:rPr>
      </w:pPr>
      <w:r w:rsidRPr="002E6ECA">
        <w:rPr>
          <w:b/>
          <w:sz w:val="28"/>
          <w:szCs w:val="28"/>
          <w:lang w:val="uk-UA"/>
        </w:rPr>
        <w:t>Показники ВСР учнів 7-класів за різних систем навчання</w:t>
      </w:r>
    </w:p>
    <w:tbl>
      <w:tblPr>
        <w:tblW w:w="9718" w:type="dxa"/>
        <w:tblInd w:w="91" w:type="dxa"/>
        <w:tblLook w:val="04A0" w:firstRow="1" w:lastRow="0" w:firstColumn="1" w:lastColumn="0" w:noHBand="0" w:noVBand="1"/>
      </w:tblPr>
      <w:tblGrid>
        <w:gridCol w:w="1922"/>
        <w:gridCol w:w="1208"/>
        <w:gridCol w:w="1164"/>
        <w:gridCol w:w="1597"/>
        <w:gridCol w:w="1208"/>
        <w:gridCol w:w="1164"/>
        <w:gridCol w:w="1455"/>
      </w:tblGrid>
      <w:tr w:rsidR="00337390" w:rsidRPr="002E6ECA" w:rsidTr="0086629E">
        <w:trPr>
          <w:trHeight w:val="602"/>
        </w:trPr>
        <w:tc>
          <w:tcPr>
            <w:tcW w:w="1922" w:type="dxa"/>
            <w:vMerge w:val="restart"/>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337390" w:rsidRPr="002E6ECA" w:rsidRDefault="00337390" w:rsidP="00591BE4">
            <w:pPr>
              <w:spacing w:line="360" w:lineRule="auto"/>
              <w:jc w:val="center"/>
              <w:rPr>
                <w:bCs/>
                <w:sz w:val="26"/>
                <w:szCs w:val="26"/>
                <w:lang w:val="uk-UA"/>
              </w:rPr>
            </w:pPr>
            <w:r w:rsidRPr="002E6ECA">
              <w:rPr>
                <w:bCs/>
                <w:sz w:val="26"/>
                <w:szCs w:val="26"/>
                <w:lang w:val="uk-UA"/>
              </w:rPr>
              <w:t>Показники</w:t>
            </w:r>
          </w:p>
        </w:tc>
        <w:tc>
          <w:tcPr>
            <w:tcW w:w="3969" w:type="dxa"/>
            <w:gridSpan w:val="3"/>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337390" w:rsidRPr="002E6ECA" w:rsidRDefault="00337390" w:rsidP="00671529">
            <w:pPr>
              <w:spacing w:line="276" w:lineRule="auto"/>
              <w:ind w:firstLine="51"/>
              <w:jc w:val="center"/>
              <w:rPr>
                <w:bCs/>
                <w:sz w:val="26"/>
                <w:szCs w:val="26"/>
                <w:lang w:val="uk-UA"/>
              </w:rPr>
            </w:pPr>
            <w:r w:rsidRPr="002E6ECA">
              <w:rPr>
                <w:bCs/>
                <w:sz w:val="26"/>
                <w:szCs w:val="26"/>
                <w:lang w:val="uk-UA"/>
              </w:rPr>
              <w:t>Меритократичне навчання (n=42)</w:t>
            </w:r>
          </w:p>
        </w:tc>
        <w:tc>
          <w:tcPr>
            <w:tcW w:w="3827" w:type="dxa"/>
            <w:gridSpan w:val="3"/>
            <w:tcBorders>
              <w:top w:val="single" w:sz="4" w:space="0" w:color="auto"/>
              <w:left w:val="single" w:sz="4" w:space="0" w:color="auto"/>
              <w:right w:val="single" w:sz="4" w:space="0" w:color="auto"/>
            </w:tcBorders>
            <w:tcMar>
              <w:left w:w="28" w:type="dxa"/>
              <w:right w:w="28" w:type="dxa"/>
            </w:tcMar>
            <w:vAlign w:val="center"/>
          </w:tcPr>
          <w:p w:rsidR="00337390" w:rsidRPr="002E6ECA" w:rsidRDefault="00337390" w:rsidP="00671529">
            <w:pPr>
              <w:spacing w:line="276" w:lineRule="auto"/>
              <w:ind w:firstLine="51"/>
              <w:jc w:val="center"/>
              <w:rPr>
                <w:bCs/>
                <w:sz w:val="26"/>
                <w:szCs w:val="26"/>
                <w:lang w:val="uk-UA"/>
              </w:rPr>
            </w:pPr>
            <w:r w:rsidRPr="002E6ECA">
              <w:rPr>
                <w:bCs/>
                <w:sz w:val="26"/>
                <w:szCs w:val="26"/>
                <w:lang w:val="uk-UA"/>
              </w:rPr>
              <w:t>Традиційне навчання  (n=18)</w:t>
            </w:r>
          </w:p>
        </w:tc>
      </w:tr>
      <w:tr w:rsidR="00671529" w:rsidRPr="002E6ECA" w:rsidTr="00337390">
        <w:trPr>
          <w:trHeight w:val="300"/>
        </w:trPr>
        <w:tc>
          <w:tcPr>
            <w:tcW w:w="1922"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ind w:firstLine="51"/>
              <w:jc w:val="center"/>
              <w:rPr>
                <w:bCs/>
                <w:sz w:val="26"/>
                <w:szCs w:val="26"/>
                <w:lang w:val="uk-UA"/>
              </w:rPr>
            </w:pPr>
            <w:r w:rsidRPr="002E6ECA">
              <w:rPr>
                <w:bCs/>
                <w:sz w:val="26"/>
                <w:szCs w:val="26"/>
                <w:lang w:val="uk-UA"/>
              </w:rPr>
              <w:t>Медіана</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ind w:firstLine="51"/>
              <w:jc w:val="center"/>
              <w:rPr>
                <w:bCs/>
                <w:sz w:val="26"/>
                <w:szCs w:val="26"/>
                <w:lang w:val="uk-UA"/>
              </w:rPr>
            </w:pPr>
            <w:r w:rsidRPr="002E6ECA">
              <w:rPr>
                <w:bCs/>
                <w:sz w:val="26"/>
                <w:szCs w:val="26"/>
                <w:lang w:val="uk-UA"/>
              </w:rPr>
              <w:t>Нижній квартиль</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71529">
            <w:pPr>
              <w:ind w:firstLine="51"/>
              <w:jc w:val="center"/>
              <w:rPr>
                <w:bCs/>
                <w:sz w:val="26"/>
                <w:szCs w:val="26"/>
                <w:lang w:val="uk-UA"/>
              </w:rPr>
            </w:pPr>
            <w:r w:rsidRPr="002E6ECA">
              <w:rPr>
                <w:bCs/>
                <w:sz w:val="26"/>
                <w:szCs w:val="26"/>
                <w:lang w:val="uk-UA"/>
              </w:rPr>
              <w:t>Верхній</w:t>
            </w:r>
          </w:p>
          <w:p w:rsidR="00671529" w:rsidRPr="002E6ECA" w:rsidRDefault="00671529" w:rsidP="00671529">
            <w:pPr>
              <w:ind w:firstLine="51"/>
              <w:jc w:val="center"/>
              <w:rPr>
                <w:bCs/>
                <w:sz w:val="26"/>
                <w:szCs w:val="26"/>
                <w:lang w:val="uk-UA"/>
              </w:rPr>
            </w:pPr>
            <w:r w:rsidRPr="002E6ECA">
              <w:rPr>
                <w:bCs/>
                <w:sz w:val="26"/>
                <w:szCs w:val="26"/>
                <w:lang w:val="uk-UA"/>
              </w:rPr>
              <w:t>квартиль</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ind w:firstLine="51"/>
              <w:jc w:val="center"/>
              <w:rPr>
                <w:bCs/>
                <w:sz w:val="26"/>
                <w:szCs w:val="26"/>
                <w:lang w:val="uk-UA"/>
              </w:rPr>
            </w:pPr>
            <w:r w:rsidRPr="002E6ECA">
              <w:rPr>
                <w:bCs/>
                <w:sz w:val="26"/>
                <w:szCs w:val="26"/>
                <w:lang w:val="uk-UA"/>
              </w:rPr>
              <w:t>Медіана</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ind w:firstLine="51"/>
              <w:jc w:val="center"/>
              <w:rPr>
                <w:bCs/>
                <w:sz w:val="26"/>
                <w:szCs w:val="26"/>
                <w:lang w:val="uk-UA"/>
              </w:rPr>
            </w:pPr>
            <w:r w:rsidRPr="002E6ECA">
              <w:rPr>
                <w:bCs/>
                <w:sz w:val="26"/>
                <w:szCs w:val="26"/>
                <w:lang w:val="uk-UA"/>
              </w:rPr>
              <w:t>Нижній квартиль</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ind w:firstLine="51"/>
              <w:jc w:val="center"/>
              <w:rPr>
                <w:bCs/>
                <w:sz w:val="26"/>
                <w:szCs w:val="26"/>
                <w:lang w:val="uk-UA"/>
              </w:rPr>
            </w:pPr>
            <w:r w:rsidRPr="002E6ECA">
              <w:rPr>
                <w:bCs/>
                <w:sz w:val="26"/>
                <w:szCs w:val="26"/>
                <w:lang w:val="uk-UA"/>
              </w:rPr>
              <w:t>Верхній</w:t>
            </w:r>
          </w:p>
          <w:p w:rsidR="00671529" w:rsidRPr="002E6ECA" w:rsidRDefault="00671529" w:rsidP="006841E7">
            <w:pPr>
              <w:ind w:firstLine="51"/>
              <w:jc w:val="center"/>
              <w:rPr>
                <w:bCs/>
                <w:sz w:val="26"/>
                <w:szCs w:val="26"/>
                <w:lang w:val="uk-UA"/>
              </w:rPr>
            </w:pPr>
            <w:r w:rsidRPr="002E6ECA">
              <w:rPr>
                <w:bCs/>
                <w:sz w:val="26"/>
                <w:szCs w:val="26"/>
                <w:lang w:val="uk-UA"/>
              </w:rPr>
              <w:t>квартиль</w:t>
            </w:r>
          </w:p>
        </w:tc>
      </w:tr>
      <w:tr w:rsidR="00671529"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rPr>
                <w:bCs/>
                <w:sz w:val="26"/>
                <w:szCs w:val="26"/>
                <w:lang w:val="uk-UA"/>
              </w:rPr>
            </w:pPr>
            <w:r w:rsidRPr="002E6ECA">
              <w:rPr>
                <w:bCs/>
                <w:sz w:val="26"/>
                <w:szCs w:val="26"/>
                <w:lang w:val="uk-UA"/>
              </w:rPr>
              <w:t>ЧСС, уд./хв.</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84,75</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80,06</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95,48</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85,90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76,86</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94,03</w:t>
            </w:r>
          </w:p>
        </w:tc>
      </w:tr>
      <w:tr w:rsidR="00671529" w:rsidRPr="002E6ECA" w:rsidTr="00337390">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71529">
            <w:pPr>
              <w:spacing w:line="276" w:lineRule="auto"/>
              <w:ind w:firstLine="51"/>
              <w:jc w:val="center"/>
              <w:rPr>
                <w:bCs/>
                <w:sz w:val="26"/>
                <w:szCs w:val="26"/>
                <w:lang w:val="uk-UA"/>
              </w:rPr>
            </w:pPr>
            <w:r w:rsidRPr="002E6ECA">
              <w:rPr>
                <w:bCs/>
                <w:sz w:val="26"/>
                <w:szCs w:val="26"/>
                <w:lang w:val="uk-UA"/>
              </w:rPr>
              <w:t>Статистичні показники ВСР</w:t>
            </w:r>
          </w:p>
        </w:tc>
      </w:tr>
      <w:tr w:rsidR="00671529"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rPr>
                <w:bCs/>
                <w:sz w:val="26"/>
                <w:szCs w:val="26"/>
                <w:lang w:val="uk-UA"/>
              </w:rPr>
            </w:pPr>
            <w:r w:rsidRPr="002E6ECA">
              <w:rPr>
                <w:bCs/>
                <w:sz w:val="26"/>
                <w:szCs w:val="26"/>
                <w:lang w:val="uk-UA"/>
              </w:rPr>
              <w:t>Mean,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707,95</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628,43</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749,42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698,47</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638,12</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780,63</w:t>
            </w:r>
          </w:p>
        </w:tc>
      </w:tr>
      <w:tr w:rsidR="00671529" w:rsidRPr="002E6ECA" w:rsidTr="00337390">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DE59E3" w:rsidP="00591BE4">
            <w:pPr>
              <w:spacing w:line="360" w:lineRule="auto"/>
              <w:ind w:firstLine="51"/>
              <w:rPr>
                <w:bCs/>
                <w:sz w:val="26"/>
                <w:szCs w:val="26"/>
                <w:lang w:val="uk-UA"/>
              </w:rPr>
            </w:pPr>
            <w:r w:rsidRPr="002E6ECA">
              <w:rPr>
                <w:bCs/>
                <w:sz w:val="26"/>
                <w:szCs w:val="26"/>
                <w:lang w:val="en-US"/>
              </w:rPr>
              <w:t>C</w:t>
            </w:r>
            <w:r w:rsidR="00671529" w:rsidRPr="002E6ECA">
              <w:rPr>
                <w:bCs/>
                <w:sz w:val="26"/>
                <w:szCs w:val="26"/>
                <w:lang w:val="uk-UA"/>
              </w:rPr>
              <w:t>Vr,%</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7,29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5,72</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8,97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6,89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5,59</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591BE4">
            <w:pPr>
              <w:spacing w:line="360" w:lineRule="auto"/>
              <w:ind w:firstLine="51"/>
              <w:jc w:val="center"/>
              <w:rPr>
                <w:bCs/>
                <w:sz w:val="26"/>
                <w:szCs w:val="26"/>
                <w:lang w:val="uk-UA"/>
              </w:rPr>
            </w:pPr>
            <w:r w:rsidRPr="002E6ECA">
              <w:rPr>
                <w:bCs/>
                <w:sz w:val="26"/>
                <w:szCs w:val="26"/>
                <w:lang w:val="uk-UA"/>
              </w:rPr>
              <w:t>9,33</w:t>
            </w:r>
          </w:p>
        </w:tc>
      </w:tr>
      <w:tr w:rsidR="0086629E" w:rsidRPr="002E6ECA" w:rsidTr="0086629E">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6"/>
                <w:szCs w:val="26"/>
                <w:lang w:val="uk-UA"/>
              </w:rPr>
            </w:pPr>
            <w:r w:rsidRPr="002E6ECA">
              <w:rPr>
                <w:bCs/>
                <w:sz w:val="26"/>
                <w:szCs w:val="26"/>
                <w:lang w:val="uk-UA"/>
              </w:rPr>
              <w:t>SDNN,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51,08</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39,26</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60,55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47,55</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35,28</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86,33</w:t>
            </w:r>
          </w:p>
        </w:tc>
      </w:tr>
    </w:tbl>
    <w:p w:rsidR="00591BE4" w:rsidRPr="002E6ECA" w:rsidRDefault="00591BE4" w:rsidP="00591BE4">
      <w:pPr>
        <w:spacing w:line="360" w:lineRule="auto"/>
        <w:ind w:firstLine="709"/>
        <w:jc w:val="right"/>
        <w:rPr>
          <w:i/>
          <w:sz w:val="28"/>
          <w:szCs w:val="28"/>
          <w:lang w:val="uk-UA"/>
        </w:rPr>
      </w:pPr>
      <w:r w:rsidRPr="002E6ECA">
        <w:rPr>
          <w:i/>
          <w:sz w:val="28"/>
          <w:szCs w:val="28"/>
          <w:lang w:val="uk-UA"/>
        </w:rPr>
        <w:lastRenderedPageBreak/>
        <w:t>Продовження табл. 5.6</w:t>
      </w:r>
    </w:p>
    <w:tbl>
      <w:tblPr>
        <w:tblW w:w="9718" w:type="dxa"/>
        <w:tblInd w:w="91" w:type="dxa"/>
        <w:tblLook w:val="04A0" w:firstRow="1" w:lastRow="0" w:firstColumn="1" w:lastColumn="0" w:noHBand="0" w:noVBand="1"/>
      </w:tblPr>
      <w:tblGrid>
        <w:gridCol w:w="1922"/>
        <w:gridCol w:w="1208"/>
        <w:gridCol w:w="1164"/>
        <w:gridCol w:w="1597"/>
        <w:gridCol w:w="1208"/>
        <w:gridCol w:w="1164"/>
        <w:gridCol w:w="1455"/>
      </w:tblGrid>
      <w:tr w:rsidR="00671529" w:rsidRPr="002E6ECA" w:rsidTr="0086629E">
        <w:trPr>
          <w:trHeight w:val="606"/>
        </w:trPr>
        <w:tc>
          <w:tcPr>
            <w:tcW w:w="1922" w:type="dxa"/>
            <w:vMerge w:val="restart"/>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jc w:val="center"/>
              <w:rPr>
                <w:bCs/>
                <w:sz w:val="26"/>
                <w:szCs w:val="26"/>
                <w:lang w:val="uk-UA"/>
              </w:rPr>
            </w:pPr>
            <w:r w:rsidRPr="002E6ECA">
              <w:rPr>
                <w:bCs/>
                <w:sz w:val="26"/>
                <w:szCs w:val="26"/>
                <w:lang w:val="uk-UA"/>
              </w:rPr>
              <w:t>Показники</w:t>
            </w:r>
          </w:p>
        </w:tc>
        <w:tc>
          <w:tcPr>
            <w:tcW w:w="3969" w:type="dxa"/>
            <w:gridSpan w:val="3"/>
            <w:tcBorders>
              <w:top w:val="single" w:sz="4" w:space="0" w:color="auto"/>
              <w:left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ind w:firstLine="51"/>
              <w:jc w:val="center"/>
              <w:rPr>
                <w:bCs/>
                <w:sz w:val="26"/>
                <w:szCs w:val="26"/>
                <w:lang w:val="uk-UA"/>
              </w:rPr>
            </w:pPr>
            <w:r w:rsidRPr="002E6ECA">
              <w:rPr>
                <w:bCs/>
                <w:sz w:val="26"/>
                <w:szCs w:val="26"/>
                <w:lang w:val="uk-UA"/>
              </w:rPr>
              <w:t>Меритократичне навчання (n=42)</w:t>
            </w:r>
          </w:p>
        </w:tc>
        <w:tc>
          <w:tcPr>
            <w:tcW w:w="3827" w:type="dxa"/>
            <w:gridSpan w:val="3"/>
            <w:tcBorders>
              <w:top w:val="single" w:sz="4" w:space="0" w:color="auto"/>
              <w:left w:val="single" w:sz="4" w:space="0" w:color="auto"/>
              <w:right w:val="single" w:sz="4" w:space="0" w:color="auto"/>
            </w:tcBorders>
            <w:tcMar>
              <w:left w:w="28" w:type="dxa"/>
              <w:right w:w="28" w:type="dxa"/>
            </w:tcMar>
            <w:vAlign w:val="center"/>
          </w:tcPr>
          <w:p w:rsidR="00671529" w:rsidRPr="002E6ECA" w:rsidRDefault="00671529" w:rsidP="006841E7">
            <w:pPr>
              <w:ind w:firstLine="51"/>
              <w:jc w:val="center"/>
              <w:rPr>
                <w:bCs/>
                <w:sz w:val="26"/>
                <w:szCs w:val="26"/>
                <w:lang w:val="uk-UA"/>
              </w:rPr>
            </w:pPr>
            <w:r w:rsidRPr="002E6ECA">
              <w:rPr>
                <w:bCs/>
                <w:sz w:val="26"/>
                <w:szCs w:val="26"/>
                <w:lang w:val="uk-UA"/>
              </w:rPr>
              <w:t>Традиційне навчання  (n=18)</w:t>
            </w:r>
          </w:p>
        </w:tc>
      </w:tr>
      <w:tr w:rsidR="00671529" w:rsidRPr="002E6ECA" w:rsidTr="00671529">
        <w:trPr>
          <w:trHeight w:val="300"/>
        </w:trPr>
        <w:tc>
          <w:tcPr>
            <w:tcW w:w="1922"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591BE4">
            <w:pPr>
              <w:spacing w:line="360" w:lineRule="auto"/>
              <w:ind w:firstLine="51"/>
              <w:jc w:val="center"/>
              <w:rPr>
                <w:bCs/>
                <w:sz w:val="26"/>
                <w:szCs w:val="26"/>
                <w:lang w:val="uk-UA"/>
              </w:rPr>
            </w:pP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86629E">
            <w:pPr>
              <w:spacing w:line="276" w:lineRule="auto"/>
              <w:ind w:firstLine="51"/>
              <w:jc w:val="center"/>
              <w:rPr>
                <w:bCs/>
                <w:sz w:val="26"/>
                <w:szCs w:val="26"/>
                <w:lang w:val="uk-UA"/>
              </w:rPr>
            </w:pPr>
            <w:r w:rsidRPr="002E6ECA">
              <w:rPr>
                <w:bCs/>
                <w:sz w:val="26"/>
                <w:szCs w:val="26"/>
                <w:lang w:val="uk-UA"/>
              </w:rPr>
              <w:t>Медіана</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86629E">
            <w:pPr>
              <w:spacing w:line="276" w:lineRule="auto"/>
              <w:ind w:firstLine="51"/>
              <w:jc w:val="center"/>
              <w:rPr>
                <w:bCs/>
                <w:sz w:val="26"/>
                <w:szCs w:val="26"/>
                <w:lang w:val="uk-UA"/>
              </w:rPr>
            </w:pPr>
            <w:r w:rsidRPr="002E6ECA">
              <w:rPr>
                <w:bCs/>
                <w:sz w:val="26"/>
                <w:szCs w:val="26"/>
                <w:lang w:val="uk-UA"/>
              </w:rPr>
              <w:t>Нижній квартиль</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86629E">
            <w:pPr>
              <w:spacing w:line="276" w:lineRule="auto"/>
              <w:ind w:firstLine="51"/>
              <w:jc w:val="center"/>
              <w:rPr>
                <w:bCs/>
                <w:sz w:val="26"/>
                <w:szCs w:val="26"/>
                <w:lang w:val="uk-UA"/>
              </w:rPr>
            </w:pPr>
            <w:r w:rsidRPr="002E6ECA">
              <w:rPr>
                <w:bCs/>
                <w:sz w:val="26"/>
                <w:szCs w:val="26"/>
                <w:lang w:val="uk-UA"/>
              </w:rPr>
              <w:t>Медіана</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86629E">
            <w:pPr>
              <w:spacing w:line="276" w:lineRule="auto"/>
              <w:ind w:firstLine="51"/>
              <w:jc w:val="center"/>
              <w:rPr>
                <w:bCs/>
                <w:sz w:val="26"/>
                <w:szCs w:val="26"/>
                <w:lang w:val="uk-UA"/>
              </w:rPr>
            </w:pPr>
            <w:r w:rsidRPr="002E6ECA">
              <w:rPr>
                <w:bCs/>
                <w:sz w:val="26"/>
                <w:szCs w:val="26"/>
                <w:lang w:val="uk-UA"/>
              </w:rPr>
              <w:t>Нижній квартиль</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86629E">
            <w:pPr>
              <w:spacing w:line="276" w:lineRule="auto"/>
              <w:ind w:firstLine="51"/>
              <w:jc w:val="center"/>
              <w:rPr>
                <w:bCs/>
                <w:sz w:val="26"/>
                <w:szCs w:val="26"/>
                <w:lang w:val="uk-UA"/>
              </w:rPr>
            </w:pPr>
            <w:r w:rsidRPr="002E6ECA">
              <w:rPr>
                <w:bCs/>
                <w:sz w:val="26"/>
                <w:szCs w:val="26"/>
                <w:lang w:val="uk-UA"/>
              </w:rPr>
              <w:t>Медіана</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86629E">
            <w:pPr>
              <w:spacing w:line="276" w:lineRule="auto"/>
              <w:ind w:firstLine="51"/>
              <w:jc w:val="center"/>
              <w:rPr>
                <w:bCs/>
                <w:sz w:val="26"/>
                <w:szCs w:val="26"/>
                <w:lang w:val="uk-UA"/>
              </w:rPr>
            </w:pPr>
            <w:r w:rsidRPr="002E6ECA">
              <w:rPr>
                <w:bCs/>
                <w:sz w:val="26"/>
                <w:szCs w:val="26"/>
                <w:lang w:val="uk-UA"/>
              </w:rPr>
              <w:t>Нижній квартиль</w:t>
            </w:r>
          </w:p>
        </w:tc>
      </w:tr>
      <w:tr w:rsidR="0086629E" w:rsidRPr="002E6ECA" w:rsidTr="008009FB">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6"/>
                <w:szCs w:val="26"/>
                <w:lang w:val="uk-UA"/>
              </w:rPr>
            </w:pPr>
            <w:r w:rsidRPr="002E6ECA">
              <w:rPr>
                <w:bCs/>
                <w:sz w:val="26"/>
                <w:szCs w:val="26"/>
                <w:lang w:val="uk-UA"/>
              </w:rPr>
              <w:t>RMSSD,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38,69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28,75</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52,72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34,18</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30,35</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53,21</w:t>
            </w:r>
          </w:p>
        </w:tc>
      </w:tr>
      <w:tr w:rsidR="0086629E" w:rsidRPr="002E6ECA" w:rsidTr="008009FB">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6"/>
                <w:szCs w:val="26"/>
                <w:lang w:val="uk-UA"/>
              </w:rPr>
            </w:pPr>
            <w:r w:rsidRPr="002E6ECA">
              <w:rPr>
                <w:bCs/>
                <w:sz w:val="26"/>
                <w:szCs w:val="26"/>
                <w:lang w:val="uk-UA"/>
              </w:rPr>
              <w:t>pNN50,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17,24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7,78</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34,28</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15,84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9,53</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6"/>
                <w:szCs w:val="26"/>
                <w:lang w:val="uk-UA"/>
              </w:rPr>
            </w:pPr>
            <w:r w:rsidRPr="002E6ECA">
              <w:rPr>
                <w:bCs/>
                <w:sz w:val="26"/>
                <w:szCs w:val="26"/>
                <w:lang w:val="uk-UA"/>
              </w:rPr>
              <w:t>32,66</w:t>
            </w:r>
          </w:p>
        </w:tc>
      </w:tr>
      <w:tr w:rsidR="00671529" w:rsidRPr="002E6ECA" w:rsidTr="006841E7">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71529">
            <w:pPr>
              <w:spacing w:line="276" w:lineRule="auto"/>
              <w:ind w:firstLine="51"/>
              <w:jc w:val="center"/>
              <w:rPr>
                <w:bCs/>
                <w:sz w:val="26"/>
                <w:szCs w:val="26"/>
                <w:lang w:val="uk-UA"/>
              </w:rPr>
            </w:pPr>
            <w:r w:rsidRPr="002E6ECA">
              <w:rPr>
                <w:bCs/>
                <w:sz w:val="26"/>
                <w:szCs w:val="26"/>
                <w:lang w:val="uk-UA"/>
              </w:rPr>
              <w:t>Варіаційна пульсомерія за Р.М. Баєвським</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Мо,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698,99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619,02</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734,01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698,50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629,00</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751,01</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Амо,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9,55</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8,24</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12,47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10,36</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7,56</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12,07</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DE59E3">
            <w:pPr>
              <w:spacing w:line="360" w:lineRule="auto"/>
              <w:ind w:firstLine="51"/>
              <w:rPr>
                <w:bCs/>
                <w:sz w:val="26"/>
                <w:szCs w:val="26"/>
                <w:lang w:val="uk-UA"/>
              </w:rPr>
            </w:pPr>
            <w:r w:rsidRPr="002E6ECA">
              <w:rPr>
                <w:bCs/>
                <w:sz w:val="26"/>
                <w:szCs w:val="26"/>
                <w:lang w:val="uk-UA"/>
              </w:rPr>
              <w:t>Δ</w:t>
            </w:r>
            <w:r w:rsidR="00DE59E3" w:rsidRPr="002E6ECA">
              <w:rPr>
                <w:bCs/>
                <w:sz w:val="26"/>
                <w:szCs w:val="26"/>
                <w:lang w:val="en-US"/>
              </w:rPr>
              <w:t>X</w:t>
            </w:r>
            <w:r w:rsidRPr="002E6ECA">
              <w:rPr>
                <w:bCs/>
                <w:sz w:val="26"/>
                <w:szCs w:val="26"/>
                <w:lang w:val="uk-UA"/>
              </w:rPr>
              <w:t>,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286,00</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231,99</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372,01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247,50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225,01</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414,00</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ІН,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22,44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16,25</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34,29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27,43</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9,53</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44,49</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ПАПР,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0,84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0,53</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1,70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0,92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0,70</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1,50</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ІВР,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31,22</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23,91</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48,42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41,11</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18,01</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53,65</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ВПР,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4,89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4,04</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6,35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5,42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3,22</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7,37</w:t>
            </w:r>
          </w:p>
        </w:tc>
      </w:tr>
      <w:tr w:rsidR="00671529" w:rsidRPr="002E6ECA" w:rsidTr="006841E7">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71529">
            <w:pPr>
              <w:spacing w:line="276" w:lineRule="auto"/>
              <w:ind w:firstLine="51"/>
              <w:jc w:val="center"/>
              <w:rPr>
                <w:bCs/>
                <w:sz w:val="26"/>
                <w:szCs w:val="26"/>
                <w:lang w:val="uk-UA"/>
              </w:rPr>
            </w:pPr>
            <w:r w:rsidRPr="002E6ECA">
              <w:rPr>
                <w:bCs/>
                <w:sz w:val="26"/>
                <w:szCs w:val="26"/>
                <w:lang w:val="uk-UA"/>
              </w:rPr>
              <w:t>Автокореляційні показники ВСР</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СС1</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0,69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0,51</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0,81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0,68</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0,58</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0,81</w:t>
            </w:r>
          </w:p>
        </w:tc>
      </w:tr>
      <w:tr w:rsidR="00671529" w:rsidRPr="002E6ECA" w:rsidTr="006841E7">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6"/>
                <w:szCs w:val="26"/>
                <w:lang w:val="uk-UA"/>
              </w:rPr>
            </w:pPr>
            <w:r w:rsidRPr="002E6ECA">
              <w:rPr>
                <w:bCs/>
                <w:sz w:val="26"/>
                <w:szCs w:val="26"/>
                <w:lang w:val="uk-UA"/>
              </w:rPr>
              <w:t>СС0</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7,00</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6,00</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27,00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25,00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7,00</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6"/>
                <w:szCs w:val="26"/>
                <w:lang w:val="uk-UA"/>
              </w:rPr>
            </w:pPr>
            <w:r w:rsidRPr="002E6ECA">
              <w:rPr>
                <w:bCs/>
                <w:sz w:val="26"/>
                <w:szCs w:val="26"/>
                <w:lang w:val="uk-UA"/>
              </w:rPr>
              <w:t>50,00</w:t>
            </w:r>
          </w:p>
        </w:tc>
      </w:tr>
      <w:tr w:rsidR="00591BE4" w:rsidRPr="002E6ECA" w:rsidTr="00671529">
        <w:trPr>
          <w:trHeight w:val="300"/>
        </w:trPr>
        <w:tc>
          <w:tcPr>
            <w:tcW w:w="9718"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671529">
            <w:pPr>
              <w:spacing w:line="276" w:lineRule="auto"/>
              <w:ind w:firstLine="51"/>
              <w:jc w:val="center"/>
              <w:rPr>
                <w:bCs/>
                <w:sz w:val="26"/>
                <w:szCs w:val="26"/>
                <w:lang w:val="uk-UA"/>
              </w:rPr>
            </w:pPr>
            <w:r w:rsidRPr="002E6ECA">
              <w:rPr>
                <w:bCs/>
                <w:sz w:val="26"/>
                <w:szCs w:val="26"/>
                <w:lang w:val="uk-UA"/>
              </w:rPr>
              <w:t>Спектральні показники ВСР</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TP,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956,97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553,25</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1361,27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784,65</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444,85</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2668,20</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VLF,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112,49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68,74</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203,15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124,79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65,37</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222,87</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355,17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183,11</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559,89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280,54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179,80</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609,59</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HF, мс</w:t>
            </w:r>
            <w:r w:rsidRPr="002E6ECA">
              <w:rPr>
                <w:bCs/>
                <w:sz w:val="26"/>
                <w:szCs w:val="26"/>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361,06</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213,31</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657,93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358,24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154,20</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648,63</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%VLF,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12,25</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9,32</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17,48</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14,71</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10,03</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19,02</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38,31</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29,84</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54,24</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38,35</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27,01</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51,90</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%HF,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45,54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31,84</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59,15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40,23</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34,38</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49,28</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LFn,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45,78</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34,57</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62,98</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48,04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41,01</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59,99</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HFn,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54,22</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37,02</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65,43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51,96</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40,01</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58,99</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LF/HF,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0,84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0,53</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1,70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0,92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0,70</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1,50</w:t>
            </w:r>
          </w:p>
        </w:tc>
      </w:tr>
      <w:tr w:rsidR="00591BE4" w:rsidRPr="002E6ECA" w:rsidTr="00671529">
        <w:trPr>
          <w:trHeight w:val="300"/>
        </w:trPr>
        <w:tc>
          <w:tcPr>
            <w:tcW w:w="192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rPr>
                <w:bCs/>
                <w:sz w:val="26"/>
                <w:szCs w:val="26"/>
                <w:lang w:val="uk-UA"/>
              </w:rPr>
            </w:pPr>
            <w:r w:rsidRPr="002E6ECA">
              <w:rPr>
                <w:bCs/>
                <w:sz w:val="26"/>
                <w:szCs w:val="26"/>
                <w:lang w:val="uk-UA"/>
              </w:rPr>
              <w:t>ІС, ум. 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1,97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1,33</w:t>
            </w:r>
          </w:p>
        </w:tc>
        <w:tc>
          <w:tcPr>
            <w:tcW w:w="1597"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3,95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2,97</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2,01</w:t>
            </w:r>
          </w:p>
        </w:tc>
        <w:tc>
          <w:tcPr>
            <w:tcW w:w="145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91BE4" w:rsidRPr="002E6ECA" w:rsidRDefault="00591BE4" w:rsidP="00591BE4">
            <w:pPr>
              <w:spacing w:line="360" w:lineRule="auto"/>
              <w:ind w:firstLine="51"/>
              <w:jc w:val="center"/>
              <w:rPr>
                <w:bCs/>
                <w:sz w:val="26"/>
                <w:szCs w:val="26"/>
                <w:lang w:val="uk-UA"/>
              </w:rPr>
            </w:pPr>
            <w:r w:rsidRPr="002E6ECA">
              <w:rPr>
                <w:bCs/>
                <w:sz w:val="26"/>
                <w:szCs w:val="26"/>
                <w:lang w:val="uk-UA"/>
              </w:rPr>
              <w:t>4,76</w:t>
            </w:r>
          </w:p>
        </w:tc>
      </w:tr>
    </w:tbl>
    <w:p w:rsidR="00591BE4" w:rsidRPr="002E6ECA" w:rsidRDefault="00591BE4" w:rsidP="00591BE4">
      <w:pPr>
        <w:rPr>
          <w:lang w:val="uk-UA"/>
        </w:rPr>
      </w:pPr>
    </w:p>
    <w:p w:rsidR="0086629E" w:rsidRPr="002E6ECA" w:rsidRDefault="0086629E" w:rsidP="0086629E">
      <w:pPr>
        <w:spacing w:line="360" w:lineRule="auto"/>
        <w:ind w:firstLine="709"/>
        <w:jc w:val="both"/>
        <w:rPr>
          <w:sz w:val="28"/>
          <w:szCs w:val="28"/>
          <w:lang w:val="uk-UA"/>
        </w:rPr>
      </w:pPr>
      <w:r w:rsidRPr="002E6ECA">
        <w:rPr>
          <w:sz w:val="28"/>
          <w:szCs w:val="28"/>
          <w:lang w:val="uk-UA"/>
        </w:rPr>
        <w:t xml:space="preserve">Відзначимо, що статистично значимих відмінностей у розподілі учнів за рівнями активності регуляторних систем в залежності від системи навчання нами не знайдено. У той же час, у трирічному інтервалі спостереження за </w:t>
      </w:r>
      <w:r w:rsidRPr="002E6ECA">
        <w:rPr>
          <w:sz w:val="28"/>
          <w:szCs w:val="28"/>
          <w:lang w:val="uk-UA"/>
        </w:rPr>
        <w:lastRenderedPageBreak/>
        <w:t xml:space="preserve">учнями основної школи частка учнів з перенапруженням регуляторних систем у 1,5-2 рази (Р&gt;0,05) була вищою за меритократичної системи навчання порівняно з традиційною. Зазначена категорія учнів характеризується недостатністю адаптаційно-компенсаторних механізмів, що нездатні забезпечити адекватну реакцію організму на вплив факторів оточуючого середовища. Це пов’язано з тим, що надмірна активація регуляторних систем не призводить до зростання функціональних резервів, оскільки вони вже досягли верхньої межі. </w:t>
      </w:r>
    </w:p>
    <w:p w:rsidR="009E0B65" w:rsidRPr="002E6ECA" w:rsidRDefault="00C9154E" w:rsidP="00C9154E">
      <w:pPr>
        <w:spacing w:line="360" w:lineRule="auto"/>
        <w:jc w:val="center"/>
        <w:rPr>
          <w:sz w:val="28"/>
          <w:szCs w:val="28"/>
          <w:lang w:val="uk-UA"/>
        </w:rPr>
      </w:pPr>
      <w:r w:rsidRPr="002E6ECA">
        <w:rPr>
          <w:noProof/>
          <w:lang w:val="uk-UA" w:eastAsia="uk-UA"/>
        </w:rPr>
        <w:drawing>
          <wp:inline distT="0" distB="0" distL="0" distR="0" wp14:anchorId="1F69E917" wp14:editId="3D1FE941">
            <wp:extent cx="5676900" cy="3448050"/>
            <wp:effectExtent l="0" t="0" r="0" b="0"/>
            <wp:docPr id="27" name="Рисунок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60">
                      <a:extLst>
                        <a:ext uri="{28A0092B-C50C-407E-A947-70E740481C1C}">
                          <a14:useLocalDpi xmlns:a14="http://schemas.microsoft.com/office/drawing/2010/main" val="0"/>
                        </a:ext>
                      </a:extLst>
                    </a:blip>
                    <a:srcRect l="-410" t="-2139" r="-833" b="-2763"/>
                    <a:stretch>
                      <a:fillRect/>
                    </a:stretch>
                  </pic:blipFill>
                  <pic:spPr bwMode="auto">
                    <a:xfrm>
                      <a:off x="0" y="0"/>
                      <a:ext cx="5676900" cy="3448050"/>
                    </a:xfrm>
                    <a:prstGeom prst="rect">
                      <a:avLst/>
                    </a:prstGeom>
                    <a:noFill/>
                    <a:ln>
                      <a:noFill/>
                    </a:ln>
                  </pic:spPr>
                </pic:pic>
              </a:graphicData>
            </a:graphic>
          </wp:inline>
        </w:drawing>
      </w:r>
    </w:p>
    <w:p w:rsidR="009E0B65" w:rsidRPr="002E6ECA" w:rsidRDefault="009E0B65" w:rsidP="009E0B65">
      <w:pPr>
        <w:spacing w:line="360" w:lineRule="auto"/>
        <w:ind w:firstLine="709"/>
        <w:jc w:val="both"/>
        <w:rPr>
          <w:sz w:val="28"/>
          <w:szCs w:val="28"/>
          <w:lang w:val="uk-UA"/>
        </w:rPr>
      </w:pPr>
      <w:r w:rsidRPr="002E6ECA">
        <w:rPr>
          <w:sz w:val="28"/>
          <w:szCs w:val="28"/>
          <w:lang w:val="uk-UA"/>
        </w:rPr>
        <w:t>Рис. 5.4. Розподіл учнів основної школи, які навчаються за меритократичною (І) та традиційною (ІІ) системами навчання, за рівнями активності регуляторних систем</w:t>
      </w:r>
    </w:p>
    <w:p w:rsidR="009E0B65" w:rsidRPr="002E6ECA" w:rsidRDefault="009E0B65" w:rsidP="009E0B65">
      <w:pPr>
        <w:spacing w:line="360" w:lineRule="auto"/>
        <w:ind w:firstLine="709"/>
        <w:jc w:val="both"/>
        <w:rPr>
          <w:sz w:val="28"/>
          <w:szCs w:val="28"/>
          <w:lang w:val="uk-UA"/>
        </w:rPr>
      </w:pP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Утім, варто відзначити, що якщо у 5-му класі частка учнів з виснаженням регуляторних систем була практично однаковою (4,8% за меритократичного навчання та 5,6% за традиційного навчання, Р&gt;0,05), то в подальшому така категорія учнів зникала при меритократичному навчанні, тоді як за традиційного навчання зростала майже вдвічі у 6-му класі та поверталася до вихідного рівня у 7-му класі. Зазначена категорія учнів характеризується </w:t>
      </w:r>
      <w:r w:rsidRPr="002E6ECA">
        <w:rPr>
          <w:sz w:val="28"/>
          <w:szCs w:val="28"/>
          <w:lang w:val="uk-UA"/>
        </w:rPr>
        <w:lastRenderedPageBreak/>
        <w:t>астенізацією механізмів регуляції та появою специфічних морфо-функціональних ознак дезадаптації.</w:t>
      </w:r>
    </w:p>
    <w:p w:rsidR="009E0B65" w:rsidRPr="002E6ECA" w:rsidRDefault="009E0B65" w:rsidP="009E0B65">
      <w:pPr>
        <w:spacing w:line="360" w:lineRule="auto"/>
        <w:ind w:firstLine="709"/>
        <w:jc w:val="both"/>
        <w:rPr>
          <w:sz w:val="28"/>
          <w:szCs w:val="28"/>
          <w:lang w:val="uk-UA"/>
        </w:rPr>
      </w:pPr>
      <w:r w:rsidRPr="002E6ECA">
        <w:rPr>
          <w:sz w:val="28"/>
          <w:szCs w:val="28"/>
          <w:lang w:val="uk-UA"/>
        </w:rPr>
        <w:t>Отже, 12-річний вік є переламним у становленні механізмів вегетативної регуляції учнів, що робить їх більш чутливими до впливу факторів освітнього середовища і вимагає активного впровадження здоров’язберігаючих освітніх технологій в начальний процес. За меритократичної системи навчання у цей період спостерігається вищий рівень напруження вегетативних регуляторних систем, що обернено пропорційний до адаптаційного потенціалу учнів. Вища «ціна» адаптації до меритократичного навчання порівняно з традиційним навчанням у 6-му класі створює передумови для суттєвих зрушень у стані здоров’я учнів, що вимагає впровадження більш ретельного донозологічного скринінгу стану  здоров’я учнів у цей період  навчання.</w:t>
      </w: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Оскільки рівень шкільного стресу визначається не тільки факторами, пов’язаними зі змістом освіти та організацією навчального процесу, а й з факторами міжособистісних відносин й індивідуально-типологічними властивостями учнів, то нами здійснено порівняльний аналіз параметрів ВСР учнів, що навчаються за меритократичною системою, але у різних навчальних колективах (порівняння НК-1 і НК-2). </w:t>
      </w:r>
    </w:p>
    <w:p w:rsidR="00AA026D" w:rsidRPr="002E6ECA" w:rsidRDefault="009E0B65" w:rsidP="009E0B65">
      <w:pPr>
        <w:spacing w:line="360" w:lineRule="auto"/>
        <w:ind w:firstLine="709"/>
        <w:jc w:val="both"/>
        <w:rPr>
          <w:sz w:val="28"/>
          <w:szCs w:val="28"/>
          <w:lang w:val="uk-UA"/>
        </w:rPr>
      </w:pPr>
      <w:r w:rsidRPr="002E6ECA">
        <w:rPr>
          <w:sz w:val="28"/>
          <w:szCs w:val="28"/>
          <w:lang w:val="uk-UA"/>
        </w:rPr>
        <w:t>Порівнюючи два класи, що навчалися за меритократичною системою, ми спостерігали наступну картину: у 5-му класі істотних відмінностей за активністю вегетативних регуляторних систем не виявлено, тоді як починаючи з 6-го класу, учні НК-1 виявляли тенденцію (0,05&lt; Р ≤0,07) до невідповідності між рівнем активності регуляторних систем та рівнем функціонування синусового вузла серця за рахунок надмірної питомої адренергічної стимуляції серця, яка у 7-му класі стала очевидною відмінною рисою (</w:t>
      </w:r>
      <w:r w:rsidRPr="002E6ECA">
        <w:rPr>
          <w:sz w:val="28"/>
          <w:szCs w:val="28"/>
          <w:shd w:val="clear" w:color="auto" w:fill="FFFFFF"/>
          <w:lang w:val="uk-UA"/>
        </w:rPr>
        <w:t>р&lt;0,05</w:t>
      </w:r>
      <w:r w:rsidRPr="002E6ECA">
        <w:rPr>
          <w:sz w:val="28"/>
          <w:szCs w:val="28"/>
          <w:lang w:val="uk-UA"/>
        </w:rPr>
        <w:t xml:space="preserve">). Так, у 6-му класі учні НК-1, порівняно з НК-2 (рис. 5.5), мали тенденцію до більш високих значень ПАПР (на 79,9%, Р=0,07), %LF (на 45,5%, Р=0,054) , LFn (на 44,0%, Р=0,07), LF/HF (на 79,9%, Р=0,07) та більш низьких значень HFn  (на 19,9%, Р=0,07). Зазначене свідчить, що учні НК-1 виявляють тенденцію до надмірного вегетативного забезпечення серцевої діяльності в умовах відносного спокою </w:t>
      </w:r>
      <w:r w:rsidRPr="002E6ECA">
        <w:rPr>
          <w:sz w:val="28"/>
          <w:szCs w:val="28"/>
          <w:lang w:val="uk-UA"/>
        </w:rPr>
        <w:lastRenderedPageBreak/>
        <w:t>переважно за рахунок зсуву вегетативної рівноваги у бік симпатикотонії на фоні зменшення питомої активності вагусу.</w:t>
      </w:r>
    </w:p>
    <w:p w:rsidR="00AA026D" w:rsidRPr="002E6ECA" w:rsidRDefault="00AA026D" w:rsidP="009E0B65">
      <w:pPr>
        <w:spacing w:line="360" w:lineRule="auto"/>
        <w:ind w:firstLine="709"/>
        <w:jc w:val="both"/>
        <w:rPr>
          <w:sz w:val="28"/>
          <w:szCs w:val="28"/>
          <w:lang w:val="uk-UA"/>
        </w:rPr>
      </w:pPr>
      <w:r w:rsidRPr="002E6ECA">
        <w:rPr>
          <w:sz w:val="28"/>
          <w:szCs w:val="28"/>
          <w:lang w:val="uk-UA"/>
        </w:rPr>
        <w:t>Так, у 7-му класі, в учнів НК-1, порівняно з НК-2 (рис. 5.5), спостерігалася не тільки істотно нижча питома активність парасимпатичного відділу вегетативної нервової системи (HFn – на 31,5% (</w:t>
      </w:r>
      <w:r w:rsidRPr="002E6ECA">
        <w:rPr>
          <w:sz w:val="28"/>
          <w:szCs w:val="28"/>
          <w:shd w:val="clear" w:color="auto" w:fill="FFFFFF"/>
          <w:lang w:val="uk-UA"/>
        </w:rPr>
        <w:t>р&lt;0,05</w:t>
      </w:r>
      <w:r w:rsidRPr="002E6ECA">
        <w:rPr>
          <w:sz w:val="28"/>
          <w:szCs w:val="28"/>
          <w:lang w:val="uk-UA"/>
        </w:rPr>
        <w:t>), %HF – на 36,4% (</w:t>
      </w:r>
      <w:r w:rsidRPr="002E6ECA">
        <w:rPr>
          <w:sz w:val="28"/>
          <w:szCs w:val="28"/>
          <w:shd w:val="clear" w:color="auto" w:fill="FFFFFF"/>
          <w:lang w:val="uk-UA"/>
        </w:rPr>
        <w:t>р&lt;0,05</w:t>
      </w:r>
      <w:r w:rsidRPr="002E6ECA">
        <w:rPr>
          <w:sz w:val="28"/>
          <w:szCs w:val="28"/>
          <w:lang w:val="uk-UA"/>
        </w:rPr>
        <w:t xml:space="preserve">), </w:t>
      </w:r>
      <w:r w:rsidR="00DE59E3" w:rsidRPr="002E6ECA">
        <w:rPr>
          <w:sz w:val="28"/>
          <w:szCs w:val="28"/>
          <w:lang w:val="en-US"/>
        </w:rPr>
        <w:t>p</w:t>
      </w:r>
      <w:r w:rsidRPr="002E6ECA">
        <w:rPr>
          <w:sz w:val="28"/>
          <w:szCs w:val="28"/>
          <w:lang w:val="uk-UA"/>
        </w:rPr>
        <w:t>NN50 – на 52,9%, (р=0,054)), а й тенденція до нижчої абсолютної активності (HF – на 44,7%, р=0,07). Натомість істотно вищою виявилася питома активність симпатичної нервової системи (%LF – на 53,1% (</w:t>
      </w:r>
      <w:r w:rsidRPr="002E6ECA">
        <w:rPr>
          <w:sz w:val="28"/>
          <w:szCs w:val="28"/>
          <w:shd w:val="clear" w:color="auto" w:fill="FFFFFF"/>
          <w:lang w:val="uk-UA"/>
        </w:rPr>
        <w:t>р&lt;0,05</w:t>
      </w:r>
      <w:r w:rsidRPr="002E6ECA">
        <w:rPr>
          <w:sz w:val="28"/>
          <w:szCs w:val="28"/>
          <w:lang w:val="uk-UA"/>
        </w:rPr>
        <w:t>), LFn – на 47,0% (</w:t>
      </w:r>
      <w:r w:rsidRPr="002E6ECA">
        <w:rPr>
          <w:sz w:val="28"/>
          <w:szCs w:val="28"/>
          <w:shd w:val="clear" w:color="auto" w:fill="FFFFFF"/>
          <w:lang w:val="uk-UA"/>
        </w:rPr>
        <w:t>р&lt;0,05</w:t>
      </w:r>
      <w:r w:rsidRPr="002E6ECA">
        <w:rPr>
          <w:sz w:val="28"/>
          <w:szCs w:val="28"/>
          <w:lang w:val="uk-UA"/>
        </w:rPr>
        <w:t>)).</w:t>
      </w:r>
    </w:p>
    <w:p w:rsidR="009E0B65" w:rsidRPr="002E6ECA" w:rsidRDefault="009E0B65" w:rsidP="009E0B65">
      <w:pPr>
        <w:spacing w:line="360" w:lineRule="auto"/>
        <w:ind w:firstLine="709"/>
        <w:jc w:val="both"/>
        <w:rPr>
          <w:sz w:val="28"/>
          <w:szCs w:val="28"/>
          <w:lang w:val="uk-UA"/>
        </w:rPr>
      </w:pPr>
      <w:r w:rsidRPr="002E6ECA">
        <w:rPr>
          <w:noProof/>
          <w:sz w:val="28"/>
          <w:szCs w:val="28"/>
          <w:lang w:val="uk-UA" w:eastAsia="uk-UA"/>
        </w:rPr>
        <w:drawing>
          <wp:inline distT="0" distB="0" distL="0" distR="0" wp14:anchorId="0C442A8C" wp14:editId="2E20FEB9">
            <wp:extent cx="4650105" cy="3790315"/>
            <wp:effectExtent l="0" t="0" r="0" b="635"/>
            <wp:docPr id="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650105" cy="3790315"/>
                    </a:xfrm>
                    <a:prstGeom prst="rect">
                      <a:avLst/>
                    </a:prstGeom>
                    <a:noFill/>
                    <a:ln>
                      <a:noFill/>
                    </a:ln>
                  </pic:spPr>
                </pic:pic>
              </a:graphicData>
            </a:graphic>
          </wp:inline>
        </w:drawing>
      </w:r>
    </w:p>
    <w:p w:rsidR="009E0B65" w:rsidRPr="002E6ECA" w:rsidRDefault="009E0B65" w:rsidP="009E0B65">
      <w:pPr>
        <w:spacing w:line="360" w:lineRule="auto"/>
        <w:ind w:firstLine="709"/>
        <w:jc w:val="both"/>
        <w:rPr>
          <w:sz w:val="28"/>
          <w:szCs w:val="28"/>
          <w:lang w:val="uk-UA"/>
        </w:rPr>
      </w:pPr>
      <w:r w:rsidRPr="002E6ECA">
        <w:rPr>
          <w:noProof/>
          <w:sz w:val="28"/>
          <w:szCs w:val="28"/>
          <w:lang w:val="uk-UA" w:eastAsia="uk-UA"/>
        </w:rPr>
        <w:drawing>
          <wp:inline distT="0" distB="0" distL="0" distR="0" wp14:anchorId="42D8CC15" wp14:editId="121A2968">
            <wp:extent cx="5392420" cy="297180"/>
            <wp:effectExtent l="0" t="0" r="0" b="7620"/>
            <wp:docPr id="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92420" cy="297180"/>
                    </a:xfrm>
                    <a:prstGeom prst="rect">
                      <a:avLst/>
                    </a:prstGeom>
                    <a:noFill/>
                    <a:ln>
                      <a:noFill/>
                    </a:ln>
                  </pic:spPr>
                </pic:pic>
              </a:graphicData>
            </a:graphic>
          </wp:inline>
        </w:drawing>
      </w:r>
      <w:r w:rsidRPr="002E6ECA">
        <w:rPr>
          <w:sz w:val="28"/>
          <w:szCs w:val="28"/>
          <w:lang w:val="uk-UA"/>
        </w:rPr>
        <w:t>Рис. 5.5. Вегетативний профіль учнів 6-го та 7-го класів, які навчаються за меритократичною системою у різних навчальних колективах</w:t>
      </w: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Примітка: у якості базової лінії взяті показники учнів НК-2 </w:t>
      </w:r>
    </w:p>
    <w:p w:rsidR="009E0B65" w:rsidRPr="002E6ECA" w:rsidRDefault="009E0B65" w:rsidP="009E0B65">
      <w:pPr>
        <w:spacing w:line="360" w:lineRule="auto"/>
        <w:ind w:firstLine="709"/>
        <w:jc w:val="both"/>
        <w:rPr>
          <w:sz w:val="28"/>
          <w:szCs w:val="28"/>
          <w:lang w:val="uk-UA"/>
        </w:rPr>
      </w:pP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Як наслідок, в учнів НК-1 симпато-вагальний баланс був істотно зміщеним у бік симпатикотонії (LF/HF вищий на 114,7%, </w:t>
      </w:r>
      <w:r w:rsidRPr="002E6ECA">
        <w:rPr>
          <w:sz w:val="28"/>
          <w:szCs w:val="28"/>
          <w:shd w:val="clear" w:color="auto" w:fill="FFFFFF"/>
          <w:lang w:val="uk-UA"/>
        </w:rPr>
        <w:t>р&lt;0,05</w:t>
      </w:r>
      <w:r w:rsidRPr="002E6ECA">
        <w:rPr>
          <w:sz w:val="28"/>
          <w:szCs w:val="28"/>
          <w:lang w:val="uk-UA"/>
        </w:rPr>
        <w:t xml:space="preserve">), порівняно з </w:t>
      </w:r>
      <w:r w:rsidR="00AA026D" w:rsidRPr="002E6ECA">
        <w:rPr>
          <w:sz w:val="28"/>
          <w:szCs w:val="28"/>
          <w:lang w:val="uk-UA"/>
        </w:rPr>
        <w:t>НК-2</w:t>
      </w:r>
      <w:r w:rsidRPr="002E6ECA">
        <w:rPr>
          <w:sz w:val="28"/>
          <w:szCs w:val="28"/>
          <w:lang w:val="uk-UA"/>
        </w:rPr>
        <w:t xml:space="preserve">. Крім того, учні НК-1 характеризувалися вищим рівнем централізації </w:t>
      </w:r>
      <w:r w:rsidRPr="002E6ECA">
        <w:rPr>
          <w:sz w:val="28"/>
          <w:szCs w:val="28"/>
          <w:lang w:val="uk-UA"/>
        </w:rPr>
        <w:lastRenderedPageBreak/>
        <w:t xml:space="preserve">управління серцевим ритмом (ІС вищий на 73,9%, </w:t>
      </w:r>
      <w:r w:rsidRPr="002E6ECA">
        <w:rPr>
          <w:sz w:val="28"/>
          <w:szCs w:val="28"/>
          <w:shd w:val="clear" w:color="auto" w:fill="FFFFFF"/>
          <w:lang w:val="uk-UA"/>
        </w:rPr>
        <w:t>р&lt;0,05</w:t>
      </w:r>
      <w:r w:rsidRPr="002E6ECA">
        <w:rPr>
          <w:sz w:val="28"/>
          <w:szCs w:val="28"/>
          <w:lang w:val="uk-UA"/>
        </w:rPr>
        <w:t xml:space="preserve">), що супроводжувалося встановленням тісного взаємозв’язку між автономним і центральним контурами регуляції (СС1 вищий на 20,6%, СС0 вищий на 200,0%, </w:t>
      </w:r>
      <w:r w:rsidRPr="002E6ECA">
        <w:rPr>
          <w:sz w:val="28"/>
          <w:szCs w:val="28"/>
          <w:shd w:val="clear" w:color="auto" w:fill="FFFFFF"/>
          <w:lang w:val="uk-UA"/>
        </w:rPr>
        <w:t>р&lt;0,05</w:t>
      </w:r>
      <w:r w:rsidRPr="002E6ECA">
        <w:rPr>
          <w:sz w:val="28"/>
          <w:szCs w:val="28"/>
          <w:lang w:val="uk-UA"/>
        </w:rPr>
        <w:t>) та переходом від внутрішньо-системного рівня підтримання вегетативного гомеостазу до міжсистемного рівня з залученням вищих вегетативних центрів гіпоталамо-гіпофізарного рівня (%VLF вищий на 35,0%, р=0,07).</w:t>
      </w:r>
    </w:p>
    <w:p w:rsidR="009E0B65" w:rsidRPr="002E6ECA" w:rsidRDefault="009E0B65" w:rsidP="009E0B65">
      <w:pPr>
        <w:spacing w:line="360" w:lineRule="auto"/>
        <w:ind w:firstLine="709"/>
        <w:jc w:val="both"/>
        <w:rPr>
          <w:sz w:val="28"/>
          <w:szCs w:val="28"/>
          <w:lang w:val="uk-UA"/>
        </w:rPr>
      </w:pPr>
      <w:r w:rsidRPr="002E6ECA">
        <w:rPr>
          <w:sz w:val="28"/>
          <w:szCs w:val="28"/>
          <w:lang w:val="uk-UA"/>
        </w:rPr>
        <w:t>Цікавим є факт, що незважаючи на відмінності у окремих показниках ВСР, між учнями НК-1 і НК-2 не спостерігалося значимої зміни структури розподілу учнів за інтегральним показником активності регуляторних систем. Це зумовлено тим, що значення ПАРС потрапляли до одного й того ж функціонального класу (переважно напруження регуляторних систем), незважаючи на зміну величини показника.</w:t>
      </w:r>
    </w:p>
    <w:p w:rsidR="009E0B65" w:rsidRPr="002E6ECA" w:rsidRDefault="009E0B65" w:rsidP="009E0B65">
      <w:pPr>
        <w:spacing w:line="360" w:lineRule="auto"/>
        <w:ind w:firstLine="709"/>
        <w:jc w:val="both"/>
        <w:rPr>
          <w:sz w:val="28"/>
          <w:szCs w:val="28"/>
          <w:lang w:val="uk-UA"/>
        </w:rPr>
      </w:pPr>
      <w:r w:rsidRPr="002E6ECA">
        <w:rPr>
          <w:sz w:val="28"/>
          <w:szCs w:val="28"/>
          <w:lang w:val="uk-UA"/>
        </w:rPr>
        <w:t>Оскільки параметри ВСР розрізнялися серед учнів, які навчалися за меритократичною системою у різних навчальних колективах, то з метою диференціювання ефектів, зумовлених меритократичною системою навчання від ефектів, зумовлених іншими чинниками</w:t>
      </w:r>
      <w:r w:rsidR="00730929" w:rsidRPr="002E6ECA">
        <w:rPr>
          <w:sz w:val="28"/>
          <w:szCs w:val="28"/>
          <w:lang w:val="uk-UA"/>
        </w:rPr>
        <w:t>,</w:t>
      </w:r>
      <w:r w:rsidRPr="002E6ECA">
        <w:rPr>
          <w:sz w:val="28"/>
          <w:szCs w:val="28"/>
          <w:lang w:val="uk-UA"/>
        </w:rPr>
        <w:t xml:space="preserve"> нами проведено попарне порівняння різних навчальних колективів, що навчаються за меритократичною освітою, з контрольною групою (традиційна система навчання) – порівняння НК-1 і НК-3, НК-2 і НК-3.</w:t>
      </w: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Порівнюючи НК-2 і НК-3 нами виявлено достовірні відмінності тільки серед учнів 7-го класу за показником СС0, який виявився нижчим на 76,0% в учнів </w:t>
      </w:r>
      <w:r w:rsidR="00AA026D" w:rsidRPr="002E6ECA">
        <w:rPr>
          <w:sz w:val="28"/>
          <w:szCs w:val="28"/>
          <w:lang w:val="uk-UA"/>
        </w:rPr>
        <w:t>НК-2</w:t>
      </w:r>
      <w:r w:rsidRPr="002E6ECA">
        <w:rPr>
          <w:sz w:val="28"/>
          <w:szCs w:val="28"/>
          <w:lang w:val="uk-UA"/>
        </w:rPr>
        <w:t xml:space="preserve"> (</w:t>
      </w:r>
      <w:r w:rsidRPr="002E6ECA">
        <w:rPr>
          <w:sz w:val="28"/>
          <w:szCs w:val="28"/>
          <w:shd w:val="clear" w:color="auto" w:fill="FFFFFF"/>
          <w:lang w:val="uk-UA"/>
        </w:rPr>
        <w:t>р&lt;0,05</w:t>
      </w:r>
      <w:r w:rsidRPr="002E6ECA">
        <w:rPr>
          <w:sz w:val="28"/>
          <w:szCs w:val="28"/>
          <w:lang w:val="uk-UA"/>
        </w:rPr>
        <w:t xml:space="preserve">). Також у НК-2 на 7-му році навчання спостерігали тенденцію до більш низьких значень індексу централізації (на 46,1%, р=0,07) на фоні тенденції до більш високих значень %HF (на 34,3%, р=0,08). Зазначене свідчить про більш низький рівень взаємозв’язку між центральним і автономним контурами регуляції серцевого ритму внаслідок тенденції до нижчої централізації управління та вищої питомої активності вагусу в учнів НК-2 на 7-му році навчання порівняно з традиційною системою навчання. Зазначене свідчить, що у 7-му класі учням НК-2 властивий більш оптимальний </w:t>
      </w:r>
      <w:r w:rsidRPr="002E6ECA">
        <w:rPr>
          <w:sz w:val="28"/>
          <w:szCs w:val="28"/>
          <w:lang w:val="uk-UA"/>
        </w:rPr>
        <w:lastRenderedPageBreak/>
        <w:t>функціональний стан вегетативних регуляторних систем за меритократичної системи навчання, порівняно з традиційною системою.</w:t>
      </w: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На відміну від НК-2 при порівнянні НК-1 і НК-3 виявлено достовірні відмінності на 6-му році навчання, які до того ж стосувалися багатьох з досліджуваних параметрів ВСР (табл. 5.7). </w:t>
      </w:r>
      <w:r w:rsidR="00AA026D" w:rsidRPr="002E6ECA">
        <w:rPr>
          <w:sz w:val="28"/>
          <w:szCs w:val="28"/>
          <w:lang w:val="uk-UA"/>
        </w:rPr>
        <w:t>Встановлено, що учні НК-1, порівняно з НК-3, на 6-му році навчання характеризувалися нижчою загальною варіабельністю серцевого ритму (SDNN – на 16,0% (</w:t>
      </w:r>
      <w:r w:rsidR="00AA026D" w:rsidRPr="002E6ECA">
        <w:rPr>
          <w:sz w:val="28"/>
          <w:szCs w:val="28"/>
          <w:shd w:val="clear" w:color="auto" w:fill="FFFFFF"/>
          <w:lang w:val="uk-UA"/>
        </w:rPr>
        <w:t>р&lt;0,05</w:t>
      </w:r>
      <w:r w:rsidR="00AA026D" w:rsidRPr="002E6ECA">
        <w:rPr>
          <w:sz w:val="28"/>
          <w:szCs w:val="28"/>
          <w:lang w:val="uk-UA"/>
        </w:rPr>
        <w:t>), ТР – на 43,3% (</w:t>
      </w:r>
      <w:r w:rsidR="00AA026D" w:rsidRPr="002E6ECA">
        <w:rPr>
          <w:sz w:val="28"/>
          <w:szCs w:val="28"/>
          <w:shd w:val="clear" w:color="auto" w:fill="FFFFFF"/>
          <w:lang w:val="uk-UA"/>
        </w:rPr>
        <w:t>р&lt;0,05</w:t>
      </w:r>
      <w:r w:rsidR="00AA026D" w:rsidRPr="002E6ECA">
        <w:rPr>
          <w:sz w:val="28"/>
          <w:szCs w:val="28"/>
          <w:lang w:val="uk-UA"/>
        </w:rPr>
        <w:t>)) на фоні нижчої абсолютної активності парасимпатичної нервової системи (Δ</w:t>
      </w:r>
      <w:r w:rsidR="00DE59E3" w:rsidRPr="002E6ECA">
        <w:rPr>
          <w:sz w:val="28"/>
          <w:szCs w:val="28"/>
          <w:lang w:val="en-US"/>
        </w:rPr>
        <w:t>X</w:t>
      </w:r>
      <w:r w:rsidR="00AA026D" w:rsidRPr="002E6ECA">
        <w:rPr>
          <w:sz w:val="28"/>
          <w:szCs w:val="28"/>
          <w:lang w:val="uk-UA"/>
        </w:rPr>
        <w:t xml:space="preserve"> – на 16,0% (</w:t>
      </w:r>
      <w:r w:rsidR="00AA026D" w:rsidRPr="002E6ECA">
        <w:rPr>
          <w:sz w:val="28"/>
          <w:szCs w:val="28"/>
          <w:shd w:val="clear" w:color="auto" w:fill="FFFFFF"/>
          <w:lang w:val="uk-UA"/>
        </w:rPr>
        <w:t>р&lt;0,05</w:t>
      </w:r>
      <w:r w:rsidR="00AA026D" w:rsidRPr="002E6ECA">
        <w:rPr>
          <w:sz w:val="28"/>
          <w:szCs w:val="28"/>
          <w:lang w:val="uk-UA"/>
        </w:rPr>
        <w:t>), RMSSD – на 34,5% (</w:t>
      </w:r>
      <w:r w:rsidR="00AA026D" w:rsidRPr="002E6ECA">
        <w:rPr>
          <w:sz w:val="28"/>
          <w:szCs w:val="28"/>
          <w:shd w:val="clear" w:color="auto" w:fill="FFFFFF"/>
          <w:lang w:val="uk-UA"/>
        </w:rPr>
        <w:t>р&lt;0,05</w:t>
      </w:r>
      <w:r w:rsidR="00AA026D" w:rsidRPr="002E6ECA">
        <w:rPr>
          <w:sz w:val="28"/>
          <w:szCs w:val="28"/>
          <w:lang w:val="uk-UA"/>
        </w:rPr>
        <w:t>),  pNN50 – на 55,5% (</w:t>
      </w:r>
      <w:r w:rsidR="00AA026D" w:rsidRPr="002E6ECA">
        <w:rPr>
          <w:sz w:val="28"/>
          <w:szCs w:val="28"/>
          <w:shd w:val="clear" w:color="auto" w:fill="FFFFFF"/>
          <w:lang w:val="uk-UA"/>
        </w:rPr>
        <w:t>р&lt;0,05</w:t>
      </w:r>
      <w:r w:rsidR="00AA026D" w:rsidRPr="002E6ECA">
        <w:rPr>
          <w:sz w:val="28"/>
          <w:szCs w:val="28"/>
          <w:lang w:val="uk-UA"/>
        </w:rPr>
        <w:t>),  HF – на 64,7% (</w:t>
      </w:r>
      <w:r w:rsidR="00AA026D" w:rsidRPr="002E6ECA">
        <w:rPr>
          <w:sz w:val="28"/>
          <w:szCs w:val="28"/>
          <w:shd w:val="clear" w:color="auto" w:fill="FFFFFF"/>
          <w:lang w:val="uk-UA"/>
        </w:rPr>
        <w:t>р&lt;0,05</w:t>
      </w:r>
      <w:r w:rsidR="00AA026D" w:rsidRPr="002E6ECA">
        <w:rPr>
          <w:sz w:val="28"/>
          <w:szCs w:val="28"/>
          <w:lang w:val="uk-UA"/>
        </w:rPr>
        <w:t xml:space="preserve">), </w:t>
      </w:r>
      <w:r w:rsidR="00DE59E3" w:rsidRPr="002E6ECA">
        <w:rPr>
          <w:sz w:val="28"/>
          <w:szCs w:val="28"/>
          <w:lang w:val="en-US"/>
        </w:rPr>
        <w:t>C</w:t>
      </w:r>
      <w:r w:rsidR="00AA026D" w:rsidRPr="002E6ECA">
        <w:rPr>
          <w:sz w:val="28"/>
          <w:szCs w:val="28"/>
          <w:lang w:val="uk-UA"/>
        </w:rPr>
        <w:t>Vr – на 6,5% (р=0,08)).</w:t>
      </w:r>
    </w:p>
    <w:p w:rsidR="009E0B65" w:rsidRPr="002E6ECA" w:rsidRDefault="009E0B65" w:rsidP="009E0B65">
      <w:pPr>
        <w:spacing w:line="360" w:lineRule="auto"/>
        <w:ind w:firstLine="709"/>
        <w:jc w:val="right"/>
        <w:rPr>
          <w:i/>
          <w:sz w:val="28"/>
          <w:szCs w:val="28"/>
          <w:lang w:val="uk-UA"/>
        </w:rPr>
      </w:pPr>
      <w:r w:rsidRPr="002E6ECA">
        <w:rPr>
          <w:i/>
          <w:sz w:val="28"/>
          <w:szCs w:val="28"/>
          <w:lang w:val="uk-UA"/>
        </w:rPr>
        <w:t>Таблиця 5.7</w:t>
      </w:r>
    </w:p>
    <w:p w:rsidR="00C9154E" w:rsidRPr="002E6ECA" w:rsidRDefault="00C9154E" w:rsidP="00C9154E">
      <w:pPr>
        <w:spacing w:line="360" w:lineRule="auto"/>
        <w:ind w:firstLine="709"/>
        <w:jc w:val="center"/>
        <w:rPr>
          <w:b/>
          <w:sz w:val="28"/>
          <w:szCs w:val="28"/>
          <w:lang w:val="uk-UA"/>
        </w:rPr>
      </w:pPr>
      <w:r w:rsidRPr="002E6ECA">
        <w:rPr>
          <w:b/>
          <w:sz w:val="28"/>
          <w:szCs w:val="28"/>
          <w:lang w:val="uk-UA"/>
        </w:rPr>
        <w:t>Показники ВСР учнів НК-1 і НК-3 на 6-му році навчання</w:t>
      </w:r>
    </w:p>
    <w:tbl>
      <w:tblPr>
        <w:tblW w:w="9386" w:type="dxa"/>
        <w:tblInd w:w="91" w:type="dxa"/>
        <w:tblLook w:val="04A0" w:firstRow="1" w:lastRow="0" w:firstColumn="1" w:lastColumn="0" w:noHBand="0" w:noVBand="1"/>
      </w:tblPr>
      <w:tblGrid>
        <w:gridCol w:w="2064"/>
        <w:gridCol w:w="1208"/>
        <w:gridCol w:w="1164"/>
        <w:gridCol w:w="1289"/>
        <w:gridCol w:w="1208"/>
        <w:gridCol w:w="1164"/>
        <w:gridCol w:w="1289"/>
      </w:tblGrid>
      <w:tr w:rsidR="00C9154E" w:rsidRPr="002E6ECA" w:rsidTr="00C9154E">
        <w:trPr>
          <w:trHeight w:val="644"/>
        </w:trPr>
        <w:tc>
          <w:tcPr>
            <w:tcW w:w="2064" w:type="dxa"/>
            <w:vMerge w:val="restart"/>
            <w:tcBorders>
              <w:top w:val="single" w:sz="4" w:space="0" w:color="auto"/>
              <w:left w:val="single" w:sz="4" w:space="0" w:color="auto"/>
              <w:bottom w:val="nil"/>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jc w:val="center"/>
              <w:rPr>
                <w:bCs/>
                <w:sz w:val="28"/>
                <w:szCs w:val="28"/>
                <w:lang w:val="uk-UA"/>
              </w:rPr>
            </w:pPr>
            <w:r w:rsidRPr="002E6ECA">
              <w:rPr>
                <w:bCs/>
                <w:sz w:val="28"/>
                <w:szCs w:val="28"/>
                <w:lang w:val="uk-UA"/>
              </w:rPr>
              <w:t>Показники</w:t>
            </w:r>
          </w:p>
        </w:tc>
        <w:tc>
          <w:tcPr>
            <w:tcW w:w="3661" w:type="dxa"/>
            <w:gridSpan w:val="3"/>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 xml:space="preserve">Меритократичне навчання, </w:t>
            </w:r>
            <w:r w:rsidRPr="002E6ECA">
              <w:rPr>
                <w:sz w:val="28"/>
                <w:szCs w:val="28"/>
                <w:lang w:val="uk-UA"/>
              </w:rPr>
              <w:t>НК-1</w:t>
            </w:r>
            <w:r w:rsidRPr="002E6ECA">
              <w:rPr>
                <w:bCs/>
                <w:sz w:val="28"/>
                <w:szCs w:val="28"/>
                <w:lang w:val="uk-UA"/>
              </w:rPr>
              <w:t xml:space="preserve"> (n=19)</w:t>
            </w:r>
          </w:p>
        </w:tc>
        <w:tc>
          <w:tcPr>
            <w:tcW w:w="3661"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Традиційне навчання,</w:t>
            </w:r>
          </w:p>
          <w:p w:rsidR="00C9154E" w:rsidRPr="002E6ECA" w:rsidRDefault="00C9154E" w:rsidP="00671529">
            <w:pPr>
              <w:spacing w:line="276" w:lineRule="auto"/>
              <w:ind w:firstLine="51"/>
              <w:jc w:val="center"/>
              <w:rPr>
                <w:bCs/>
                <w:sz w:val="28"/>
                <w:szCs w:val="28"/>
                <w:lang w:val="uk-UA"/>
              </w:rPr>
            </w:pPr>
            <w:r w:rsidRPr="002E6ECA">
              <w:rPr>
                <w:sz w:val="28"/>
                <w:szCs w:val="28"/>
                <w:lang w:val="uk-UA"/>
              </w:rPr>
              <w:t>НК-3</w:t>
            </w:r>
            <w:r w:rsidRPr="002E6ECA">
              <w:rPr>
                <w:bCs/>
                <w:sz w:val="28"/>
                <w:szCs w:val="28"/>
                <w:lang w:val="uk-UA"/>
              </w:rPr>
              <w:t xml:space="preserve">  (n=18)</w:t>
            </w:r>
          </w:p>
        </w:tc>
      </w:tr>
      <w:tr w:rsidR="00C9154E" w:rsidRPr="002E6ECA" w:rsidTr="00C9154E">
        <w:trPr>
          <w:trHeight w:val="300"/>
        </w:trPr>
        <w:tc>
          <w:tcPr>
            <w:tcW w:w="2064"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Медіана</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Верхній</w:t>
            </w:r>
          </w:p>
          <w:p w:rsidR="00C9154E" w:rsidRPr="002E6ECA" w:rsidRDefault="00C9154E" w:rsidP="00671529">
            <w:pPr>
              <w:spacing w:line="276" w:lineRule="auto"/>
              <w:ind w:firstLine="51"/>
              <w:jc w:val="center"/>
              <w:rPr>
                <w:bCs/>
                <w:sz w:val="28"/>
                <w:szCs w:val="28"/>
                <w:lang w:val="uk-UA"/>
              </w:rPr>
            </w:pPr>
            <w:r w:rsidRPr="002E6ECA">
              <w:rPr>
                <w:bCs/>
                <w:sz w:val="28"/>
                <w:szCs w:val="28"/>
                <w:lang w:val="uk-UA"/>
              </w:rPr>
              <w:t>квартиль</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Медіана</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Верхній</w:t>
            </w:r>
          </w:p>
          <w:p w:rsidR="00C9154E" w:rsidRPr="002E6ECA" w:rsidRDefault="00C9154E" w:rsidP="00671529">
            <w:pPr>
              <w:spacing w:line="276" w:lineRule="auto"/>
              <w:ind w:firstLine="51"/>
              <w:jc w:val="center"/>
              <w:rPr>
                <w:bCs/>
                <w:sz w:val="28"/>
                <w:szCs w:val="28"/>
                <w:lang w:val="uk-UA"/>
              </w:rPr>
            </w:pPr>
            <w:r w:rsidRPr="002E6ECA">
              <w:rPr>
                <w:bCs/>
                <w:sz w:val="28"/>
                <w:szCs w:val="28"/>
                <w:lang w:val="uk-UA"/>
              </w:rPr>
              <w:t>Квартиль</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ЧСС, уд./хв.</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85,90</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76,86</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94,03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80,35</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73,51</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88,64</w:t>
            </w:r>
          </w:p>
        </w:tc>
      </w:tr>
      <w:tr w:rsidR="00C9154E" w:rsidRPr="002E6ECA" w:rsidTr="00C9154E">
        <w:trPr>
          <w:trHeight w:val="300"/>
        </w:trPr>
        <w:tc>
          <w:tcPr>
            <w:tcW w:w="9386"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Статистичні показники ВСР</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Mean,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698,47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638,12</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780,63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746,72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676,88</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816,24</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DE59E3" w:rsidP="00BD4A69">
            <w:pPr>
              <w:spacing w:line="360" w:lineRule="auto"/>
              <w:ind w:firstLine="51"/>
              <w:rPr>
                <w:bCs/>
                <w:sz w:val="28"/>
                <w:szCs w:val="28"/>
                <w:lang w:val="uk-UA"/>
              </w:rPr>
            </w:pPr>
            <w:r w:rsidRPr="002E6ECA">
              <w:rPr>
                <w:bCs/>
                <w:sz w:val="28"/>
                <w:szCs w:val="28"/>
                <w:lang w:val="en-US"/>
              </w:rPr>
              <w:t>C</w:t>
            </w:r>
            <w:r w:rsidR="00C9154E" w:rsidRPr="002E6ECA">
              <w:rPr>
                <w:bCs/>
                <w:sz w:val="28"/>
                <w:szCs w:val="28"/>
                <w:lang w:val="uk-UA"/>
              </w:rPr>
              <w:t>Vr,%</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6,89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5,59</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9,33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8,01</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7,23</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10,08</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SDNN,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47,55</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35,28</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86,33</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62,36</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47,45</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76,18</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RMSSD,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34,18</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30,35</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53,21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62,14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44,65</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79,75</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pNN50,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15,84</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9,53</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32,66</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42,17</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26,08</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52,54</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Мо,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698,50</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629,00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751,01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720,99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666,02</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806,00</w:t>
            </w:r>
          </w:p>
        </w:tc>
      </w:tr>
      <w:tr w:rsidR="00C9154E" w:rsidRPr="002E6ECA" w:rsidTr="00C9154E">
        <w:trPr>
          <w:trHeight w:val="300"/>
        </w:trPr>
        <w:tc>
          <w:tcPr>
            <w:tcW w:w="9386"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671529">
            <w:pPr>
              <w:spacing w:line="276" w:lineRule="auto"/>
              <w:ind w:firstLine="51"/>
              <w:jc w:val="center"/>
              <w:rPr>
                <w:bCs/>
                <w:sz w:val="28"/>
                <w:szCs w:val="28"/>
                <w:lang w:val="uk-UA"/>
              </w:rPr>
            </w:pPr>
            <w:r w:rsidRPr="002E6ECA">
              <w:rPr>
                <w:bCs/>
                <w:sz w:val="28"/>
                <w:szCs w:val="28"/>
                <w:lang w:val="uk-UA"/>
              </w:rPr>
              <w:t>Варіаційна пульсомерія за Р.М. Баєвським</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Амо,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10,36</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7,56</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12,07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7,89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6,45</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10,41</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DE59E3">
            <w:pPr>
              <w:spacing w:line="360" w:lineRule="auto"/>
              <w:ind w:firstLine="51"/>
              <w:rPr>
                <w:bCs/>
                <w:sz w:val="28"/>
                <w:szCs w:val="28"/>
                <w:lang w:val="uk-UA"/>
              </w:rPr>
            </w:pPr>
            <w:r w:rsidRPr="002E6ECA">
              <w:rPr>
                <w:bCs/>
                <w:sz w:val="28"/>
                <w:szCs w:val="28"/>
                <w:lang w:val="uk-UA"/>
              </w:rPr>
              <w:t>Δ</w:t>
            </w:r>
            <w:r w:rsidR="00DE59E3" w:rsidRPr="002E6ECA">
              <w:rPr>
                <w:bCs/>
                <w:sz w:val="28"/>
                <w:szCs w:val="28"/>
                <w:lang w:val="en-US"/>
              </w:rPr>
              <w:t>X</w:t>
            </w:r>
            <w:r w:rsidRPr="002E6ECA">
              <w:rPr>
                <w:bCs/>
                <w:sz w:val="28"/>
                <w:szCs w:val="28"/>
                <w:lang w:val="uk-UA"/>
              </w:rPr>
              <w:t>, мс</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247,50</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225,01</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414,00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353,49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315,98</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445,01</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ІН, ум.од.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27,43</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9,53</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44,49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15,11</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9,53</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21,93</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ПАПР, ум.од.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0,92</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0,70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1,50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0,58</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0,24</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0,99</w:t>
            </w:r>
          </w:p>
        </w:tc>
      </w:tr>
      <w:tr w:rsidR="00C9154E" w:rsidRPr="002E6ECA" w:rsidTr="00C9154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rPr>
                <w:bCs/>
                <w:sz w:val="28"/>
                <w:szCs w:val="28"/>
                <w:lang w:val="uk-UA"/>
              </w:rPr>
            </w:pPr>
            <w:r w:rsidRPr="002E6ECA">
              <w:rPr>
                <w:bCs/>
                <w:sz w:val="28"/>
                <w:szCs w:val="28"/>
                <w:lang w:val="uk-UA"/>
              </w:rPr>
              <w:t>ІВР, ум.од.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41,11</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18,01</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53,65</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22,60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15,58</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spacing w:line="360" w:lineRule="auto"/>
              <w:ind w:firstLine="51"/>
              <w:jc w:val="center"/>
              <w:rPr>
                <w:bCs/>
                <w:sz w:val="28"/>
                <w:szCs w:val="28"/>
                <w:lang w:val="uk-UA"/>
              </w:rPr>
            </w:pPr>
            <w:r w:rsidRPr="002E6ECA">
              <w:rPr>
                <w:bCs/>
                <w:sz w:val="28"/>
                <w:szCs w:val="28"/>
                <w:lang w:val="uk-UA"/>
              </w:rPr>
              <w:t>29,65</w:t>
            </w:r>
          </w:p>
        </w:tc>
      </w:tr>
      <w:tr w:rsidR="0086629E" w:rsidRPr="002E6ECA" w:rsidTr="0086629E">
        <w:trPr>
          <w:trHeight w:val="300"/>
        </w:trPr>
        <w:tc>
          <w:tcPr>
            <w:tcW w:w="20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rPr>
                <w:bCs/>
                <w:sz w:val="28"/>
                <w:szCs w:val="28"/>
                <w:lang w:val="uk-UA"/>
              </w:rPr>
            </w:pPr>
            <w:r w:rsidRPr="002E6ECA">
              <w:rPr>
                <w:bCs/>
                <w:sz w:val="28"/>
                <w:szCs w:val="28"/>
                <w:lang w:val="uk-UA"/>
              </w:rPr>
              <w:t>ВПР, ум.од.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86629E" w:rsidRPr="002E6ECA" w:rsidRDefault="0086629E" w:rsidP="008009FB">
            <w:pPr>
              <w:spacing w:line="360" w:lineRule="auto"/>
              <w:ind w:firstLine="51"/>
              <w:jc w:val="center"/>
              <w:rPr>
                <w:bCs/>
                <w:sz w:val="28"/>
                <w:szCs w:val="28"/>
                <w:lang w:val="uk-UA"/>
              </w:rPr>
            </w:pPr>
            <w:r w:rsidRPr="002E6ECA">
              <w:rPr>
                <w:bCs/>
                <w:sz w:val="28"/>
                <w:szCs w:val="28"/>
                <w:lang w:val="uk-UA"/>
              </w:rPr>
              <w:t>5,42#</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8"/>
                <w:szCs w:val="28"/>
                <w:lang w:val="uk-UA"/>
              </w:rPr>
            </w:pPr>
            <w:r w:rsidRPr="002E6ECA">
              <w:rPr>
                <w:bCs/>
                <w:sz w:val="28"/>
                <w:szCs w:val="28"/>
                <w:lang w:val="uk-UA"/>
              </w:rPr>
              <w:t>3,22</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86629E" w:rsidRPr="002E6ECA" w:rsidRDefault="0086629E" w:rsidP="008009FB">
            <w:pPr>
              <w:spacing w:line="360" w:lineRule="auto"/>
              <w:ind w:firstLine="51"/>
              <w:jc w:val="center"/>
              <w:rPr>
                <w:bCs/>
                <w:sz w:val="28"/>
                <w:szCs w:val="28"/>
                <w:lang w:val="uk-UA"/>
              </w:rPr>
            </w:pPr>
            <w:r w:rsidRPr="002E6ECA">
              <w:rPr>
                <w:bCs/>
                <w:sz w:val="28"/>
                <w:szCs w:val="28"/>
                <w:lang w:val="uk-UA"/>
              </w:rPr>
              <w:t>7,37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86629E" w:rsidRPr="002E6ECA" w:rsidRDefault="0086629E" w:rsidP="008009FB">
            <w:pPr>
              <w:spacing w:line="360" w:lineRule="auto"/>
              <w:ind w:firstLine="51"/>
              <w:jc w:val="center"/>
              <w:rPr>
                <w:bCs/>
                <w:sz w:val="28"/>
                <w:szCs w:val="28"/>
                <w:lang w:val="uk-UA"/>
              </w:rPr>
            </w:pPr>
            <w:r w:rsidRPr="002E6ECA">
              <w:rPr>
                <w:bCs/>
                <w:sz w:val="28"/>
                <w:szCs w:val="28"/>
                <w:lang w:val="uk-UA"/>
              </w:rPr>
              <w:t>3,70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8"/>
                <w:szCs w:val="28"/>
                <w:lang w:val="uk-UA"/>
              </w:rPr>
            </w:pPr>
            <w:r w:rsidRPr="002E6ECA">
              <w:rPr>
                <w:bCs/>
                <w:sz w:val="28"/>
                <w:szCs w:val="28"/>
                <w:lang w:val="uk-UA"/>
              </w:rPr>
              <w:t>2,89</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86629E" w:rsidRPr="002E6ECA" w:rsidRDefault="0086629E" w:rsidP="008009FB">
            <w:pPr>
              <w:spacing w:line="360" w:lineRule="auto"/>
              <w:ind w:firstLine="51"/>
              <w:jc w:val="center"/>
              <w:rPr>
                <w:bCs/>
                <w:sz w:val="28"/>
                <w:szCs w:val="28"/>
                <w:lang w:val="uk-UA"/>
              </w:rPr>
            </w:pPr>
            <w:r w:rsidRPr="002E6ECA">
              <w:rPr>
                <w:bCs/>
                <w:sz w:val="28"/>
                <w:szCs w:val="28"/>
                <w:lang w:val="uk-UA"/>
              </w:rPr>
              <w:t>4,88</w:t>
            </w:r>
          </w:p>
        </w:tc>
      </w:tr>
    </w:tbl>
    <w:p w:rsidR="00C9154E" w:rsidRPr="002E6ECA" w:rsidRDefault="00C9154E" w:rsidP="00C9154E">
      <w:pPr>
        <w:jc w:val="right"/>
        <w:rPr>
          <w:i/>
          <w:sz w:val="28"/>
          <w:szCs w:val="28"/>
          <w:lang w:val="uk-UA"/>
        </w:rPr>
      </w:pPr>
      <w:r w:rsidRPr="002E6ECA">
        <w:rPr>
          <w:i/>
          <w:sz w:val="28"/>
          <w:szCs w:val="28"/>
          <w:lang w:val="uk-UA"/>
        </w:rPr>
        <w:lastRenderedPageBreak/>
        <w:t>Продовження табл. 5.7</w:t>
      </w:r>
    </w:p>
    <w:tbl>
      <w:tblPr>
        <w:tblW w:w="9394" w:type="dxa"/>
        <w:jc w:val="center"/>
        <w:tblLook w:val="04A0" w:firstRow="1" w:lastRow="0" w:firstColumn="1" w:lastColumn="0" w:noHBand="0" w:noVBand="1"/>
      </w:tblPr>
      <w:tblGrid>
        <w:gridCol w:w="2072"/>
        <w:gridCol w:w="1208"/>
        <w:gridCol w:w="1164"/>
        <w:gridCol w:w="1289"/>
        <w:gridCol w:w="1208"/>
        <w:gridCol w:w="1164"/>
        <w:gridCol w:w="1289"/>
      </w:tblGrid>
      <w:tr w:rsidR="00C9154E" w:rsidRPr="002E6ECA" w:rsidTr="00671529">
        <w:trPr>
          <w:trHeight w:val="644"/>
          <w:jc w:val="center"/>
        </w:trPr>
        <w:tc>
          <w:tcPr>
            <w:tcW w:w="2072" w:type="dxa"/>
            <w:vMerge w:val="restart"/>
            <w:tcBorders>
              <w:top w:val="single" w:sz="4" w:space="0" w:color="auto"/>
              <w:left w:val="single" w:sz="4" w:space="0" w:color="auto"/>
              <w:bottom w:val="nil"/>
              <w:right w:val="single" w:sz="4" w:space="0" w:color="auto"/>
            </w:tcBorders>
            <w:shd w:val="clear" w:color="auto" w:fill="auto"/>
            <w:noWrap/>
            <w:tcMar>
              <w:left w:w="28" w:type="dxa"/>
              <w:right w:w="28" w:type="dxa"/>
            </w:tcMar>
            <w:vAlign w:val="center"/>
            <w:hideMark/>
          </w:tcPr>
          <w:p w:rsidR="00C9154E" w:rsidRPr="002E6ECA" w:rsidRDefault="00C9154E" w:rsidP="00BD4A69">
            <w:pPr>
              <w:jc w:val="center"/>
              <w:rPr>
                <w:bCs/>
                <w:sz w:val="28"/>
                <w:szCs w:val="28"/>
                <w:lang w:val="uk-UA"/>
              </w:rPr>
            </w:pPr>
            <w:r w:rsidRPr="002E6ECA">
              <w:rPr>
                <w:bCs/>
                <w:sz w:val="28"/>
                <w:szCs w:val="28"/>
                <w:lang w:val="uk-UA"/>
              </w:rPr>
              <w:t>Показники</w:t>
            </w:r>
          </w:p>
        </w:tc>
        <w:tc>
          <w:tcPr>
            <w:tcW w:w="3661" w:type="dxa"/>
            <w:gridSpan w:val="3"/>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ind w:firstLine="51"/>
              <w:jc w:val="center"/>
              <w:rPr>
                <w:bCs/>
                <w:sz w:val="28"/>
                <w:szCs w:val="28"/>
                <w:lang w:val="uk-UA"/>
              </w:rPr>
            </w:pPr>
            <w:r w:rsidRPr="002E6ECA">
              <w:rPr>
                <w:bCs/>
                <w:sz w:val="28"/>
                <w:szCs w:val="28"/>
                <w:lang w:val="uk-UA"/>
              </w:rPr>
              <w:t xml:space="preserve">Меритократичне навчання, </w:t>
            </w:r>
            <w:r w:rsidRPr="002E6ECA">
              <w:rPr>
                <w:sz w:val="28"/>
                <w:szCs w:val="28"/>
                <w:lang w:val="uk-UA"/>
              </w:rPr>
              <w:t>НК-1</w:t>
            </w:r>
            <w:r w:rsidRPr="002E6ECA">
              <w:rPr>
                <w:bCs/>
                <w:sz w:val="28"/>
                <w:szCs w:val="28"/>
                <w:lang w:val="uk-UA"/>
              </w:rPr>
              <w:t xml:space="preserve"> (n=19)</w:t>
            </w:r>
          </w:p>
        </w:tc>
        <w:tc>
          <w:tcPr>
            <w:tcW w:w="3661"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ind w:firstLine="51"/>
              <w:jc w:val="center"/>
              <w:rPr>
                <w:bCs/>
                <w:sz w:val="28"/>
                <w:szCs w:val="28"/>
                <w:lang w:val="uk-UA"/>
              </w:rPr>
            </w:pPr>
            <w:r w:rsidRPr="002E6ECA">
              <w:rPr>
                <w:bCs/>
                <w:sz w:val="28"/>
                <w:szCs w:val="28"/>
                <w:lang w:val="uk-UA"/>
              </w:rPr>
              <w:t>Традиційне навчання,</w:t>
            </w:r>
          </w:p>
          <w:p w:rsidR="00C9154E" w:rsidRPr="002E6ECA" w:rsidRDefault="00C9154E" w:rsidP="00BD4A69">
            <w:pPr>
              <w:ind w:firstLine="51"/>
              <w:jc w:val="center"/>
              <w:rPr>
                <w:bCs/>
                <w:sz w:val="28"/>
                <w:szCs w:val="28"/>
                <w:lang w:val="uk-UA"/>
              </w:rPr>
            </w:pPr>
            <w:r w:rsidRPr="002E6ECA">
              <w:rPr>
                <w:sz w:val="28"/>
                <w:szCs w:val="28"/>
                <w:lang w:val="uk-UA"/>
              </w:rPr>
              <w:t>НК-3</w:t>
            </w:r>
            <w:r w:rsidRPr="002E6ECA">
              <w:rPr>
                <w:bCs/>
                <w:sz w:val="28"/>
                <w:szCs w:val="28"/>
                <w:lang w:val="uk-UA"/>
              </w:rPr>
              <w:t xml:space="preserve">  (n=18)</w:t>
            </w:r>
          </w:p>
        </w:tc>
      </w:tr>
      <w:tr w:rsidR="00C9154E" w:rsidRPr="002E6ECA" w:rsidTr="00671529">
        <w:trPr>
          <w:trHeight w:val="300"/>
          <w:jc w:val="center"/>
        </w:trPr>
        <w:tc>
          <w:tcPr>
            <w:tcW w:w="2072" w:type="dxa"/>
            <w:vMerge/>
            <w:tcBorders>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ind w:firstLine="51"/>
              <w:jc w:val="center"/>
              <w:rPr>
                <w:bCs/>
                <w:sz w:val="28"/>
                <w:szCs w:val="28"/>
                <w:lang w:val="uk-UA"/>
              </w:rPr>
            </w:pP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C9154E" w:rsidRPr="002E6ECA" w:rsidRDefault="00C9154E" w:rsidP="00BD4A69">
            <w:pPr>
              <w:ind w:firstLine="51"/>
              <w:jc w:val="center"/>
              <w:rPr>
                <w:bCs/>
                <w:sz w:val="28"/>
                <w:szCs w:val="28"/>
                <w:lang w:val="uk-UA"/>
              </w:rPr>
            </w:pPr>
            <w:r w:rsidRPr="002E6ECA">
              <w:rPr>
                <w:bCs/>
                <w:sz w:val="28"/>
                <w:szCs w:val="28"/>
                <w:lang w:val="uk-UA"/>
              </w:rPr>
              <w:t>Медіана</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ind w:firstLine="51"/>
              <w:jc w:val="center"/>
              <w:rPr>
                <w:bCs/>
                <w:sz w:val="28"/>
                <w:szCs w:val="28"/>
                <w:lang w:val="uk-UA"/>
              </w:rPr>
            </w:pPr>
            <w:r w:rsidRPr="002E6ECA">
              <w:rPr>
                <w:bCs/>
                <w:sz w:val="28"/>
                <w:szCs w:val="28"/>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C9154E" w:rsidRPr="002E6ECA" w:rsidRDefault="00C9154E" w:rsidP="00BD4A69">
            <w:pPr>
              <w:ind w:firstLine="51"/>
              <w:jc w:val="center"/>
              <w:rPr>
                <w:bCs/>
                <w:sz w:val="28"/>
                <w:szCs w:val="28"/>
                <w:lang w:val="uk-UA"/>
              </w:rPr>
            </w:pPr>
            <w:r w:rsidRPr="002E6ECA">
              <w:rPr>
                <w:bCs/>
                <w:sz w:val="28"/>
                <w:szCs w:val="28"/>
                <w:lang w:val="uk-UA"/>
              </w:rPr>
              <w:t>Верхній</w:t>
            </w:r>
          </w:p>
          <w:p w:rsidR="00C9154E" w:rsidRPr="002E6ECA" w:rsidRDefault="00C9154E" w:rsidP="00BD4A69">
            <w:pPr>
              <w:ind w:firstLine="51"/>
              <w:jc w:val="center"/>
              <w:rPr>
                <w:bCs/>
                <w:sz w:val="28"/>
                <w:szCs w:val="28"/>
                <w:lang w:val="uk-UA"/>
              </w:rPr>
            </w:pPr>
            <w:r w:rsidRPr="002E6ECA">
              <w:rPr>
                <w:bCs/>
                <w:sz w:val="28"/>
                <w:szCs w:val="28"/>
                <w:lang w:val="uk-UA"/>
              </w:rPr>
              <w:t>квартиль</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C9154E" w:rsidRPr="002E6ECA" w:rsidRDefault="00C9154E" w:rsidP="00BD4A69">
            <w:pPr>
              <w:ind w:firstLine="51"/>
              <w:jc w:val="center"/>
              <w:rPr>
                <w:bCs/>
                <w:sz w:val="28"/>
                <w:szCs w:val="28"/>
                <w:lang w:val="uk-UA"/>
              </w:rPr>
            </w:pPr>
            <w:r w:rsidRPr="002E6ECA">
              <w:rPr>
                <w:bCs/>
                <w:sz w:val="28"/>
                <w:szCs w:val="28"/>
                <w:lang w:val="uk-UA"/>
              </w:rPr>
              <w:t>Медіана</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ind w:firstLine="51"/>
              <w:jc w:val="center"/>
              <w:rPr>
                <w:bCs/>
                <w:sz w:val="28"/>
                <w:szCs w:val="28"/>
                <w:lang w:val="uk-UA"/>
              </w:rPr>
            </w:pPr>
            <w:r w:rsidRPr="002E6ECA">
              <w:rPr>
                <w:bCs/>
                <w:sz w:val="28"/>
                <w:szCs w:val="28"/>
                <w:lang w:val="uk-UA"/>
              </w:rPr>
              <w:t>Нижній квартиль</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C9154E" w:rsidRPr="002E6ECA" w:rsidRDefault="00C9154E" w:rsidP="00BD4A69">
            <w:pPr>
              <w:ind w:firstLine="51"/>
              <w:jc w:val="center"/>
              <w:rPr>
                <w:bCs/>
                <w:sz w:val="28"/>
                <w:szCs w:val="28"/>
                <w:lang w:val="uk-UA"/>
              </w:rPr>
            </w:pPr>
            <w:r w:rsidRPr="002E6ECA">
              <w:rPr>
                <w:bCs/>
                <w:sz w:val="28"/>
                <w:szCs w:val="28"/>
                <w:lang w:val="uk-UA"/>
              </w:rPr>
              <w:t>Верхній</w:t>
            </w:r>
          </w:p>
          <w:p w:rsidR="00C9154E" w:rsidRPr="002E6ECA" w:rsidRDefault="00C9154E" w:rsidP="00BD4A69">
            <w:pPr>
              <w:ind w:firstLine="51"/>
              <w:jc w:val="center"/>
              <w:rPr>
                <w:bCs/>
                <w:sz w:val="28"/>
                <w:szCs w:val="28"/>
                <w:lang w:val="uk-UA"/>
              </w:rPr>
            </w:pPr>
            <w:r w:rsidRPr="002E6ECA">
              <w:rPr>
                <w:bCs/>
                <w:sz w:val="28"/>
                <w:szCs w:val="28"/>
                <w:lang w:val="uk-UA"/>
              </w:rPr>
              <w:t>Квартиль</w:t>
            </w:r>
          </w:p>
        </w:tc>
      </w:tr>
      <w:tr w:rsidR="00671529" w:rsidRPr="002E6ECA" w:rsidTr="006841E7">
        <w:trPr>
          <w:trHeight w:val="300"/>
          <w:jc w:val="center"/>
        </w:trPr>
        <w:tc>
          <w:tcPr>
            <w:tcW w:w="9394"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71529">
            <w:pPr>
              <w:spacing w:line="276" w:lineRule="auto"/>
              <w:ind w:firstLine="51"/>
              <w:jc w:val="center"/>
              <w:rPr>
                <w:bCs/>
                <w:sz w:val="28"/>
                <w:szCs w:val="28"/>
                <w:lang w:val="uk-UA"/>
              </w:rPr>
            </w:pPr>
            <w:r w:rsidRPr="002E6ECA">
              <w:rPr>
                <w:bCs/>
                <w:sz w:val="28"/>
                <w:szCs w:val="28"/>
                <w:lang w:val="uk-UA"/>
              </w:rPr>
              <w:t>Автокореляційні показники ВСР</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rPr>
                <w:bCs/>
                <w:sz w:val="28"/>
                <w:szCs w:val="28"/>
                <w:lang w:val="uk-UA"/>
              </w:rPr>
            </w:pPr>
            <w:r w:rsidRPr="002E6ECA">
              <w:rPr>
                <w:bCs/>
                <w:sz w:val="28"/>
                <w:szCs w:val="28"/>
                <w:lang w:val="uk-UA"/>
              </w:rPr>
              <w:t>СС1</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0,68</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0,58</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0,81</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0,56</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0,49</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0,69</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rPr>
                <w:bCs/>
                <w:sz w:val="28"/>
                <w:szCs w:val="28"/>
                <w:lang w:val="uk-UA"/>
              </w:rPr>
            </w:pPr>
            <w:r w:rsidRPr="002E6ECA">
              <w:rPr>
                <w:bCs/>
                <w:sz w:val="28"/>
                <w:szCs w:val="28"/>
                <w:lang w:val="uk-UA"/>
              </w:rPr>
              <w:t>СС0</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25,00</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7,00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50,00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7,00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2,00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39,00</w:t>
            </w:r>
          </w:p>
        </w:tc>
      </w:tr>
      <w:tr w:rsidR="00671529" w:rsidRPr="002E6ECA" w:rsidTr="006841E7">
        <w:trPr>
          <w:trHeight w:val="300"/>
          <w:jc w:val="center"/>
        </w:trPr>
        <w:tc>
          <w:tcPr>
            <w:tcW w:w="9394" w:type="dxa"/>
            <w:gridSpan w:val="7"/>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71529">
            <w:pPr>
              <w:spacing w:line="276" w:lineRule="auto"/>
              <w:ind w:firstLine="51"/>
              <w:jc w:val="center"/>
              <w:rPr>
                <w:bCs/>
                <w:sz w:val="28"/>
                <w:szCs w:val="28"/>
                <w:lang w:val="uk-UA"/>
              </w:rPr>
            </w:pPr>
            <w:r w:rsidRPr="002E6ECA">
              <w:rPr>
                <w:bCs/>
                <w:sz w:val="28"/>
                <w:szCs w:val="28"/>
                <w:lang w:val="uk-UA"/>
              </w:rPr>
              <w:t>Спектральні показники ВСР</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rPr>
                <w:bCs/>
                <w:sz w:val="28"/>
                <w:szCs w:val="28"/>
                <w:lang w:val="uk-UA"/>
              </w:rPr>
            </w:pPr>
            <w:r w:rsidRPr="002E6ECA">
              <w:rPr>
                <w:bCs/>
                <w:sz w:val="28"/>
                <w:szCs w:val="28"/>
                <w:lang w:val="uk-UA"/>
              </w:rPr>
              <w:t>TP, мс</w:t>
            </w:r>
            <w:r w:rsidRPr="002E6ECA">
              <w:rPr>
                <w:bCs/>
                <w:sz w:val="28"/>
                <w:szCs w:val="28"/>
                <w:vertAlign w:val="superscript"/>
                <w:lang w:val="uk-UA"/>
              </w:rPr>
              <w:t>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784,65</w:t>
            </w:r>
            <w:r w:rsidRPr="002E6ECA">
              <w:rPr>
                <w:bCs/>
                <w:sz w:val="28"/>
                <w:szCs w:val="28"/>
                <w:vertAlign w:val="superscript"/>
                <w:lang w:val="en-US"/>
              </w:rPr>
              <w:t>#</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444,85</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2668,20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1634,64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797,98</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2067,67</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rPr>
                <w:bCs/>
                <w:sz w:val="28"/>
                <w:szCs w:val="28"/>
                <w:lang w:val="uk-UA"/>
              </w:rPr>
            </w:pPr>
            <w:r w:rsidRPr="002E6ECA">
              <w:rPr>
                <w:bCs/>
                <w:sz w:val="28"/>
                <w:szCs w:val="28"/>
                <w:lang w:val="uk-UA"/>
              </w:rPr>
              <w:t>VLF, мс2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124,79</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65,37</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222,87</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144,32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89,13</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194,91</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rPr>
                <w:bCs/>
                <w:sz w:val="28"/>
                <w:szCs w:val="28"/>
                <w:lang w:val="uk-UA"/>
              </w:rPr>
            </w:pPr>
            <w:r w:rsidRPr="002E6ECA">
              <w:rPr>
                <w:bCs/>
                <w:sz w:val="28"/>
                <w:szCs w:val="28"/>
                <w:lang w:val="uk-UA"/>
              </w:rPr>
              <w:t>LF, мс2</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280,54</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179,80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609,59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325,12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274,70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6841E7">
            <w:pPr>
              <w:spacing w:line="360" w:lineRule="auto"/>
              <w:ind w:firstLine="51"/>
              <w:jc w:val="center"/>
              <w:rPr>
                <w:bCs/>
                <w:sz w:val="28"/>
                <w:szCs w:val="28"/>
                <w:lang w:val="uk-UA"/>
              </w:rPr>
            </w:pPr>
            <w:r w:rsidRPr="002E6ECA">
              <w:rPr>
                <w:bCs/>
                <w:sz w:val="28"/>
                <w:szCs w:val="28"/>
                <w:lang w:val="uk-UA"/>
              </w:rPr>
              <w:t>808,98</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%VLF,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14,71</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10,03</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19,02</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9,52</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5,80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18,77</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%LF,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38,35</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27,01</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51,90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31,99</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18,00</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44,76</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%HF,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40,23</w:t>
            </w:r>
          </w:p>
        </w:tc>
        <w:tc>
          <w:tcPr>
            <w:tcW w:w="1164" w:type="dxa"/>
            <w:tcBorders>
              <w:top w:val="single" w:sz="4" w:space="0" w:color="auto"/>
              <w:left w:val="single" w:sz="4" w:space="0" w:color="auto"/>
              <w:bottom w:val="single" w:sz="4" w:space="0" w:color="auto"/>
              <w:right w:val="single" w:sz="6"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34,38</w:t>
            </w:r>
          </w:p>
        </w:tc>
        <w:tc>
          <w:tcPr>
            <w:tcW w:w="1289" w:type="dxa"/>
            <w:tcBorders>
              <w:top w:val="single" w:sz="4" w:space="0" w:color="auto"/>
              <w:left w:val="single" w:sz="6"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49,28</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53,00</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40,73</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74,17</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LFn,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48,04</w:t>
            </w:r>
          </w:p>
        </w:tc>
        <w:tc>
          <w:tcPr>
            <w:tcW w:w="1164" w:type="dxa"/>
            <w:tcBorders>
              <w:top w:val="single" w:sz="4" w:space="0" w:color="auto"/>
              <w:left w:val="single" w:sz="4" w:space="0" w:color="auto"/>
              <w:bottom w:val="single" w:sz="4" w:space="0" w:color="auto"/>
              <w:right w:val="single" w:sz="6"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41,01</w:t>
            </w:r>
          </w:p>
        </w:tc>
        <w:tc>
          <w:tcPr>
            <w:tcW w:w="1289" w:type="dxa"/>
            <w:tcBorders>
              <w:top w:val="single" w:sz="4" w:space="0" w:color="auto"/>
              <w:left w:val="single" w:sz="6"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59,99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36,36</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19,57</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49,76</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HFn, %</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51,96</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40,01</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58,99</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63,64</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50,24</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80,43</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LF/HF, ум.од.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0,92</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0,70</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1,50</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0,58</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0,24</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0,99</w:t>
            </w:r>
          </w:p>
        </w:tc>
      </w:tr>
      <w:tr w:rsidR="00671529" w:rsidRPr="002E6ECA" w:rsidTr="00671529">
        <w:trPr>
          <w:trHeight w:val="300"/>
          <w:jc w:val="center"/>
        </w:trPr>
        <w:tc>
          <w:tcPr>
            <w:tcW w:w="2072"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rPr>
                <w:bCs/>
                <w:sz w:val="28"/>
                <w:szCs w:val="28"/>
                <w:lang w:val="uk-UA"/>
              </w:rPr>
            </w:pPr>
            <w:r w:rsidRPr="002E6ECA">
              <w:rPr>
                <w:bCs/>
                <w:sz w:val="28"/>
                <w:szCs w:val="28"/>
                <w:lang w:val="uk-UA"/>
              </w:rPr>
              <w:t>ІС, ум.од.</w:t>
            </w:r>
          </w:p>
        </w:tc>
        <w:tc>
          <w:tcPr>
            <w:tcW w:w="1208" w:type="dxa"/>
            <w:tcBorders>
              <w:top w:val="single" w:sz="4" w:space="0" w:color="auto"/>
              <w:left w:val="single" w:sz="4" w:space="0" w:color="auto"/>
              <w:bottom w:val="single" w:sz="4" w:space="0" w:color="auto"/>
              <w:right w:val="single" w:sz="4" w:space="0" w:color="auto"/>
            </w:tcBorders>
            <w:shd w:val="clear" w:color="auto" w:fill="D9D9D9"/>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2,97</w:t>
            </w:r>
          </w:p>
        </w:tc>
        <w:tc>
          <w:tcPr>
            <w:tcW w:w="1164"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2,01</w:t>
            </w:r>
          </w:p>
        </w:tc>
        <w:tc>
          <w:tcPr>
            <w:tcW w:w="1289" w:type="dxa"/>
            <w:tcBorders>
              <w:top w:val="single" w:sz="4" w:space="0" w:color="auto"/>
              <w:left w:val="single" w:sz="4" w:space="0" w:color="auto"/>
              <w:bottom w:val="single" w:sz="4" w:space="0" w:color="auto"/>
              <w:right w:val="single" w:sz="4" w:space="0" w:color="auto"/>
            </w:tcBorders>
            <w:shd w:val="clear" w:color="auto" w:fill="auto"/>
            <w:noWrap/>
            <w:tcMar>
              <w:left w:w="28" w:type="dxa"/>
              <w:right w:w="28" w:type="dxa"/>
            </w:tcMar>
            <w:vAlign w:val="center"/>
            <w:hideMark/>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4,76</w:t>
            </w:r>
          </w:p>
        </w:tc>
        <w:tc>
          <w:tcPr>
            <w:tcW w:w="1208" w:type="dxa"/>
            <w:tcBorders>
              <w:top w:val="single" w:sz="4" w:space="0" w:color="auto"/>
              <w:left w:val="single" w:sz="4" w:space="0" w:color="auto"/>
              <w:bottom w:val="single" w:sz="4" w:space="0" w:color="auto"/>
              <w:right w:val="single" w:sz="4" w:space="0" w:color="auto"/>
            </w:tcBorders>
            <w:shd w:val="clear" w:color="auto" w:fill="D9D9D9"/>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1,43</w:t>
            </w:r>
          </w:p>
        </w:tc>
        <w:tc>
          <w:tcPr>
            <w:tcW w:w="11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0,72</w:t>
            </w:r>
          </w:p>
        </w:tc>
        <w:tc>
          <w:tcPr>
            <w:tcW w:w="128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671529" w:rsidRPr="002E6ECA" w:rsidRDefault="00671529" w:rsidP="00BD4A69">
            <w:pPr>
              <w:spacing w:line="360" w:lineRule="auto"/>
              <w:ind w:firstLine="51"/>
              <w:jc w:val="center"/>
              <w:rPr>
                <w:bCs/>
                <w:sz w:val="28"/>
                <w:szCs w:val="28"/>
                <w:lang w:val="uk-UA"/>
              </w:rPr>
            </w:pPr>
            <w:r w:rsidRPr="002E6ECA">
              <w:rPr>
                <w:bCs/>
                <w:sz w:val="28"/>
                <w:szCs w:val="28"/>
                <w:lang w:val="uk-UA"/>
              </w:rPr>
              <w:t>2,41</w:t>
            </w:r>
          </w:p>
        </w:tc>
      </w:tr>
    </w:tbl>
    <w:p w:rsidR="009E0B65" w:rsidRPr="002E6ECA" w:rsidRDefault="009E0B65" w:rsidP="00C9154E">
      <w:pPr>
        <w:spacing w:line="360" w:lineRule="auto"/>
        <w:ind w:firstLine="709"/>
        <w:jc w:val="both"/>
        <w:rPr>
          <w:lang w:val="uk-UA"/>
        </w:rPr>
      </w:pPr>
      <w:r w:rsidRPr="002E6ECA">
        <w:rPr>
          <w:sz w:val="28"/>
          <w:szCs w:val="28"/>
          <w:lang w:val="uk-UA"/>
        </w:rPr>
        <w:t xml:space="preserve"> </w:t>
      </w:r>
      <w:r w:rsidRPr="002E6ECA">
        <w:rPr>
          <w:bCs/>
          <w:lang w:val="uk-UA"/>
        </w:rPr>
        <w:t xml:space="preserve">Примітка. </w:t>
      </w:r>
      <w:r w:rsidRPr="002E6ECA">
        <w:rPr>
          <w:bCs/>
          <w:vertAlign w:val="superscript"/>
          <w:lang w:val="uk-UA"/>
        </w:rPr>
        <w:t>#</w:t>
      </w:r>
      <w:r w:rsidRPr="002E6ECA">
        <w:rPr>
          <w:bCs/>
          <w:lang w:val="uk-UA"/>
        </w:rPr>
        <w:t xml:space="preserve"> – вірогідні (</w:t>
      </w:r>
      <w:r w:rsidRPr="002E6ECA">
        <w:rPr>
          <w:shd w:val="clear" w:color="auto" w:fill="FFFFFF"/>
          <w:lang w:val="uk-UA"/>
        </w:rPr>
        <w:t>р&lt;0,05</w:t>
      </w:r>
      <w:r w:rsidRPr="002E6ECA">
        <w:rPr>
          <w:bCs/>
          <w:lang w:val="uk-UA"/>
        </w:rPr>
        <w:t xml:space="preserve">) відмінності між учнями </w:t>
      </w:r>
      <w:r w:rsidRPr="002E6ECA">
        <w:rPr>
          <w:lang w:val="uk-UA"/>
        </w:rPr>
        <w:t>НК-1</w:t>
      </w:r>
      <w:r w:rsidRPr="002E6ECA">
        <w:rPr>
          <w:bCs/>
          <w:lang w:val="uk-UA"/>
        </w:rPr>
        <w:t xml:space="preserve"> та </w:t>
      </w:r>
      <w:r w:rsidRPr="002E6ECA">
        <w:rPr>
          <w:lang w:val="uk-UA"/>
        </w:rPr>
        <w:t>НК-3</w:t>
      </w:r>
      <w:r w:rsidRPr="002E6ECA">
        <w:rPr>
          <w:bCs/>
          <w:lang w:val="uk-UA"/>
        </w:rPr>
        <w:t>.</w:t>
      </w:r>
    </w:p>
    <w:p w:rsidR="009E0B65" w:rsidRPr="002E6ECA" w:rsidRDefault="009E0B65" w:rsidP="009E0B65">
      <w:pPr>
        <w:spacing w:line="360" w:lineRule="auto"/>
        <w:ind w:firstLine="709"/>
        <w:jc w:val="both"/>
        <w:rPr>
          <w:sz w:val="28"/>
          <w:szCs w:val="28"/>
          <w:lang w:val="uk-UA"/>
        </w:rPr>
      </w:pP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При цьому за даними варіаційної пульсометрії за Р.М. Баєвським спостерігалося посилення симпатичних впливів на серце (АМо вища на 29,6%, р=0,07), як на рівні автономного (ВПР вищий на 43,5, </w:t>
      </w:r>
      <w:r w:rsidRPr="002E6ECA">
        <w:rPr>
          <w:sz w:val="28"/>
          <w:szCs w:val="28"/>
          <w:shd w:val="clear" w:color="auto" w:fill="FFFFFF"/>
          <w:lang w:val="uk-UA"/>
        </w:rPr>
        <w:t>р&lt;0,05</w:t>
      </w:r>
      <w:r w:rsidRPr="002E6ECA">
        <w:rPr>
          <w:sz w:val="28"/>
          <w:szCs w:val="28"/>
          <w:lang w:val="uk-UA"/>
        </w:rPr>
        <w:t xml:space="preserve">5), так і центрального контурів регуляції (ІВР вищий на 40,1%, </w:t>
      </w:r>
      <w:r w:rsidRPr="002E6ECA">
        <w:rPr>
          <w:sz w:val="28"/>
          <w:szCs w:val="28"/>
          <w:shd w:val="clear" w:color="auto" w:fill="FFFFFF"/>
          <w:lang w:val="uk-UA"/>
        </w:rPr>
        <w:t>р&lt;0,05</w:t>
      </w:r>
      <w:r w:rsidRPr="002E6ECA">
        <w:rPr>
          <w:sz w:val="28"/>
          <w:szCs w:val="28"/>
          <w:lang w:val="uk-UA"/>
        </w:rPr>
        <w:t>). Це знаходить відображення у тенденції до коротшої тривалості кардіоциклу (на 6,8%, р=0,08) й вищої ЧСС (на 7,3%, р=0,08). Разом з тим спостерігалася тенденція до нижчої абсолютної активності вищих вегетативних центрів (VLF – на 33,4%, р=0,07). Вірогідно це є ознакою дисбалансу між центральним та автономним контурами регуляції, а активація симпатичної нервової системи спрямована на мобілізацію функціональних резервів організму, що підтверджується на 66,2% вищим індексом напруження (</w:t>
      </w:r>
      <w:r w:rsidRPr="002E6ECA">
        <w:rPr>
          <w:sz w:val="28"/>
          <w:szCs w:val="28"/>
          <w:shd w:val="clear" w:color="auto" w:fill="FFFFFF"/>
          <w:lang w:val="uk-UA"/>
        </w:rPr>
        <w:t>р&lt;0,05</w:t>
      </w:r>
      <w:r w:rsidRPr="002E6ECA">
        <w:rPr>
          <w:sz w:val="28"/>
          <w:szCs w:val="28"/>
          <w:lang w:val="uk-UA"/>
        </w:rPr>
        <w:t>) в учнів НК-1.</w:t>
      </w:r>
    </w:p>
    <w:p w:rsidR="00E744EE" w:rsidRPr="002E6ECA" w:rsidRDefault="00E744EE" w:rsidP="00E744EE">
      <w:pPr>
        <w:spacing w:line="360" w:lineRule="auto"/>
        <w:ind w:firstLine="709"/>
        <w:contextualSpacing/>
        <w:jc w:val="both"/>
        <w:rPr>
          <w:sz w:val="28"/>
          <w:szCs w:val="28"/>
          <w:lang w:val="uk-UA"/>
        </w:rPr>
      </w:pPr>
      <w:r w:rsidRPr="002E6ECA">
        <w:rPr>
          <w:sz w:val="28"/>
          <w:szCs w:val="28"/>
          <w:lang w:val="uk-UA"/>
        </w:rPr>
        <w:lastRenderedPageBreak/>
        <w:t>Підлітковий вік є періодом стрімкого розвитку фізіологічних систем, включаючи вегетативну нервову систему (ВНС). Порушення функції ВНС залучено в етіологію декількох фізичних і психічних станів, які можуть виникнути в підлітковому віці. Таким чином, ефективне функціонування ВНС є основоположним для підтримки психічного і фізичного здоров'я людини. Розуміння нормального дозрівання ВНС і того, як поведінкові та біологічні зміни в підлітковому віці впливають на розвиток ВНС, має вирішальне значення для своєчасного виявлення відхилень у функціонуванні ВНС від нормальної траєкторії.</w:t>
      </w:r>
    </w:p>
    <w:p w:rsidR="00C07182" w:rsidRPr="002E6ECA" w:rsidRDefault="00E744EE" w:rsidP="00C07182">
      <w:pPr>
        <w:spacing w:line="360" w:lineRule="auto"/>
        <w:ind w:firstLine="709"/>
        <w:jc w:val="both"/>
        <w:rPr>
          <w:sz w:val="28"/>
          <w:szCs w:val="28"/>
          <w:shd w:val="clear" w:color="auto" w:fill="FFFFFF"/>
          <w:lang w:val="uk-UA"/>
        </w:rPr>
      </w:pPr>
      <w:r w:rsidRPr="002E6ECA">
        <w:rPr>
          <w:sz w:val="28"/>
          <w:szCs w:val="28"/>
          <w:lang w:val="uk-UA"/>
        </w:rPr>
        <w:t xml:space="preserve">Отримані результати свідчать, що період з 6-го по 7-й роки навчання  є переламним у становленні механізмів вегетативної регуляції учнів основної школи. Продемонстрована нами вікова динаміка показників ВСР серед учнів основної школи в загальних рисах узгоджується з літературними даними. Так, ми виявили достовірне зниження SDNN на досліджуваному етапі онтогенезу. </w:t>
      </w:r>
      <w:r w:rsidR="00C07182" w:rsidRPr="002E6ECA">
        <w:rPr>
          <w:sz w:val="28"/>
          <w:szCs w:val="28"/>
          <w:lang w:val="uk-UA"/>
        </w:rPr>
        <w:t xml:space="preserve">Подібну закономірність продемонстрували  </w:t>
      </w:r>
      <w:r w:rsidR="00C07182" w:rsidRPr="002E6ECA">
        <w:rPr>
          <w:sz w:val="28"/>
          <w:szCs w:val="28"/>
          <w:shd w:val="clear" w:color="auto" w:fill="FFFFFF"/>
          <w:lang w:val="uk-UA"/>
        </w:rPr>
        <w:t>Silvetti et al. (2001), які досліджували часові параметри ВСР у дітей з першого року життя до підліткового віку та виявили зниження Mean I SDANN</w:t>
      </w:r>
      <w:r w:rsidR="00C07182" w:rsidRPr="002E6ECA">
        <w:rPr>
          <w:sz w:val="28"/>
          <w:szCs w:val="28"/>
          <w:lang w:val="uk-UA"/>
        </w:rPr>
        <w:t xml:space="preserve"> [467]. </w:t>
      </w:r>
      <w:r w:rsidR="00C07182" w:rsidRPr="002E6ECA">
        <w:rPr>
          <w:sz w:val="28"/>
          <w:szCs w:val="28"/>
          <w:shd w:val="clear" w:color="auto" w:fill="FFFFFF"/>
          <w:lang w:val="uk-UA"/>
        </w:rPr>
        <w:t xml:space="preserve">Goto et al. (1997) досліджуючи ВСР дітей з 3 до 15 років виявили зниження SDNN серед дітей 9-15 років, а при дослідженнях здорових дітей у віці від 4 до 18 років, також виявили значну кореляцію між SDNN, SDANN і віком </w:t>
      </w:r>
      <w:r w:rsidR="00C07182" w:rsidRPr="002E6ECA">
        <w:rPr>
          <w:sz w:val="28"/>
          <w:szCs w:val="28"/>
          <w:lang w:val="uk-UA"/>
        </w:rPr>
        <w:t xml:space="preserve">[345]. </w:t>
      </w:r>
    </w:p>
    <w:p w:rsidR="00C07182" w:rsidRPr="002E6ECA" w:rsidRDefault="00C07182" w:rsidP="00C07182">
      <w:pPr>
        <w:spacing w:line="360" w:lineRule="auto"/>
        <w:ind w:firstLine="709"/>
        <w:jc w:val="both"/>
        <w:rPr>
          <w:sz w:val="28"/>
          <w:szCs w:val="28"/>
          <w:shd w:val="clear" w:color="auto" w:fill="FFFFFF"/>
          <w:lang w:val="uk-UA"/>
        </w:rPr>
      </w:pPr>
      <w:r w:rsidRPr="002E6ECA">
        <w:rPr>
          <w:sz w:val="28"/>
          <w:szCs w:val="28"/>
          <w:shd w:val="clear" w:color="auto" w:fill="FFFFFF"/>
          <w:lang w:val="uk-UA"/>
        </w:rPr>
        <w:t xml:space="preserve">Goto et al. (1997) продемонстрували поступове зниження показників LF і HF у період з 6 до 15 років </w:t>
      </w:r>
      <w:r w:rsidRPr="002E6ECA">
        <w:rPr>
          <w:sz w:val="28"/>
          <w:szCs w:val="28"/>
          <w:lang w:val="uk-UA"/>
        </w:rPr>
        <w:t>[345]</w:t>
      </w:r>
      <w:r w:rsidRPr="002E6ECA">
        <w:rPr>
          <w:sz w:val="28"/>
          <w:szCs w:val="28"/>
          <w:shd w:val="clear" w:color="auto" w:fill="FFFFFF"/>
          <w:lang w:val="uk-UA"/>
        </w:rPr>
        <w:t xml:space="preserve">. Постійне зниження показників ВСР також спостерігалося в недавньому дослідженні у дітей у віці 6-13 років. Зазначена динаміка спостерігалася і в нашому дослідженні. Однак, на відміну від </w:t>
      </w:r>
      <w:r w:rsidRPr="002E6ECA">
        <w:rPr>
          <w:sz w:val="28"/>
          <w:szCs w:val="28"/>
          <w:lang w:val="uk-UA"/>
        </w:rPr>
        <w:t xml:space="preserve">[345], які не спостерігали достовірних змін показника </w:t>
      </w:r>
      <w:r w:rsidRPr="002E6ECA">
        <w:rPr>
          <w:sz w:val="28"/>
          <w:szCs w:val="28"/>
          <w:shd w:val="clear" w:color="auto" w:fill="FFFFFF"/>
          <w:lang w:val="uk-UA"/>
        </w:rPr>
        <w:t xml:space="preserve">LF/HF, ми спостерігали зсув симпатовагального тонусу в бік симпатикотонії в період з 11 до 13 років. </w:t>
      </w:r>
    </w:p>
    <w:p w:rsidR="00C07182" w:rsidRPr="002E6ECA" w:rsidRDefault="00C07182" w:rsidP="00C07182">
      <w:pPr>
        <w:spacing w:line="360" w:lineRule="auto"/>
        <w:ind w:firstLine="709"/>
        <w:jc w:val="both"/>
        <w:rPr>
          <w:sz w:val="28"/>
          <w:szCs w:val="28"/>
          <w:shd w:val="clear" w:color="auto" w:fill="FFFFFF"/>
          <w:lang w:val="uk-UA"/>
        </w:rPr>
      </w:pPr>
      <w:r w:rsidRPr="002E6ECA">
        <w:rPr>
          <w:sz w:val="28"/>
          <w:szCs w:val="28"/>
          <w:shd w:val="clear" w:color="auto" w:fill="FFFFFF"/>
          <w:lang w:val="uk-UA"/>
        </w:rPr>
        <w:t xml:space="preserve">Lenard et al. (2004) проаналізували часові та спектральні показники ВСР на 10-хвилинних ЕКГ спокою у 137 здорових дітей і молодих людей, розділених на 4 вікові групи: 7-10 років, 11-14 років, 15-18 років та 19-22 роки. Вони виявили, що тільки SDNN, LF і HF були значно більше у старших дітей у </w:t>
      </w:r>
      <w:r w:rsidRPr="002E6ECA">
        <w:rPr>
          <w:sz w:val="28"/>
          <w:szCs w:val="28"/>
          <w:shd w:val="clear" w:color="auto" w:fill="FFFFFF"/>
          <w:lang w:val="uk-UA"/>
        </w:rPr>
        <w:lastRenderedPageBreak/>
        <w:t>віці 15-18 років у порівнянні із середньою групою у віці від 11 до 14 років [389].</w:t>
      </w:r>
    </w:p>
    <w:p w:rsidR="00C07182" w:rsidRPr="002E6ECA" w:rsidRDefault="00C07182" w:rsidP="00C07182">
      <w:pPr>
        <w:spacing w:line="360" w:lineRule="auto"/>
        <w:ind w:firstLine="709"/>
        <w:jc w:val="both"/>
        <w:rPr>
          <w:sz w:val="28"/>
          <w:szCs w:val="28"/>
          <w:shd w:val="clear" w:color="auto" w:fill="FFFFFF"/>
          <w:lang w:val="uk-UA"/>
        </w:rPr>
      </w:pPr>
      <w:r w:rsidRPr="002E6ECA">
        <w:rPr>
          <w:sz w:val="28"/>
          <w:szCs w:val="28"/>
          <w:shd w:val="clear" w:color="auto" w:fill="FFFFFF"/>
          <w:lang w:val="uk-UA"/>
        </w:rPr>
        <w:t>Massin M. et al. (1998), досліджуючи показники ВСР (SDNN, SDANN, rMSSD, pNN50, VLF, LF, HF і LF/HF) у 210 дітей у віці від 3 днів до 14 років помітили, що вік достовірно і позитивно корелював з усіма вивченими параметрами ВСР [</w:t>
      </w:r>
      <w:r w:rsidRPr="002E6ECA">
        <w:rPr>
          <w:sz w:val="28"/>
          <w:szCs w:val="28"/>
          <w:lang w:val="uk-UA"/>
        </w:rPr>
        <w:t>400</w:t>
      </w:r>
      <w:r w:rsidRPr="002E6ECA">
        <w:rPr>
          <w:sz w:val="28"/>
          <w:szCs w:val="28"/>
          <w:shd w:val="clear" w:color="auto" w:fill="FFFFFF"/>
          <w:lang w:val="uk-UA"/>
        </w:rPr>
        <w:t>]. Galeev A. R. et al., (2002), які досліджували в цілому 3300 наборів інтервалів RR у дітей, виявили, що практично всі часові і спектральні показники ВСР більш-менш хвилеподібно змінюються з віком [</w:t>
      </w:r>
      <w:r w:rsidRPr="002E6ECA">
        <w:rPr>
          <w:sz w:val="28"/>
          <w:szCs w:val="28"/>
          <w:lang w:val="uk-UA"/>
        </w:rPr>
        <w:t>338</w:t>
      </w:r>
      <w:r w:rsidRPr="002E6ECA">
        <w:rPr>
          <w:sz w:val="28"/>
          <w:szCs w:val="28"/>
          <w:shd w:val="clear" w:color="auto" w:fill="FFFFFF"/>
          <w:lang w:val="uk-UA"/>
        </w:rPr>
        <w:t>]. У порівнянні з дітьми молодшого віку TP, VLF та LF почали відрізнятися з 11 років, а SDNN, RMSSD і HF – з 12 років.</w:t>
      </w:r>
    </w:p>
    <w:p w:rsidR="00C07182" w:rsidRPr="002E6ECA" w:rsidRDefault="00C07182" w:rsidP="00C07182">
      <w:pPr>
        <w:spacing w:line="360" w:lineRule="auto"/>
        <w:ind w:firstLine="709"/>
        <w:jc w:val="both"/>
        <w:rPr>
          <w:spacing w:val="-2"/>
          <w:sz w:val="28"/>
          <w:szCs w:val="28"/>
          <w:shd w:val="clear" w:color="auto" w:fill="FFFFFF"/>
          <w:lang w:val="uk-UA"/>
        </w:rPr>
      </w:pPr>
      <w:r w:rsidRPr="002E6ECA">
        <w:rPr>
          <w:spacing w:val="-4"/>
          <w:sz w:val="28"/>
          <w:szCs w:val="28"/>
          <w:shd w:val="clear" w:color="auto" w:fill="FFFFFF"/>
          <w:lang w:val="uk-UA"/>
        </w:rPr>
        <w:t>У цілому за результатами нашого дослідження пубертатний розвиток  пов'язаний з посиленням симпатовагального дисбалансу і зниженням парасимпатичної активності за часовими і частотними показниками ВСР (RMSSD, pNN50, HF, LF/HF).</w:t>
      </w:r>
      <w:r w:rsidRPr="002E6ECA">
        <w:rPr>
          <w:spacing w:val="-2"/>
          <w:sz w:val="28"/>
          <w:szCs w:val="28"/>
          <w:shd w:val="clear" w:color="auto" w:fill="FFFFFF"/>
          <w:lang w:val="uk-UA"/>
        </w:rPr>
        <w:t xml:space="preserve"> Ці результати аналогічні попереднім дослідженням і підтверджують думку про те, що час пубертатного розвитку збігається з дозріванням нервових вегетативних механізмів [</w:t>
      </w:r>
      <w:r w:rsidR="007C267A" w:rsidRPr="002E6ECA">
        <w:rPr>
          <w:spacing w:val="-2"/>
          <w:sz w:val="28"/>
          <w:szCs w:val="28"/>
          <w:lang w:val="uk-UA"/>
        </w:rPr>
        <w:t>299</w:t>
      </w:r>
      <w:r w:rsidRPr="002E6ECA">
        <w:rPr>
          <w:spacing w:val="-2"/>
          <w:sz w:val="28"/>
          <w:szCs w:val="28"/>
          <w:shd w:val="clear" w:color="auto" w:fill="FFFFFF"/>
          <w:lang w:val="uk-UA"/>
        </w:rPr>
        <w:t>]. Також, наші дані узгоджуються з результатами дослідження Шлик Н.І. (2009), щодо збільшення напруження механізмів вегетативної регуляції у підлітковому віці [</w:t>
      </w:r>
      <w:r w:rsidRPr="002E6ECA">
        <w:rPr>
          <w:spacing w:val="-2"/>
          <w:sz w:val="28"/>
          <w:szCs w:val="28"/>
          <w:lang w:val="uk-UA"/>
        </w:rPr>
        <w:t>265</w:t>
      </w:r>
      <w:r w:rsidRPr="002E6ECA">
        <w:rPr>
          <w:spacing w:val="-2"/>
          <w:sz w:val="28"/>
          <w:szCs w:val="28"/>
          <w:shd w:val="clear" w:color="auto" w:fill="FFFFFF"/>
          <w:lang w:val="uk-UA"/>
        </w:rPr>
        <w:t>].</w:t>
      </w:r>
    </w:p>
    <w:p w:rsidR="00C07182" w:rsidRPr="002E6ECA" w:rsidRDefault="00C07182" w:rsidP="00C07182">
      <w:pPr>
        <w:spacing w:line="360" w:lineRule="auto"/>
        <w:ind w:firstLine="709"/>
        <w:jc w:val="both"/>
        <w:rPr>
          <w:sz w:val="28"/>
          <w:szCs w:val="28"/>
          <w:shd w:val="clear" w:color="auto" w:fill="FFFFFF"/>
          <w:lang w:val="uk-UA"/>
        </w:rPr>
      </w:pPr>
      <w:r w:rsidRPr="002E6ECA">
        <w:rPr>
          <w:sz w:val="28"/>
          <w:szCs w:val="28"/>
          <w:shd w:val="clear" w:color="auto" w:fill="FFFFFF"/>
          <w:lang w:val="uk-UA"/>
        </w:rPr>
        <w:t xml:space="preserve">Школа як місце соціалізації і розвитку має велике значення в житті підлітків. Вони проводять багато часу в школі, де їх основну діяльність можна порівняти з роботою, на якій потрібно задовольняти ряд вимог. Вимоги, пов'язані зі школою, сприяють інтелектуальному і соціально-емоційному розвитку. Однак вони також можуть викликати труднощі у деяких підлітків. Дійсно, посилення вимоги бути успішним і продуктивним у сучасному суспільстві може виснажити ресурси людини і може призвести до стресових станів у підлітків [294, </w:t>
      </w:r>
      <w:r w:rsidRPr="002E6ECA">
        <w:rPr>
          <w:sz w:val="28"/>
          <w:szCs w:val="28"/>
          <w:lang w:val="uk-UA"/>
        </w:rPr>
        <w:t>390</w:t>
      </w:r>
      <w:r w:rsidRPr="002E6ECA">
        <w:rPr>
          <w:sz w:val="28"/>
          <w:szCs w:val="28"/>
          <w:shd w:val="clear" w:color="auto" w:fill="FFFFFF"/>
          <w:lang w:val="uk-UA"/>
        </w:rPr>
        <w:t>]. Міжнародні дослідження показали, що у підлітків значно зросла кількість стресів, пов'язаних зі школою, і пов'язаних зі стресом проблем зі здоров'ям [</w:t>
      </w:r>
      <w:r w:rsidR="004502D6" w:rsidRPr="002E6ECA">
        <w:rPr>
          <w:sz w:val="28"/>
          <w:szCs w:val="28"/>
          <w:shd w:val="clear" w:color="auto" w:fill="FFFFFF"/>
          <w:lang w:val="uk-UA"/>
        </w:rPr>
        <w:t>3</w:t>
      </w:r>
      <w:r w:rsidR="009D6F94" w:rsidRPr="002E6ECA">
        <w:rPr>
          <w:sz w:val="28"/>
          <w:szCs w:val="28"/>
          <w:shd w:val="clear" w:color="auto" w:fill="FFFFFF"/>
          <w:lang w:val="uk-UA"/>
        </w:rPr>
        <w:t>10</w:t>
      </w:r>
      <w:r w:rsidR="004502D6" w:rsidRPr="002E6ECA">
        <w:rPr>
          <w:sz w:val="28"/>
          <w:szCs w:val="28"/>
          <w:shd w:val="clear" w:color="auto" w:fill="FFFFFF"/>
          <w:lang w:val="uk-UA"/>
        </w:rPr>
        <w:t xml:space="preserve">, </w:t>
      </w:r>
      <w:r w:rsidRPr="002E6ECA">
        <w:rPr>
          <w:sz w:val="28"/>
          <w:szCs w:val="28"/>
          <w:shd w:val="clear" w:color="auto" w:fill="FFFFFF"/>
          <w:lang w:val="uk-UA"/>
        </w:rPr>
        <w:t>377]. Хронічний вплив академічного стресу може призвести до шкільного вигорання, що визначається як емоційний стан виснаження, цинізму і деперсоналізації [</w:t>
      </w:r>
      <w:r w:rsidRPr="002E6ECA">
        <w:rPr>
          <w:sz w:val="28"/>
          <w:szCs w:val="28"/>
          <w:lang w:val="uk-UA"/>
        </w:rPr>
        <w:t>496</w:t>
      </w:r>
      <w:r w:rsidRPr="002E6ECA">
        <w:rPr>
          <w:sz w:val="28"/>
          <w:szCs w:val="28"/>
          <w:shd w:val="clear" w:color="auto" w:fill="FFFFFF"/>
          <w:lang w:val="uk-UA"/>
        </w:rPr>
        <w:t xml:space="preserve">], та формування психосоматичних </w:t>
      </w:r>
      <w:r w:rsidRPr="002E6ECA">
        <w:rPr>
          <w:sz w:val="28"/>
          <w:szCs w:val="28"/>
          <w:shd w:val="clear" w:color="auto" w:fill="FFFFFF"/>
          <w:lang w:val="uk-UA"/>
        </w:rPr>
        <w:lastRenderedPageBreak/>
        <w:t>розладів. Тому у нашому досліджені приділено увагу впливу освітнього середовища на стан вегетативних регуляторних систем.</w:t>
      </w:r>
    </w:p>
    <w:p w:rsidR="009E0B65" w:rsidRPr="002E6ECA" w:rsidRDefault="009E0B65" w:rsidP="00C07182">
      <w:pPr>
        <w:spacing w:line="360" w:lineRule="auto"/>
        <w:ind w:firstLine="709"/>
        <w:jc w:val="both"/>
        <w:rPr>
          <w:sz w:val="28"/>
          <w:szCs w:val="28"/>
          <w:lang w:val="uk-UA"/>
        </w:rPr>
      </w:pPr>
      <w:r w:rsidRPr="002E6ECA">
        <w:rPr>
          <w:sz w:val="28"/>
          <w:szCs w:val="28"/>
          <w:lang w:val="uk-UA"/>
        </w:rPr>
        <w:t>Нами встановлено, що наявність достовірних відмінностей за параметрами ВСР серед учнів, що навчаються за меритократичною системою, порівняно з традиційною системою, залежала від навчального колективу (порівняння НК-1 і НК-3, НК-2 і НК-3) та року навчання. При цьому два навчальних колективи, що навчалися за меритократичною системою, також розрізнялися за станом вегетативних регуляторних систем (порівняння НК-1 і НК-2). Зазначене дає підстави припускати, що рівень шкільного стресу за меритократичної освіти детермінований не стільки інтенсифікацією навчального процесу внаслідок використання освітніх моделей прискорення, поглиблення, збагачення та проблематизації [</w:t>
      </w:r>
      <w:r w:rsidR="00021168" w:rsidRPr="002E6ECA">
        <w:rPr>
          <w:sz w:val="28"/>
          <w:szCs w:val="28"/>
          <w:shd w:val="clear" w:color="auto" w:fill="FFFFFF"/>
          <w:lang w:val="uk-UA"/>
        </w:rPr>
        <w:t>36</w:t>
      </w:r>
      <w:r w:rsidRPr="002E6ECA">
        <w:rPr>
          <w:sz w:val="28"/>
          <w:szCs w:val="28"/>
          <w:lang w:val="uk-UA"/>
        </w:rPr>
        <w:t xml:space="preserve">], як міжособистісними відношеннями в навчальних колективах та/або індивідуально-психологічними особливостями учнів. </w:t>
      </w:r>
    </w:p>
    <w:p w:rsidR="00E744EE" w:rsidRPr="002E6ECA" w:rsidRDefault="00E744EE" w:rsidP="00E744EE">
      <w:pPr>
        <w:spacing w:line="360" w:lineRule="auto"/>
        <w:ind w:firstLine="709"/>
        <w:jc w:val="both"/>
        <w:rPr>
          <w:sz w:val="28"/>
          <w:szCs w:val="28"/>
          <w:lang w:val="uk-UA"/>
        </w:rPr>
      </w:pPr>
      <w:r w:rsidRPr="002E6ECA">
        <w:rPr>
          <w:sz w:val="28"/>
          <w:szCs w:val="28"/>
          <w:lang w:val="uk-UA"/>
        </w:rPr>
        <w:t>Таке припущення, узгоджується з даними літератури про те, що підлітки проявляють більшу реактивність на соціальні та виробничі стресори, ніж діти [</w:t>
      </w:r>
      <w:r w:rsidR="00021168" w:rsidRPr="002E6ECA">
        <w:rPr>
          <w:sz w:val="28"/>
          <w:szCs w:val="28"/>
          <w:shd w:val="clear" w:color="auto" w:fill="FFFFFF"/>
          <w:lang w:val="uk-UA"/>
        </w:rPr>
        <w:t>369,</w:t>
      </w:r>
      <w:r w:rsidR="00021168" w:rsidRPr="002E6ECA">
        <w:rPr>
          <w:lang w:val="uk-UA"/>
        </w:rPr>
        <w:t xml:space="preserve"> </w:t>
      </w:r>
      <w:r w:rsidR="00021168" w:rsidRPr="002E6ECA">
        <w:rPr>
          <w:sz w:val="28"/>
          <w:szCs w:val="28"/>
          <w:shd w:val="clear" w:color="auto" w:fill="FFFFFF"/>
          <w:lang w:val="uk-UA"/>
        </w:rPr>
        <w:t>476</w:t>
      </w:r>
      <w:r w:rsidRPr="002E6ECA">
        <w:rPr>
          <w:sz w:val="28"/>
          <w:szCs w:val="28"/>
          <w:lang w:val="uk-UA"/>
        </w:rPr>
        <w:t>]. У цей період відносини з однолітками стають все більш важливими, а це означає, що соціальні стресори, що виникають в контексті однолітків, можуть мати особливо сильний вплив [</w:t>
      </w:r>
      <w:r w:rsidR="00021168" w:rsidRPr="002E6ECA">
        <w:rPr>
          <w:sz w:val="28"/>
          <w:szCs w:val="28"/>
          <w:shd w:val="clear" w:color="auto" w:fill="FFFFFF"/>
          <w:lang w:val="uk-UA"/>
        </w:rPr>
        <w:t>404</w:t>
      </w:r>
      <w:r w:rsidRPr="002E6ECA">
        <w:rPr>
          <w:sz w:val="28"/>
          <w:szCs w:val="28"/>
          <w:lang w:val="uk-UA"/>
        </w:rPr>
        <w:t>]. Так, показано, що підлітки, які знаходилися на нижчому рівні шкільної ієрархії в класі, характеризувалися нижчою успішністю і більш проблемною поведінкою, мали вищий рівень кортизолу – біохімічний маркер стресу, в порівнянні зі своїми однолітками [</w:t>
      </w:r>
      <w:r w:rsidR="00021168" w:rsidRPr="002E6ECA">
        <w:rPr>
          <w:sz w:val="28"/>
          <w:szCs w:val="28"/>
          <w:lang w:val="uk-UA"/>
        </w:rPr>
        <w:t>195</w:t>
      </w:r>
      <w:r w:rsidRPr="002E6ECA">
        <w:rPr>
          <w:sz w:val="28"/>
          <w:szCs w:val="28"/>
          <w:lang w:val="uk-UA"/>
        </w:rPr>
        <w:t>]. У той же час, відносини з однолітками важливі для розуміння психологічної реакції підлітків на стресори, а психологічні характеристики важливі для фізіологічної реакції підлітків на стрес [</w:t>
      </w:r>
      <w:r w:rsidR="00021168" w:rsidRPr="002E6ECA">
        <w:rPr>
          <w:sz w:val="28"/>
          <w:szCs w:val="28"/>
          <w:shd w:val="clear" w:color="auto" w:fill="FFFFFF"/>
          <w:lang w:val="uk-UA"/>
        </w:rPr>
        <w:t>404</w:t>
      </w:r>
      <w:r w:rsidRPr="002E6ECA">
        <w:rPr>
          <w:sz w:val="28"/>
          <w:szCs w:val="28"/>
          <w:lang w:val="uk-UA"/>
        </w:rPr>
        <w:t>].</w:t>
      </w:r>
    </w:p>
    <w:p w:rsidR="00E744EE" w:rsidRPr="002E6ECA" w:rsidRDefault="00E744EE" w:rsidP="00E744EE">
      <w:pPr>
        <w:spacing w:line="360" w:lineRule="auto"/>
        <w:ind w:firstLine="709"/>
        <w:jc w:val="both"/>
        <w:rPr>
          <w:sz w:val="28"/>
          <w:szCs w:val="28"/>
          <w:lang w:val="uk-UA"/>
        </w:rPr>
      </w:pPr>
      <w:r w:rsidRPr="002E6ECA">
        <w:rPr>
          <w:sz w:val="28"/>
          <w:szCs w:val="28"/>
          <w:lang w:val="uk-UA"/>
        </w:rPr>
        <w:t xml:space="preserve">Значимих розбіжностей за показниками ВСР учнів НК-2 і НК-3 під час навчання у 5-6 класах не спостерігалося, але на 7-му році навчання спостерігалося суттєве ослаблення взаємозв’язку між автономним і центральним контурами регуляції на фоні тенденції до зниження централізації управління та питомого посилення вагусних впливів в умовах відносного </w:t>
      </w:r>
      <w:r w:rsidRPr="002E6ECA">
        <w:rPr>
          <w:sz w:val="28"/>
          <w:szCs w:val="28"/>
          <w:lang w:val="uk-UA"/>
        </w:rPr>
        <w:lastRenderedPageBreak/>
        <w:t>спокою за меритократичної освіти. Зазначене є ознакою сталої регуляції на внутрішньо-системному рівні та маркером фізіологічно нижчої ціни навчальної діяльності і вищої адаптивності серед учнів НК-2.</w:t>
      </w:r>
    </w:p>
    <w:p w:rsidR="00E744EE" w:rsidRPr="002E6ECA" w:rsidRDefault="00E744EE" w:rsidP="00E744EE">
      <w:pPr>
        <w:spacing w:line="360" w:lineRule="auto"/>
        <w:ind w:firstLine="709"/>
        <w:jc w:val="both"/>
        <w:rPr>
          <w:sz w:val="28"/>
          <w:szCs w:val="28"/>
          <w:lang w:val="uk-UA"/>
        </w:rPr>
      </w:pPr>
      <w:r w:rsidRPr="002E6ECA">
        <w:rPr>
          <w:sz w:val="28"/>
          <w:szCs w:val="28"/>
          <w:lang w:val="uk-UA"/>
        </w:rPr>
        <w:t xml:space="preserve">Утім, </w:t>
      </w:r>
      <w:r w:rsidRPr="002E6ECA">
        <w:rPr>
          <w:spacing w:val="-2"/>
          <w:sz w:val="28"/>
          <w:szCs w:val="28"/>
          <w:lang w:val="uk-UA"/>
        </w:rPr>
        <w:t>учні НК-1, відрізнялися як від НК-2 (6-7 клас), так і від НК-3 (6 клас) нижчою загальною варіабельністю серцевого ритму. Низька варіабельність може бути раннім індикатором аномального функціонування вегетативної нервової системи [</w:t>
      </w:r>
      <w:r w:rsidR="00021168" w:rsidRPr="002E6ECA">
        <w:rPr>
          <w:sz w:val="28"/>
          <w:szCs w:val="28"/>
          <w:shd w:val="clear" w:color="auto" w:fill="FFFFFF"/>
          <w:lang w:val="uk-UA"/>
        </w:rPr>
        <w:t>312]</w:t>
      </w:r>
      <w:r w:rsidR="00021168" w:rsidRPr="002E6ECA">
        <w:rPr>
          <w:sz w:val="28"/>
          <w:szCs w:val="28"/>
          <w:lang w:val="uk-UA"/>
        </w:rPr>
        <w:t xml:space="preserve"> та стресу [</w:t>
      </w:r>
      <w:r w:rsidR="00021168" w:rsidRPr="002E6ECA">
        <w:rPr>
          <w:sz w:val="28"/>
          <w:szCs w:val="28"/>
          <w:shd w:val="clear" w:color="auto" w:fill="FFFFFF"/>
          <w:lang w:val="uk-UA"/>
        </w:rPr>
        <w:t>407].</w:t>
      </w:r>
      <w:r w:rsidR="00021168" w:rsidRPr="002E6ECA">
        <w:rPr>
          <w:sz w:val="28"/>
          <w:szCs w:val="28"/>
          <w:lang w:val="uk-UA"/>
        </w:rPr>
        <w:t xml:space="preserve"> </w:t>
      </w:r>
      <w:r w:rsidRPr="002E6ECA">
        <w:rPr>
          <w:spacing w:val="-2"/>
          <w:sz w:val="28"/>
          <w:szCs w:val="28"/>
          <w:lang w:val="uk-UA"/>
        </w:rPr>
        <w:t>Більш низька ВСР розглядається як ознака обмеженої здатності до регулювання емоційного стану, виконавчої продуктивності та соціального функціонування [</w:t>
      </w:r>
      <w:r w:rsidR="00021168" w:rsidRPr="002E6ECA">
        <w:rPr>
          <w:sz w:val="28"/>
          <w:szCs w:val="28"/>
          <w:lang w:val="uk-UA"/>
        </w:rPr>
        <w:t>297,</w:t>
      </w:r>
      <w:r w:rsidR="00021168" w:rsidRPr="002E6ECA">
        <w:rPr>
          <w:lang w:val="uk-UA"/>
        </w:rPr>
        <w:t xml:space="preserve"> </w:t>
      </w:r>
      <w:r w:rsidR="00021168" w:rsidRPr="002E6ECA">
        <w:rPr>
          <w:sz w:val="28"/>
          <w:szCs w:val="28"/>
          <w:lang w:val="uk-UA"/>
        </w:rPr>
        <w:t>387, 449,</w:t>
      </w:r>
      <w:r w:rsidR="00021168" w:rsidRPr="002E6ECA">
        <w:rPr>
          <w:lang w:val="uk-UA"/>
        </w:rPr>
        <w:t xml:space="preserve"> </w:t>
      </w:r>
      <w:r w:rsidR="00021168" w:rsidRPr="002E6ECA">
        <w:rPr>
          <w:sz w:val="28"/>
          <w:szCs w:val="28"/>
          <w:lang w:val="uk-UA"/>
        </w:rPr>
        <w:t>482</w:t>
      </w:r>
      <w:r w:rsidRPr="002E6ECA">
        <w:rPr>
          <w:spacing w:val="-2"/>
          <w:sz w:val="28"/>
          <w:szCs w:val="28"/>
          <w:lang w:val="uk-UA"/>
        </w:rPr>
        <w:t xml:space="preserve">]. </w:t>
      </w:r>
    </w:p>
    <w:p w:rsidR="00E744EE" w:rsidRPr="002E6ECA" w:rsidRDefault="00E744EE" w:rsidP="00E744EE">
      <w:pPr>
        <w:spacing w:line="360" w:lineRule="auto"/>
        <w:ind w:firstLine="709"/>
        <w:jc w:val="both"/>
        <w:rPr>
          <w:sz w:val="28"/>
          <w:szCs w:val="28"/>
          <w:lang w:val="uk-UA"/>
        </w:rPr>
      </w:pPr>
      <w:r w:rsidRPr="002E6ECA">
        <w:rPr>
          <w:sz w:val="28"/>
          <w:szCs w:val="28"/>
          <w:lang w:val="uk-UA"/>
        </w:rPr>
        <w:t>У контексті меритократичного навчання, орієнтованого на обдарованих учнів, варто зазначити, що неадаптивний перфекционізм серед обдарованих учнів супроводжується зниженням ВСР. Зазначене дає підставу припустити,  що серед учнів НК-1 частіше зустрічається неадаптивний перфекціонізм.</w:t>
      </w:r>
    </w:p>
    <w:p w:rsidR="00E744EE" w:rsidRPr="002E6ECA" w:rsidRDefault="00E744EE" w:rsidP="00E744EE">
      <w:pPr>
        <w:spacing w:line="360" w:lineRule="auto"/>
        <w:ind w:firstLine="709"/>
        <w:jc w:val="both"/>
        <w:rPr>
          <w:sz w:val="28"/>
          <w:szCs w:val="28"/>
          <w:lang w:val="uk-UA"/>
        </w:rPr>
      </w:pPr>
      <w:r w:rsidRPr="002E6ECA">
        <w:rPr>
          <w:sz w:val="28"/>
          <w:szCs w:val="28"/>
          <w:lang w:val="uk-UA"/>
        </w:rPr>
        <w:t>Порівняно з НК-2, серед учнів НК-1 спостерігали надлишкове вегетативне забезпечення серцевої діяльності за рахунок посилення питомої активності симпатичної нервової системи та вищих вегетативних центрів. Порівняно з НК-3 у учнів НК-1 спостерігали зниження абсолютної активності парасимпатичної нервової системи із зсувом вегетативної рівноваги у бік симпатикотонії внаслідок активації гіпотоламо-гіпофізарно-наднирникової системи. Такий тип вегетативного забезпечення серцевої діяльності може вказувати на виснаження внутрішньо-системних механізмів гомеостазу та розглядатися як фізіологічний маркер шкільного стресу. Отже, у 6-7 класах учні НК-1 характеризуються більш високим рівнем шкільного стресу порівняно з учнями НК-2 і НК-3.</w:t>
      </w:r>
    </w:p>
    <w:p w:rsidR="00E744EE" w:rsidRPr="002E6ECA" w:rsidRDefault="00E744EE" w:rsidP="00E744EE">
      <w:pPr>
        <w:spacing w:line="360" w:lineRule="auto"/>
        <w:ind w:firstLine="709"/>
        <w:jc w:val="both"/>
        <w:rPr>
          <w:sz w:val="28"/>
          <w:szCs w:val="28"/>
          <w:lang w:val="uk-UA"/>
        </w:rPr>
      </w:pPr>
      <w:r w:rsidRPr="002E6ECA">
        <w:rPr>
          <w:sz w:val="28"/>
          <w:szCs w:val="28"/>
          <w:lang w:val="uk-UA"/>
        </w:rPr>
        <w:t>За даними літератури у дітей і підлітків низький тонус блукаючого нерва в стані спокою пов'язаний з підвищеною емоційною реактивністю, поганою увагою і гальмівним контролем з боку префронтальної кори, а також дефіцитом багатьох аспектів регуляції емоцій в різних дослідженнях [</w:t>
      </w:r>
      <w:r w:rsidR="004602C8" w:rsidRPr="002E6ECA">
        <w:rPr>
          <w:sz w:val="28"/>
          <w:szCs w:val="28"/>
          <w:shd w:val="clear" w:color="auto" w:fill="FFFFFF"/>
          <w:lang w:val="uk-UA"/>
        </w:rPr>
        <w:t>406,</w:t>
      </w:r>
      <w:r w:rsidR="004602C8" w:rsidRPr="002E6ECA">
        <w:rPr>
          <w:lang w:val="uk-UA"/>
        </w:rPr>
        <w:t xml:space="preserve"> </w:t>
      </w:r>
      <w:r w:rsidR="004602C8" w:rsidRPr="002E6ECA">
        <w:rPr>
          <w:sz w:val="28"/>
          <w:szCs w:val="28"/>
          <w:shd w:val="clear" w:color="auto" w:fill="FFFFFF"/>
          <w:lang w:val="uk-UA"/>
        </w:rPr>
        <w:t>449,</w:t>
      </w:r>
      <w:r w:rsidR="004602C8" w:rsidRPr="002E6ECA">
        <w:rPr>
          <w:lang w:val="uk-UA"/>
        </w:rPr>
        <w:t xml:space="preserve"> </w:t>
      </w:r>
      <w:r w:rsidR="004602C8" w:rsidRPr="002E6ECA">
        <w:rPr>
          <w:sz w:val="28"/>
          <w:szCs w:val="28"/>
          <w:shd w:val="clear" w:color="auto" w:fill="FFFFFF"/>
          <w:lang w:val="uk-UA"/>
        </w:rPr>
        <w:t>478</w:t>
      </w:r>
      <w:r w:rsidRPr="002E6ECA">
        <w:rPr>
          <w:sz w:val="28"/>
          <w:szCs w:val="28"/>
          <w:lang w:val="uk-UA"/>
        </w:rPr>
        <w:t>].</w:t>
      </w:r>
    </w:p>
    <w:p w:rsidR="004602C8" w:rsidRPr="002E6ECA" w:rsidRDefault="00E744EE" w:rsidP="004602C8">
      <w:pPr>
        <w:spacing w:line="360" w:lineRule="auto"/>
        <w:ind w:firstLine="709"/>
        <w:jc w:val="both"/>
        <w:rPr>
          <w:sz w:val="28"/>
          <w:szCs w:val="28"/>
          <w:shd w:val="clear" w:color="auto" w:fill="FFFFFF"/>
          <w:lang w:val="uk-UA"/>
        </w:rPr>
      </w:pPr>
      <w:r w:rsidRPr="002E6ECA">
        <w:rPr>
          <w:sz w:val="28"/>
          <w:szCs w:val="28"/>
          <w:lang w:val="uk-UA"/>
        </w:rPr>
        <w:t xml:space="preserve">Учні НК-1 характеризувалися більш високими значеннями LF/HF на фоні нижчих значень HF, порівняно з НК-2, що є ознакою суб’єктивного сприйняття </w:t>
      </w:r>
      <w:r w:rsidRPr="002E6ECA">
        <w:rPr>
          <w:sz w:val="28"/>
          <w:szCs w:val="28"/>
          <w:lang w:val="uk-UA"/>
        </w:rPr>
        <w:lastRenderedPageBreak/>
        <w:t>стресової ситуації (у нашому випадку навчального процесу) як більш сильної [</w:t>
      </w:r>
      <w:r w:rsidR="004602C8" w:rsidRPr="002E6ECA">
        <w:rPr>
          <w:sz w:val="28"/>
          <w:szCs w:val="28"/>
          <w:shd w:val="clear" w:color="auto" w:fill="FFFFFF"/>
          <w:lang w:val="uk-UA"/>
        </w:rPr>
        <w:t>448</w:t>
      </w:r>
      <w:r w:rsidRPr="002E6ECA">
        <w:rPr>
          <w:sz w:val="28"/>
          <w:szCs w:val="28"/>
          <w:shd w:val="clear" w:color="auto" w:fill="FFFFFF"/>
          <w:lang w:val="uk-UA"/>
        </w:rPr>
        <w:t xml:space="preserve">]. Крім того, проблеми з однолітками, гнів, тривога і смуток були пов'язані з більш низькими значеннями RMSSD і </w:t>
      </w:r>
      <w:r w:rsidRPr="002E6ECA">
        <w:rPr>
          <w:sz w:val="28"/>
          <w:szCs w:val="28"/>
          <w:lang w:val="uk-UA"/>
        </w:rPr>
        <w:t>HF</w:t>
      </w:r>
      <w:r w:rsidRPr="002E6ECA">
        <w:rPr>
          <w:sz w:val="28"/>
          <w:szCs w:val="28"/>
          <w:shd w:val="clear" w:color="auto" w:fill="FFFFFF"/>
          <w:lang w:val="uk-UA"/>
        </w:rPr>
        <w:t xml:space="preserve">, а занепокоєння та гнів –  ще й з більш високим співвідношенням </w:t>
      </w:r>
      <w:r w:rsidRPr="002E6ECA">
        <w:rPr>
          <w:sz w:val="28"/>
          <w:szCs w:val="28"/>
          <w:lang w:val="uk-UA"/>
        </w:rPr>
        <w:t xml:space="preserve">LF/HF </w:t>
      </w:r>
      <w:r w:rsidR="004602C8" w:rsidRPr="002E6ECA">
        <w:rPr>
          <w:sz w:val="28"/>
          <w:szCs w:val="28"/>
          <w:shd w:val="clear" w:color="auto" w:fill="FFFFFF"/>
          <w:lang w:val="uk-UA"/>
        </w:rPr>
        <w:t>407</w:t>
      </w:r>
      <w:r w:rsidR="004602C8" w:rsidRPr="002E6ECA">
        <w:rPr>
          <w:sz w:val="28"/>
          <w:szCs w:val="28"/>
          <w:lang w:val="uk-UA"/>
        </w:rPr>
        <w:t>]</w:t>
      </w:r>
      <w:r w:rsidR="004602C8" w:rsidRPr="002E6ECA">
        <w:rPr>
          <w:sz w:val="28"/>
          <w:szCs w:val="28"/>
          <w:shd w:val="clear" w:color="auto" w:fill="FFFFFF"/>
          <w:lang w:val="uk-UA"/>
        </w:rPr>
        <w:t>. Підлітки з низьким тонусом блукаючого нерва особливо схильні проявляти проблеми інтерналізації після впливу стресорів [404].</w:t>
      </w:r>
    </w:p>
    <w:p w:rsidR="00E744EE" w:rsidRPr="002E6ECA" w:rsidRDefault="00E744EE" w:rsidP="00E744EE">
      <w:pPr>
        <w:spacing w:line="384" w:lineRule="auto"/>
        <w:ind w:firstLine="709"/>
        <w:jc w:val="both"/>
        <w:rPr>
          <w:sz w:val="28"/>
          <w:szCs w:val="28"/>
          <w:lang w:val="uk-UA"/>
        </w:rPr>
      </w:pPr>
      <w:r w:rsidRPr="002E6ECA">
        <w:rPr>
          <w:sz w:val="28"/>
          <w:szCs w:val="28"/>
          <w:lang w:val="uk-UA"/>
        </w:rPr>
        <w:t xml:space="preserve">Збільшення значень показників LF і LF/HF з супутнім зниженням потужності HF поряд зі значним зниженням значень SDNN, що ми спостерігали у НК-1, вказує на ослаблення тонусу вагусу </w:t>
      </w:r>
      <w:r w:rsidR="004602C8" w:rsidRPr="002E6ECA">
        <w:rPr>
          <w:sz w:val="28"/>
          <w:szCs w:val="28"/>
          <w:lang w:val="uk-UA"/>
        </w:rPr>
        <w:t>[</w:t>
      </w:r>
      <w:r w:rsidR="004602C8" w:rsidRPr="002E6ECA">
        <w:rPr>
          <w:sz w:val="28"/>
          <w:szCs w:val="28"/>
          <w:shd w:val="clear" w:color="auto" w:fill="FFFFFF"/>
          <w:lang w:val="uk-UA"/>
        </w:rPr>
        <w:t>292</w:t>
      </w:r>
      <w:r w:rsidR="004602C8" w:rsidRPr="002E6ECA">
        <w:rPr>
          <w:sz w:val="28"/>
          <w:szCs w:val="28"/>
          <w:lang w:val="uk-UA"/>
        </w:rPr>
        <w:t>] й є фізіологічним маркером стресу [</w:t>
      </w:r>
      <w:r w:rsidR="004602C8" w:rsidRPr="002E6ECA">
        <w:rPr>
          <w:sz w:val="28"/>
          <w:szCs w:val="28"/>
          <w:shd w:val="clear" w:color="auto" w:fill="FFFFFF"/>
          <w:lang w:val="uk-UA"/>
        </w:rPr>
        <w:t>453</w:t>
      </w:r>
      <w:r w:rsidR="004602C8" w:rsidRPr="002E6ECA">
        <w:rPr>
          <w:sz w:val="28"/>
          <w:szCs w:val="28"/>
          <w:lang w:val="uk-UA"/>
        </w:rPr>
        <w:t xml:space="preserve">]. </w:t>
      </w:r>
      <w:r w:rsidRPr="002E6ECA">
        <w:rPr>
          <w:sz w:val="28"/>
          <w:szCs w:val="28"/>
          <w:lang w:val="uk-UA"/>
        </w:rPr>
        <w:t>Також показано, що шкільне вигорання – когнітивне, емоційне та фізичне виснаження внаслідок хронічного стресу в процесі навчання має сильний позитивний взаємозв'язок з показниками серцевого симпато-вагального тонусу, симпатичного вазомоторного тонусу, зниження добової варіабельності артеріального тиску.</w:t>
      </w:r>
    </w:p>
    <w:p w:rsidR="00E744EE" w:rsidRPr="002E6ECA" w:rsidRDefault="00E744EE" w:rsidP="00E744EE">
      <w:pPr>
        <w:spacing w:line="384" w:lineRule="auto"/>
        <w:ind w:firstLine="709"/>
        <w:jc w:val="both"/>
        <w:rPr>
          <w:sz w:val="28"/>
          <w:szCs w:val="28"/>
          <w:lang w:val="uk-UA"/>
        </w:rPr>
      </w:pPr>
      <w:r w:rsidRPr="002E6ECA">
        <w:rPr>
          <w:sz w:val="28"/>
          <w:szCs w:val="28"/>
          <w:lang w:val="uk-UA"/>
        </w:rPr>
        <w:t>Описані вище особливості ВСР в учнів НК-1 у літературі класифікуються як вегетативний нейрофізіологічний статус, що вимагає уваги фахівця для належного та адекватного управління вегетативним тонусом і консультування з метою попередження вегетативних дисфункцій [</w:t>
      </w:r>
      <w:r w:rsidR="004602C8" w:rsidRPr="002E6ECA">
        <w:rPr>
          <w:sz w:val="28"/>
          <w:szCs w:val="28"/>
          <w:shd w:val="clear" w:color="auto" w:fill="FFFFFF"/>
          <w:lang w:val="uk-UA"/>
        </w:rPr>
        <w:t>292</w:t>
      </w:r>
      <w:r w:rsidRPr="002E6ECA">
        <w:rPr>
          <w:sz w:val="28"/>
          <w:szCs w:val="28"/>
          <w:lang w:val="uk-UA"/>
        </w:rPr>
        <w:t>].</w:t>
      </w:r>
    </w:p>
    <w:p w:rsidR="009E0B65" w:rsidRPr="002E6ECA" w:rsidRDefault="009E0B65" w:rsidP="007B7A4B">
      <w:pPr>
        <w:spacing w:line="384" w:lineRule="auto"/>
        <w:ind w:firstLine="709"/>
        <w:rPr>
          <w:b/>
          <w:sz w:val="28"/>
          <w:szCs w:val="28"/>
          <w:lang w:val="uk-UA"/>
        </w:rPr>
      </w:pPr>
    </w:p>
    <w:p w:rsidR="009E0B65" w:rsidRPr="002E6ECA" w:rsidRDefault="009E0B65" w:rsidP="00C9154E">
      <w:pPr>
        <w:spacing w:line="360" w:lineRule="auto"/>
        <w:ind w:firstLine="709"/>
        <w:jc w:val="both"/>
        <w:rPr>
          <w:b/>
          <w:sz w:val="28"/>
          <w:szCs w:val="28"/>
          <w:lang w:val="uk-UA"/>
        </w:rPr>
      </w:pPr>
      <w:r w:rsidRPr="002E6ECA">
        <w:rPr>
          <w:b/>
          <w:sz w:val="28"/>
          <w:szCs w:val="28"/>
          <w:lang w:val="uk-UA" w:eastAsia="uk-UA"/>
        </w:rPr>
        <w:t xml:space="preserve">5.3. </w:t>
      </w:r>
      <w:r w:rsidR="0086629E" w:rsidRPr="002E6ECA">
        <w:rPr>
          <w:b/>
          <w:sz w:val="28"/>
          <w:szCs w:val="28"/>
          <w:lang w:val="uk-UA" w:eastAsia="uk-UA"/>
        </w:rPr>
        <w:t>Вплив меритократичної освіти на нейрокогнітивні процеси учнів базової школи</w:t>
      </w:r>
    </w:p>
    <w:p w:rsidR="004602C8" w:rsidRPr="002E6ECA" w:rsidRDefault="009E0B65" w:rsidP="009E0B65">
      <w:pPr>
        <w:spacing w:line="360" w:lineRule="auto"/>
        <w:ind w:firstLine="709"/>
        <w:jc w:val="both"/>
        <w:rPr>
          <w:sz w:val="28"/>
          <w:szCs w:val="28"/>
          <w:lang w:val="uk-UA"/>
        </w:rPr>
      </w:pPr>
      <w:r w:rsidRPr="002E6ECA">
        <w:rPr>
          <w:sz w:val="28"/>
          <w:szCs w:val="28"/>
          <w:lang w:val="uk-UA"/>
        </w:rPr>
        <w:t>Реформування системи шкільної освіти у ХХІ ст. пов’язане з впровадженням нових форм навчання та інформатизацією навчально-виховного процесу, що супроводжуються збільшенням навчального навантаження на фоні зменшення рухової активності учня. Зазначене знаходить відображення у погіршенні здоров’я учнів у 4-5 разів за період навчання у школі за даними профілактичних медичних оглядів [</w:t>
      </w:r>
      <w:r w:rsidR="004602C8" w:rsidRPr="002E6ECA">
        <w:rPr>
          <w:sz w:val="28"/>
          <w:szCs w:val="28"/>
          <w:lang w:val="uk-UA"/>
        </w:rPr>
        <w:t>6, 7, 17, 49, 86, 99, 102, 148, 150, 185, 206, 255</w:t>
      </w:r>
      <w:r w:rsidRPr="002E6ECA">
        <w:rPr>
          <w:sz w:val="28"/>
          <w:szCs w:val="28"/>
          <w:lang w:val="uk-UA"/>
        </w:rPr>
        <w:t>].</w:t>
      </w:r>
    </w:p>
    <w:p w:rsidR="009E0B65" w:rsidRPr="002E6ECA" w:rsidRDefault="009E0B65" w:rsidP="009E0B65">
      <w:pPr>
        <w:spacing w:line="360" w:lineRule="auto"/>
        <w:ind w:firstLine="709"/>
        <w:jc w:val="both"/>
        <w:rPr>
          <w:sz w:val="28"/>
          <w:szCs w:val="28"/>
          <w:lang w:val="uk-UA"/>
        </w:rPr>
      </w:pPr>
      <w:r w:rsidRPr="002E6ECA">
        <w:rPr>
          <w:sz w:val="28"/>
          <w:szCs w:val="28"/>
          <w:lang w:val="uk-UA"/>
        </w:rPr>
        <w:lastRenderedPageBreak/>
        <w:t>У 2008 р. стартував всеукраїнський інноваційний науково-педагогічний проект «Інтелект України» спрямований на виховання та розвиток обдарованої учнівської молоді з позицій концепції меритократичної освіти [</w:t>
      </w:r>
      <w:r w:rsidR="004602C8" w:rsidRPr="002E6ECA">
        <w:rPr>
          <w:sz w:val="28"/>
          <w:szCs w:val="28"/>
          <w:lang w:val="uk-UA"/>
        </w:rPr>
        <w:t>26</w:t>
      </w:r>
      <w:r w:rsidRPr="002E6ECA">
        <w:rPr>
          <w:sz w:val="28"/>
          <w:szCs w:val="28"/>
          <w:lang w:val="uk-UA"/>
        </w:rPr>
        <w:t>], що передбачає використання освітніх моделей прискорення, поглиблення, збагачення та проблематизації. Зазначене сприяє збільшенню частки змістовної інформації у сенсорному середовищі учня, що висуває підвищені вимоги до його розумової діяльності. Інтенсифікації навчального процесу сприяють й такі особливості обдарованих дітей, як особлива зацікавленість в навчальному процесі, потреба у великій кількості нової інформації і прагнення до самостійного вивчення питань, що цікавлять.</w:t>
      </w:r>
    </w:p>
    <w:p w:rsidR="0001534C" w:rsidRPr="002E6ECA" w:rsidRDefault="0001534C" w:rsidP="0001534C">
      <w:pPr>
        <w:spacing w:line="360" w:lineRule="auto"/>
        <w:ind w:firstLine="709"/>
        <w:jc w:val="both"/>
        <w:rPr>
          <w:sz w:val="28"/>
          <w:szCs w:val="28"/>
          <w:lang w:val="uk-UA"/>
        </w:rPr>
      </w:pPr>
      <w:r w:rsidRPr="002E6ECA">
        <w:rPr>
          <w:sz w:val="28"/>
          <w:szCs w:val="28"/>
          <w:lang w:val="uk-UA"/>
        </w:rPr>
        <w:t>У той же час, обдарованим дітям притаманна асинхронність розвитку: інтелектуальний розвиток випереджає афективний та/або біологічний розвиток, що може мати наслідки для їх повсякденного життя [</w:t>
      </w:r>
      <w:r w:rsidR="004602C8" w:rsidRPr="002E6ECA">
        <w:rPr>
          <w:sz w:val="28"/>
          <w:szCs w:val="28"/>
          <w:lang w:val="uk-UA"/>
        </w:rPr>
        <w:t>488</w:t>
      </w:r>
      <w:r w:rsidRPr="002E6ECA">
        <w:rPr>
          <w:sz w:val="28"/>
          <w:szCs w:val="28"/>
          <w:lang w:val="uk-UA"/>
        </w:rPr>
        <w:t>]. Також зустрічаються дані щодо частого поєднання обдарованості як з соматичними захворюваннями, так і з різними психоневрологічними розладами, зокрема, з синдромом дефіциту уваги з гіперактивністю, дислексією, синдром Аспергера, тривогою, соматизацією, розладами настрою, соціальною ізоляцією тощо [</w:t>
      </w:r>
      <w:r w:rsidR="004602C8" w:rsidRPr="002E6ECA">
        <w:rPr>
          <w:sz w:val="28"/>
          <w:szCs w:val="28"/>
          <w:lang w:val="uk-UA"/>
        </w:rPr>
        <w:t>391</w:t>
      </w:r>
      <w:r w:rsidRPr="002E6ECA">
        <w:rPr>
          <w:sz w:val="28"/>
          <w:szCs w:val="28"/>
          <w:lang w:val="uk-UA"/>
        </w:rPr>
        <w:t>].</w:t>
      </w:r>
    </w:p>
    <w:p w:rsidR="0001534C" w:rsidRPr="002E6ECA" w:rsidRDefault="0001534C" w:rsidP="0001534C">
      <w:pPr>
        <w:spacing w:line="360" w:lineRule="auto"/>
        <w:ind w:firstLine="709"/>
        <w:jc w:val="both"/>
        <w:rPr>
          <w:sz w:val="28"/>
          <w:szCs w:val="28"/>
          <w:lang w:val="uk-UA"/>
        </w:rPr>
      </w:pPr>
      <w:r w:rsidRPr="002E6ECA">
        <w:rPr>
          <w:sz w:val="28"/>
          <w:szCs w:val="28"/>
          <w:lang w:val="uk-UA"/>
        </w:rPr>
        <w:t>Обдаровані учні пред’являють більше скарг на безсоння і якість сну [</w:t>
      </w:r>
      <w:r w:rsidR="004602C8" w:rsidRPr="002E6ECA">
        <w:rPr>
          <w:sz w:val="28"/>
          <w:szCs w:val="28"/>
          <w:shd w:val="clear" w:color="auto" w:fill="FFFFFF"/>
          <w:lang w:val="uk-UA"/>
        </w:rPr>
        <w:t>349</w:t>
      </w:r>
      <w:r w:rsidRPr="002E6ECA">
        <w:rPr>
          <w:sz w:val="28"/>
          <w:szCs w:val="28"/>
          <w:lang w:val="uk-UA"/>
        </w:rPr>
        <w:t>]. За даними полісомнографії обдаровані учні мають типову тривалість сну, представленість поверхневого сну, але вирізняються скороченістю повільно-хвильового сну та подовженістю фази швидкого сну на фоні зниженої латенції переходу до неї. Зазначені особливості структури циклу сон-бадьорість у обдарованих учнів, імовірно, попереджають перевантаження нейронних мереж та сприяють консолідації слідів пам’яті, сприяючи засвоєнню найважливішого навчального матеріалу [</w:t>
      </w:r>
      <w:r w:rsidR="004602C8" w:rsidRPr="002E6ECA">
        <w:rPr>
          <w:sz w:val="28"/>
          <w:szCs w:val="28"/>
          <w:lang w:val="uk-UA"/>
        </w:rPr>
        <w:t>14, 349</w:t>
      </w:r>
      <w:r w:rsidRPr="002E6ECA">
        <w:rPr>
          <w:sz w:val="28"/>
          <w:szCs w:val="28"/>
          <w:lang w:val="uk-UA"/>
        </w:rPr>
        <w:t>].</w:t>
      </w:r>
    </w:p>
    <w:p w:rsidR="0001534C" w:rsidRPr="002E6ECA" w:rsidRDefault="0001534C" w:rsidP="0001534C">
      <w:pPr>
        <w:spacing w:line="360" w:lineRule="auto"/>
        <w:ind w:firstLine="709"/>
        <w:jc w:val="both"/>
        <w:rPr>
          <w:sz w:val="28"/>
          <w:szCs w:val="28"/>
          <w:shd w:val="clear" w:color="auto" w:fill="FFFFFF"/>
          <w:lang w:val="uk-UA"/>
        </w:rPr>
      </w:pPr>
      <w:r w:rsidRPr="002E6ECA">
        <w:rPr>
          <w:sz w:val="28"/>
          <w:szCs w:val="28"/>
          <w:lang w:val="uk-UA"/>
        </w:rPr>
        <w:t xml:space="preserve">Зв'язок інтелектуальних здібностей з морфофункціональними параметрами головного мозку не викликає сумніву, хоча конкретні маркери обдарованості все ще залишаються дискусійними. Так, у дослідженні </w:t>
      </w:r>
      <w:r w:rsidR="004602C8" w:rsidRPr="002E6ECA">
        <w:rPr>
          <w:sz w:val="28"/>
          <w:szCs w:val="28"/>
          <w:lang w:val="uk-UA"/>
        </w:rPr>
        <w:t>Н.Л.</w:t>
      </w:r>
      <w:r w:rsidR="004602C8" w:rsidRPr="002E6ECA">
        <w:rPr>
          <w:sz w:val="28"/>
          <w:szCs w:val="28"/>
          <w:shd w:val="clear" w:color="auto" w:fill="FFFFFF"/>
          <w:lang w:val="uk-UA"/>
        </w:rPr>
        <w:t> </w:t>
      </w:r>
      <w:r w:rsidRPr="002E6ECA">
        <w:rPr>
          <w:sz w:val="28"/>
          <w:szCs w:val="28"/>
          <w:lang w:val="uk-UA"/>
        </w:rPr>
        <w:t xml:space="preserve">Горбачевської та ін. (2016) показано, що обдарованим учням (7-16 років) притаманна затримка у становленні високочастотних компонентів електричної </w:t>
      </w:r>
      <w:r w:rsidRPr="002E6ECA">
        <w:rPr>
          <w:sz w:val="28"/>
          <w:szCs w:val="28"/>
          <w:lang w:val="uk-UA"/>
        </w:rPr>
        <w:lastRenderedPageBreak/>
        <w:t>активності головного мозку, вказуючи на особливості дозрівання нейронних мереж [</w:t>
      </w:r>
      <w:r w:rsidR="004602C8" w:rsidRPr="002E6ECA">
        <w:rPr>
          <w:sz w:val="28"/>
          <w:szCs w:val="28"/>
          <w:lang w:val="uk-UA"/>
        </w:rPr>
        <w:t>344</w:t>
      </w:r>
      <w:r w:rsidRPr="002E6ECA">
        <w:rPr>
          <w:sz w:val="28"/>
          <w:szCs w:val="28"/>
          <w:lang w:val="uk-UA"/>
        </w:rPr>
        <w:t xml:space="preserve">]. Ці дані узгоджуються з результатами </w:t>
      </w:r>
      <w:r w:rsidRPr="002E6ECA">
        <w:rPr>
          <w:sz w:val="28"/>
          <w:szCs w:val="28"/>
          <w:shd w:val="clear" w:color="auto" w:fill="FFFFFF"/>
          <w:lang w:val="uk-UA"/>
        </w:rPr>
        <w:t>морфологічних лонгитюдних досліджень обдарованих дітей, згідно яким до 12 років рівень інтелектуальних здібностей у обдарованих дітей, на відміну від типових дітей, обернено пропорційний товщині кори головного мозку, тоді як після цього віку знак кореляції змінюється на протилежний [</w:t>
      </w:r>
      <w:r w:rsidR="004602C8" w:rsidRPr="002E6ECA">
        <w:rPr>
          <w:sz w:val="28"/>
          <w:szCs w:val="28"/>
          <w:shd w:val="clear" w:color="auto" w:fill="FFFFFF"/>
          <w:lang w:val="uk-UA"/>
        </w:rPr>
        <w:t>463</w:t>
      </w:r>
      <w:r w:rsidRPr="002E6ECA">
        <w:rPr>
          <w:sz w:val="28"/>
          <w:szCs w:val="28"/>
          <w:shd w:val="clear" w:color="auto" w:fill="FFFFFF"/>
          <w:lang w:val="uk-UA"/>
        </w:rPr>
        <w:t xml:space="preserve">]. </w:t>
      </w:r>
    </w:p>
    <w:p w:rsidR="0001534C" w:rsidRPr="002E6ECA" w:rsidRDefault="00260D8D" w:rsidP="0001534C">
      <w:pPr>
        <w:spacing w:line="360" w:lineRule="auto"/>
        <w:ind w:firstLine="709"/>
        <w:jc w:val="both"/>
        <w:rPr>
          <w:sz w:val="28"/>
          <w:szCs w:val="28"/>
          <w:lang w:val="uk-UA"/>
        </w:rPr>
      </w:pPr>
      <w:r w:rsidRPr="002E6ECA">
        <w:rPr>
          <w:sz w:val="28"/>
          <w:szCs w:val="28"/>
          <w:lang w:val="uk-UA"/>
        </w:rPr>
        <w:t xml:space="preserve">Початок навчання в основній школі співпадає з передпубертатом, який супроводжується відповідними морфофункціональними змінами. </w:t>
      </w:r>
      <w:r w:rsidR="0001534C" w:rsidRPr="002E6ECA">
        <w:rPr>
          <w:sz w:val="28"/>
          <w:szCs w:val="28"/>
          <w:lang w:val="uk-UA"/>
        </w:rPr>
        <w:t>Зокрема в головному мозку відбувається руйнування вже існуючих зв’язків між нейронним клітинами та встановлення нових більш коротких та розгалужених [</w:t>
      </w:r>
      <w:r w:rsidR="004602C8" w:rsidRPr="002E6ECA">
        <w:rPr>
          <w:sz w:val="28"/>
          <w:szCs w:val="28"/>
          <w:lang w:val="uk-UA"/>
        </w:rPr>
        <w:t>343</w:t>
      </w:r>
      <w:r w:rsidR="0001534C" w:rsidRPr="002E6ECA">
        <w:rPr>
          <w:sz w:val="28"/>
          <w:szCs w:val="28"/>
          <w:lang w:val="uk-UA"/>
        </w:rPr>
        <w:t>].</w:t>
      </w:r>
    </w:p>
    <w:p w:rsidR="0001534C" w:rsidRPr="002E6ECA" w:rsidRDefault="0001534C" w:rsidP="0001534C">
      <w:pPr>
        <w:spacing w:line="360" w:lineRule="auto"/>
        <w:ind w:firstLine="709"/>
        <w:jc w:val="both"/>
        <w:rPr>
          <w:sz w:val="28"/>
          <w:szCs w:val="28"/>
          <w:lang w:val="uk-UA"/>
        </w:rPr>
      </w:pPr>
      <w:r w:rsidRPr="002E6ECA">
        <w:rPr>
          <w:sz w:val="28"/>
          <w:szCs w:val="28"/>
          <w:lang w:val="uk-UA"/>
        </w:rPr>
        <w:t>Тому перехід з молодшої до основної школи є критичним періодом у розвитку учня, а інтенсифікація навчального процесу на фоні зниження резервних можливостей організму в наслідок морфофункціональних перебудов організму в цей період може стати причиною шкільної дезадаптації та нервово-психічних розладів, особливо, серед обдарованих учнів внаслідок означених вище психофізіологічних особливостей.</w:t>
      </w:r>
    </w:p>
    <w:p w:rsidR="009E0B65" w:rsidRPr="002E6ECA" w:rsidRDefault="009E0B65" w:rsidP="009E0B65">
      <w:pPr>
        <w:spacing w:line="360" w:lineRule="auto"/>
        <w:ind w:firstLine="709"/>
        <w:jc w:val="both"/>
        <w:rPr>
          <w:sz w:val="28"/>
          <w:szCs w:val="28"/>
          <w:lang w:val="uk-UA"/>
        </w:rPr>
      </w:pPr>
      <w:r w:rsidRPr="002E6ECA">
        <w:rPr>
          <w:bCs/>
          <w:sz w:val="28"/>
          <w:szCs w:val="28"/>
          <w:lang w:val="uk-UA"/>
        </w:rPr>
        <w:t>Оцінка функціонального стану головного мозку в умовах спокою виявила:</w:t>
      </w:r>
    </w:p>
    <w:p w:rsidR="009E0B65" w:rsidRPr="002E6ECA" w:rsidRDefault="009E0B65" w:rsidP="009E0B65">
      <w:pPr>
        <w:numPr>
          <w:ilvl w:val="0"/>
          <w:numId w:val="4"/>
        </w:numPr>
        <w:spacing w:line="360" w:lineRule="auto"/>
        <w:ind w:left="284" w:firstLine="709"/>
        <w:contextualSpacing/>
        <w:jc w:val="both"/>
        <w:rPr>
          <w:sz w:val="28"/>
          <w:szCs w:val="28"/>
          <w:lang w:val="uk-UA"/>
        </w:rPr>
      </w:pPr>
      <w:r w:rsidRPr="002E6ECA">
        <w:rPr>
          <w:bCs/>
          <w:sz w:val="28"/>
          <w:szCs w:val="28"/>
          <w:lang w:val="uk-UA"/>
        </w:rPr>
        <w:t xml:space="preserve">відсутність відмінностей між основною та контрольною групою за </w:t>
      </w:r>
      <w:r w:rsidR="00260D8D" w:rsidRPr="002E6ECA">
        <w:rPr>
          <w:bCs/>
          <w:sz w:val="28"/>
          <w:szCs w:val="28"/>
          <w:lang w:val="uk-UA"/>
        </w:rPr>
        <w:t>δ</w:t>
      </w:r>
      <w:r w:rsidRPr="002E6ECA">
        <w:rPr>
          <w:bCs/>
          <w:sz w:val="28"/>
          <w:szCs w:val="28"/>
          <w:lang w:val="uk-UA"/>
        </w:rPr>
        <w:t xml:space="preserve">- та </w:t>
      </w:r>
      <w:r w:rsidR="006841E7" w:rsidRPr="002E6ECA">
        <w:rPr>
          <w:bCs/>
          <w:sz w:val="28"/>
          <w:szCs w:val="28"/>
          <w:lang w:val="uk-UA"/>
        </w:rPr>
        <w:t>β</w:t>
      </w:r>
      <w:r w:rsidRPr="002E6ECA">
        <w:rPr>
          <w:bCs/>
          <w:sz w:val="28"/>
          <w:szCs w:val="28"/>
          <w:lang w:val="uk-UA"/>
        </w:rPr>
        <w:t>1</w:t>
      </w:r>
      <w:r w:rsidR="006841E7" w:rsidRPr="002E6ECA">
        <w:rPr>
          <w:bCs/>
          <w:sz w:val="28"/>
          <w:szCs w:val="28"/>
          <w:lang w:val="uk-UA"/>
        </w:rPr>
        <w:t>-</w:t>
      </w:r>
      <w:r w:rsidRPr="002E6ECA">
        <w:rPr>
          <w:bCs/>
          <w:sz w:val="28"/>
          <w:szCs w:val="28"/>
          <w:lang w:val="uk-UA"/>
        </w:rPr>
        <w:t>активністю;</w:t>
      </w:r>
    </w:p>
    <w:p w:rsidR="009E0B65" w:rsidRPr="002E6ECA" w:rsidRDefault="007F559F" w:rsidP="00260D8D">
      <w:pPr>
        <w:numPr>
          <w:ilvl w:val="0"/>
          <w:numId w:val="4"/>
        </w:numPr>
        <w:spacing w:line="360" w:lineRule="auto"/>
        <w:ind w:left="284" w:firstLine="709"/>
        <w:contextualSpacing/>
        <w:jc w:val="both"/>
        <w:rPr>
          <w:bCs/>
          <w:sz w:val="28"/>
          <w:szCs w:val="28"/>
          <w:lang w:val="uk-UA"/>
        </w:rPr>
      </w:pPr>
      <w:r w:rsidRPr="002E6ECA">
        <w:rPr>
          <w:bCs/>
          <w:sz w:val="28"/>
          <w:szCs w:val="28"/>
          <w:lang w:val="uk-UA"/>
        </w:rPr>
        <w:t xml:space="preserve">для учнів, які навчались за меритократичною системою був характерним </w:t>
      </w:r>
      <w:r w:rsidR="00260D8D" w:rsidRPr="002E6ECA">
        <w:rPr>
          <w:bCs/>
          <w:sz w:val="28"/>
          <w:szCs w:val="28"/>
          <w:lang w:val="uk-UA"/>
        </w:rPr>
        <w:t>істот</w:t>
      </w:r>
      <w:r w:rsidR="009E0B65" w:rsidRPr="002E6ECA">
        <w:rPr>
          <w:bCs/>
          <w:sz w:val="28"/>
          <w:szCs w:val="28"/>
          <w:lang w:val="uk-UA"/>
        </w:rPr>
        <w:t xml:space="preserve">но нижчий рівень </w:t>
      </w:r>
      <w:r w:rsidR="006841E7" w:rsidRPr="002E6ECA">
        <w:rPr>
          <w:bCs/>
          <w:sz w:val="28"/>
          <w:szCs w:val="28"/>
          <w:lang w:val="uk-UA"/>
        </w:rPr>
        <w:t>θ</w:t>
      </w:r>
      <w:r w:rsidR="009E0B65" w:rsidRPr="002E6ECA">
        <w:rPr>
          <w:bCs/>
          <w:sz w:val="28"/>
          <w:szCs w:val="28"/>
          <w:lang w:val="uk-UA"/>
        </w:rPr>
        <w:t>-активності у лобово-центрально-тім’яних ділянках</w:t>
      </w:r>
      <w:r w:rsidR="00260D8D" w:rsidRPr="002E6ECA">
        <w:rPr>
          <w:bCs/>
          <w:sz w:val="28"/>
          <w:szCs w:val="28"/>
          <w:lang w:val="uk-UA"/>
        </w:rPr>
        <w:t xml:space="preserve">, </w:t>
      </w:r>
      <w:r w:rsidR="009E0B65" w:rsidRPr="002E6ECA">
        <w:rPr>
          <w:bCs/>
          <w:sz w:val="28"/>
          <w:szCs w:val="28"/>
          <w:lang w:val="uk-UA"/>
        </w:rPr>
        <w:t xml:space="preserve">достовірно вищий рівень </w:t>
      </w:r>
      <w:r w:rsidR="00260D8D" w:rsidRPr="002E6ECA">
        <w:rPr>
          <w:bCs/>
          <w:sz w:val="28"/>
          <w:szCs w:val="28"/>
          <w:lang w:val="uk-UA"/>
        </w:rPr>
        <w:t>α</w:t>
      </w:r>
      <w:r w:rsidR="009E0B65" w:rsidRPr="002E6ECA">
        <w:rPr>
          <w:bCs/>
          <w:sz w:val="28"/>
          <w:szCs w:val="28"/>
          <w:lang w:val="uk-UA"/>
        </w:rPr>
        <w:t xml:space="preserve">-активності у лобових ділянках </w:t>
      </w:r>
      <w:r w:rsidR="00260D8D" w:rsidRPr="002E6ECA">
        <w:rPr>
          <w:bCs/>
          <w:sz w:val="28"/>
          <w:szCs w:val="28"/>
          <w:lang w:val="uk-UA"/>
        </w:rPr>
        <w:t xml:space="preserve">та β2-активності майже у всіх ділянках </w:t>
      </w:r>
      <w:r w:rsidR="009E0B65" w:rsidRPr="002E6ECA">
        <w:rPr>
          <w:bCs/>
          <w:sz w:val="28"/>
          <w:szCs w:val="28"/>
          <w:lang w:val="uk-UA"/>
        </w:rPr>
        <w:t xml:space="preserve">кори головного мозку </w:t>
      </w:r>
      <w:r w:rsidR="006841E7" w:rsidRPr="002E6ECA">
        <w:rPr>
          <w:bCs/>
          <w:sz w:val="28"/>
          <w:szCs w:val="28"/>
          <w:lang w:val="uk-UA"/>
        </w:rPr>
        <w:t>(</w:t>
      </w:r>
      <w:r w:rsidR="006841E7" w:rsidRPr="002E6ECA">
        <w:rPr>
          <w:sz w:val="28"/>
          <w:szCs w:val="28"/>
          <w:shd w:val="clear" w:color="auto" w:fill="FFFFFF"/>
          <w:lang w:val="uk-UA"/>
        </w:rPr>
        <w:t>р&lt;0,05</w:t>
      </w:r>
      <w:r w:rsidR="006841E7" w:rsidRPr="002E6ECA">
        <w:rPr>
          <w:bCs/>
          <w:sz w:val="28"/>
          <w:szCs w:val="28"/>
          <w:lang w:val="uk-UA"/>
        </w:rPr>
        <w:t>)</w:t>
      </w:r>
      <w:r w:rsidR="009E0B65" w:rsidRPr="002E6ECA">
        <w:rPr>
          <w:bCs/>
          <w:sz w:val="28"/>
          <w:szCs w:val="28"/>
          <w:lang w:val="uk-UA"/>
        </w:rPr>
        <w:t>.</w:t>
      </w:r>
    </w:p>
    <w:p w:rsidR="0001534C" w:rsidRPr="002E6ECA" w:rsidRDefault="0001534C" w:rsidP="0001534C">
      <w:pPr>
        <w:spacing w:line="360" w:lineRule="auto"/>
        <w:ind w:firstLine="709"/>
        <w:jc w:val="both"/>
        <w:rPr>
          <w:sz w:val="28"/>
          <w:szCs w:val="28"/>
          <w:lang w:val="uk-UA"/>
        </w:rPr>
      </w:pPr>
      <w:r w:rsidRPr="002E6ECA">
        <w:rPr>
          <w:bCs/>
          <w:sz w:val="28"/>
          <w:szCs w:val="28"/>
          <w:lang w:val="uk-UA"/>
        </w:rPr>
        <w:t xml:space="preserve">Порівнюючи результати наших досліджень з попередніми можемо відзначити, що наші дані щодо більш високого рівня </w:t>
      </w:r>
      <w:r w:rsidR="006841E7" w:rsidRPr="002E6ECA">
        <w:rPr>
          <w:bCs/>
          <w:sz w:val="28"/>
          <w:szCs w:val="28"/>
          <w:lang w:val="uk-UA"/>
        </w:rPr>
        <w:t>β</w:t>
      </w:r>
      <w:r w:rsidRPr="002E6ECA">
        <w:rPr>
          <w:bCs/>
          <w:sz w:val="28"/>
          <w:szCs w:val="28"/>
          <w:lang w:val="uk-UA"/>
        </w:rPr>
        <w:t xml:space="preserve">2-активності та нижчих значень </w:t>
      </w:r>
      <w:r w:rsidR="00260D8D" w:rsidRPr="002E6ECA">
        <w:rPr>
          <w:bCs/>
          <w:sz w:val="28"/>
          <w:szCs w:val="28"/>
          <w:lang w:val="uk-UA"/>
        </w:rPr>
        <w:t>θ</w:t>
      </w:r>
      <w:r w:rsidRPr="002E6ECA">
        <w:rPr>
          <w:bCs/>
          <w:sz w:val="28"/>
          <w:szCs w:val="28"/>
          <w:lang w:val="uk-UA"/>
        </w:rPr>
        <w:t>-активності серед учнів</w:t>
      </w:r>
      <w:r w:rsidR="00260D8D" w:rsidRPr="002E6ECA">
        <w:rPr>
          <w:bCs/>
          <w:sz w:val="28"/>
          <w:szCs w:val="28"/>
          <w:lang w:val="uk-UA"/>
        </w:rPr>
        <w:t xml:space="preserve"> в умовах інтенсифікації освітнього процесу</w:t>
      </w:r>
      <w:r w:rsidRPr="002E6ECA">
        <w:rPr>
          <w:bCs/>
          <w:sz w:val="28"/>
          <w:szCs w:val="28"/>
          <w:lang w:val="uk-UA"/>
        </w:rPr>
        <w:t xml:space="preserve"> співпадають з даними </w:t>
      </w:r>
      <w:r w:rsidR="00260D8D" w:rsidRPr="002E6ECA">
        <w:rPr>
          <w:sz w:val="28"/>
          <w:szCs w:val="28"/>
          <w:lang w:val="uk-UA"/>
        </w:rPr>
        <w:t xml:space="preserve">щодо ЕЕГ-патернів обдарованих учнів (7-12 років), отриманими </w:t>
      </w:r>
      <w:r w:rsidRPr="002E6ECA">
        <w:rPr>
          <w:sz w:val="28"/>
          <w:szCs w:val="28"/>
          <w:lang w:val="uk-UA"/>
        </w:rPr>
        <w:t>Горбачевсько</w:t>
      </w:r>
      <w:r w:rsidR="00260D8D" w:rsidRPr="002E6ECA">
        <w:rPr>
          <w:sz w:val="28"/>
          <w:szCs w:val="28"/>
          <w:lang w:val="uk-UA"/>
        </w:rPr>
        <w:t>ю</w:t>
      </w:r>
      <w:r w:rsidRPr="002E6ECA">
        <w:rPr>
          <w:sz w:val="28"/>
          <w:szCs w:val="28"/>
          <w:lang w:val="uk-UA"/>
        </w:rPr>
        <w:t xml:space="preserve"> Н.Л. та ін. (2016) [</w:t>
      </w:r>
      <w:r w:rsidR="004602C8" w:rsidRPr="002E6ECA">
        <w:rPr>
          <w:sz w:val="28"/>
          <w:szCs w:val="28"/>
          <w:lang w:val="uk-UA"/>
        </w:rPr>
        <w:t>282</w:t>
      </w:r>
      <w:r w:rsidR="00FE6A6A" w:rsidRPr="002E6ECA">
        <w:rPr>
          <w:sz w:val="28"/>
          <w:szCs w:val="28"/>
          <w:lang w:val="uk-UA"/>
        </w:rPr>
        <w:t xml:space="preserve">, </w:t>
      </w:r>
      <w:r w:rsidR="004602C8" w:rsidRPr="002E6ECA">
        <w:rPr>
          <w:sz w:val="28"/>
          <w:szCs w:val="28"/>
          <w:lang w:val="uk-UA"/>
        </w:rPr>
        <w:t>344</w:t>
      </w:r>
      <w:r w:rsidRPr="002E6ECA">
        <w:rPr>
          <w:sz w:val="28"/>
          <w:szCs w:val="28"/>
          <w:lang w:val="uk-UA"/>
        </w:rPr>
        <w:t xml:space="preserve">]. У той же час, є </w:t>
      </w:r>
      <w:r w:rsidRPr="002E6ECA">
        <w:rPr>
          <w:sz w:val="28"/>
          <w:szCs w:val="28"/>
          <w:lang w:val="uk-UA"/>
        </w:rPr>
        <w:lastRenderedPageBreak/>
        <w:t xml:space="preserve">протиріччя щодо </w:t>
      </w:r>
      <w:r w:rsidR="00260D8D" w:rsidRPr="002E6ECA">
        <w:rPr>
          <w:sz w:val="28"/>
          <w:szCs w:val="28"/>
          <w:lang w:val="uk-UA"/>
        </w:rPr>
        <w:t>α</w:t>
      </w:r>
      <w:r w:rsidRPr="002E6ECA">
        <w:rPr>
          <w:sz w:val="28"/>
          <w:szCs w:val="28"/>
          <w:lang w:val="uk-UA"/>
        </w:rPr>
        <w:t xml:space="preserve">-діапазону. У нашому дослідженні учням, які навчаються за меритократичною системою, притаманні більш високі значення відносної спектральної потужності </w:t>
      </w:r>
      <w:r w:rsidR="006841E7" w:rsidRPr="002E6ECA">
        <w:rPr>
          <w:sz w:val="28"/>
          <w:szCs w:val="28"/>
          <w:lang w:val="uk-UA"/>
        </w:rPr>
        <w:t>α</w:t>
      </w:r>
      <w:r w:rsidRPr="002E6ECA">
        <w:rPr>
          <w:sz w:val="28"/>
          <w:szCs w:val="28"/>
          <w:lang w:val="uk-UA"/>
        </w:rPr>
        <w:t>-діапазону, тоді як у роботі [</w:t>
      </w:r>
      <w:r w:rsidR="004602C8" w:rsidRPr="002E6ECA">
        <w:rPr>
          <w:sz w:val="28"/>
          <w:szCs w:val="28"/>
          <w:lang w:val="uk-UA"/>
        </w:rPr>
        <w:t>344</w:t>
      </w:r>
      <w:r w:rsidRPr="002E6ECA">
        <w:rPr>
          <w:sz w:val="28"/>
          <w:szCs w:val="28"/>
          <w:lang w:val="uk-UA"/>
        </w:rPr>
        <w:t xml:space="preserve">] відзначено зниження альфа3-активності та підвищення </w:t>
      </w:r>
      <w:r w:rsidR="00260D8D" w:rsidRPr="002E6ECA">
        <w:rPr>
          <w:sz w:val="28"/>
          <w:szCs w:val="28"/>
          <w:lang w:val="uk-UA"/>
        </w:rPr>
        <w:t>α</w:t>
      </w:r>
      <w:r w:rsidRPr="002E6ECA">
        <w:rPr>
          <w:sz w:val="28"/>
          <w:szCs w:val="28"/>
          <w:lang w:val="uk-UA"/>
        </w:rPr>
        <w:t>1</w:t>
      </w:r>
      <w:r w:rsidR="00260D8D" w:rsidRPr="002E6ECA">
        <w:rPr>
          <w:sz w:val="28"/>
          <w:szCs w:val="28"/>
          <w:lang w:val="uk-UA"/>
        </w:rPr>
        <w:t>-</w:t>
      </w:r>
      <w:r w:rsidRPr="002E6ECA">
        <w:rPr>
          <w:sz w:val="28"/>
          <w:szCs w:val="28"/>
          <w:lang w:val="uk-UA"/>
        </w:rPr>
        <w:t xml:space="preserve">активності. У іншому дослідженні обдарованих підлітків також відзначався більш низький рівень </w:t>
      </w:r>
      <w:r w:rsidR="002A37FA" w:rsidRPr="002E6ECA">
        <w:rPr>
          <w:sz w:val="28"/>
          <w:szCs w:val="28"/>
          <w:lang w:val="uk-UA"/>
        </w:rPr>
        <w:t>α</w:t>
      </w:r>
      <w:r w:rsidRPr="002E6ECA">
        <w:rPr>
          <w:sz w:val="28"/>
          <w:szCs w:val="28"/>
          <w:lang w:val="uk-UA"/>
        </w:rPr>
        <w:t>-активності [</w:t>
      </w:r>
      <w:r w:rsidR="004602C8" w:rsidRPr="002E6ECA">
        <w:rPr>
          <w:sz w:val="28"/>
          <w:szCs w:val="28"/>
          <w:lang w:val="uk-UA"/>
        </w:rPr>
        <w:t>282</w:t>
      </w:r>
      <w:r w:rsidRPr="002E6ECA">
        <w:rPr>
          <w:sz w:val="28"/>
          <w:szCs w:val="28"/>
          <w:lang w:val="uk-UA"/>
        </w:rPr>
        <w:t>]. Можливо, ці розбіжності зумовлені саме фактором меритократичної системи навчання, яка спрямована на розвиток творчого потенціалу учнів. Згідно «гіпотези низького збудження» [</w:t>
      </w:r>
      <w:r w:rsidR="004602C8" w:rsidRPr="002E6ECA">
        <w:rPr>
          <w:sz w:val="28"/>
          <w:szCs w:val="28"/>
          <w:shd w:val="clear" w:color="auto" w:fill="FFFFFF"/>
          <w:lang w:val="uk-UA"/>
        </w:rPr>
        <w:t>398</w:t>
      </w:r>
      <w:r w:rsidRPr="002E6ECA">
        <w:rPr>
          <w:sz w:val="28"/>
          <w:szCs w:val="28"/>
          <w:lang w:val="uk-UA"/>
        </w:rPr>
        <w:t xml:space="preserve">] творче пізнання з більшою ймовірністю відбудеться в стані низького коркового збудження (тобто високої </w:t>
      </w:r>
      <w:r w:rsidR="00260D8D" w:rsidRPr="002E6ECA">
        <w:rPr>
          <w:sz w:val="28"/>
          <w:szCs w:val="28"/>
          <w:lang w:val="uk-UA"/>
        </w:rPr>
        <w:t>α</w:t>
      </w:r>
      <w:r w:rsidRPr="002E6ECA">
        <w:rPr>
          <w:sz w:val="28"/>
          <w:szCs w:val="28"/>
          <w:lang w:val="uk-UA"/>
        </w:rPr>
        <w:t>-потужності).</w:t>
      </w:r>
    </w:p>
    <w:p w:rsidR="00671529" w:rsidRPr="002E6ECA" w:rsidRDefault="00671529" w:rsidP="00671529">
      <w:pPr>
        <w:spacing w:line="360" w:lineRule="auto"/>
        <w:ind w:firstLine="709"/>
        <w:jc w:val="both"/>
        <w:rPr>
          <w:bCs/>
          <w:sz w:val="28"/>
          <w:szCs w:val="28"/>
          <w:lang w:val="uk-UA"/>
        </w:rPr>
      </w:pPr>
      <w:r w:rsidRPr="002E6ECA">
        <w:rPr>
          <w:bCs/>
          <w:sz w:val="28"/>
          <w:szCs w:val="28"/>
          <w:lang w:val="uk-UA"/>
        </w:rPr>
        <w:t>Встановлено, що ЕЕГ-патерн учнів, які навчались за умов впровадження меритократичної системи мав певні особливості:</w:t>
      </w:r>
    </w:p>
    <w:p w:rsidR="00671529" w:rsidRPr="002E6ECA" w:rsidRDefault="00671529" w:rsidP="00671529">
      <w:pPr>
        <w:numPr>
          <w:ilvl w:val="0"/>
          <w:numId w:val="4"/>
        </w:numPr>
        <w:spacing w:line="360" w:lineRule="auto"/>
        <w:ind w:left="284" w:firstLine="709"/>
        <w:contextualSpacing/>
        <w:jc w:val="both"/>
        <w:rPr>
          <w:bCs/>
          <w:sz w:val="28"/>
          <w:szCs w:val="28"/>
          <w:lang w:val="uk-UA"/>
        </w:rPr>
      </w:pPr>
      <w:r w:rsidRPr="002E6ECA">
        <w:rPr>
          <w:bCs/>
          <w:sz w:val="28"/>
          <w:szCs w:val="28"/>
          <w:lang w:val="uk-UA"/>
        </w:rPr>
        <w:t>збереження достовірно вищого рівня α-активності у лобових  ділянках кори головного мозку, але зменшення їх амплітуди при традиційній системі навчання (</w:t>
      </w:r>
      <w:r w:rsidRPr="002E6ECA">
        <w:rPr>
          <w:sz w:val="28"/>
          <w:szCs w:val="28"/>
          <w:shd w:val="clear" w:color="auto" w:fill="FFFFFF"/>
          <w:lang w:val="uk-UA"/>
        </w:rPr>
        <w:t>р&lt;0,05</w:t>
      </w:r>
      <w:r w:rsidRPr="002E6ECA">
        <w:rPr>
          <w:bCs/>
          <w:sz w:val="28"/>
          <w:szCs w:val="28"/>
          <w:lang w:val="uk-UA"/>
        </w:rPr>
        <w:t>);</w:t>
      </w:r>
    </w:p>
    <w:p w:rsidR="00671529" w:rsidRPr="002E6ECA" w:rsidRDefault="00671529" w:rsidP="00671529">
      <w:pPr>
        <w:numPr>
          <w:ilvl w:val="0"/>
          <w:numId w:val="4"/>
        </w:numPr>
        <w:spacing w:line="360" w:lineRule="auto"/>
        <w:ind w:left="284" w:firstLine="709"/>
        <w:contextualSpacing/>
        <w:jc w:val="both"/>
        <w:rPr>
          <w:bCs/>
          <w:sz w:val="28"/>
          <w:szCs w:val="28"/>
          <w:lang w:val="uk-UA"/>
        </w:rPr>
      </w:pPr>
      <w:r w:rsidRPr="002E6ECA">
        <w:rPr>
          <w:bCs/>
          <w:sz w:val="28"/>
          <w:szCs w:val="28"/>
          <w:lang w:val="uk-UA"/>
        </w:rPr>
        <w:t>достовірно нижчий рівень значень δ-активності у верхньо-лобових ділянках кори головного мозку (</w:t>
      </w:r>
      <w:r w:rsidRPr="002E6ECA">
        <w:rPr>
          <w:sz w:val="28"/>
          <w:szCs w:val="28"/>
          <w:shd w:val="clear" w:color="auto" w:fill="FFFFFF"/>
          <w:lang w:val="uk-UA"/>
        </w:rPr>
        <w:t>р&lt;0,05</w:t>
      </w:r>
      <w:r w:rsidRPr="002E6ECA">
        <w:rPr>
          <w:bCs/>
          <w:sz w:val="28"/>
          <w:szCs w:val="28"/>
          <w:lang w:val="uk-UA"/>
        </w:rPr>
        <w:t>);</w:t>
      </w:r>
    </w:p>
    <w:p w:rsidR="00671529" w:rsidRPr="002E6ECA" w:rsidRDefault="00671529" w:rsidP="00671529">
      <w:pPr>
        <w:numPr>
          <w:ilvl w:val="0"/>
          <w:numId w:val="4"/>
        </w:numPr>
        <w:spacing w:line="360" w:lineRule="auto"/>
        <w:ind w:left="284" w:firstLine="709"/>
        <w:contextualSpacing/>
        <w:jc w:val="both"/>
        <w:rPr>
          <w:bCs/>
          <w:sz w:val="28"/>
          <w:szCs w:val="28"/>
          <w:lang w:val="uk-UA"/>
        </w:rPr>
      </w:pPr>
      <w:r w:rsidRPr="002E6ECA">
        <w:rPr>
          <w:bCs/>
          <w:sz w:val="28"/>
          <w:szCs w:val="28"/>
          <w:lang w:val="uk-UA"/>
        </w:rPr>
        <w:t>збереження достовірно (</w:t>
      </w:r>
      <w:r w:rsidRPr="002E6ECA">
        <w:rPr>
          <w:sz w:val="28"/>
          <w:szCs w:val="28"/>
          <w:shd w:val="clear" w:color="auto" w:fill="FFFFFF"/>
          <w:lang w:val="uk-UA"/>
        </w:rPr>
        <w:t>р&lt;0,05</w:t>
      </w:r>
      <w:r w:rsidRPr="002E6ECA">
        <w:rPr>
          <w:bCs/>
          <w:sz w:val="28"/>
          <w:szCs w:val="28"/>
          <w:lang w:val="uk-UA"/>
        </w:rPr>
        <w:t>) нижчих значень θ-активності у сагітальній тім’яній ділянці кори головного мозку на тлі нівелювання відмінностей за цим показником у лобово-центральних ділянках кори (Р&gt;0,05);</w:t>
      </w:r>
    </w:p>
    <w:p w:rsidR="00671529" w:rsidRPr="002E6ECA" w:rsidRDefault="00671529" w:rsidP="00671529">
      <w:pPr>
        <w:numPr>
          <w:ilvl w:val="0"/>
          <w:numId w:val="4"/>
        </w:numPr>
        <w:spacing w:line="360" w:lineRule="auto"/>
        <w:ind w:left="284" w:firstLine="709"/>
        <w:contextualSpacing/>
        <w:jc w:val="both"/>
        <w:rPr>
          <w:bCs/>
          <w:sz w:val="28"/>
          <w:szCs w:val="28"/>
          <w:lang w:val="uk-UA"/>
        </w:rPr>
      </w:pPr>
      <w:r w:rsidRPr="002E6ECA">
        <w:rPr>
          <w:bCs/>
          <w:sz w:val="28"/>
          <w:szCs w:val="28"/>
          <w:lang w:val="uk-UA"/>
        </w:rPr>
        <w:t>достовірно вищий рівень значень β1-активності у лобово-центрально-скронево-тім’яних ділянках кори головного мозку (</w:t>
      </w:r>
      <w:r w:rsidRPr="002E6ECA">
        <w:rPr>
          <w:sz w:val="28"/>
          <w:szCs w:val="28"/>
          <w:shd w:val="clear" w:color="auto" w:fill="FFFFFF"/>
          <w:lang w:val="uk-UA"/>
        </w:rPr>
        <w:t>р&lt;0,05</w:t>
      </w:r>
      <w:r w:rsidRPr="002E6ECA">
        <w:rPr>
          <w:bCs/>
          <w:sz w:val="28"/>
          <w:szCs w:val="28"/>
          <w:lang w:val="uk-UA"/>
        </w:rPr>
        <w:t>);</w:t>
      </w:r>
    </w:p>
    <w:p w:rsidR="00671529" w:rsidRPr="002E6ECA" w:rsidRDefault="00671529" w:rsidP="00671529">
      <w:pPr>
        <w:numPr>
          <w:ilvl w:val="0"/>
          <w:numId w:val="4"/>
        </w:numPr>
        <w:spacing w:line="360" w:lineRule="auto"/>
        <w:ind w:left="284" w:firstLine="709"/>
        <w:contextualSpacing/>
        <w:jc w:val="both"/>
        <w:rPr>
          <w:bCs/>
          <w:sz w:val="28"/>
          <w:szCs w:val="28"/>
          <w:lang w:val="uk-UA"/>
        </w:rPr>
      </w:pPr>
      <w:r w:rsidRPr="002E6ECA">
        <w:rPr>
          <w:bCs/>
          <w:sz w:val="28"/>
          <w:szCs w:val="28"/>
          <w:lang w:val="uk-UA"/>
        </w:rPr>
        <w:t>розширення топографії та збільшення амплітуди відмінностей вищого рівня β2-активності у порівнянні з контрольною групою учнів (</w:t>
      </w:r>
      <w:r w:rsidRPr="002E6ECA">
        <w:rPr>
          <w:sz w:val="28"/>
          <w:szCs w:val="28"/>
          <w:shd w:val="clear" w:color="auto" w:fill="FFFFFF"/>
          <w:lang w:val="uk-UA"/>
        </w:rPr>
        <w:t>р&lt;0,05</w:t>
      </w:r>
      <w:r w:rsidRPr="002E6ECA">
        <w:rPr>
          <w:bCs/>
          <w:sz w:val="28"/>
          <w:szCs w:val="28"/>
          <w:lang w:val="uk-UA"/>
        </w:rPr>
        <w:t>).</w:t>
      </w:r>
    </w:p>
    <w:p w:rsidR="00671529" w:rsidRPr="002E6ECA" w:rsidRDefault="00671529" w:rsidP="00671529">
      <w:pPr>
        <w:spacing w:line="360" w:lineRule="auto"/>
        <w:ind w:firstLine="709"/>
        <w:contextualSpacing/>
        <w:jc w:val="both"/>
        <w:rPr>
          <w:bCs/>
          <w:sz w:val="28"/>
          <w:szCs w:val="28"/>
          <w:lang w:val="uk-UA"/>
        </w:rPr>
      </w:pPr>
      <w:r w:rsidRPr="002E6ECA">
        <w:rPr>
          <w:bCs/>
          <w:sz w:val="28"/>
          <w:szCs w:val="28"/>
          <w:lang w:val="uk-UA"/>
        </w:rPr>
        <w:t xml:space="preserve">Виявлені в умовах спокійного неспання достовірно нижчі значення θ-активності на фоні вищих значень α-активності у фронтальних ділянках кори головного мозку учнів, які навчаються за меритократичною системою, імовірно, свідчать про більш високий рівень морфофункціональної зрілості </w:t>
      </w:r>
      <w:r w:rsidRPr="002E6ECA">
        <w:rPr>
          <w:bCs/>
          <w:sz w:val="28"/>
          <w:szCs w:val="28"/>
          <w:lang w:val="uk-UA"/>
        </w:rPr>
        <w:lastRenderedPageBreak/>
        <w:t>фронто-таламічної моделюючої системи. Більш високі значення відносної потужності α-активності цих школярів можна розглядати як нейрофізіологічні кореляти вищого рівня розумової працездатності.</w:t>
      </w:r>
    </w:p>
    <w:p w:rsidR="00671529" w:rsidRPr="002E6ECA" w:rsidRDefault="00671529" w:rsidP="00671529">
      <w:pPr>
        <w:spacing w:line="360" w:lineRule="auto"/>
        <w:ind w:firstLine="709"/>
        <w:contextualSpacing/>
        <w:jc w:val="both"/>
        <w:rPr>
          <w:bCs/>
          <w:sz w:val="28"/>
          <w:szCs w:val="28"/>
          <w:lang w:val="uk-UA"/>
        </w:rPr>
      </w:pPr>
      <w:r w:rsidRPr="002E6ECA">
        <w:rPr>
          <w:bCs/>
          <w:sz w:val="28"/>
          <w:szCs w:val="28"/>
          <w:lang w:val="uk-UA"/>
        </w:rPr>
        <w:t>Відомо, що β1-активність пов’язана з механізмами низхідного контролю когнітивних процесів, тому достовірно вищий рівень цієї активності (особливо у задніх ділянках кори головного мозку) серед учнів, які навчаються за меритократичної системою, може вказувати на більш тонку регуляцію перцептивних процесів. β2-активність корелює з рівнем когнітивної активації та збудливості кори головного мозку. Серед учнів, які навчаються за меритократичною системою, спостерігалися достовірно вищі значення β2-активності як в умовах спокою, так і при ментальному навантаженні, що можна розглядати як ЕЕГ-кореляти інтенсифікації інформаційних процесів у головному мозку.</w:t>
      </w:r>
    </w:p>
    <w:p w:rsidR="00671529" w:rsidRPr="002E6ECA" w:rsidRDefault="00671529" w:rsidP="00671529">
      <w:pPr>
        <w:spacing w:line="360" w:lineRule="auto"/>
        <w:ind w:firstLine="709"/>
        <w:contextualSpacing/>
        <w:jc w:val="both"/>
        <w:rPr>
          <w:bCs/>
          <w:sz w:val="28"/>
          <w:szCs w:val="28"/>
          <w:lang w:val="uk-UA"/>
        </w:rPr>
      </w:pPr>
      <w:r w:rsidRPr="002E6ECA">
        <w:rPr>
          <w:bCs/>
          <w:sz w:val="28"/>
          <w:szCs w:val="28"/>
          <w:lang w:val="uk-UA"/>
        </w:rPr>
        <w:t>З метою оцінки резервних можливостей головного мозку та ідентифікації нейромереж, залучених до арифметичного рахунку в зворотному напрямку, проведено аналіз динаміки змін відносної спектральної потужності частотних діапазонів ЕЕГ, зумовлених ментальним навантаженням.</w:t>
      </w:r>
    </w:p>
    <w:p w:rsidR="00671529" w:rsidRPr="002E6ECA" w:rsidRDefault="00671529" w:rsidP="00671529">
      <w:pPr>
        <w:spacing w:line="360" w:lineRule="auto"/>
        <w:ind w:firstLine="709"/>
        <w:contextualSpacing/>
        <w:jc w:val="both"/>
        <w:rPr>
          <w:bCs/>
          <w:spacing w:val="-2"/>
          <w:sz w:val="28"/>
          <w:szCs w:val="28"/>
          <w:lang w:val="uk-UA"/>
        </w:rPr>
      </w:pPr>
      <w:r w:rsidRPr="002E6ECA">
        <w:rPr>
          <w:bCs/>
          <w:spacing w:val="-2"/>
          <w:sz w:val="28"/>
          <w:szCs w:val="28"/>
          <w:lang w:val="uk-UA"/>
        </w:rPr>
        <w:t>У контрольній групі когнітивне навантаження призводило до достовірного (</w:t>
      </w:r>
      <w:r w:rsidRPr="002E6ECA">
        <w:rPr>
          <w:spacing w:val="-2"/>
          <w:sz w:val="28"/>
          <w:szCs w:val="28"/>
          <w:shd w:val="clear" w:color="auto" w:fill="FFFFFF"/>
          <w:lang w:val="uk-UA"/>
        </w:rPr>
        <w:t>р&lt;0,05</w:t>
      </w:r>
      <w:r w:rsidRPr="002E6ECA">
        <w:rPr>
          <w:bCs/>
          <w:spacing w:val="-2"/>
          <w:sz w:val="28"/>
          <w:szCs w:val="28"/>
          <w:lang w:val="uk-UA"/>
        </w:rPr>
        <w:t>) генералізованого збільшення δ-активності у центрально-скронево-тім’яних ділянках кори головного мозку, тоді як у учнів, які навчаються за меритократичною системою, спостерігалося локальне збільшення активності у лобових і тім’яних ділянках кори головного мозку.</w:t>
      </w:r>
      <w:r w:rsidR="002A37FA" w:rsidRPr="002E6ECA">
        <w:rPr>
          <w:bCs/>
          <w:spacing w:val="-2"/>
          <w:sz w:val="28"/>
          <w:szCs w:val="28"/>
          <w:lang w:val="uk-UA"/>
        </w:rPr>
        <w:t xml:space="preserve"> </w:t>
      </w:r>
      <w:r w:rsidRPr="002E6ECA">
        <w:rPr>
          <w:bCs/>
          <w:spacing w:val="-2"/>
          <w:sz w:val="28"/>
          <w:szCs w:val="28"/>
          <w:lang w:val="uk-UA"/>
        </w:rPr>
        <w:t xml:space="preserve">Оскільки δ-активність в інформаційному просторі довкілля забезпечує досягнення миттєвих цілей, то можемо дійти до висновку, що даний вид завдання для учнів, які навчаються за меритократичною системою, був більш легким та вимагав залучення меншої кількості мозкових ресурсів, а саме системи низхідного контролю. </w:t>
      </w:r>
    </w:p>
    <w:p w:rsidR="00671529" w:rsidRPr="002E6ECA" w:rsidRDefault="00671529" w:rsidP="00671529">
      <w:pPr>
        <w:spacing w:line="360" w:lineRule="auto"/>
        <w:ind w:firstLine="709"/>
        <w:contextualSpacing/>
        <w:jc w:val="both"/>
        <w:rPr>
          <w:bCs/>
          <w:sz w:val="28"/>
          <w:szCs w:val="28"/>
          <w:lang w:val="uk-UA"/>
        </w:rPr>
      </w:pPr>
      <w:r w:rsidRPr="002E6ECA">
        <w:rPr>
          <w:bCs/>
          <w:sz w:val="28"/>
          <w:szCs w:val="28"/>
          <w:lang w:val="uk-UA"/>
        </w:rPr>
        <w:t>У контрольній групі істотних змін у θ-діапазоні не виявлено, тоді як в основній групі спостерігалося достовірне (</w:t>
      </w:r>
      <w:r w:rsidRPr="002E6ECA">
        <w:rPr>
          <w:sz w:val="28"/>
          <w:szCs w:val="28"/>
          <w:shd w:val="clear" w:color="auto" w:fill="FFFFFF"/>
          <w:lang w:val="uk-UA"/>
        </w:rPr>
        <w:t>р&lt;0,05</w:t>
      </w:r>
      <w:r w:rsidRPr="002E6ECA">
        <w:rPr>
          <w:bCs/>
          <w:sz w:val="28"/>
          <w:szCs w:val="28"/>
          <w:lang w:val="uk-UA"/>
        </w:rPr>
        <w:t xml:space="preserve">) збільшення θ-активності у лобових і центральних ділянках кори, але зменшення – у потиличних ділянках. Посилення потужності θ-активності у лобових ділянках кори головного мозку </w:t>
      </w:r>
      <w:r w:rsidRPr="002E6ECA">
        <w:rPr>
          <w:bCs/>
          <w:sz w:val="28"/>
          <w:szCs w:val="28"/>
          <w:lang w:val="uk-UA"/>
        </w:rPr>
        <w:lastRenderedPageBreak/>
        <w:t>пов’язується з механізмами пам’яті та уяви (утримання інформації у робочій пам’яті та її сканування). Приріст θ-активності в лобовій ділянці головного мозку є показником підвищеного пізнавального попиту і зосередженої уваги [</w:t>
      </w:r>
      <w:r w:rsidR="004602C8" w:rsidRPr="002E6ECA">
        <w:rPr>
          <w:sz w:val="28"/>
          <w:szCs w:val="28"/>
          <w:shd w:val="clear" w:color="auto" w:fill="FFFFFF"/>
          <w:lang w:val="uk-UA"/>
        </w:rPr>
        <w:t>508</w:t>
      </w:r>
      <w:r w:rsidRPr="002E6ECA">
        <w:rPr>
          <w:bCs/>
          <w:sz w:val="28"/>
          <w:szCs w:val="28"/>
          <w:lang w:val="uk-UA"/>
        </w:rPr>
        <w:t>]. Зазначене дозволяє констатувати, що учням, які навчаються за меритократичною системою, притаманний більш високий рівень роботи мнемічних механізмів під час розв’язання арифметичних завдань, що може корелювати з більш високим об’ємом оперативної пам’яті.</w:t>
      </w:r>
    </w:p>
    <w:p w:rsidR="00671529" w:rsidRPr="002E6ECA" w:rsidRDefault="00671529" w:rsidP="00671529">
      <w:pPr>
        <w:spacing w:line="360" w:lineRule="auto"/>
        <w:ind w:firstLine="709"/>
        <w:contextualSpacing/>
        <w:jc w:val="both"/>
        <w:rPr>
          <w:bCs/>
          <w:sz w:val="28"/>
          <w:szCs w:val="28"/>
          <w:lang w:val="uk-UA"/>
        </w:rPr>
      </w:pPr>
      <w:r w:rsidRPr="002E6ECA">
        <w:rPr>
          <w:bCs/>
          <w:sz w:val="28"/>
          <w:szCs w:val="28"/>
          <w:lang w:val="uk-UA"/>
        </w:rPr>
        <w:t>За умов меритократичної освітньої системи визначалось достовірне генералізоване зниження α-активності (</w:t>
      </w:r>
      <w:r w:rsidRPr="002E6ECA">
        <w:rPr>
          <w:sz w:val="28"/>
          <w:szCs w:val="28"/>
          <w:shd w:val="clear" w:color="auto" w:fill="FFFFFF"/>
          <w:lang w:val="uk-UA"/>
        </w:rPr>
        <w:t>р&lt;0,05</w:t>
      </w:r>
      <w:r w:rsidRPr="002E6ECA">
        <w:rPr>
          <w:bCs/>
          <w:sz w:val="28"/>
          <w:szCs w:val="28"/>
          <w:lang w:val="uk-UA"/>
        </w:rPr>
        <w:t>), тоді як при традиційному навчанні виявлено її  локальне зниження у лобових ділянках кори. Зазначене відображає відмінності в функціонуванні системи уваги, ефективність якої вища серед учнів в умовах інтенсифікації освітнього процесу, що, можливо обумовлено більш високою концентрацією уваги.</w:t>
      </w:r>
      <w:r w:rsidR="002A37FA" w:rsidRPr="002E6ECA">
        <w:rPr>
          <w:bCs/>
          <w:sz w:val="28"/>
          <w:szCs w:val="28"/>
          <w:lang w:val="uk-UA"/>
        </w:rPr>
        <w:t xml:space="preserve"> </w:t>
      </w:r>
      <w:r w:rsidRPr="002E6ECA">
        <w:rPr>
          <w:bCs/>
          <w:sz w:val="28"/>
          <w:szCs w:val="28"/>
          <w:lang w:val="uk-UA"/>
        </w:rPr>
        <w:t>Когнітивне навантаження викликало достовірні зміни β1-активності тільки серед учнів основної групи: збільшення у лобово-скроневій ділянці та зниження – у правій лобово-полюсній ділянці (</w:t>
      </w:r>
      <w:r w:rsidRPr="002E6ECA">
        <w:rPr>
          <w:sz w:val="28"/>
          <w:szCs w:val="28"/>
          <w:shd w:val="clear" w:color="auto" w:fill="FFFFFF"/>
          <w:lang w:val="uk-UA"/>
        </w:rPr>
        <w:t>р&lt;0,05</w:t>
      </w:r>
      <w:r w:rsidRPr="002E6ECA">
        <w:rPr>
          <w:bCs/>
          <w:sz w:val="28"/>
          <w:szCs w:val="28"/>
          <w:lang w:val="uk-UA"/>
        </w:rPr>
        <w:t>).</w:t>
      </w:r>
    </w:p>
    <w:p w:rsidR="00671529" w:rsidRPr="002E6ECA" w:rsidRDefault="00671529" w:rsidP="00671529">
      <w:pPr>
        <w:spacing w:line="360" w:lineRule="auto"/>
        <w:ind w:firstLine="709"/>
        <w:contextualSpacing/>
        <w:jc w:val="both"/>
        <w:rPr>
          <w:bCs/>
          <w:sz w:val="28"/>
          <w:szCs w:val="28"/>
          <w:lang w:val="uk-UA"/>
        </w:rPr>
      </w:pPr>
      <w:r w:rsidRPr="002E6ECA">
        <w:rPr>
          <w:bCs/>
          <w:sz w:val="28"/>
          <w:szCs w:val="28"/>
          <w:lang w:val="uk-UA"/>
        </w:rPr>
        <w:t>При меритократичній системі виявлено достовірне генералізоване збільшення β2-активності у центрально-скроневих і потиличній ділянках кори головного мозку на тлі достовірного білатерального зниження β2-активності в тім’яних і лобово-полюсних ділянках кори (</w:t>
      </w:r>
      <w:r w:rsidRPr="002E6ECA">
        <w:rPr>
          <w:sz w:val="28"/>
          <w:szCs w:val="28"/>
          <w:shd w:val="clear" w:color="auto" w:fill="FFFFFF"/>
          <w:lang w:val="uk-UA"/>
        </w:rPr>
        <w:t>р&lt;0,05</w:t>
      </w:r>
      <w:r w:rsidRPr="002E6ECA">
        <w:rPr>
          <w:bCs/>
          <w:sz w:val="28"/>
          <w:szCs w:val="28"/>
          <w:lang w:val="uk-UA"/>
        </w:rPr>
        <w:t>). Натомість у контрольній групі спостерігали достовірне локальне збільшення β2-активності у центральній і потиличній ділянках кори головного мозку вздовж сагітальної лінії (</w:t>
      </w:r>
      <w:r w:rsidRPr="002E6ECA">
        <w:rPr>
          <w:sz w:val="28"/>
          <w:szCs w:val="28"/>
          <w:shd w:val="clear" w:color="auto" w:fill="FFFFFF"/>
          <w:lang w:val="uk-UA"/>
        </w:rPr>
        <w:t>р&lt;0,05</w:t>
      </w:r>
      <w:r w:rsidRPr="002E6ECA">
        <w:rPr>
          <w:bCs/>
          <w:sz w:val="28"/>
          <w:szCs w:val="28"/>
          <w:lang w:val="uk-UA"/>
        </w:rPr>
        <w:t xml:space="preserve">). </w:t>
      </w:r>
    </w:p>
    <w:p w:rsidR="00671529" w:rsidRPr="002E6ECA" w:rsidRDefault="00671529" w:rsidP="00671529">
      <w:pPr>
        <w:spacing w:line="360" w:lineRule="auto"/>
        <w:ind w:firstLine="709"/>
        <w:jc w:val="both"/>
        <w:rPr>
          <w:bCs/>
          <w:spacing w:val="-2"/>
          <w:sz w:val="28"/>
          <w:szCs w:val="28"/>
          <w:lang w:val="uk-UA"/>
        </w:rPr>
      </w:pPr>
      <w:r w:rsidRPr="002E6ECA">
        <w:rPr>
          <w:bCs/>
          <w:spacing w:val="-2"/>
          <w:sz w:val="28"/>
          <w:szCs w:val="28"/>
          <w:lang w:val="uk-UA"/>
        </w:rPr>
        <w:t>Таким чином навчання за меритократичної системи супроводжувалось значними змінами ЕЕГ-активності у просторово-розрізнених ділянках кори головного мозку (переважно у лобово-тім’яній мережі), спровокованими виконанням арифметичної проби. Це пов’язано з тим, що арифметичний рахунок подумки (ментальна арифметика) вимагає залучення нейрофізіологічних механізмів робочої пам’яті, що реалізуються за участю θ-та α-активності. При цьому центральний виконавчий орган робочої пам’яті</w:t>
      </w:r>
      <w:r w:rsidRPr="002E6ECA">
        <w:rPr>
          <w:spacing w:val="-2"/>
          <w:sz w:val="28"/>
          <w:szCs w:val="28"/>
          <w:lang w:val="uk-UA"/>
        </w:rPr>
        <w:t xml:space="preserve">, розташований над лобовими ділянками кори головного мозку та працює на θ-частотах, а буфер </w:t>
      </w:r>
      <w:r w:rsidRPr="002E6ECA">
        <w:rPr>
          <w:spacing w:val="-2"/>
          <w:sz w:val="28"/>
          <w:szCs w:val="28"/>
          <w:lang w:val="uk-UA"/>
        </w:rPr>
        <w:lastRenderedPageBreak/>
        <w:t>зберігання, розташований над тім'яно-потиличною ділянкою кори головного мозку та працює на α-</w:t>
      </w:r>
      <w:r w:rsidR="00FE6A6A" w:rsidRPr="002E6ECA">
        <w:rPr>
          <w:spacing w:val="-2"/>
          <w:sz w:val="28"/>
          <w:szCs w:val="28"/>
          <w:lang w:val="uk-UA"/>
        </w:rPr>
        <w:t>частотах [</w:t>
      </w:r>
      <w:r w:rsidR="004602C8" w:rsidRPr="002E6ECA">
        <w:rPr>
          <w:sz w:val="28"/>
          <w:szCs w:val="28"/>
          <w:shd w:val="clear" w:color="auto" w:fill="FFFFFF"/>
          <w:lang w:val="uk-UA"/>
        </w:rPr>
        <w:t>326</w:t>
      </w:r>
      <w:r w:rsidR="00FE6A6A" w:rsidRPr="002E6ECA">
        <w:rPr>
          <w:spacing w:val="-2"/>
          <w:sz w:val="28"/>
          <w:szCs w:val="28"/>
          <w:lang w:val="uk-UA"/>
        </w:rPr>
        <w:t>].</w:t>
      </w:r>
      <w:r w:rsidR="00FE6A6A" w:rsidRPr="002E6ECA">
        <w:rPr>
          <w:bCs/>
          <w:spacing w:val="-2"/>
          <w:sz w:val="28"/>
          <w:szCs w:val="28"/>
          <w:lang w:val="uk-UA"/>
        </w:rPr>
        <w:t xml:space="preserve"> Під час всіх арифметичних операцій спостерігається загальний паттерн активації, що включає праве предклиння, ліву і праву середню і верхню лобові ділянки [</w:t>
      </w:r>
      <w:r w:rsidR="004602C8" w:rsidRPr="002E6ECA">
        <w:rPr>
          <w:sz w:val="28"/>
          <w:szCs w:val="28"/>
          <w:shd w:val="clear" w:color="auto" w:fill="FFFFFF"/>
          <w:lang w:val="uk-UA"/>
        </w:rPr>
        <w:t>336</w:t>
      </w:r>
      <w:r w:rsidR="002A37FA" w:rsidRPr="002E6ECA">
        <w:rPr>
          <w:spacing w:val="-2"/>
          <w:sz w:val="28"/>
          <w:szCs w:val="28"/>
          <w:shd w:val="clear" w:color="auto" w:fill="FFFFFF"/>
          <w:lang w:val="uk-UA"/>
        </w:rPr>
        <w:t xml:space="preserve">, </w:t>
      </w:r>
      <w:r w:rsidR="004602C8" w:rsidRPr="002E6ECA">
        <w:rPr>
          <w:spacing w:val="-2"/>
          <w:sz w:val="28"/>
          <w:szCs w:val="28"/>
          <w:shd w:val="clear" w:color="auto" w:fill="FFFFFF"/>
          <w:lang w:val="en-US"/>
        </w:rPr>
        <w:t>3</w:t>
      </w:r>
      <w:r w:rsidR="00E53B5C" w:rsidRPr="002E6ECA">
        <w:rPr>
          <w:spacing w:val="-2"/>
          <w:sz w:val="28"/>
          <w:szCs w:val="28"/>
          <w:shd w:val="clear" w:color="auto" w:fill="FFFFFF"/>
          <w:lang w:val="en-US"/>
        </w:rPr>
        <w:t>88</w:t>
      </w:r>
      <w:r w:rsidR="00FE6A6A" w:rsidRPr="002E6ECA">
        <w:rPr>
          <w:bCs/>
          <w:spacing w:val="-2"/>
          <w:sz w:val="28"/>
          <w:szCs w:val="28"/>
          <w:lang w:val="uk-UA"/>
        </w:rPr>
        <w:t>]. Специфічними для виконання операції віднімання є активація правої нижньої тім'яної часточки, лівого предклиння та лівої верхньої тім'яної звивини [</w:t>
      </w:r>
      <w:r w:rsidR="00E53B5C" w:rsidRPr="002E6ECA">
        <w:rPr>
          <w:spacing w:val="-2"/>
          <w:sz w:val="28"/>
          <w:szCs w:val="28"/>
          <w:shd w:val="clear" w:color="auto" w:fill="FFFFFF"/>
          <w:lang w:val="en-US"/>
        </w:rPr>
        <w:t>378</w:t>
      </w:r>
      <w:r w:rsidR="002A37FA" w:rsidRPr="002E6ECA">
        <w:rPr>
          <w:spacing w:val="-2"/>
          <w:sz w:val="28"/>
          <w:szCs w:val="28"/>
          <w:shd w:val="clear" w:color="auto" w:fill="FFFFFF"/>
          <w:lang w:val="uk-UA"/>
        </w:rPr>
        <w:t xml:space="preserve">, </w:t>
      </w:r>
      <w:r w:rsidR="00E53B5C" w:rsidRPr="002E6ECA">
        <w:rPr>
          <w:spacing w:val="-2"/>
          <w:sz w:val="28"/>
          <w:szCs w:val="28"/>
          <w:shd w:val="clear" w:color="auto" w:fill="FFFFFF"/>
          <w:lang w:val="en-US"/>
        </w:rPr>
        <w:t>463</w:t>
      </w:r>
      <w:r w:rsidR="00FE6A6A" w:rsidRPr="002E6ECA">
        <w:rPr>
          <w:bCs/>
          <w:spacing w:val="-2"/>
          <w:sz w:val="28"/>
          <w:szCs w:val="28"/>
          <w:lang w:val="uk-UA"/>
        </w:rPr>
        <w:t>].</w:t>
      </w:r>
    </w:p>
    <w:p w:rsidR="00671529" w:rsidRPr="002E6ECA" w:rsidRDefault="00671529" w:rsidP="00671529">
      <w:pPr>
        <w:spacing w:line="360" w:lineRule="auto"/>
        <w:ind w:firstLine="709"/>
        <w:jc w:val="both"/>
        <w:rPr>
          <w:sz w:val="28"/>
          <w:szCs w:val="28"/>
          <w:lang w:val="uk-UA"/>
        </w:rPr>
      </w:pPr>
      <w:r w:rsidRPr="002E6ECA">
        <w:rPr>
          <w:bCs/>
          <w:sz w:val="28"/>
          <w:szCs w:val="28"/>
          <w:lang w:val="uk-UA"/>
        </w:rPr>
        <w:t xml:space="preserve">Не менш важливу роль у механізмах ментального віднімання відграє гамма-активність: викликана синхронізація у правій тім’яній ділянці кори головного мозку та викликана десинхронізація у </w:t>
      </w:r>
      <w:r w:rsidRPr="002E6ECA">
        <w:rPr>
          <w:sz w:val="28"/>
          <w:szCs w:val="28"/>
          <w:lang w:val="uk-UA"/>
        </w:rPr>
        <w:t>правій латеральній префронтальній корі та нижньо-лобовій звивині. У цілому, ментальна арифметика вимагає функціональної дисоціації префронтальної і тім'яної кори [</w:t>
      </w:r>
      <w:r w:rsidR="00E53B5C" w:rsidRPr="002E6ECA">
        <w:rPr>
          <w:sz w:val="28"/>
          <w:szCs w:val="28"/>
          <w:shd w:val="clear" w:color="auto" w:fill="FFFFFF"/>
          <w:lang w:val="uk-UA"/>
        </w:rPr>
        <w:t>362</w:t>
      </w:r>
      <w:r w:rsidRPr="002E6ECA">
        <w:rPr>
          <w:sz w:val="28"/>
          <w:szCs w:val="28"/>
          <w:lang w:val="uk-UA"/>
        </w:rPr>
        <w:t>]. У той же час, у контрольній групі найістотніші зсуви відносної спектральної потужності спостерігалися у дельта-активності, що може вказувати на суб’єктивно більш високий рівень складності запропонованої арифметичної проби.</w:t>
      </w:r>
    </w:p>
    <w:p w:rsidR="00C9154E" w:rsidRPr="002E6ECA" w:rsidRDefault="00C9154E" w:rsidP="009E0B65">
      <w:pPr>
        <w:spacing w:line="360" w:lineRule="auto"/>
        <w:ind w:firstLine="709"/>
        <w:jc w:val="center"/>
        <w:rPr>
          <w:sz w:val="28"/>
          <w:szCs w:val="28"/>
          <w:lang w:val="uk-UA"/>
        </w:rPr>
      </w:pPr>
    </w:p>
    <w:p w:rsidR="009E0B65" w:rsidRPr="002E6ECA" w:rsidRDefault="009E0B65" w:rsidP="009E0B65">
      <w:pPr>
        <w:spacing w:line="360" w:lineRule="auto"/>
        <w:ind w:firstLine="709"/>
        <w:jc w:val="center"/>
        <w:rPr>
          <w:b/>
          <w:sz w:val="28"/>
          <w:szCs w:val="28"/>
          <w:lang w:val="uk-UA"/>
        </w:rPr>
      </w:pPr>
      <w:r w:rsidRPr="002E6ECA">
        <w:rPr>
          <w:b/>
          <w:sz w:val="28"/>
          <w:szCs w:val="28"/>
          <w:lang w:val="uk-UA"/>
        </w:rPr>
        <w:t>Висновки за розділом 5</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 xml:space="preserve">Інтенсифікація освітнього процесу вимагає від учнів не тільки високої розумової працездатності, рівня зосередженості та уваги, а й великих фізіологічних ресурсів. </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 xml:space="preserve">Аналіз вітчизняної та міжнародної літератури свідчить, що оптимальною методикою визначення рівня втоми при груповій оцінці психофізіологічного стану учнів в динаміці дня, тижня, навчального року та циклу вивчення предмету слід вважати коректурну пробу у комбінації з оцінкою ЧСС та методами суб’єктивної оцінки психоемоційного стану. </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 xml:space="preserve">Оптимальна організація освітнього процесу, особливо при вивченні предметів високої важкості, сприяє збереженню та відновленню розумової працездатності та, відповідно, зниженню ознак втоми, що гарантує не тільки достатній рівень академічної успішності, а й менше виснаження </w:t>
      </w:r>
      <w:r w:rsidRPr="002E6ECA">
        <w:rPr>
          <w:sz w:val="28"/>
          <w:szCs w:val="28"/>
          <w:lang w:val="uk-UA"/>
        </w:rPr>
        <w:lastRenderedPageBreak/>
        <w:t>функціональних резервів дитячого організму та зниження ризику виникнення шкільної дезадаптації.</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12-13-річний вік є сенситивним періодом у становленні вегетативних регуляторних систем, що підвищує чутливість організму до впливу факторів освітнього середовища. Третина учнів основної школи мають оптимальну активність вегетативних регуляторних систем.</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За меритократичної системи навчання у 6-класі спостерігається вищий рівень напруження вегетативних регуляторних систем, що обернено пропорційний до адаптаційного потенціалу учнів. Вища «ціна» адаптації до меритократичного навчання у 6-му класі, порівняно з традиційним навчанням, вимагає впровадження більш ретельного донозологічного скринінгу стану  здоров’я учнів у цей період  навчання.</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 xml:space="preserve">Рівень шкільного стресу за меритократичної освіти детермінований не стільки інтенсифікацією навчального процесу, як міжособистісними відношеннями у навчальних колективах та/або індивідуально-психологічними особливостями учнів. </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 xml:space="preserve">Учні, які навчаються за меритократичною системою, мають ЕЕГ-ознаки вищого рівня морфо-функціональної зрілості структур головного мозку та більш швидкої й диференційованої обробки інформації у головному мозку, ніж учні, які навчаються за традиційною системою. </w:t>
      </w:r>
    </w:p>
    <w:p w:rsidR="009E0B65" w:rsidRPr="002E6ECA" w:rsidRDefault="009E0B65" w:rsidP="009E0B65">
      <w:pPr>
        <w:numPr>
          <w:ilvl w:val="0"/>
          <w:numId w:val="3"/>
        </w:numPr>
        <w:spacing w:line="360" w:lineRule="auto"/>
        <w:ind w:left="0" w:firstLine="709"/>
        <w:contextualSpacing/>
        <w:jc w:val="both"/>
        <w:rPr>
          <w:sz w:val="28"/>
          <w:szCs w:val="28"/>
          <w:lang w:val="uk-UA"/>
        </w:rPr>
      </w:pPr>
      <w:r w:rsidRPr="002E6ECA">
        <w:rPr>
          <w:sz w:val="28"/>
          <w:szCs w:val="28"/>
          <w:lang w:val="uk-UA"/>
        </w:rPr>
        <w:t>Результати нейрофізіологічного дослідження дозволяють констатувати розвиваючий вплив впроваджуваної освітньої програми на вищі психічні функції учнів основної школи.</w:t>
      </w:r>
    </w:p>
    <w:p w:rsidR="009E0B65" w:rsidRPr="002E6ECA" w:rsidRDefault="009E0B65" w:rsidP="00E274A4">
      <w:pPr>
        <w:spacing w:line="360" w:lineRule="auto"/>
        <w:rPr>
          <w:lang w:val="uk-UA"/>
        </w:rPr>
      </w:pPr>
    </w:p>
    <w:p w:rsidR="00E274A4" w:rsidRPr="002E6ECA" w:rsidRDefault="004341ED" w:rsidP="00E274A4">
      <w:pPr>
        <w:spacing w:line="360" w:lineRule="auto"/>
        <w:ind w:left="360"/>
        <w:jc w:val="both"/>
        <w:rPr>
          <w:sz w:val="28"/>
          <w:szCs w:val="28"/>
          <w:lang w:val="uk-UA"/>
        </w:rPr>
      </w:pPr>
      <w:r w:rsidRPr="002E6ECA">
        <w:rPr>
          <w:sz w:val="28"/>
          <w:szCs w:val="28"/>
        </w:rPr>
        <w:t>Матеріали розділу викладено у наступних публікаціях:</w:t>
      </w:r>
      <w:r w:rsidR="00E274A4" w:rsidRPr="002E6ECA">
        <w:rPr>
          <w:sz w:val="28"/>
          <w:szCs w:val="28"/>
        </w:rPr>
        <w:t xml:space="preserve"> </w:t>
      </w:r>
      <w:r w:rsidR="00E53B5C" w:rsidRPr="002E6ECA">
        <w:rPr>
          <w:sz w:val="28"/>
          <w:szCs w:val="28"/>
          <w:lang w:val="uk-UA"/>
        </w:rPr>
        <w:t>68, 69, 72, 197, 438, 439, 446.</w:t>
      </w:r>
    </w:p>
    <w:p w:rsidR="000D2794" w:rsidRPr="002E6ECA" w:rsidRDefault="00917BD4" w:rsidP="00214250">
      <w:pPr>
        <w:spacing w:line="360" w:lineRule="auto"/>
        <w:ind w:firstLine="709"/>
        <w:jc w:val="center"/>
        <w:rPr>
          <w:sz w:val="28"/>
          <w:szCs w:val="28"/>
          <w:lang w:val="uk-UA"/>
        </w:rPr>
      </w:pPr>
      <w:r w:rsidRPr="002E6ECA">
        <w:rPr>
          <w:sz w:val="28"/>
          <w:szCs w:val="28"/>
          <w:lang w:val="uk-UA"/>
        </w:rPr>
        <w:br w:type="page"/>
      </w:r>
      <w:r w:rsidR="00B40EB8" w:rsidRPr="002E6ECA">
        <w:rPr>
          <w:sz w:val="28"/>
          <w:szCs w:val="28"/>
          <w:lang w:val="uk-UA"/>
        </w:rPr>
        <w:lastRenderedPageBreak/>
        <w:t xml:space="preserve"> </w:t>
      </w:r>
    </w:p>
    <w:p w:rsidR="00C9154E" w:rsidRPr="002E6ECA" w:rsidRDefault="00C9154E" w:rsidP="00214250">
      <w:pPr>
        <w:spacing w:line="360" w:lineRule="auto"/>
        <w:ind w:firstLine="709"/>
        <w:jc w:val="center"/>
        <w:rPr>
          <w:sz w:val="28"/>
          <w:szCs w:val="28"/>
          <w:lang w:val="uk-UA"/>
        </w:rPr>
      </w:pPr>
      <w:r w:rsidRPr="002E6ECA">
        <w:rPr>
          <w:sz w:val="28"/>
          <w:szCs w:val="28"/>
          <w:lang w:val="uk-UA"/>
        </w:rPr>
        <w:t xml:space="preserve">РОЗДІЛ 6 </w:t>
      </w:r>
    </w:p>
    <w:p w:rsidR="00214250" w:rsidRPr="002E6ECA" w:rsidRDefault="00214250" w:rsidP="00214250">
      <w:pPr>
        <w:spacing w:line="360" w:lineRule="auto"/>
        <w:ind w:firstLine="709"/>
        <w:jc w:val="center"/>
        <w:rPr>
          <w:sz w:val="28"/>
          <w:szCs w:val="28"/>
          <w:lang w:val="uk-UA"/>
        </w:rPr>
      </w:pPr>
      <w:r w:rsidRPr="002E6ECA">
        <w:rPr>
          <w:sz w:val="28"/>
          <w:szCs w:val="28"/>
          <w:lang w:val="uk-UA"/>
        </w:rPr>
        <w:t>АКАДЕМІЧНА УСПІШНІСТЬ ЯК ПРЕДИКТОР СОЦІАЛЬНОЇ АДАПТАЦІЇ ШКОЛЯРІВ ТА ЇЇ ФІЗІОЛОГІЧНА «ЦІНА»</w:t>
      </w:r>
    </w:p>
    <w:p w:rsidR="00214250" w:rsidRPr="002E6ECA" w:rsidRDefault="00214250" w:rsidP="00214250">
      <w:pPr>
        <w:spacing w:line="360" w:lineRule="auto"/>
        <w:ind w:firstLine="709"/>
        <w:jc w:val="center"/>
        <w:rPr>
          <w:sz w:val="28"/>
          <w:szCs w:val="28"/>
          <w:lang w:val="uk-UA"/>
        </w:rPr>
      </w:pPr>
    </w:p>
    <w:p w:rsidR="00214250" w:rsidRPr="002E6ECA" w:rsidRDefault="00214250" w:rsidP="00214250">
      <w:pPr>
        <w:spacing w:line="360" w:lineRule="auto"/>
        <w:ind w:firstLine="709"/>
        <w:jc w:val="both"/>
        <w:rPr>
          <w:sz w:val="28"/>
          <w:szCs w:val="28"/>
          <w:lang w:val="uk-UA"/>
        </w:rPr>
      </w:pPr>
      <w:r w:rsidRPr="002E6ECA">
        <w:rPr>
          <w:sz w:val="28"/>
          <w:szCs w:val="28"/>
          <w:lang w:val="uk-UA"/>
        </w:rPr>
        <w:t>Академічна успішність – це критерій, що визначає навчальні досягнення учнів та рівень освіти, обумовлений рівнем мотивації школярів та у загальнодержавному значенні виступає головною детермінантою соціального і економічного розвитку країни. Проте безсумнівним залишається актуальність питання щодо визначення та забезпечення тих умов, що сприятимуть оптимальному протіканню когнітивної діяльності дітей та підлітків із формуванням високого/достатнього рівня навчальних досягнень. Однією з умов ефективної організації навчального процесу є відповідність інтенсивності навчального навантаження і рухової активності віковим і психофізіологічним особливостям школярів, особливо з урахуванням впровадження новітніх навчально-педагогічних технологій [</w:t>
      </w:r>
      <w:r w:rsidR="00E53B5C" w:rsidRPr="002E6ECA">
        <w:rPr>
          <w:sz w:val="28"/>
          <w:szCs w:val="28"/>
          <w:lang w:val="uk-UA"/>
        </w:rPr>
        <w:t xml:space="preserve">32, </w:t>
      </w:r>
      <w:r w:rsidR="00E53B5C" w:rsidRPr="002E6ECA">
        <w:rPr>
          <w:rStyle w:val="fontstyle01"/>
          <w:b w:val="0"/>
          <w:color w:val="auto"/>
          <w:sz w:val="28"/>
          <w:szCs w:val="28"/>
          <w:lang w:val="uk-UA"/>
        </w:rPr>
        <w:t>89</w:t>
      </w:r>
      <w:r w:rsidRPr="002E6ECA">
        <w:rPr>
          <w:sz w:val="28"/>
          <w:szCs w:val="28"/>
          <w:lang w:val="uk-UA"/>
        </w:rPr>
        <w:t xml:space="preserve">]. </w:t>
      </w:r>
    </w:p>
    <w:p w:rsidR="00214250" w:rsidRPr="002E6ECA" w:rsidRDefault="00214250" w:rsidP="00214250">
      <w:pPr>
        <w:spacing w:line="360" w:lineRule="auto"/>
        <w:ind w:firstLine="709"/>
        <w:jc w:val="center"/>
        <w:rPr>
          <w:sz w:val="28"/>
          <w:szCs w:val="28"/>
          <w:lang w:val="uk-UA"/>
        </w:rPr>
      </w:pPr>
    </w:p>
    <w:p w:rsidR="00214250" w:rsidRPr="002E6ECA" w:rsidRDefault="00214250" w:rsidP="00755417">
      <w:pPr>
        <w:spacing w:line="360" w:lineRule="auto"/>
        <w:ind w:firstLine="709"/>
        <w:jc w:val="both"/>
        <w:rPr>
          <w:b/>
          <w:sz w:val="28"/>
          <w:szCs w:val="28"/>
          <w:lang w:val="uk-UA"/>
        </w:rPr>
      </w:pPr>
      <w:r w:rsidRPr="002E6ECA">
        <w:rPr>
          <w:b/>
          <w:sz w:val="28"/>
          <w:szCs w:val="28"/>
          <w:lang w:val="uk-UA"/>
        </w:rPr>
        <w:t>6.1. Методологічні підходи до визначення рівня академічної успішності (розподілу учнів за рівнем академічної успішності)</w:t>
      </w:r>
    </w:p>
    <w:p w:rsidR="00214250" w:rsidRPr="002E6ECA" w:rsidRDefault="00214250" w:rsidP="00214250">
      <w:pPr>
        <w:spacing w:line="360" w:lineRule="auto"/>
        <w:ind w:firstLine="709"/>
        <w:jc w:val="both"/>
        <w:rPr>
          <w:sz w:val="28"/>
          <w:szCs w:val="28"/>
          <w:lang w:val="uk-UA"/>
        </w:rPr>
      </w:pPr>
      <w:r w:rsidRPr="002E6ECA">
        <w:rPr>
          <w:sz w:val="28"/>
          <w:szCs w:val="28"/>
          <w:lang w:val="uk-UA"/>
        </w:rPr>
        <w:t xml:space="preserve">За допомогою методу головних компонент предмети 9-го року навчання було зведено у 2 розряди (описова здатність матриці=66,50%). До 1 розряду увійшли навчальні предмети суспільно-гуманітарного  циклу (українська мова та література, російська мова, зарубіжна література, іноземна мова, історія України та всесвітня, правознавство), природничого напрямку (біологія, географія, фізика, хімія), технологічного циклів  та інформатика. До 2 розряду увійшли навчальні предмети математичного (алгебра, геометрія), художньо-естетичного (мистецтво) та фізкультурно-оздоровчого циклів (табл.6.1). </w:t>
      </w:r>
    </w:p>
    <w:p w:rsidR="000D2794" w:rsidRPr="002E6ECA" w:rsidRDefault="000D2794" w:rsidP="000D2794">
      <w:pPr>
        <w:spacing w:line="360" w:lineRule="auto"/>
        <w:ind w:firstLine="709"/>
        <w:jc w:val="both"/>
        <w:rPr>
          <w:sz w:val="28"/>
          <w:szCs w:val="28"/>
          <w:lang w:val="uk-UA"/>
        </w:rPr>
      </w:pPr>
      <w:r w:rsidRPr="002E6ECA">
        <w:rPr>
          <w:sz w:val="28"/>
          <w:szCs w:val="28"/>
          <w:lang w:val="uk-UA"/>
        </w:rPr>
        <w:t xml:space="preserve">Загальна надійність і узгодженість шкал дуже висока - α-Кронбаха = 0,94. Кореляції для 2-х шкал (із розподілом за двома групами предметів та за середнім балом академічної успішності) дуже висока в рамках одного виміру: 6 </w:t>
      </w:r>
    </w:p>
    <w:p w:rsidR="00214250" w:rsidRPr="002E6ECA" w:rsidRDefault="00214250" w:rsidP="00214250">
      <w:pPr>
        <w:spacing w:line="360" w:lineRule="auto"/>
        <w:ind w:firstLine="709"/>
        <w:jc w:val="right"/>
        <w:rPr>
          <w:i/>
          <w:sz w:val="28"/>
          <w:szCs w:val="28"/>
          <w:lang w:val="uk-UA"/>
        </w:rPr>
      </w:pPr>
      <w:r w:rsidRPr="002E6ECA">
        <w:rPr>
          <w:i/>
          <w:sz w:val="28"/>
          <w:szCs w:val="28"/>
          <w:lang w:val="uk-UA"/>
        </w:rPr>
        <w:lastRenderedPageBreak/>
        <w:t xml:space="preserve">Таблиця 6.1 </w:t>
      </w:r>
    </w:p>
    <w:p w:rsidR="00214250" w:rsidRPr="002E6ECA" w:rsidRDefault="00214250" w:rsidP="001F15CC">
      <w:pPr>
        <w:spacing w:line="360" w:lineRule="auto"/>
        <w:ind w:firstLine="709"/>
        <w:jc w:val="center"/>
        <w:rPr>
          <w:b/>
          <w:sz w:val="28"/>
          <w:szCs w:val="28"/>
          <w:lang w:val="uk-UA"/>
        </w:rPr>
      </w:pPr>
      <w:r w:rsidRPr="002E6ECA">
        <w:rPr>
          <w:b/>
          <w:sz w:val="28"/>
          <w:szCs w:val="28"/>
          <w:lang w:val="uk-UA"/>
        </w:rPr>
        <w:t>Характеристика груп учнів за рівнем навчальної успішності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2551"/>
        <w:gridCol w:w="1418"/>
        <w:gridCol w:w="2551"/>
        <w:gridCol w:w="1560"/>
      </w:tblGrid>
      <w:tr w:rsidR="00214250" w:rsidRPr="002E6ECA" w:rsidTr="001425D9">
        <w:tc>
          <w:tcPr>
            <w:tcW w:w="1526" w:type="dxa"/>
            <w:vMerge w:val="restart"/>
            <w:shd w:val="clear" w:color="auto" w:fill="auto"/>
          </w:tcPr>
          <w:p w:rsidR="00214250" w:rsidRPr="002E6ECA" w:rsidRDefault="00214250" w:rsidP="001425D9">
            <w:pPr>
              <w:spacing w:line="360" w:lineRule="auto"/>
              <w:rPr>
                <w:sz w:val="28"/>
                <w:szCs w:val="28"/>
                <w:lang w:val="uk-UA"/>
              </w:rPr>
            </w:pPr>
            <w:r w:rsidRPr="002E6ECA">
              <w:rPr>
                <w:sz w:val="28"/>
                <w:szCs w:val="28"/>
                <w:lang w:val="uk-UA"/>
              </w:rPr>
              <w:t>Загальна група</w:t>
            </w:r>
          </w:p>
        </w:tc>
        <w:tc>
          <w:tcPr>
            <w:tcW w:w="3969" w:type="dxa"/>
            <w:gridSpan w:val="2"/>
            <w:shd w:val="clear" w:color="auto" w:fill="auto"/>
          </w:tcPr>
          <w:p w:rsidR="00214250" w:rsidRPr="002E6ECA" w:rsidRDefault="00214250" w:rsidP="001425D9">
            <w:pPr>
              <w:spacing w:line="360" w:lineRule="auto"/>
              <w:rPr>
                <w:sz w:val="28"/>
                <w:szCs w:val="28"/>
                <w:lang w:val="uk-UA"/>
              </w:rPr>
            </w:pPr>
            <w:r w:rsidRPr="002E6ECA">
              <w:rPr>
                <w:sz w:val="28"/>
                <w:szCs w:val="28"/>
                <w:lang w:val="uk-UA"/>
              </w:rPr>
              <w:t>1 розряд навчальних предметів</w:t>
            </w:r>
          </w:p>
        </w:tc>
        <w:tc>
          <w:tcPr>
            <w:tcW w:w="4111" w:type="dxa"/>
            <w:gridSpan w:val="2"/>
            <w:shd w:val="clear" w:color="auto" w:fill="auto"/>
          </w:tcPr>
          <w:p w:rsidR="00214250" w:rsidRPr="002E6ECA" w:rsidRDefault="00214250" w:rsidP="001425D9">
            <w:pPr>
              <w:spacing w:line="360" w:lineRule="auto"/>
              <w:rPr>
                <w:sz w:val="28"/>
                <w:szCs w:val="28"/>
                <w:lang w:val="uk-UA"/>
              </w:rPr>
            </w:pPr>
            <w:r w:rsidRPr="002E6ECA">
              <w:rPr>
                <w:sz w:val="28"/>
                <w:szCs w:val="28"/>
                <w:lang w:val="uk-UA"/>
              </w:rPr>
              <w:t>2 розряд навчальних предметів</w:t>
            </w:r>
          </w:p>
        </w:tc>
      </w:tr>
      <w:tr w:rsidR="00214250" w:rsidRPr="002E6ECA" w:rsidTr="001425D9">
        <w:tc>
          <w:tcPr>
            <w:tcW w:w="1526" w:type="dxa"/>
            <w:vMerge/>
            <w:shd w:val="clear" w:color="auto" w:fill="auto"/>
          </w:tcPr>
          <w:p w:rsidR="00214250" w:rsidRPr="002E6ECA" w:rsidRDefault="00214250" w:rsidP="001425D9">
            <w:pPr>
              <w:spacing w:line="360" w:lineRule="auto"/>
              <w:rPr>
                <w:sz w:val="28"/>
                <w:szCs w:val="28"/>
                <w:lang w:val="uk-UA"/>
              </w:rPr>
            </w:pP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Рівень</w:t>
            </w:r>
          </w:p>
        </w:tc>
        <w:tc>
          <w:tcPr>
            <w:tcW w:w="1418"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Бали</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Рівень</w:t>
            </w:r>
          </w:p>
        </w:tc>
        <w:tc>
          <w:tcPr>
            <w:tcW w:w="1560"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бали</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11 (n=133)</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Нижче за 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&lt;7,74</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Нижче за 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&lt;8,28</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12 (n=35)</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Нижче за 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&lt;7,74</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8,28-9,62</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13 (n=8)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Нижче за 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&lt;7,74</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Вище за 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&gt;9,62</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21 (n=53)</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7,74-9,08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Нижче за 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&lt;8,28</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22 (n=75)</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7,74-9,08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8,28-9,62</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23 (n=39)</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7,74-9,08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Вище за 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&gt;9,62</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31 (n=5)</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Вище за 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&gt;9,08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Нижче за 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&lt;8,28</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32 (n=37)</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Вище за 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&gt;9,08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8,28-9,62</w:t>
            </w:r>
          </w:p>
        </w:tc>
      </w:tr>
      <w:tr w:rsidR="00214250" w:rsidRPr="002E6ECA" w:rsidTr="001425D9">
        <w:trPr>
          <w:trHeight w:val="57"/>
        </w:trPr>
        <w:tc>
          <w:tcPr>
            <w:tcW w:w="1526"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33 (n=132)</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Вище за середній</w:t>
            </w:r>
          </w:p>
        </w:tc>
        <w:tc>
          <w:tcPr>
            <w:tcW w:w="1418"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&gt;9,08</w:t>
            </w:r>
          </w:p>
        </w:tc>
        <w:tc>
          <w:tcPr>
            <w:tcW w:w="2551" w:type="dxa"/>
            <w:shd w:val="clear" w:color="auto" w:fill="auto"/>
          </w:tcPr>
          <w:p w:rsidR="00214250" w:rsidRPr="002E6ECA" w:rsidRDefault="00214250" w:rsidP="001425D9">
            <w:pPr>
              <w:spacing w:line="360" w:lineRule="auto"/>
              <w:rPr>
                <w:sz w:val="28"/>
                <w:szCs w:val="28"/>
                <w:lang w:val="uk-UA"/>
              </w:rPr>
            </w:pPr>
            <w:r w:rsidRPr="002E6ECA">
              <w:rPr>
                <w:sz w:val="28"/>
                <w:szCs w:val="28"/>
                <w:lang w:val="uk-UA"/>
              </w:rPr>
              <w:t>Вище за середній</w:t>
            </w:r>
          </w:p>
        </w:tc>
        <w:tc>
          <w:tcPr>
            <w:tcW w:w="1560" w:type="dxa"/>
            <w:shd w:val="clear" w:color="auto" w:fill="auto"/>
          </w:tcPr>
          <w:p w:rsidR="00214250" w:rsidRPr="002E6ECA" w:rsidRDefault="00214250" w:rsidP="001425D9">
            <w:pPr>
              <w:spacing w:line="360" w:lineRule="auto"/>
              <w:jc w:val="center"/>
              <w:rPr>
                <w:sz w:val="28"/>
                <w:szCs w:val="28"/>
                <w:lang w:val="uk-UA"/>
              </w:rPr>
            </w:pPr>
            <w:r w:rsidRPr="002E6ECA">
              <w:rPr>
                <w:sz w:val="28"/>
                <w:szCs w:val="28"/>
                <w:lang w:val="uk-UA"/>
              </w:rPr>
              <w:t>&gt;9,62</w:t>
            </w:r>
          </w:p>
        </w:tc>
      </w:tr>
    </w:tbl>
    <w:p w:rsidR="00214250" w:rsidRPr="002E6ECA" w:rsidRDefault="00214250" w:rsidP="00214250">
      <w:pPr>
        <w:spacing w:line="360" w:lineRule="auto"/>
        <w:ind w:firstLine="709"/>
        <w:rPr>
          <w:sz w:val="28"/>
          <w:szCs w:val="28"/>
          <w:lang w:val="uk-UA"/>
        </w:rPr>
      </w:pPr>
    </w:p>
    <w:p w:rsidR="00FE4735" w:rsidRPr="002E6ECA" w:rsidRDefault="00FE4735" w:rsidP="00FE4735">
      <w:pPr>
        <w:spacing w:line="360" w:lineRule="auto"/>
        <w:jc w:val="both"/>
        <w:rPr>
          <w:sz w:val="28"/>
          <w:szCs w:val="28"/>
          <w:lang w:val="uk-UA"/>
        </w:rPr>
      </w:pPr>
      <w:r w:rsidRPr="002E6ECA">
        <w:rPr>
          <w:sz w:val="28"/>
          <w:szCs w:val="28"/>
          <w:lang w:val="uk-UA"/>
        </w:rPr>
        <w:t>клас = 0,92 і 9 клас = 0,96. Міжкласові кореляції середні і менше 0,75 для всіх випадків, що говорить про повне загальне середнє спадкування рівня успішності від 6-го до 9-го класу (табл. 6.2). Рівень кореляції між шкалами в межах класу дуже висока, – більше 0,9.</w:t>
      </w:r>
    </w:p>
    <w:p w:rsidR="00214250" w:rsidRPr="002E6ECA" w:rsidRDefault="00214250" w:rsidP="00214250">
      <w:pPr>
        <w:spacing w:line="360" w:lineRule="auto"/>
        <w:ind w:firstLine="709"/>
        <w:jc w:val="right"/>
        <w:rPr>
          <w:bCs/>
          <w:i/>
          <w:sz w:val="28"/>
          <w:szCs w:val="28"/>
          <w:lang w:val="uk-UA"/>
        </w:rPr>
      </w:pPr>
      <w:r w:rsidRPr="002E6ECA">
        <w:rPr>
          <w:bCs/>
          <w:i/>
          <w:sz w:val="28"/>
          <w:szCs w:val="28"/>
          <w:lang w:val="uk-UA"/>
        </w:rPr>
        <w:t xml:space="preserve">Таблиця 6.2 </w:t>
      </w:r>
    </w:p>
    <w:p w:rsidR="00214250" w:rsidRPr="002E6ECA" w:rsidRDefault="00214250" w:rsidP="00214250">
      <w:pPr>
        <w:spacing w:line="360" w:lineRule="auto"/>
        <w:ind w:firstLine="709"/>
        <w:jc w:val="center"/>
        <w:rPr>
          <w:b/>
          <w:sz w:val="28"/>
          <w:szCs w:val="28"/>
          <w:lang w:val="uk-UA"/>
        </w:rPr>
      </w:pPr>
      <w:r w:rsidRPr="002E6ECA">
        <w:rPr>
          <w:b/>
          <w:bCs/>
          <w:sz w:val="28"/>
          <w:szCs w:val="28"/>
          <w:lang w:val="uk-UA"/>
        </w:rPr>
        <w:t>Матриця кореляції між елементами</w:t>
      </w:r>
    </w:p>
    <w:tbl>
      <w:tblPr>
        <w:tblW w:w="0" w:type="auto"/>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209"/>
        <w:gridCol w:w="1868"/>
        <w:gridCol w:w="1841"/>
        <w:gridCol w:w="1868"/>
        <w:gridCol w:w="1841"/>
      </w:tblGrid>
      <w:tr w:rsidR="00214250" w:rsidRPr="002E6ECA" w:rsidTr="001425D9">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Елементи шкал</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 xml:space="preserve">6 клас                  </w:t>
            </w:r>
          </w:p>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(2 групи предметів)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6 клас (середній бал)</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 xml:space="preserve">9 клас </w:t>
            </w:r>
          </w:p>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(2 групи предметів)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9 клас (середній бал)</w:t>
            </w:r>
          </w:p>
        </w:tc>
      </w:tr>
      <w:tr w:rsidR="00214250" w:rsidRPr="002E6ECA" w:rsidTr="001425D9">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14250" w:rsidRPr="002E6ECA" w:rsidRDefault="00214250" w:rsidP="00755417">
            <w:pPr>
              <w:autoSpaceDE w:val="0"/>
              <w:autoSpaceDN w:val="0"/>
              <w:adjustRightInd w:val="0"/>
              <w:spacing w:line="276" w:lineRule="auto"/>
              <w:ind w:left="60" w:right="60"/>
              <w:rPr>
                <w:sz w:val="28"/>
                <w:szCs w:val="28"/>
                <w:lang w:val="uk-UA"/>
              </w:rPr>
            </w:pPr>
            <w:r w:rsidRPr="002E6ECA">
              <w:rPr>
                <w:sz w:val="28"/>
                <w:szCs w:val="28"/>
                <w:lang w:val="uk-UA"/>
              </w:rPr>
              <w:t>6 клас (2 групи предметів)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1,000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0,916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0,728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0,735</w:t>
            </w:r>
          </w:p>
        </w:tc>
      </w:tr>
      <w:tr w:rsidR="00214250" w:rsidRPr="002E6ECA" w:rsidTr="001425D9">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14250" w:rsidRPr="002E6ECA" w:rsidRDefault="00214250" w:rsidP="00755417">
            <w:pPr>
              <w:autoSpaceDE w:val="0"/>
              <w:autoSpaceDN w:val="0"/>
              <w:adjustRightInd w:val="0"/>
              <w:spacing w:line="276" w:lineRule="auto"/>
              <w:ind w:left="60" w:right="60"/>
              <w:rPr>
                <w:sz w:val="28"/>
                <w:szCs w:val="28"/>
                <w:lang w:val="uk-UA"/>
              </w:rPr>
            </w:pPr>
            <w:r w:rsidRPr="002E6ECA">
              <w:rPr>
                <w:sz w:val="28"/>
                <w:szCs w:val="28"/>
                <w:lang w:val="uk-UA"/>
              </w:rPr>
              <w:t>6 клас (середній бал)</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0,916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1,000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0,707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0,711</w:t>
            </w:r>
          </w:p>
        </w:tc>
      </w:tr>
      <w:tr w:rsidR="00214250" w:rsidRPr="002E6ECA" w:rsidTr="001425D9">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14250" w:rsidRPr="002E6ECA" w:rsidRDefault="00214250" w:rsidP="00755417">
            <w:pPr>
              <w:autoSpaceDE w:val="0"/>
              <w:autoSpaceDN w:val="0"/>
              <w:adjustRightInd w:val="0"/>
              <w:spacing w:line="276" w:lineRule="auto"/>
              <w:ind w:left="60" w:right="60"/>
              <w:rPr>
                <w:sz w:val="28"/>
                <w:szCs w:val="28"/>
                <w:lang w:val="uk-UA"/>
              </w:rPr>
            </w:pPr>
            <w:r w:rsidRPr="002E6ECA">
              <w:rPr>
                <w:sz w:val="28"/>
                <w:szCs w:val="28"/>
                <w:lang w:val="uk-UA"/>
              </w:rPr>
              <w:t>9 клас (2 групи предметів)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0,728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0,707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1,000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0,963</w:t>
            </w:r>
          </w:p>
        </w:tc>
      </w:tr>
      <w:tr w:rsidR="00214250" w:rsidRPr="002E6ECA" w:rsidTr="001425D9">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14250" w:rsidRPr="002E6ECA" w:rsidRDefault="00214250" w:rsidP="00755417">
            <w:pPr>
              <w:autoSpaceDE w:val="0"/>
              <w:autoSpaceDN w:val="0"/>
              <w:adjustRightInd w:val="0"/>
              <w:spacing w:line="276" w:lineRule="auto"/>
              <w:ind w:left="60" w:right="60"/>
              <w:rPr>
                <w:sz w:val="28"/>
                <w:szCs w:val="28"/>
                <w:lang w:val="uk-UA"/>
              </w:rPr>
            </w:pPr>
            <w:r w:rsidRPr="002E6ECA">
              <w:rPr>
                <w:sz w:val="28"/>
                <w:szCs w:val="28"/>
                <w:lang w:val="uk-UA"/>
              </w:rPr>
              <w:t>9 клас (середній бал)</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0,735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0,711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0,963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14250" w:rsidRPr="002E6ECA" w:rsidRDefault="00214250" w:rsidP="00755417">
            <w:pPr>
              <w:autoSpaceDE w:val="0"/>
              <w:autoSpaceDN w:val="0"/>
              <w:adjustRightInd w:val="0"/>
              <w:spacing w:line="276" w:lineRule="auto"/>
              <w:ind w:left="60" w:right="60"/>
              <w:jc w:val="center"/>
              <w:rPr>
                <w:sz w:val="28"/>
                <w:szCs w:val="28"/>
                <w:lang w:val="uk-UA"/>
              </w:rPr>
            </w:pPr>
            <w:r w:rsidRPr="002E6ECA">
              <w:rPr>
                <w:sz w:val="28"/>
                <w:szCs w:val="28"/>
                <w:lang w:val="uk-UA"/>
              </w:rPr>
              <w:t>1,000</w:t>
            </w:r>
          </w:p>
        </w:tc>
      </w:tr>
    </w:tbl>
    <w:p w:rsidR="00214250" w:rsidRPr="002E6ECA" w:rsidRDefault="00214250" w:rsidP="00214250">
      <w:pPr>
        <w:spacing w:line="360" w:lineRule="auto"/>
        <w:ind w:firstLine="709"/>
        <w:rPr>
          <w:sz w:val="28"/>
          <w:szCs w:val="28"/>
          <w:lang w:val="uk-UA"/>
        </w:rPr>
      </w:pPr>
    </w:p>
    <w:p w:rsidR="00FE4735" w:rsidRPr="002E6ECA" w:rsidRDefault="00FE4735" w:rsidP="00FE4735">
      <w:pPr>
        <w:spacing w:line="360" w:lineRule="auto"/>
        <w:ind w:firstLine="709"/>
        <w:jc w:val="both"/>
        <w:rPr>
          <w:sz w:val="28"/>
          <w:szCs w:val="28"/>
          <w:lang w:val="uk-UA"/>
        </w:rPr>
      </w:pPr>
      <w:r w:rsidRPr="002E6ECA">
        <w:rPr>
          <w:sz w:val="28"/>
          <w:szCs w:val="28"/>
          <w:lang w:val="uk-UA"/>
        </w:rPr>
        <w:lastRenderedPageBreak/>
        <w:t xml:space="preserve">Таким чином, обидві шкали надійні і добре узгоджені та, відповідно, можливе використання тільки шкали, якій віддається перевага – за середнім балом. </w:t>
      </w:r>
    </w:p>
    <w:p w:rsidR="00FE4735" w:rsidRPr="002E6ECA" w:rsidRDefault="00FE4735" w:rsidP="00FE4735">
      <w:pPr>
        <w:spacing w:line="360" w:lineRule="auto"/>
        <w:ind w:firstLine="709"/>
        <w:jc w:val="both"/>
        <w:rPr>
          <w:sz w:val="28"/>
          <w:szCs w:val="28"/>
          <w:lang w:val="uk-UA"/>
        </w:rPr>
      </w:pPr>
      <w:r w:rsidRPr="002E6ECA">
        <w:rPr>
          <w:sz w:val="28"/>
          <w:szCs w:val="28"/>
          <w:lang w:val="uk-UA"/>
        </w:rPr>
        <w:t>У зв’язку з цим подальший аналіз результатів досліджень проводився за середнім балом академічної успішності із розподілом учнів-випускників базової школи на 3 групи:</w:t>
      </w:r>
    </w:p>
    <w:p w:rsidR="00FE4735" w:rsidRPr="002E6ECA" w:rsidRDefault="00FE4735" w:rsidP="00FE4735">
      <w:pPr>
        <w:spacing w:line="360" w:lineRule="auto"/>
        <w:ind w:firstLine="709"/>
        <w:jc w:val="both"/>
        <w:rPr>
          <w:sz w:val="28"/>
          <w:szCs w:val="28"/>
          <w:lang w:val="uk-UA"/>
        </w:rPr>
      </w:pPr>
      <w:r w:rsidRPr="002E6ECA">
        <w:rPr>
          <w:sz w:val="28"/>
          <w:szCs w:val="28"/>
          <w:lang w:val="uk-UA"/>
        </w:rPr>
        <w:t>Група 1 – учні з рівнем академічної успішності нижчим за середній (до 7,85 балу).</w:t>
      </w:r>
    </w:p>
    <w:p w:rsidR="00FE4735" w:rsidRPr="002E6ECA" w:rsidRDefault="00FE4735" w:rsidP="00FE4735">
      <w:pPr>
        <w:spacing w:line="360" w:lineRule="auto"/>
        <w:ind w:firstLine="709"/>
        <w:jc w:val="both"/>
        <w:rPr>
          <w:sz w:val="28"/>
          <w:szCs w:val="28"/>
          <w:lang w:val="uk-UA"/>
        </w:rPr>
      </w:pPr>
      <w:r w:rsidRPr="002E6ECA">
        <w:rPr>
          <w:sz w:val="28"/>
          <w:szCs w:val="28"/>
          <w:lang w:val="uk-UA"/>
        </w:rPr>
        <w:t>Група 2 – учні з середнім рівнем академічної успішності (від 7,85 до 9,19 балу включно).</w:t>
      </w:r>
    </w:p>
    <w:p w:rsidR="00FE4735" w:rsidRPr="002E6ECA" w:rsidRDefault="00FE4735" w:rsidP="00FE4735">
      <w:pPr>
        <w:spacing w:line="360" w:lineRule="auto"/>
        <w:ind w:firstLine="709"/>
        <w:rPr>
          <w:sz w:val="28"/>
          <w:szCs w:val="28"/>
          <w:lang w:val="uk-UA"/>
        </w:rPr>
      </w:pPr>
      <w:r w:rsidRPr="002E6ECA">
        <w:rPr>
          <w:sz w:val="28"/>
          <w:szCs w:val="28"/>
          <w:lang w:val="uk-UA"/>
        </w:rPr>
        <w:t xml:space="preserve">Група 3 – учні з рівнем академічної успішності вище за середню (понад 9,19 балу). </w:t>
      </w:r>
    </w:p>
    <w:p w:rsidR="00214250" w:rsidRPr="002E6ECA" w:rsidRDefault="00214250" w:rsidP="00214250">
      <w:pPr>
        <w:spacing w:line="360" w:lineRule="auto"/>
        <w:ind w:firstLine="709"/>
        <w:jc w:val="both"/>
        <w:rPr>
          <w:sz w:val="28"/>
          <w:szCs w:val="28"/>
          <w:lang w:val="uk-UA"/>
        </w:rPr>
      </w:pPr>
      <w:r w:rsidRPr="002E6ECA">
        <w:rPr>
          <w:sz w:val="28"/>
          <w:szCs w:val="28"/>
          <w:lang w:val="uk-UA"/>
        </w:rPr>
        <w:t xml:space="preserve">За результатами анкетування 1025 дев’ятикласників щодо організації навчальної та позашкільної діяльності, а також рівня своєї академічної успішності їх було розподілено на 3 групи у залежно від обраного варіанту відповіді: </w:t>
      </w:r>
    </w:p>
    <w:p w:rsidR="00214250" w:rsidRPr="002E6ECA" w:rsidRDefault="00214250" w:rsidP="009A2CF7">
      <w:pPr>
        <w:pStyle w:val="a3"/>
        <w:numPr>
          <w:ilvl w:val="0"/>
          <w:numId w:val="50"/>
        </w:numPr>
        <w:spacing w:line="360" w:lineRule="auto"/>
        <w:jc w:val="both"/>
        <w:rPr>
          <w:sz w:val="28"/>
          <w:szCs w:val="28"/>
          <w:lang w:val="uk-UA"/>
        </w:rPr>
      </w:pPr>
      <w:r w:rsidRPr="002E6ECA">
        <w:rPr>
          <w:sz w:val="28"/>
          <w:szCs w:val="28"/>
          <w:lang w:val="uk-UA"/>
        </w:rPr>
        <w:t>учні, що обрали відповіді «добре» та «відмінно» (високий рівень);</w:t>
      </w:r>
    </w:p>
    <w:p w:rsidR="00214250" w:rsidRPr="002E6ECA" w:rsidRDefault="00214250" w:rsidP="009A2CF7">
      <w:pPr>
        <w:pStyle w:val="a3"/>
        <w:numPr>
          <w:ilvl w:val="0"/>
          <w:numId w:val="50"/>
        </w:numPr>
        <w:spacing w:line="360" w:lineRule="auto"/>
        <w:jc w:val="both"/>
        <w:rPr>
          <w:sz w:val="28"/>
          <w:szCs w:val="28"/>
          <w:lang w:val="uk-UA"/>
        </w:rPr>
      </w:pPr>
      <w:r w:rsidRPr="002E6ECA">
        <w:rPr>
          <w:sz w:val="28"/>
          <w:szCs w:val="28"/>
          <w:lang w:val="uk-UA"/>
        </w:rPr>
        <w:t>«добре» та «задовільно» (середній рівень);</w:t>
      </w:r>
    </w:p>
    <w:p w:rsidR="00214250" w:rsidRPr="002E6ECA" w:rsidRDefault="00214250" w:rsidP="009A2CF7">
      <w:pPr>
        <w:pStyle w:val="a3"/>
        <w:numPr>
          <w:ilvl w:val="0"/>
          <w:numId w:val="50"/>
        </w:numPr>
        <w:spacing w:line="360" w:lineRule="auto"/>
        <w:jc w:val="both"/>
        <w:rPr>
          <w:sz w:val="28"/>
          <w:szCs w:val="28"/>
          <w:lang w:val="uk-UA"/>
        </w:rPr>
      </w:pPr>
      <w:r w:rsidRPr="002E6ECA">
        <w:rPr>
          <w:sz w:val="28"/>
          <w:szCs w:val="28"/>
          <w:lang w:val="uk-UA"/>
        </w:rPr>
        <w:t>«переважно задовільно» (низький рівень).</w:t>
      </w:r>
    </w:p>
    <w:p w:rsidR="00214250" w:rsidRPr="002E6ECA" w:rsidRDefault="00214250" w:rsidP="001F15CC">
      <w:pPr>
        <w:spacing w:line="360" w:lineRule="auto"/>
        <w:ind w:firstLine="709"/>
        <w:jc w:val="both"/>
        <w:rPr>
          <w:sz w:val="28"/>
          <w:szCs w:val="28"/>
          <w:lang w:val="uk-UA"/>
        </w:rPr>
      </w:pPr>
      <w:r w:rsidRPr="002E6ECA">
        <w:rPr>
          <w:sz w:val="28"/>
          <w:szCs w:val="28"/>
          <w:lang w:val="uk-UA"/>
        </w:rPr>
        <w:t>Оцінено їх вмотивованість щодо отримання високого балу академічної успішності та його важливості (табл. 6.3). Встановлено пряму залежність між рівнем академічної успішності та бажанням учнів отримувати високі оцінки.</w:t>
      </w:r>
    </w:p>
    <w:p w:rsidR="00755417" w:rsidRPr="002E6ECA" w:rsidRDefault="00755417" w:rsidP="00755417">
      <w:pPr>
        <w:spacing w:line="360" w:lineRule="auto"/>
        <w:ind w:firstLine="709"/>
        <w:jc w:val="both"/>
        <w:rPr>
          <w:sz w:val="28"/>
          <w:szCs w:val="28"/>
          <w:lang w:val="uk-UA"/>
        </w:rPr>
      </w:pPr>
      <w:r w:rsidRPr="002E6ECA">
        <w:rPr>
          <w:sz w:val="28"/>
          <w:szCs w:val="28"/>
          <w:lang w:val="uk-UA"/>
        </w:rPr>
        <w:t xml:space="preserve">При цьому головною причиною отримання гарних оцінок поставало піклування про своє професійне майбутнє, яке було більш характерним для учнів із середньою успішністю (78,4±1,8% підлітків; р&lt;0,05-0,01). Задовольнити батьків більше прагнули учні із низькою академічною успішністю (у 14,9±2,2%; р&lt;0,05-0,01). Обрання майбутньої освітньої траєкторії також мало певні особливості у різних групах (табл. 6.4). </w:t>
      </w:r>
    </w:p>
    <w:p w:rsidR="00FE4735" w:rsidRPr="002E6ECA" w:rsidRDefault="00FE4735" w:rsidP="00FE4735">
      <w:pPr>
        <w:spacing w:line="360" w:lineRule="auto"/>
        <w:ind w:firstLine="709"/>
        <w:jc w:val="both"/>
        <w:rPr>
          <w:sz w:val="28"/>
          <w:szCs w:val="28"/>
          <w:lang w:val="uk-UA"/>
        </w:rPr>
      </w:pPr>
      <w:r w:rsidRPr="002E6ECA">
        <w:rPr>
          <w:sz w:val="28"/>
          <w:szCs w:val="28"/>
          <w:lang w:val="uk-UA"/>
        </w:rPr>
        <w:lastRenderedPageBreak/>
        <w:t>Вищу освіту планували 98,4% учнів із високим рівнем успішності, середню спеціальну освіту – переважно учні з низькою академічною успішністю (37,3±3,1%; р&lt;0,01).</w:t>
      </w:r>
    </w:p>
    <w:p w:rsidR="00214250" w:rsidRPr="002E6ECA" w:rsidRDefault="00214250" w:rsidP="00214250">
      <w:pPr>
        <w:spacing w:line="360" w:lineRule="auto"/>
        <w:ind w:firstLine="709"/>
        <w:jc w:val="right"/>
        <w:rPr>
          <w:bCs/>
          <w:i/>
          <w:sz w:val="28"/>
          <w:szCs w:val="28"/>
          <w:lang w:val="uk-UA"/>
        </w:rPr>
      </w:pPr>
      <w:r w:rsidRPr="002E6ECA">
        <w:rPr>
          <w:bCs/>
          <w:i/>
          <w:sz w:val="28"/>
          <w:szCs w:val="28"/>
          <w:lang w:val="uk-UA"/>
        </w:rPr>
        <w:t xml:space="preserve">Таблиця 6.3 </w:t>
      </w:r>
    </w:p>
    <w:p w:rsidR="00214250" w:rsidRPr="002E6ECA" w:rsidRDefault="00214250" w:rsidP="00214250">
      <w:pPr>
        <w:spacing w:line="360" w:lineRule="auto"/>
        <w:ind w:firstLine="709"/>
        <w:jc w:val="center"/>
        <w:rPr>
          <w:b/>
          <w:sz w:val="28"/>
          <w:szCs w:val="28"/>
          <w:lang w:val="uk-UA"/>
        </w:rPr>
      </w:pPr>
      <w:r w:rsidRPr="002E6ECA">
        <w:rPr>
          <w:b/>
          <w:bCs/>
          <w:sz w:val="28"/>
          <w:szCs w:val="28"/>
          <w:lang w:val="uk-UA"/>
        </w:rPr>
        <w:t>Важливість оцінок для учнів з різним рівнем академічної успішності</w:t>
      </w:r>
    </w:p>
    <w:tbl>
      <w:tblPr>
        <w:tblW w:w="91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87"/>
        <w:gridCol w:w="1977"/>
        <w:gridCol w:w="1977"/>
        <w:gridCol w:w="1977"/>
      </w:tblGrid>
      <w:tr w:rsidR="00214250" w:rsidRPr="002E6ECA" w:rsidTr="00755417">
        <w:trPr>
          <w:trHeight w:val="255"/>
          <w:jc w:val="center"/>
        </w:trPr>
        <w:tc>
          <w:tcPr>
            <w:tcW w:w="3187" w:type="dxa"/>
            <w:vMerge w:val="restart"/>
            <w:shd w:val="clear" w:color="auto" w:fill="auto"/>
            <w:noWrap/>
            <w:vAlign w:val="bottom"/>
          </w:tcPr>
          <w:p w:rsidR="00214250" w:rsidRPr="002E6ECA" w:rsidRDefault="00214250" w:rsidP="001425D9">
            <w:pPr>
              <w:spacing w:line="360" w:lineRule="auto"/>
              <w:rPr>
                <w:sz w:val="28"/>
                <w:szCs w:val="28"/>
                <w:lang w:val="uk-UA" w:eastAsia="uk-UA"/>
              </w:rPr>
            </w:pPr>
            <w:r w:rsidRPr="002E6ECA">
              <w:rPr>
                <w:sz w:val="28"/>
                <w:szCs w:val="28"/>
                <w:lang w:val="uk-UA" w:eastAsia="uk-UA"/>
              </w:rPr>
              <w:t>Важливість оцінок</w:t>
            </w:r>
          </w:p>
        </w:tc>
        <w:tc>
          <w:tcPr>
            <w:tcW w:w="5931" w:type="dxa"/>
            <w:gridSpan w:val="3"/>
            <w:shd w:val="clear" w:color="auto" w:fill="auto"/>
            <w:noWrap/>
            <w:vAlign w:val="bottom"/>
          </w:tcPr>
          <w:p w:rsidR="00214250" w:rsidRPr="002E6ECA" w:rsidRDefault="00214250" w:rsidP="001425D9">
            <w:pPr>
              <w:spacing w:line="360" w:lineRule="auto"/>
              <w:rPr>
                <w:sz w:val="28"/>
                <w:szCs w:val="28"/>
                <w:lang w:val="uk-UA" w:eastAsia="uk-UA"/>
              </w:rPr>
            </w:pPr>
            <w:r w:rsidRPr="002E6ECA">
              <w:rPr>
                <w:sz w:val="28"/>
                <w:szCs w:val="28"/>
                <w:lang w:val="uk-UA" w:eastAsia="uk-UA"/>
              </w:rPr>
              <w:t>Самооцінка рівню академічної успішності</w:t>
            </w:r>
          </w:p>
        </w:tc>
      </w:tr>
      <w:tr w:rsidR="00214250" w:rsidRPr="002E6ECA" w:rsidTr="00755417">
        <w:trPr>
          <w:trHeight w:val="255"/>
          <w:jc w:val="center"/>
        </w:trPr>
        <w:tc>
          <w:tcPr>
            <w:tcW w:w="3187" w:type="dxa"/>
            <w:vMerge/>
            <w:shd w:val="clear" w:color="auto" w:fill="auto"/>
            <w:noWrap/>
            <w:vAlign w:val="bottom"/>
            <w:hideMark/>
          </w:tcPr>
          <w:p w:rsidR="00214250" w:rsidRPr="002E6ECA" w:rsidRDefault="00214250" w:rsidP="001425D9">
            <w:pPr>
              <w:spacing w:line="360" w:lineRule="auto"/>
              <w:rPr>
                <w:sz w:val="28"/>
                <w:szCs w:val="28"/>
                <w:lang w:val="uk-UA" w:eastAsia="uk-UA"/>
              </w:rPr>
            </w:pP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низький</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середній</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високий</w:t>
            </w:r>
          </w:p>
        </w:tc>
      </w:tr>
      <w:tr w:rsidR="00214250" w:rsidRPr="002E6ECA" w:rsidTr="00755417">
        <w:trPr>
          <w:trHeight w:val="255"/>
          <w:jc w:val="center"/>
        </w:trPr>
        <w:tc>
          <w:tcPr>
            <w:tcW w:w="318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Дуже важливо</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17,1±2,3</w:t>
            </w:r>
            <w:r w:rsidRPr="002E6ECA">
              <w:rPr>
                <w:sz w:val="28"/>
                <w:szCs w:val="28"/>
                <w:vertAlign w:val="superscript"/>
                <w:lang w:val="uk-UA" w:eastAsia="uk-UA"/>
              </w:rPr>
              <w:t>**в</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23,2±1,9</w:t>
            </w:r>
            <w:r w:rsidRPr="002E6ECA">
              <w:rPr>
                <w:sz w:val="28"/>
                <w:szCs w:val="28"/>
                <w:vertAlign w:val="superscript"/>
                <w:lang w:val="uk-UA" w:eastAsia="uk-UA"/>
              </w:rPr>
              <w:t>**в</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35,1±3,1</w:t>
            </w:r>
          </w:p>
        </w:tc>
      </w:tr>
      <w:tr w:rsidR="00214250" w:rsidRPr="002E6ECA" w:rsidTr="00755417">
        <w:trPr>
          <w:trHeight w:val="255"/>
          <w:jc w:val="center"/>
        </w:trPr>
        <w:tc>
          <w:tcPr>
            <w:tcW w:w="318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Важливо</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37,6±3,0</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52,7±2,2</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47,3±3,2</w:t>
            </w:r>
            <w:r w:rsidRPr="002E6ECA">
              <w:rPr>
                <w:sz w:val="28"/>
                <w:szCs w:val="28"/>
                <w:vertAlign w:val="superscript"/>
                <w:lang w:val="uk-UA" w:eastAsia="uk-UA"/>
              </w:rPr>
              <w:t>*н</w:t>
            </w:r>
          </w:p>
        </w:tc>
      </w:tr>
      <w:tr w:rsidR="00214250" w:rsidRPr="002E6ECA" w:rsidTr="00755417">
        <w:trPr>
          <w:trHeight w:val="255"/>
          <w:jc w:val="center"/>
        </w:trPr>
        <w:tc>
          <w:tcPr>
            <w:tcW w:w="3187" w:type="dxa"/>
            <w:shd w:val="clear" w:color="auto" w:fill="auto"/>
            <w:noWrap/>
            <w:vAlign w:val="bottom"/>
            <w:hideMark/>
          </w:tcPr>
          <w:p w:rsidR="00214250" w:rsidRPr="002E6ECA" w:rsidRDefault="00214250" w:rsidP="00DE59E3">
            <w:pPr>
              <w:spacing w:line="360" w:lineRule="auto"/>
              <w:rPr>
                <w:sz w:val="28"/>
                <w:szCs w:val="28"/>
                <w:lang w:val="uk-UA" w:eastAsia="uk-UA"/>
              </w:rPr>
            </w:pPr>
            <w:r w:rsidRPr="002E6ECA">
              <w:rPr>
                <w:sz w:val="28"/>
                <w:szCs w:val="28"/>
                <w:lang w:val="uk-UA" w:eastAsia="uk-UA"/>
              </w:rPr>
              <w:t xml:space="preserve">В якійсь </w:t>
            </w:r>
            <w:r w:rsidR="00DE59E3" w:rsidRPr="002E6ECA">
              <w:rPr>
                <w:sz w:val="28"/>
                <w:szCs w:val="28"/>
                <w:lang w:val="uk-UA" w:eastAsia="uk-UA"/>
              </w:rPr>
              <w:t>мірі</w:t>
            </w:r>
            <w:r w:rsidRPr="002E6ECA">
              <w:rPr>
                <w:sz w:val="28"/>
                <w:szCs w:val="28"/>
                <w:lang w:val="uk-UA" w:eastAsia="uk-UA"/>
              </w:rPr>
              <w:t xml:space="preserve"> важливо</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34,6±2,9</w:t>
            </w:r>
            <w:r w:rsidRPr="002E6ECA">
              <w:rPr>
                <w:sz w:val="28"/>
                <w:szCs w:val="28"/>
                <w:vertAlign w:val="superscript"/>
                <w:lang w:val="uk-UA" w:eastAsia="uk-UA"/>
              </w:rPr>
              <w:t>**в</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22,2±1,8</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15,5±2,3</w:t>
            </w:r>
            <w:r w:rsidRPr="002E6ECA">
              <w:rPr>
                <w:sz w:val="28"/>
                <w:szCs w:val="28"/>
                <w:vertAlign w:val="superscript"/>
                <w:lang w:val="uk-UA" w:eastAsia="uk-UA"/>
              </w:rPr>
              <w:t>*в</w:t>
            </w:r>
          </w:p>
        </w:tc>
      </w:tr>
      <w:tr w:rsidR="00214250" w:rsidRPr="002E6ECA" w:rsidTr="00755417">
        <w:trPr>
          <w:trHeight w:val="255"/>
          <w:jc w:val="center"/>
        </w:trPr>
        <w:tc>
          <w:tcPr>
            <w:tcW w:w="318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Не дуже важливо</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8,4±1,7</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1,8±0,6</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1,6±0,8</w:t>
            </w:r>
            <w:r w:rsidRPr="002E6ECA">
              <w:rPr>
                <w:sz w:val="28"/>
                <w:szCs w:val="28"/>
                <w:vertAlign w:val="superscript"/>
                <w:lang w:val="uk-UA" w:eastAsia="uk-UA"/>
              </w:rPr>
              <w:t>**н</w:t>
            </w:r>
          </w:p>
        </w:tc>
      </w:tr>
      <w:tr w:rsidR="00214250" w:rsidRPr="002E6ECA" w:rsidTr="00755417">
        <w:trPr>
          <w:trHeight w:val="255"/>
          <w:jc w:val="center"/>
        </w:trPr>
        <w:tc>
          <w:tcPr>
            <w:tcW w:w="318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Зовсім неважливо</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2,3±0,9</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0,2±0,2</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425D9">
            <w:pPr>
              <w:spacing w:line="360" w:lineRule="auto"/>
              <w:rPr>
                <w:sz w:val="28"/>
                <w:szCs w:val="28"/>
                <w:lang w:val="uk-UA" w:eastAsia="uk-UA"/>
              </w:rPr>
            </w:pPr>
            <w:r w:rsidRPr="002E6ECA">
              <w:rPr>
                <w:sz w:val="28"/>
                <w:szCs w:val="28"/>
                <w:lang w:val="uk-UA" w:eastAsia="uk-UA"/>
              </w:rPr>
              <w:t>0,4±0,4</w:t>
            </w:r>
          </w:p>
        </w:tc>
      </w:tr>
    </w:tbl>
    <w:p w:rsidR="00214250" w:rsidRPr="002E6ECA" w:rsidRDefault="00214250" w:rsidP="00214250">
      <w:pPr>
        <w:spacing w:line="360" w:lineRule="auto"/>
        <w:ind w:firstLine="709"/>
        <w:rPr>
          <w:lang w:val="uk-UA"/>
        </w:rPr>
      </w:pPr>
      <w:r w:rsidRPr="002E6ECA">
        <w:rPr>
          <w:lang w:val="uk-UA"/>
        </w:rPr>
        <w:t>Примітки: наявність статистично значущих відмінностей між різними групами (</w:t>
      </w:r>
      <w:r w:rsidRPr="002E6ECA">
        <w:rPr>
          <w:vertAlign w:val="superscript"/>
          <w:lang w:val="uk-UA" w:eastAsia="uk-UA"/>
        </w:rPr>
        <w:t>*</w:t>
      </w:r>
      <w:r w:rsidRPr="002E6ECA">
        <w:rPr>
          <w:lang w:val="uk-UA"/>
        </w:rPr>
        <w:t xml:space="preserve">– р&lt;0,05; </w:t>
      </w:r>
      <w:r w:rsidRPr="002E6ECA">
        <w:rPr>
          <w:vertAlign w:val="superscript"/>
          <w:lang w:val="uk-UA" w:eastAsia="uk-UA"/>
        </w:rPr>
        <w:t>**</w:t>
      </w:r>
      <w:r w:rsidRPr="002E6ECA">
        <w:rPr>
          <w:lang w:val="uk-UA"/>
        </w:rPr>
        <w:t xml:space="preserve"> – р&lt;0,01; </w:t>
      </w:r>
      <w:r w:rsidRPr="002E6ECA">
        <w:rPr>
          <w:vertAlign w:val="superscript"/>
          <w:lang w:val="uk-UA"/>
        </w:rPr>
        <w:t>в</w:t>
      </w:r>
      <w:r w:rsidRPr="002E6ECA">
        <w:rPr>
          <w:lang w:val="uk-UA"/>
        </w:rPr>
        <w:t xml:space="preserve"> – високий, </w:t>
      </w:r>
      <w:r w:rsidRPr="002E6ECA">
        <w:rPr>
          <w:vertAlign w:val="superscript"/>
          <w:lang w:val="uk-UA"/>
        </w:rPr>
        <w:t>с</w:t>
      </w:r>
      <w:r w:rsidRPr="002E6ECA">
        <w:rPr>
          <w:lang w:val="uk-UA"/>
        </w:rPr>
        <w:t xml:space="preserve"> – середній, </w:t>
      </w:r>
      <w:r w:rsidRPr="002E6ECA">
        <w:rPr>
          <w:vertAlign w:val="superscript"/>
          <w:lang w:val="uk-UA"/>
        </w:rPr>
        <w:t>н</w:t>
      </w:r>
      <w:r w:rsidRPr="002E6ECA">
        <w:rPr>
          <w:lang w:val="uk-UA"/>
        </w:rPr>
        <w:t xml:space="preserve"> – низький рівень)</w:t>
      </w:r>
    </w:p>
    <w:p w:rsidR="00214250" w:rsidRPr="002E6ECA" w:rsidRDefault="00214250" w:rsidP="00214250">
      <w:pPr>
        <w:spacing w:line="360" w:lineRule="auto"/>
        <w:jc w:val="both"/>
        <w:rPr>
          <w:sz w:val="28"/>
          <w:szCs w:val="28"/>
          <w:lang w:val="uk-UA"/>
        </w:rPr>
      </w:pPr>
    </w:p>
    <w:p w:rsidR="00214250" w:rsidRPr="002E6ECA" w:rsidRDefault="00214250" w:rsidP="00214250">
      <w:pPr>
        <w:spacing w:line="360" w:lineRule="auto"/>
        <w:ind w:firstLine="709"/>
        <w:jc w:val="right"/>
        <w:rPr>
          <w:sz w:val="28"/>
          <w:szCs w:val="28"/>
          <w:lang w:val="uk-UA"/>
        </w:rPr>
      </w:pPr>
      <w:r w:rsidRPr="002E6ECA">
        <w:rPr>
          <w:bCs/>
          <w:i/>
          <w:sz w:val="28"/>
          <w:szCs w:val="28"/>
          <w:lang w:val="uk-UA"/>
        </w:rPr>
        <w:t>Таблиця 6.4</w:t>
      </w:r>
    </w:p>
    <w:p w:rsidR="00214250" w:rsidRPr="002E6ECA" w:rsidRDefault="00214250" w:rsidP="00214250">
      <w:pPr>
        <w:spacing w:line="360" w:lineRule="auto"/>
        <w:ind w:firstLine="709"/>
        <w:jc w:val="center"/>
        <w:rPr>
          <w:b/>
          <w:sz w:val="28"/>
          <w:szCs w:val="28"/>
          <w:lang w:val="uk-UA"/>
        </w:rPr>
      </w:pPr>
      <w:r w:rsidRPr="002E6ECA">
        <w:rPr>
          <w:b/>
          <w:bCs/>
          <w:sz w:val="28"/>
          <w:szCs w:val="28"/>
          <w:lang w:val="uk-UA"/>
        </w:rPr>
        <w:t>Тип освіти, що планується учнями з різним рівнем академічної успішності</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5"/>
        <w:gridCol w:w="1977"/>
        <w:gridCol w:w="1977"/>
        <w:gridCol w:w="1977"/>
      </w:tblGrid>
      <w:tr w:rsidR="00214250" w:rsidRPr="002E6ECA" w:rsidTr="001425D9">
        <w:trPr>
          <w:trHeight w:val="255"/>
          <w:jc w:val="center"/>
        </w:trPr>
        <w:tc>
          <w:tcPr>
            <w:tcW w:w="3425" w:type="dxa"/>
            <w:vMerge w:val="restart"/>
            <w:shd w:val="clear" w:color="auto" w:fill="auto"/>
            <w:noWrap/>
            <w:vAlign w:val="bottom"/>
          </w:tcPr>
          <w:p w:rsidR="00214250" w:rsidRPr="002E6ECA" w:rsidRDefault="00214250" w:rsidP="001F15CC">
            <w:pPr>
              <w:spacing w:line="360" w:lineRule="auto"/>
              <w:jc w:val="center"/>
              <w:rPr>
                <w:sz w:val="28"/>
                <w:szCs w:val="28"/>
                <w:lang w:val="uk-UA" w:eastAsia="uk-UA"/>
              </w:rPr>
            </w:pPr>
            <w:r w:rsidRPr="002E6ECA">
              <w:rPr>
                <w:sz w:val="28"/>
                <w:szCs w:val="28"/>
                <w:lang w:val="uk-UA" w:eastAsia="uk-UA"/>
              </w:rPr>
              <w:t>Тип освіти</w:t>
            </w:r>
          </w:p>
        </w:tc>
        <w:tc>
          <w:tcPr>
            <w:tcW w:w="5931" w:type="dxa"/>
            <w:gridSpan w:val="3"/>
            <w:shd w:val="clear" w:color="auto" w:fill="auto"/>
            <w:noWrap/>
            <w:vAlign w:val="bottom"/>
          </w:tcPr>
          <w:p w:rsidR="00214250" w:rsidRPr="002E6ECA" w:rsidRDefault="00214250" w:rsidP="001F15CC">
            <w:pPr>
              <w:spacing w:line="360" w:lineRule="auto"/>
              <w:jc w:val="center"/>
              <w:rPr>
                <w:sz w:val="28"/>
                <w:szCs w:val="28"/>
                <w:lang w:val="uk-UA" w:eastAsia="uk-UA"/>
              </w:rPr>
            </w:pPr>
            <w:r w:rsidRPr="002E6ECA">
              <w:rPr>
                <w:sz w:val="28"/>
                <w:szCs w:val="28"/>
                <w:lang w:val="uk-UA" w:eastAsia="uk-UA"/>
              </w:rPr>
              <w:t>Самооцінка рівню академічної успішності</w:t>
            </w:r>
          </w:p>
        </w:tc>
      </w:tr>
      <w:tr w:rsidR="00214250" w:rsidRPr="002E6ECA" w:rsidTr="001425D9">
        <w:trPr>
          <w:trHeight w:val="255"/>
          <w:jc w:val="center"/>
        </w:trPr>
        <w:tc>
          <w:tcPr>
            <w:tcW w:w="3425" w:type="dxa"/>
            <w:vMerge/>
            <w:shd w:val="clear" w:color="auto" w:fill="auto"/>
            <w:noWrap/>
            <w:vAlign w:val="bottom"/>
            <w:hideMark/>
          </w:tcPr>
          <w:p w:rsidR="00214250" w:rsidRPr="002E6ECA" w:rsidRDefault="00214250" w:rsidP="001F15CC">
            <w:pPr>
              <w:spacing w:line="360" w:lineRule="auto"/>
              <w:jc w:val="center"/>
              <w:rPr>
                <w:sz w:val="28"/>
                <w:szCs w:val="28"/>
                <w:lang w:val="uk-UA" w:eastAsia="uk-UA"/>
              </w:rPr>
            </w:pP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eastAsia="uk-UA"/>
              </w:rPr>
            </w:pPr>
            <w:r w:rsidRPr="002E6ECA">
              <w:rPr>
                <w:sz w:val="28"/>
                <w:szCs w:val="28"/>
                <w:lang w:val="uk-UA" w:eastAsia="uk-UA"/>
              </w:rPr>
              <w:t>низький</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eastAsia="uk-UA"/>
              </w:rPr>
            </w:pPr>
            <w:r w:rsidRPr="002E6ECA">
              <w:rPr>
                <w:sz w:val="28"/>
                <w:szCs w:val="28"/>
                <w:lang w:val="uk-UA" w:eastAsia="uk-UA"/>
              </w:rPr>
              <w:t>середній</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eastAsia="uk-UA"/>
              </w:rPr>
            </w:pPr>
            <w:r w:rsidRPr="002E6ECA">
              <w:rPr>
                <w:sz w:val="28"/>
                <w:szCs w:val="28"/>
                <w:lang w:val="uk-UA" w:eastAsia="uk-UA"/>
              </w:rPr>
              <w:t>високий</w:t>
            </w:r>
          </w:p>
        </w:tc>
      </w:tr>
      <w:tr w:rsidR="00214250" w:rsidRPr="002E6ECA" w:rsidTr="001425D9">
        <w:trPr>
          <w:trHeight w:val="255"/>
          <w:jc w:val="center"/>
        </w:trPr>
        <w:tc>
          <w:tcPr>
            <w:tcW w:w="3425"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Вища (ступінь магістра)</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21,4±2,6</w:t>
            </w:r>
            <w:r w:rsidRPr="002E6ECA">
              <w:rPr>
                <w:sz w:val="28"/>
                <w:szCs w:val="28"/>
                <w:vertAlign w:val="superscript"/>
                <w:lang w:val="uk-UA" w:eastAsia="uk-UA"/>
              </w:rPr>
              <w:t>**в</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43,8±2,2</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71,4±2,9</w:t>
            </w:r>
            <w:r w:rsidRPr="002E6ECA">
              <w:rPr>
                <w:sz w:val="28"/>
                <w:szCs w:val="28"/>
                <w:vertAlign w:val="superscript"/>
                <w:lang w:val="uk-UA" w:eastAsia="uk-UA"/>
              </w:rPr>
              <w:t>**с</w:t>
            </w:r>
          </w:p>
        </w:tc>
      </w:tr>
      <w:tr w:rsidR="00214250" w:rsidRPr="002E6ECA" w:rsidTr="001425D9">
        <w:trPr>
          <w:trHeight w:val="255"/>
          <w:jc w:val="center"/>
        </w:trPr>
        <w:tc>
          <w:tcPr>
            <w:tcW w:w="3425"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Вища (ступінь бакалавра)</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34,9±3,0</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40,2±2,2</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27,0±2,9</w:t>
            </w:r>
            <w:r w:rsidRPr="002E6ECA">
              <w:rPr>
                <w:sz w:val="28"/>
                <w:szCs w:val="28"/>
                <w:vertAlign w:val="superscript"/>
                <w:lang w:val="uk-UA" w:eastAsia="uk-UA"/>
              </w:rPr>
              <w:t>**с</w:t>
            </w:r>
          </w:p>
        </w:tc>
      </w:tr>
      <w:tr w:rsidR="00214250" w:rsidRPr="002E6ECA" w:rsidTr="001425D9">
        <w:trPr>
          <w:trHeight w:val="255"/>
          <w:jc w:val="center"/>
        </w:trPr>
        <w:tc>
          <w:tcPr>
            <w:tcW w:w="3425"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Середня спеціальна</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37,3±3,1</w:t>
            </w:r>
            <w:r w:rsidRPr="002E6ECA">
              <w:rPr>
                <w:sz w:val="28"/>
                <w:szCs w:val="28"/>
                <w:vertAlign w:val="superscript"/>
                <w:lang w:val="uk-UA" w:eastAsia="uk-UA"/>
              </w:rPr>
              <w:t>**в</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14,5±1,6</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1,7±0,8</w:t>
            </w:r>
            <w:r w:rsidRPr="002E6ECA">
              <w:rPr>
                <w:sz w:val="28"/>
                <w:szCs w:val="28"/>
                <w:vertAlign w:val="superscript"/>
                <w:lang w:val="uk-UA" w:eastAsia="uk-UA"/>
              </w:rPr>
              <w:t>**с</w:t>
            </w:r>
          </w:p>
        </w:tc>
      </w:tr>
      <w:tr w:rsidR="00214250" w:rsidRPr="002E6ECA" w:rsidTr="001425D9">
        <w:trPr>
          <w:trHeight w:val="255"/>
          <w:jc w:val="center"/>
        </w:trPr>
        <w:tc>
          <w:tcPr>
            <w:tcW w:w="3425"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Загальна середня</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6,3±1,5</w:t>
            </w:r>
            <w:r w:rsidRPr="002E6ECA">
              <w:rPr>
                <w:sz w:val="28"/>
                <w:szCs w:val="28"/>
                <w:vertAlign w:val="superscript"/>
                <w:lang w:val="uk-UA" w:eastAsia="uk-UA"/>
              </w:rPr>
              <w:t>**в</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1,6±0,6</w:t>
            </w:r>
            <w:r w:rsidRPr="002E6ECA">
              <w:rPr>
                <w:sz w:val="28"/>
                <w:szCs w:val="28"/>
                <w:vertAlign w:val="superscript"/>
                <w:lang w:val="uk-UA" w:eastAsia="uk-UA"/>
              </w:rPr>
              <w:t>*н</w:t>
            </w:r>
          </w:p>
        </w:tc>
        <w:tc>
          <w:tcPr>
            <w:tcW w:w="1977" w:type="dxa"/>
            <w:shd w:val="clear" w:color="auto" w:fill="auto"/>
            <w:noWrap/>
            <w:vAlign w:val="bottom"/>
            <w:hideMark/>
          </w:tcPr>
          <w:p w:rsidR="00214250" w:rsidRPr="002E6ECA" w:rsidRDefault="00214250" w:rsidP="001F15CC">
            <w:pPr>
              <w:spacing w:line="360" w:lineRule="auto"/>
              <w:jc w:val="center"/>
              <w:rPr>
                <w:sz w:val="28"/>
                <w:szCs w:val="28"/>
                <w:lang w:val="uk-UA"/>
              </w:rPr>
            </w:pPr>
            <w:r w:rsidRPr="002E6ECA">
              <w:rPr>
                <w:sz w:val="28"/>
                <w:szCs w:val="28"/>
                <w:lang w:val="uk-UA"/>
              </w:rPr>
              <w:t>0,0±0,0</w:t>
            </w:r>
            <w:r w:rsidRPr="002E6ECA">
              <w:rPr>
                <w:sz w:val="28"/>
                <w:szCs w:val="28"/>
                <w:vertAlign w:val="superscript"/>
                <w:lang w:val="uk-UA" w:eastAsia="uk-UA"/>
              </w:rPr>
              <w:t>*с</w:t>
            </w:r>
          </w:p>
        </w:tc>
      </w:tr>
    </w:tbl>
    <w:p w:rsidR="00214250" w:rsidRPr="002E6ECA" w:rsidRDefault="00214250" w:rsidP="00214250">
      <w:pPr>
        <w:spacing w:line="360" w:lineRule="auto"/>
        <w:ind w:firstLine="709"/>
        <w:rPr>
          <w:lang w:val="uk-UA"/>
        </w:rPr>
      </w:pPr>
      <w:r w:rsidRPr="002E6ECA">
        <w:rPr>
          <w:lang w:val="uk-UA"/>
        </w:rPr>
        <w:t>Примітки: наявність статистично значущих відмінностей між різними групами (</w:t>
      </w:r>
      <w:r w:rsidRPr="002E6ECA">
        <w:rPr>
          <w:vertAlign w:val="superscript"/>
          <w:lang w:val="uk-UA" w:eastAsia="uk-UA"/>
        </w:rPr>
        <w:t>*</w:t>
      </w:r>
      <w:r w:rsidRPr="002E6ECA">
        <w:rPr>
          <w:lang w:val="uk-UA"/>
        </w:rPr>
        <w:t xml:space="preserve">– р&lt;0,05; </w:t>
      </w:r>
      <w:r w:rsidRPr="002E6ECA">
        <w:rPr>
          <w:vertAlign w:val="superscript"/>
          <w:lang w:val="uk-UA" w:eastAsia="uk-UA"/>
        </w:rPr>
        <w:t>**</w:t>
      </w:r>
      <w:r w:rsidRPr="002E6ECA">
        <w:rPr>
          <w:lang w:val="uk-UA"/>
        </w:rPr>
        <w:t xml:space="preserve"> – р&lt;0,01; </w:t>
      </w:r>
      <w:r w:rsidRPr="002E6ECA">
        <w:rPr>
          <w:vertAlign w:val="superscript"/>
          <w:lang w:val="uk-UA"/>
        </w:rPr>
        <w:t>в</w:t>
      </w:r>
      <w:r w:rsidRPr="002E6ECA">
        <w:rPr>
          <w:lang w:val="uk-UA"/>
        </w:rPr>
        <w:t xml:space="preserve"> – високий, </w:t>
      </w:r>
      <w:r w:rsidRPr="002E6ECA">
        <w:rPr>
          <w:vertAlign w:val="superscript"/>
          <w:lang w:val="uk-UA"/>
        </w:rPr>
        <w:t>с</w:t>
      </w:r>
      <w:r w:rsidRPr="002E6ECA">
        <w:rPr>
          <w:lang w:val="uk-UA"/>
        </w:rPr>
        <w:t xml:space="preserve"> – середній, </w:t>
      </w:r>
      <w:r w:rsidRPr="002E6ECA">
        <w:rPr>
          <w:vertAlign w:val="superscript"/>
          <w:lang w:val="uk-UA"/>
        </w:rPr>
        <w:t>н</w:t>
      </w:r>
      <w:r w:rsidRPr="002E6ECA">
        <w:rPr>
          <w:lang w:val="uk-UA"/>
        </w:rPr>
        <w:t xml:space="preserve"> – низький рівень)</w:t>
      </w:r>
    </w:p>
    <w:p w:rsidR="00755417" w:rsidRPr="002E6ECA" w:rsidRDefault="00755417" w:rsidP="00214250">
      <w:pPr>
        <w:spacing w:line="360" w:lineRule="auto"/>
        <w:ind w:firstLine="709"/>
        <w:jc w:val="both"/>
        <w:rPr>
          <w:sz w:val="28"/>
          <w:szCs w:val="28"/>
          <w:lang w:val="uk-UA"/>
        </w:rPr>
      </w:pPr>
    </w:p>
    <w:p w:rsidR="00214250" w:rsidRPr="002E6ECA" w:rsidRDefault="00214250" w:rsidP="00214250">
      <w:pPr>
        <w:spacing w:line="360" w:lineRule="auto"/>
        <w:ind w:firstLine="709"/>
        <w:jc w:val="both"/>
        <w:rPr>
          <w:sz w:val="28"/>
          <w:szCs w:val="28"/>
          <w:lang w:val="uk-UA"/>
        </w:rPr>
      </w:pPr>
      <w:r w:rsidRPr="002E6ECA">
        <w:rPr>
          <w:sz w:val="28"/>
          <w:szCs w:val="28"/>
          <w:lang w:val="uk-UA"/>
        </w:rPr>
        <w:t xml:space="preserve">Науковими дослідженнями доведено достовірне зниження рівня якості життя невстигаючих старших школярів за всіма аспектами, особливо за критерієм рольового функціонування. Зниження успішності в більшій ступені </w:t>
      </w:r>
      <w:r w:rsidRPr="002E6ECA">
        <w:rPr>
          <w:sz w:val="28"/>
          <w:szCs w:val="28"/>
          <w:lang w:val="uk-UA"/>
        </w:rPr>
        <w:lastRenderedPageBreak/>
        <w:t>порушує якість життя дівчат, ніж хлопчиків. Провідними факторами, що формують психофізіологічну «ціну» у школярів з високим рівнем навчальної успішності постають граничні невротичні порушення, особливості вегетативного забезпечення розумової діяльності школярів, пізнавальні властивості, показники розумової працездатності, а</w:t>
      </w:r>
      <w:r w:rsidR="00FE6A6A" w:rsidRPr="002E6ECA">
        <w:rPr>
          <w:sz w:val="28"/>
          <w:szCs w:val="28"/>
          <w:lang w:val="uk-UA"/>
        </w:rPr>
        <w:t xml:space="preserve"> також середній бал успішності [</w:t>
      </w:r>
      <w:r w:rsidR="00E53B5C" w:rsidRPr="002E6ECA">
        <w:rPr>
          <w:sz w:val="28"/>
          <w:szCs w:val="28"/>
          <w:lang w:val="uk-UA"/>
        </w:rPr>
        <w:t xml:space="preserve">32, </w:t>
      </w:r>
      <w:r w:rsidR="00E53B5C" w:rsidRPr="002E6ECA">
        <w:rPr>
          <w:rStyle w:val="fontstyle01"/>
          <w:b w:val="0"/>
          <w:color w:val="auto"/>
          <w:sz w:val="28"/>
          <w:szCs w:val="28"/>
          <w:lang w:val="uk-UA"/>
        </w:rPr>
        <w:t>89</w:t>
      </w:r>
      <w:r w:rsidRPr="002E6ECA">
        <w:rPr>
          <w:sz w:val="28"/>
          <w:szCs w:val="28"/>
          <w:lang w:val="uk-UA"/>
        </w:rPr>
        <w:t>].</w:t>
      </w:r>
    </w:p>
    <w:p w:rsidR="00A3367B" w:rsidRPr="002E6ECA" w:rsidRDefault="00214250" w:rsidP="00214250">
      <w:pPr>
        <w:spacing w:line="360" w:lineRule="auto"/>
        <w:ind w:firstLine="709"/>
        <w:jc w:val="both"/>
        <w:rPr>
          <w:sz w:val="28"/>
          <w:szCs w:val="28"/>
          <w:lang w:val="uk-UA"/>
        </w:rPr>
      </w:pPr>
      <w:r w:rsidRPr="002E6ECA">
        <w:rPr>
          <w:sz w:val="28"/>
          <w:szCs w:val="28"/>
          <w:lang w:val="uk-UA"/>
        </w:rPr>
        <w:t>Тому було здійснено спробу визначити прогнозовану вартість здоров’я за високу академічну успішність</w:t>
      </w:r>
      <w:r w:rsidR="00A3367B" w:rsidRPr="002E6ECA">
        <w:rPr>
          <w:sz w:val="28"/>
          <w:szCs w:val="28"/>
          <w:lang w:val="uk-UA"/>
        </w:rPr>
        <w:t xml:space="preserve"> на підставі аналізу</w:t>
      </w:r>
      <w:r w:rsidRPr="002E6ECA">
        <w:rPr>
          <w:sz w:val="28"/>
          <w:szCs w:val="28"/>
          <w:lang w:val="uk-UA"/>
        </w:rPr>
        <w:t xml:space="preserve"> результат</w:t>
      </w:r>
      <w:r w:rsidR="00A3367B" w:rsidRPr="002E6ECA">
        <w:rPr>
          <w:sz w:val="28"/>
          <w:szCs w:val="28"/>
          <w:lang w:val="uk-UA"/>
        </w:rPr>
        <w:t>ів</w:t>
      </w:r>
      <w:r w:rsidRPr="002E6ECA">
        <w:rPr>
          <w:sz w:val="28"/>
          <w:szCs w:val="28"/>
          <w:lang w:val="uk-UA"/>
        </w:rPr>
        <w:t xml:space="preserve"> профілактичних медичних оглядів, оцінки фізичного розвитку та самооцінки стану здоров’я за </w:t>
      </w:r>
      <w:r w:rsidR="00A3367B" w:rsidRPr="002E6ECA">
        <w:rPr>
          <w:sz w:val="28"/>
          <w:szCs w:val="28"/>
          <w:lang w:val="uk-UA"/>
        </w:rPr>
        <w:t>дани</w:t>
      </w:r>
      <w:r w:rsidRPr="002E6ECA">
        <w:rPr>
          <w:sz w:val="28"/>
          <w:szCs w:val="28"/>
          <w:lang w:val="uk-UA"/>
        </w:rPr>
        <w:t xml:space="preserve">ми скринінг-діагностики. За допомогою методу генералізованих лінійних змішаних моделей </w:t>
      </w:r>
      <w:r w:rsidR="00755417" w:rsidRPr="002E6ECA">
        <w:rPr>
          <w:sz w:val="28"/>
          <w:szCs w:val="28"/>
          <w:lang w:val="uk-UA"/>
        </w:rPr>
        <w:t>(GLMM)</w:t>
      </w:r>
      <w:r w:rsidR="00A3367B" w:rsidRPr="002E6ECA">
        <w:rPr>
          <w:sz w:val="28"/>
          <w:szCs w:val="28"/>
          <w:lang w:val="uk-UA"/>
        </w:rPr>
        <w:t xml:space="preserve"> </w:t>
      </w:r>
      <w:r w:rsidRPr="002E6ECA">
        <w:rPr>
          <w:sz w:val="28"/>
          <w:szCs w:val="28"/>
          <w:lang w:val="uk-UA"/>
        </w:rPr>
        <w:t>було отримано фіксовані (головні) ефекти моделі, що  представлені двома однофакторними показниками (табл.6.</w:t>
      </w:r>
      <w:r w:rsidR="000D2794" w:rsidRPr="002E6ECA">
        <w:rPr>
          <w:sz w:val="28"/>
          <w:szCs w:val="28"/>
          <w:lang w:val="uk-UA"/>
        </w:rPr>
        <w:t>5</w:t>
      </w:r>
      <w:r w:rsidRPr="002E6ECA">
        <w:rPr>
          <w:sz w:val="28"/>
          <w:szCs w:val="28"/>
          <w:lang w:val="uk-UA"/>
        </w:rPr>
        <w:t xml:space="preserve">) – РНЗ за астенізацією (має негативний ефект) та  рівнем успішності у 6-му класі (має позитивний ефект). </w:t>
      </w:r>
      <w:r w:rsidR="00A3367B" w:rsidRPr="002E6ECA">
        <w:rPr>
          <w:sz w:val="28"/>
          <w:szCs w:val="28"/>
          <w:lang w:val="uk-UA"/>
        </w:rPr>
        <w:t>Випадкові ефекти – коваріацією двох показників, що отримані при медичному огляді і відображають фізичний розвиток (маса тіла) і захворюваність дитини (сума з медогляду).</w:t>
      </w:r>
    </w:p>
    <w:p w:rsidR="00A3367B" w:rsidRPr="002E6ECA" w:rsidRDefault="00A3367B" w:rsidP="00A3367B">
      <w:pPr>
        <w:spacing w:line="360" w:lineRule="auto"/>
        <w:jc w:val="right"/>
        <w:rPr>
          <w:i/>
          <w:sz w:val="28"/>
          <w:szCs w:val="28"/>
          <w:lang w:val="uk-UA"/>
        </w:rPr>
      </w:pPr>
      <w:r w:rsidRPr="002E6ECA">
        <w:rPr>
          <w:i/>
          <w:sz w:val="28"/>
          <w:szCs w:val="28"/>
          <w:lang w:val="uk-UA"/>
        </w:rPr>
        <w:t>Таблиця 6.5</w:t>
      </w:r>
    </w:p>
    <w:p w:rsidR="00A3367B" w:rsidRPr="002E6ECA" w:rsidRDefault="00A3367B" w:rsidP="00A3367B">
      <w:pPr>
        <w:spacing w:line="360" w:lineRule="auto"/>
        <w:ind w:firstLine="709"/>
        <w:jc w:val="center"/>
        <w:rPr>
          <w:b/>
          <w:sz w:val="28"/>
          <w:szCs w:val="28"/>
        </w:rPr>
      </w:pPr>
      <w:r w:rsidRPr="002E6ECA">
        <w:rPr>
          <w:b/>
          <w:sz w:val="28"/>
          <w:szCs w:val="28"/>
        </w:rPr>
        <w:t xml:space="preserve">Однофакторн показники моделі «Успішність» </w:t>
      </w:r>
    </w:p>
    <w:p w:rsidR="00A3367B" w:rsidRPr="002E6ECA" w:rsidRDefault="00A3367B" w:rsidP="00A3367B">
      <w:pPr>
        <w:spacing w:line="360" w:lineRule="auto"/>
        <w:ind w:firstLine="709"/>
        <w:jc w:val="center"/>
        <w:rPr>
          <w:b/>
          <w:sz w:val="28"/>
          <w:szCs w:val="28"/>
        </w:rPr>
      </w:pPr>
      <w:r w:rsidRPr="002E6ECA">
        <w:rPr>
          <w:b/>
          <w:sz w:val="28"/>
          <w:szCs w:val="28"/>
        </w:rPr>
        <w:t>(фіксовані ефекти GLMM)</w:t>
      </w:r>
    </w:p>
    <w:tbl>
      <w:tblPr>
        <w:tblStyle w:val="af"/>
        <w:tblW w:w="0" w:type="auto"/>
        <w:tblInd w:w="392" w:type="dxa"/>
        <w:tblLook w:val="04A0" w:firstRow="1" w:lastRow="0" w:firstColumn="1" w:lastColumn="0" w:noHBand="0" w:noVBand="1"/>
      </w:tblPr>
      <w:tblGrid>
        <w:gridCol w:w="5353"/>
        <w:gridCol w:w="1984"/>
        <w:gridCol w:w="1885"/>
      </w:tblGrid>
      <w:tr w:rsidR="00A3367B" w:rsidRPr="002E6ECA" w:rsidTr="00BD4A69">
        <w:tc>
          <w:tcPr>
            <w:tcW w:w="5353" w:type="dxa"/>
          </w:tcPr>
          <w:p w:rsidR="00A3367B" w:rsidRPr="002E6ECA" w:rsidRDefault="00A3367B" w:rsidP="00BD4A69">
            <w:pPr>
              <w:spacing w:line="360" w:lineRule="auto"/>
              <w:jc w:val="both"/>
              <w:rPr>
                <w:sz w:val="28"/>
                <w:szCs w:val="28"/>
              </w:rPr>
            </w:pPr>
            <w:r w:rsidRPr="002E6ECA">
              <w:rPr>
                <w:sz w:val="28"/>
                <w:szCs w:val="28"/>
              </w:rPr>
              <w:t>Показник</w:t>
            </w:r>
          </w:p>
        </w:tc>
        <w:tc>
          <w:tcPr>
            <w:tcW w:w="1984" w:type="dxa"/>
          </w:tcPr>
          <w:p w:rsidR="00A3367B" w:rsidRPr="002E6ECA" w:rsidRDefault="00A3367B" w:rsidP="00BD4A69">
            <w:pPr>
              <w:spacing w:line="360" w:lineRule="auto"/>
              <w:jc w:val="both"/>
              <w:rPr>
                <w:sz w:val="28"/>
                <w:szCs w:val="28"/>
              </w:rPr>
            </w:pPr>
            <w:r w:rsidRPr="002E6ECA">
              <w:rPr>
                <w:sz w:val="28"/>
                <w:szCs w:val="28"/>
              </w:rPr>
              <w:t>Статистична значущість, р</w:t>
            </w:r>
          </w:p>
        </w:tc>
        <w:tc>
          <w:tcPr>
            <w:tcW w:w="1885" w:type="dxa"/>
          </w:tcPr>
          <w:p w:rsidR="00A3367B" w:rsidRPr="002E6ECA" w:rsidRDefault="00A3367B" w:rsidP="00BD4A69">
            <w:pPr>
              <w:spacing w:line="360" w:lineRule="auto"/>
              <w:jc w:val="both"/>
              <w:rPr>
                <w:sz w:val="28"/>
                <w:szCs w:val="28"/>
              </w:rPr>
            </w:pPr>
            <w:r w:rsidRPr="002E6ECA">
              <w:rPr>
                <w:sz w:val="28"/>
                <w:szCs w:val="28"/>
              </w:rPr>
              <w:t>Коефіцієнт в GLMM, Х</w:t>
            </w:r>
          </w:p>
        </w:tc>
      </w:tr>
      <w:tr w:rsidR="00A3367B" w:rsidRPr="002E6ECA" w:rsidTr="00BD4A69">
        <w:tc>
          <w:tcPr>
            <w:tcW w:w="5353" w:type="dxa"/>
          </w:tcPr>
          <w:p w:rsidR="00A3367B" w:rsidRPr="002E6ECA" w:rsidRDefault="00A3367B" w:rsidP="00BD4A69">
            <w:pPr>
              <w:spacing w:line="360" w:lineRule="auto"/>
              <w:jc w:val="both"/>
              <w:rPr>
                <w:sz w:val="28"/>
                <w:szCs w:val="28"/>
              </w:rPr>
            </w:pPr>
            <w:r w:rsidRPr="002E6ECA">
              <w:rPr>
                <w:sz w:val="28"/>
                <w:szCs w:val="28"/>
              </w:rPr>
              <w:t>Успішність у 6-му класі (середній бал)</w:t>
            </w:r>
          </w:p>
        </w:tc>
        <w:tc>
          <w:tcPr>
            <w:tcW w:w="1984" w:type="dxa"/>
          </w:tcPr>
          <w:p w:rsidR="00A3367B" w:rsidRPr="002E6ECA" w:rsidRDefault="00A3367B" w:rsidP="00BD4A69">
            <w:pPr>
              <w:spacing w:line="360" w:lineRule="auto"/>
              <w:jc w:val="both"/>
              <w:rPr>
                <w:sz w:val="28"/>
                <w:szCs w:val="28"/>
              </w:rPr>
            </w:pPr>
            <w:r w:rsidRPr="002E6ECA">
              <w:rPr>
                <w:sz w:val="28"/>
                <w:szCs w:val="28"/>
              </w:rPr>
              <w:t>p = 0,001</w:t>
            </w:r>
          </w:p>
        </w:tc>
        <w:tc>
          <w:tcPr>
            <w:tcW w:w="1885" w:type="dxa"/>
          </w:tcPr>
          <w:p w:rsidR="00A3367B" w:rsidRPr="002E6ECA" w:rsidRDefault="00A3367B" w:rsidP="00BD4A69">
            <w:pPr>
              <w:spacing w:line="360" w:lineRule="auto"/>
              <w:jc w:val="both"/>
              <w:rPr>
                <w:sz w:val="28"/>
                <w:szCs w:val="28"/>
              </w:rPr>
            </w:pPr>
            <w:r w:rsidRPr="002E6ECA">
              <w:rPr>
                <w:sz w:val="28"/>
                <w:szCs w:val="28"/>
              </w:rPr>
              <w:t>0,926</w:t>
            </w:r>
          </w:p>
        </w:tc>
      </w:tr>
      <w:tr w:rsidR="00A3367B" w:rsidRPr="002E6ECA" w:rsidTr="00BD4A69">
        <w:tc>
          <w:tcPr>
            <w:tcW w:w="5353" w:type="dxa"/>
          </w:tcPr>
          <w:p w:rsidR="00A3367B" w:rsidRPr="002E6ECA" w:rsidRDefault="00A3367B" w:rsidP="00BD4A69">
            <w:pPr>
              <w:spacing w:line="360" w:lineRule="auto"/>
              <w:jc w:val="both"/>
              <w:rPr>
                <w:sz w:val="28"/>
                <w:szCs w:val="28"/>
              </w:rPr>
            </w:pPr>
            <w:r w:rsidRPr="002E6ECA">
              <w:rPr>
                <w:sz w:val="28"/>
                <w:szCs w:val="28"/>
              </w:rPr>
              <w:t>РНЗ за астенізацією</w:t>
            </w:r>
          </w:p>
        </w:tc>
        <w:tc>
          <w:tcPr>
            <w:tcW w:w="1984" w:type="dxa"/>
          </w:tcPr>
          <w:p w:rsidR="00A3367B" w:rsidRPr="002E6ECA" w:rsidRDefault="00A3367B" w:rsidP="00BD4A69">
            <w:pPr>
              <w:spacing w:line="360" w:lineRule="auto"/>
              <w:jc w:val="both"/>
              <w:rPr>
                <w:sz w:val="28"/>
                <w:szCs w:val="28"/>
              </w:rPr>
            </w:pPr>
            <w:r w:rsidRPr="002E6ECA">
              <w:rPr>
                <w:sz w:val="28"/>
                <w:szCs w:val="28"/>
              </w:rPr>
              <w:t>p = 0,020</w:t>
            </w:r>
          </w:p>
        </w:tc>
        <w:tc>
          <w:tcPr>
            <w:tcW w:w="1885" w:type="dxa"/>
          </w:tcPr>
          <w:p w:rsidR="00A3367B" w:rsidRPr="002E6ECA" w:rsidRDefault="00A3367B" w:rsidP="00BD4A69">
            <w:pPr>
              <w:spacing w:line="360" w:lineRule="auto"/>
              <w:jc w:val="both"/>
              <w:rPr>
                <w:sz w:val="28"/>
                <w:szCs w:val="28"/>
              </w:rPr>
            </w:pPr>
            <w:r w:rsidRPr="002E6ECA">
              <w:rPr>
                <w:sz w:val="28"/>
                <w:szCs w:val="28"/>
              </w:rPr>
              <w:t>-0,019</w:t>
            </w:r>
          </w:p>
        </w:tc>
      </w:tr>
    </w:tbl>
    <w:p w:rsidR="00A3367B" w:rsidRPr="002E6ECA" w:rsidRDefault="00A3367B" w:rsidP="00A3367B">
      <w:pPr>
        <w:spacing w:line="360" w:lineRule="auto"/>
        <w:ind w:firstLine="709"/>
        <w:jc w:val="both"/>
        <w:rPr>
          <w:sz w:val="28"/>
          <w:szCs w:val="28"/>
        </w:rPr>
      </w:pPr>
    </w:p>
    <w:p w:rsidR="00A3367B" w:rsidRPr="002E6ECA" w:rsidRDefault="00755417" w:rsidP="00A3367B">
      <w:pPr>
        <w:spacing w:line="360" w:lineRule="auto"/>
        <w:ind w:firstLine="709"/>
        <w:jc w:val="both"/>
        <w:rPr>
          <w:sz w:val="28"/>
          <w:szCs w:val="28"/>
          <w:lang w:val="uk-UA"/>
        </w:rPr>
      </w:pPr>
      <w:r w:rsidRPr="002E6ECA">
        <w:rPr>
          <w:sz w:val="28"/>
          <w:szCs w:val="28"/>
          <w:lang w:val="uk-UA"/>
        </w:rPr>
        <w:t>В результаті застосування методу GLMM було отримано формулу 6.1, що дозволяє розраховувати прогностичний бал академічної успішності.</w:t>
      </w:r>
      <w:r w:rsidR="00A3367B" w:rsidRPr="002E6ECA">
        <w:rPr>
          <w:sz w:val="28"/>
          <w:szCs w:val="28"/>
          <w:lang w:val="uk-UA"/>
        </w:rPr>
        <w:t xml:space="preserve"> Зауважимо, що негативний вплив коваріації на успішність у 9-му класі має місце при спорідненості факторів, наприклад, зниження ваги і підвищенні захворюваності, або навіть при захворюваності нижче середнього, але при наявності ожиріння. </w:t>
      </w:r>
    </w:p>
    <w:p w:rsidR="00214250" w:rsidRPr="002E6ECA" w:rsidRDefault="00214250" w:rsidP="00755417">
      <w:pPr>
        <w:spacing w:line="360" w:lineRule="auto"/>
        <w:ind w:firstLine="709"/>
        <w:rPr>
          <w:sz w:val="28"/>
          <w:szCs w:val="28"/>
          <w:lang w:val="uk-UA"/>
        </w:rPr>
      </w:pPr>
      <m:oMath>
        <m:r>
          <w:rPr>
            <w:rFonts w:ascii="Cambria Math" w:hAnsi="Cambria Math"/>
            <w:sz w:val="28"/>
            <w:szCs w:val="28"/>
            <w:lang w:val="uk-UA"/>
          </w:rPr>
          <w:lastRenderedPageBreak/>
          <m:t>У9 = 0,926×У6 - 0,079×</m:t>
        </m:r>
        <m:r>
          <w:rPr>
            <w:rFonts w:ascii="Cambria Math" w:hAnsi="Cambria Math"/>
            <w:sz w:val="28"/>
            <w:szCs w:val="28"/>
          </w:rPr>
          <m:t>asten</m:t>
        </m:r>
        <m:r>
          <w:rPr>
            <w:rFonts w:ascii="Cambria Math" w:hAnsi="Cambria Math"/>
            <w:sz w:val="28"/>
            <w:szCs w:val="28"/>
            <w:lang w:val="uk-UA"/>
          </w:rPr>
          <m:t>+</m:t>
        </m:r>
        <m:r>
          <w:rPr>
            <w:rFonts w:ascii="Cambria Math" w:hAnsi="Cambria Math"/>
            <w:sz w:val="28"/>
            <w:szCs w:val="28"/>
          </w:rPr>
          <m:t>Cov</m:t>
        </m:r>
        <m:r>
          <w:rPr>
            <w:rFonts w:ascii="Cambria Math" w:hAnsi="Cambria Math"/>
            <w:sz w:val="28"/>
            <w:szCs w:val="28"/>
            <w:lang w:val="uk-UA"/>
          </w:rPr>
          <m:t xml:space="preserve"> (</m:t>
        </m:r>
        <m:r>
          <w:rPr>
            <w:rFonts w:ascii="Cambria Math" w:hAnsi="Cambria Math"/>
            <w:sz w:val="28"/>
            <w:szCs w:val="28"/>
          </w:rPr>
          <m:t>m</m:t>
        </m:r>
        <m:r>
          <w:rPr>
            <w:rFonts w:ascii="Cambria Math" w:hAnsi="Cambria Math"/>
            <w:sz w:val="28"/>
            <w:szCs w:val="28"/>
            <w:lang w:val="uk-UA"/>
          </w:rPr>
          <m:t>; МО)+1,387</m:t>
        </m:r>
      </m:oMath>
      <w:r w:rsidRPr="002E6ECA">
        <w:rPr>
          <w:sz w:val="28"/>
          <w:szCs w:val="28"/>
          <w:lang w:val="uk-UA"/>
        </w:rPr>
        <w:t xml:space="preserve">        </w:t>
      </w:r>
      <w:r w:rsidR="00755417" w:rsidRPr="002E6ECA">
        <w:rPr>
          <w:sz w:val="28"/>
          <w:szCs w:val="28"/>
          <w:lang w:val="uk-UA"/>
        </w:rPr>
        <w:t>(</w:t>
      </w:r>
      <w:r w:rsidRPr="002E6ECA">
        <w:rPr>
          <w:sz w:val="28"/>
          <w:szCs w:val="28"/>
          <w:lang w:val="uk-UA"/>
        </w:rPr>
        <w:t>6.1</w:t>
      </w:r>
      <w:r w:rsidR="00755417" w:rsidRPr="002E6ECA">
        <w:rPr>
          <w:sz w:val="28"/>
          <w:szCs w:val="28"/>
          <w:lang w:val="uk-UA"/>
        </w:rPr>
        <w:t>)</w:t>
      </w:r>
      <w:r w:rsidRPr="002E6ECA">
        <w:rPr>
          <w:sz w:val="28"/>
          <w:szCs w:val="28"/>
          <w:lang w:val="uk-UA"/>
        </w:rPr>
        <w:t xml:space="preserve">, </w:t>
      </w:r>
    </w:p>
    <w:p w:rsidR="00755417" w:rsidRPr="002E6ECA" w:rsidRDefault="00214250" w:rsidP="00214250">
      <w:pPr>
        <w:spacing w:line="360" w:lineRule="auto"/>
        <w:jc w:val="both"/>
        <w:rPr>
          <w:sz w:val="28"/>
          <w:szCs w:val="28"/>
          <w:lang w:val="uk-UA"/>
        </w:rPr>
      </w:pPr>
      <w:r w:rsidRPr="002E6ECA">
        <w:rPr>
          <w:sz w:val="28"/>
          <w:szCs w:val="28"/>
          <w:lang w:val="uk-UA"/>
        </w:rPr>
        <w:t xml:space="preserve">де У9 – середній бал успішності у 9-му класі; У6 – середній бал успішності у 6-му класі; </w:t>
      </w:r>
      <w:r w:rsidRPr="002E6ECA">
        <w:rPr>
          <w:sz w:val="28"/>
          <w:szCs w:val="28"/>
        </w:rPr>
        <w:t>asten</w:t>
      </w:r>
      <w:r w:rsidRPr="002E6ECA">
        <w:rPr>
          <w:sz w:val="28"/>
          <w:szCs w:val="28"/>
          <w:lang w:val="uk-UA"/>
        </w:rPr>
        <w:t xml:space="preserve"> – РНЗ за ознаками астенізації; </w:t>
      </w:r>
      <w:r w:rsidRPr="002E6ECA">
        <w:rPr>
          <w:sz w:val="28"/>
          <w:szCs w:val="28"/>
        </w:rPr>
        <w:t>Cov</w:t>
      </w:r>
      <w:r w:rsidRPr="002E6ECA">
        <w:rPr>
          <w:sz w:val="28"/>
          <w:szCs w:val="28"/>
          <w:lang w:val="uk-UA"/>
        </w:rPr>
        <w:t xml:space="preserve"> – коваріація; </w:t>
      </w:r>
      <w:r w:rsidRPr="002E6ECA">
        <w:rPr>
          <w:sz w:val="28"/>
          <w:szCs w:val="28"/>
        </w:rPr>
        <w:t>m</w:t>
      </w:r>
      <w:r w:rsidRPr="002E6ECA">
        <w:rPr>
          <w:sz w:val="28"/>
          <w:szCs w:val="28"/>
          <w:lang w:val="uk-UA"/>
        </w:rPr>
        <w:t xml:space="preserve"> – маса тіла; МО – загальна кількість захворювань</w:t>
      </w:r>
      <w:r w:rsidR="00755417" w:rsidRPr="002E6ECA">
        <w:rPr>
          <w:sz w:val="28"/>
          <w:szCs w:val="28"/>
          <w:lang w:val="uk-UA"/>
        </w:rPr>
        <w:t>, визначених під час медогляду.</w:t>
      </w:r>
    </w:p>
    <w:p w:rsidR="00214250" w:rsidRPr="002E6ECA" w:rsidRDefault="00214250" w:rsidP="00214250">
      <w:pPr>
        <w:spacing w:line="360" w:lineRule="auto"/>
        <w:ind w:firstLine="709"/>
        <w:jc w:val="both"/>
        <w:rPr>
          <w:sz w:val="28"/>
          <w:szCs w:val="28"/>
          <w:lang w:val="uk-UA"/>
        </w:rPr>
      </w:pPr>
      <w:r w:rsidRPr="002E6ECA">
        <w:rPr>
          <w:sz w:val="28"/>
          <w:szCs w:val="28"/>
          <w:lang w:val="uk-UA"/>
        </w:rPr>
        <w:t>Дану формулу було застосовано для розрахунку прогнозованої вартості здоров’я учнів на 6-му році навчання і порівняно з їх фактичною успішністю на момент навчання у 9-му класі (табл. 6.</w:t>
      </w:r>
      <w:r w:rsidR="000D2794" w:rsidRPr="002E6ECA">
        <w:rPr>
          <w:sz w:val="28"/>
          <w:szCs w:val="28"/>
          <w:lang w:val="uk-UA"/>
        </w:rPr>
        <w:t>6</w:t>
      </w:r>
      <w:r w:rsidRPr="002E6ECA">
        <w:rPr>
          <w:sz w:val="28"/>
          <w:szCs w:val="28"/>
          <w:lang w:val="uk-UA"/>
        </w:rPr>
        <w:t>)</w:t>
      </w:r>
    </w:p>
    <w:p w:rsidR="00214250" w:rsidRPr="002E6ECA" w:rsidRDefault="00214250" w:rsidP="00214250">
      <w:pPr>
        <w:spacing w:line="360" w:lineRule="auto"/>
        <w:ind w:firstLine="709"/>
        <w:jc w:val="right"/>
        <w:rPr>
          <w:i/>
          <w:sz w:val="28"/>
          <w:szCs w:val="28"/>
          <w:lang w:val="uk-UA"/>
        </w:rPr>
      </w:pPr>
      <w:r w:rsidRPr="002E6ECA">
        <w:rPr>
          <w:i/>
          <w:sz w:val="28"/>
          <w:szCs w:val="28"/>
          <w:lang w:val="uk-UA"/>
        </w:rPr>
        <w:t>Таблиця 6.</w:t>
      </w:r>
      <w:r w:rsidR="000D2794" w:rsidRPr="002E6ECA">
        <w:rPr>
          <w:i/>
          <w:sz w:val="28"/>
          <w:szCs w:val="28"/>
          <w:lang w:val="uk-UA"/>
        </w:rPr>
        <w:t>6</w:t>
      </w:r>
    </w:p>
    <w:p w:rsidR="00214250" w:rsidRPr="002E6ECA" w:rsidRDefault="00214250" w:rsidP="00214250">
      <w:pPr>
        <w:spacing w:line="360" w:lineRule="auto"/>
        <w:ind w:firstLine="709"/>
        <w:jc w:val="center"/>
        <w:rPr>
          <w:b/>
          <w:sz w:val="28"/>
          <w:szCs w:val="28"/>
          <w:lang w:val="uk-UA"/>
        </w:rPr>
      </w:pPr>
      <w:r w:rsidRPr="002E6ECA">
        <w:rPr>
          <w:b/>
          <w:sz w:val="28"/>
          <w:szCs w:val="28"/>
          <w:lang w:val="uk-UA"/>
        </w:rPr>
        <w:t>Прогнозована та фактична академічна успішність учнів упродовж навчання у базовій школі</w:t>
      </w:r>
    </w:p>
    <w:tbl>
      <w:tblPr>
        <w:tblStyle w:val="af"/>
        <w:tblW w:w="9486" w:type="dxa"/>
        <w:tblLayout w:type="fixed"/>
        <w:tblLook w:val="04A0" w:firstRow="1" w:lastRow="0" w:firstColumn="1" w:lastColumn="0" w:noHBand="0" w:noVBand="1"/>
      </w:tblPr>
      <w:tblGrid>
        <w:gridCol w:w="902"/>
        <w:gridCol w:w="1276"/>
        <w:gridCol w:w="1371"/>
        <w:gridCol w:w="1724"/>
        <w:gridCol w:w="1276"/>
        <w:gridCol w:w="1237"/>
        <w:gridCol w:w="1700"/>
      </w:tblGrid>
      <w:tr w:rsidR="00214250" w:rsidRPr="002E6ECA" w:rsidTr="001425D9">
        <w:trPr>
          <w:trHeight w:val="328"/>
        </w:trPr>
        <w:tc>
          <w:tcPr>
            <w:tcW w:w="902" w:type="dxa"/>
            <w:vMerge w:val="restart"/>
            <w:tcMar>
              <w:left w:w="28" w:type="dxa"/>
              <w:right w:w="28" w:type="dxa"/>
            </w:tcMar>
            <w:vAlign w:val="center"/>
            <w:hideMark/>
          </w:tcPr>
          <w:p w:rsidR="00214250" w:rsidRPr="002E6ECA" w:rsidRDefault="00214250" w:rsidP="001425D9">
            <w:pPr>
              <w:spacing w:line="276" w:lineRule="auto"/>
              <w:rPr>
                <w:lang w:val="uk-UA"/>
              </w:rPr>
            </w:pPr>
            <w:r w:rsidRPr="002E6ECA">
              <w:rPr>
                <w:lang w:val="uk-UA"/>
              </w:rPr>
              <w:t>Шифр учня</w:t>
            </w:r>
          </w:p>
        </w:tc>
        <w:tc>
          <w:tcPr>
            <w:tcW w:w="2647" w:type="dxa"/>
            <w:gridSpan w:val="2"/>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Академічна успішність у 6-му класі</w:t>
            </w:r>
          </w:p>
        </w:tc>
        <w:tc>
          <w:tcPr>
            <w:tcW w:w="4237" w:type="dxa"/>
            <w:gridSpan w:val="3"/>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Академічна успішність у 9-му класі</w:t>
            </w:r>
          </w:p>
        </w:tc>
        <w:tc>
          <w:tcPr>
            <w:tcW w:w="1700" w:type="dxa"/>
            <w:vMerge w:val="restart"/>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Різниця між прогностичною та фактичною успішністю</w:t>
            </w:r>
          </w:p>
        </w:tc>
      </w:tr>
      <w:tr w:rsidR="00214250" w:rsidRPr="002E6ECA" w:rsidTr="000D2794">
        <w:trPr>
          <w:trHeight w:val="769"/>
        </w:trPr>
        <w:tc>
          <w:tcPr>
            <w:tcW w:w="902" w:type="dxa"/>
            <w:vMerge/>
            <w:tcMar>
              <w:left w:w="28" w:type="dxa"/>
              <w:right w:w="28" w:type="dxa"/>
            </w:tcMar>
            <w:hideMark/>
          </w:tcPr>
          <w:p w:rsidR="00214250" w:rsidRPr="002E6ECA" w:rsidRDefault="00214250" w:rsidP="001425D9">
            <w:pPr>
              <w:spacing w:line="276" w:lineRule="auto"/>
              <w:rPr>
                <w:lang w:val="uk-UA"/>
              </w:rPr>
            </w:pPr>
          </w:p>
        </w:tc>
        <w:tc>
          <w:tcPr>
            <w:tcW w:w="1276" w:type="dxa"/>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Середній бал (фактичний)</w:t>
            </w:r>
          </w:p>
        </w:tc>
        <w:tc>
          <w:tcPr>
            <w:tcW w:w="1371" w:type="dxa"/>
            <w:tcMar>
              <w:left w:w="28" w:type="dxa"/>
              <w:right w:w="28" w:type="dxa"/>
            </w:tcMar>
            <w:hideMark/>
          </w:tcPr>
          <w:p w:rsidR="00214250" w:rsidRPr="002E6ECA" w:rsidRDefault="00214250" w:rsidP="001425D9">
            <w:pPr>
              <w:spacing w:line="276" w:lineRule="auto"/>
              <w:jc w:val="center"/>
              <w:rPr>
                <w:spacing w:val="-8"/>
                <w:lang w:val="uk-UA"/>
              </w:rPr>
            </w:pPr>
            <w:r w:rsidRPr="002E6ECA">
              <w:rPr>
                <w:spacing w:val="-8"/>
                <w:lang w:val="uk-UA"/>
              </w:rPr>
              <w:t>Група успішності</w:t>
            </w:r>
          </w:p>
        </w:tc>
        <w:tc>
          <w:tcPr>
            <w:tcW w:w="1724" w:type="dxa"/>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Середній бал (прогностичний)</w:t>
            </w:r>
          </w:p>
        </w:tc>
        <w:tc>
          <w:tcPr>
            <w:tcW w:w="1276" w:type="dxa"/>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Середній бал (фактичний)</w:t>
            </w:r>
          </w:p>
        </w:tc>
        <w:tc>
          <w:tcPr>
            <w:tcW w:w="1237" w:type="dxa"/>
            <w:tcMar>
              <w:left w:w="28" w:type="dxa"/>
              <w:right w:w="28" w:type="dxa"/>
            </w:tcMar>
            <w:hideMark/>
          </w:tcPr>
          <w:p w:rsidR="00214250" w:rsidRPr="002E6ECA" w:rsidRDefault="00214250" w:rsidP="001425D9">
            <w:pPr>
              <w:spacing w:line="276" w:lineRule="auto"/>
              <w:jc w:val="center"/>
              <w:rPr>
                <w:spacing w:val="-6"/>
                <w:lang w:val="uk-UA"/>
              </w:rPr>
            </w:pPr>
            <w:r w:rsidRPr="002E6ECA">
              <w:rPr>
                <w:spacing w:val="-6"/>
                <w:lang w:val="uk-UA"/>
              </w:rPr>
              <w:t>Група успішності</w:t>
            </w:r>
          </w:p>
        </w:tc>
        <w:tc>
          <w:tcPr>
            <w:tcW w:w="1700" w:type="dxa"/>
            <w:vMerge/>
            <w:tcMar>
              <w:left w:w="28" w:type="dxa"/>
              <w:right w:w="28" w:type="dxa"/>
            </w:tcMar>
            <w:hideMark/>
          </w:tcPr>
          <w:p w:rsidR="00214250" w:rsidRPr="002E6ECA" w:rsidRDefault="00214250" w:rsidP="001425D9">
            <w:pPr>
              <w:spacing w:line="276" w:lineRule="auto"/>
              <w:jc w:val="center"/>
              <w:rPr>
                <w:spacing w:val="-6"/>
                <w:lang w:val="uk-UA"/>
              </w:rPr>
            </w:pP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9015</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9,7</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10,4</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9,2</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1,22</w:t>
            </w: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9016</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7,7</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9,5</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8,6</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0,92</w:t>
            </w: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9017</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10,6</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11,2</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10,9</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0,35</w:t>
            </w: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9018</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8,2</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10,0</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10,5</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-0,48</w:t>
            </w: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9019</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10,3</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11,0</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10,2</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0,79</w:t>
            </w:r>
          </w:p>
        </w:tc>
      </w:tr>
      <w:tr w:rsidR="00214250" w:rsidRPr="002E6ECA" w:rsidTr="000D2794">
        <w:trPr>
          <w:trHeight w:val="265"/>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9020</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9,3</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9,0</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8,6</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0,39</w:t>
            </w: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9020</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8,0</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6,9</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7,6</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-0,68</w:t>
            </w:r>
          </w:p>
        </w:tc>
      </w:tr>
      <w:tr w:rsidR="00214250" w:rsidRPr="002E6ECA" w:rsidTr="000D2794">
        <w:trPr>
          <w:trHeight w:val="239"/>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9022</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10,7</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10,3</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9,6</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3</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0,72</w:t>
            </w:r>
          </w:p>
        </w:tc>
      </w:tr>
      <w:tr w:rsidR="00214250" w:rsidRPr="002E6ECA" w:rsidTr="000D2794">
        <w:trPr>
          <w:trHeight w:val="248"/>
        </w:trPr>
        <w:tc>
          <w:tcPr>
            <w:tcW w:w="902" w:type="dxa"/>
            <w:tcMar>
              <w:left w:w="28" w:type="dxa"/>
              <w:right w:w="28" w:type="dxa"/>
            </w:tcMar>
            <w:hideMark/>
          </w:tcPr>
          <w:p w:rsidR="00214250" w:rsidRPr="002E6ECA" w:rsidRDefault="00214250" w:rsidP="001425D9">
            <w:pPr>
              <w:spacing w:line="360" w:lineRule="auto"/>
              <w:rPr>
                <w:sz w:val="28"/>
                <w:szCs w:val="28"/>
                <w:lang w:val="uk-UA"/>
              </w:rPr>
            </w:pPr>
            <w:r w:rsidRPr="002E6ECA">
              <w:rPr>
                <w:sz w:val="28"/>
                <w:szCs w:val="28"/>
                <w:lang w:val="uk-UA"/>
              </w:rPr>
              <w:t>9023</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8,1</w:t>
            </w:r>
          </w:p>
        </w:tc>
        <w:tc>
          <w:tcPr>
            <w:tcW w:w="1371"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24"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7,9</w:t>
            </w:r>
          </w:p>
        </w:tc>
        <w:tc>
          <w:tcPr>
            <w:tcW w:w="1276"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7,9</w:t>
            </w:r>
          </w:p>
        </w:tc>
        <w:tc>
          <w:tcPr>
            <w:tcW w:w="1237"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2</w:t>
            </w:r>
          </w:p>
        </w:tc>
        <w:tc>
          <w:tcPr>
            <w:tcW w:w="1700" w:type="dxa"/>
            <w:tcMar>
              <w:left w:w="28" w:type="dxa"/>
              <w:right w:w="28" w:type="dxa"/>
            </w:tcMar>
            <w:hideMark/>
          </w:tcPr>
          <w:p w:rsidR="00214250" w:rsidRPr="002E6ECA" w:rsidRDefault="00214250" w:rsidP="001425D9">
            <w:pPr>
              <w:spacing w:line="360" w:lineRule="auto"/>
              <w:jc w:val="center"/>
              <w:rPr>
                <w:sz w:val="28"/>
                <w:szCs w:val="28"/>
                <w:lang w:val="uk-UA"/>
              </w:rPr>
            </w:pPr>
            <w:r w:rsidRPr="002E6ECA">
              <w:rPr>
                <w:sz w:val="28"/>
                <w:szCs w:val="28"/>
                <w:lang w:val="uk-UA"/>
              </w:rPr>
              <w:t>-0,01</w:t>
            </w:r>
          </w:p>
        </w:tc>
      </w:tr>
    </w:tbl>
    <w:p w:rsidR="00214250" w:rsidRPr="002E6ECA" w:rsidRDefault="00214250" w:rsidP="00214250">
      <w:pPr>
        <w:rPr>
          <w:lang w:val="uk-UA"/>
        </w:rPr>
      </w:pPr>
      <w:r w:rsidRPr="002E6ECA">
        <w:rPr>
          <w:lang w:val="uk-UA"/>
        </w:rPr>
        <w:t>Примітка: збіг прогностичного та фактичного середнього балу академічної успішності у 9-му класі на рівні р</w:t>
      </w:r>
      <w:r w:rsidRPr="002E6ECA">
        <w:t>&lt;</w:t>
      </w:r>
      <w:r w:rsidRPr="002E6ECA">
        <w:rPr>
          <w:lang w:val="uk-UA"/>
        </w:rPr>
        <w:t>0,001.</w:t>
      </w:r>
    </w:p>
    <w:p w:rsidR="00214250" w:rsidRPr="002E6ECA" w:rsidRDefault="00214250" w:rsidP="00214250">
      <w:pPr>
        <w:rPr>
          <w:lang w:val="uk-UA"/>
        </w:rPr>
      </w:pPr>
    </w:p>
    <w:p w:rsidR="00214250" w:rsidRPr="002E6ECA" w:rsidRDefault="00214250" w:rsidP="00214250">
      <w:pPr>
        <w:spacing w:line="360" w:lineRule="auto"/>
        <w:ind w:firstLine="709"/>
        <w:jc w:val="both"/>
        <w:rPr>
          <w:sz w:val="28"/>
          <w:szCs w:val="28"/>
          <w:lang w:val="uk-UA"/>
        </w:rPr>
      </w:pPr>
      <w:r w:rsidRPr="002E6ECA">
        <w:rPr>
          <w:sz w:val="28"/>
          <w:szCs w:val="28"/>
          <w:lang w:val="uk-UA"/>
        </w:rPr>
        <w:t>Таким чином формула, що прогнозує вартість здоров’я за академічну успішність довела свою придатність для перспективного прогнозу як академічної успішності, так і для визначення критеріїв здоров’я, що забезпечують її високий рівень. Проте постає необхідність у оцінці фізіологічного та психофізіологічного стану учнів із різним рівнем академічної успішності.</w:t>
      </w:r>
    </w:p>
    <w:p w:rsidR="009D7C05" w:rsidRPr="002E6ECA" w:rsidRDefault="009D7C05" w:rsidP="00A3367B">
      <w:pPr>
        <w:spacing w:line="360" w:lineRule="auto"/>
        <w:ind w:firstLine="709"/>
        <w:jc w:val="both"/>
        <w:rPr>
          <w:b/>
          <w:sz w:val="28"/>
          <w:szCs w:val="28"/>
          <w:lang w:val="uk-UA"/>
        </w:rPr>
      </w:pPr>
    </w:p>
    <w:p w:rsidR="00214250" w:rsidRPr="002E6ECA" w:rsidRDefault="00214250" w:rsidP="00A3367B">
      <w:pPr>
        <w:spacing w:line="360" w:lineRule="auto"/>
        <w:ind w:firstLine="709"/>
        <w:jc w:val="both"/>
        <w:rPr>
          <w:b/>
          <w:sz w:val="28"/>
          <w:szCs w:val="28"/>
          <w:lang w:val="uk-UA"/>
        </w:rPr>
      </w:pPr>
      <w:r w:rsidRPr="002E6ECA">
        <w:rPr>
          <w:b/>
          <w:sz w:val="28"/>
          <w:szCs w:val="28"/>
          <w:lang w:val="uk-UA"/>
        </w:rPr>
        <w:t>6.2. Стан здоров’я учнів середнього шкільного віку із різним рівнем академічної успішності</w:t>
      </w:r>
    </w:p>
    <w:p w:rsidR="00214250" w:rsidRPr="002E6ECA" w:rsidRDefault="00214250" w:rsidP="00214250">
      <w:pPr>
        <w:spacing w:line="360" w:lineRule="auto"/>
        <w:ind w:firstLine="709"/>
        <w:jc w:val="both"/>
        <w:rPr>
          <w:sz w:val="28"/>
          <w:szCs w:val="28"/>
          <w:lang w:val="uk-UA"/>
        </w:rPr>
      </w:pPr>
      <w:r w:rsidRPr="002E6ECA">
        <w:rPr>
          <w:sz w:val="28"/>
          <w:szCs w:val="28"/>
          <w:lang w:val="uk-UA"/>
        </w:rPr>
        <w:t>За результатами медоглядів було встановлено найвищий рівень загальної патологічної ураженості серед учнів із низьким рівнем академічної успішності, який становив 1847,8‰ із найбільш вираженою негативною динамікою протягом навчання у базовій школі – на 565,2‰ (табл. 6.</w:t>
      </w:r>
      <w:r w:rsidR="000D2794" w:rsidRPr="002E6ECA">
        <w:rPr>
          <w:sz w:val="28"/>
          <w:szCs w:val="28"/>
          <w:lang w:val="uk-UA"/>
        </w:rPr>
        <w:t>7</w:t>
      </w:r>
      <w:r w:rsidRPr="002E6ECA">
        <w:rPr>
          <w:sz w:val="28"/>
          <w:szCs w:val="28"/>
          <w:lang w:val="uk-UA"/>
        </w:rPr>
        <w:t>). Відрізнялась і структура захворюваності. Так, серед учнів із низьким та середнім рівнем успішності перше рангове місце, як і для всієї групи школярів, займала ендокринна патологія (відповідно 543,5±73,4‰ та 439,0±77,5‰), а з високим рівнем – хвороби системи кровообігу (411,8±68,9‰). Незалежно від рівня академічної успішності упродовж навчання зростав рівень розповсюдженості хвороб ока і придаткового апарату, але істотно лише серед учнів із низькою академічною успішністю (p&lt;0,05). Для всіх учнів визначалось неістотне зниження поширеності хвороб органів травлення у середині навчання із подальшим зростанням у 2-3 рази у порівнянні з вихідним рівнем (p&lt;0,05-0,01). Серед учнів з низьким рівнем академічної успішності стабільно реєструвався більш високий рівень захворюваності за ендокринною патологією.</w:t>
      </w:r>
    </w:p>
    <w:p w:rsidR="009D7C05" w:rsidRPr="002E6ECA" w:rsidRDefault="00214250" w:rsidP="00214250">
      <w:pPr>
        <w:spacing w:line="360" w:lineRule="auto"/>
        <w:ind w:firstLine="709"/>
        <w:jc w:val="both"/>
        <w:rPr>
          <w:sz w:val="28"/>
          <w:szCs w:val="28"/>
          <w:lang w:val="uk-UA"/>
        </w:rPr>
      </w:pPr>
      <w:r w:rsidRPr="002E6ECA">
        <w:rPr>
          <w:sz w:val="28"/>
          <w:szCs w:val="28"/>
          <w:lang w:val="uk-UA"/>
        </w:rPr>
        <w:t>Розлади психіки та поведінки частіше реєструвались серед школярів цієї ж групи вже при переході до базової школи, а рівень поширеності патології дихальної системи був нижчим серед учнів із високим рівнем успішності</w:t>
      </w:r>
      <w:r w:rsidR="00A3367B" w:rsidRPr="002E6ECA">
        <w:rPr>
          <w:sz w:val="28"/>
          <w:szCs w:val="28"/>
          <w:lang w:val="uk-UA"/>
        </w:rPr>
        <w:t xml:space="preserve"> (196,1±68,9‰), у той час як для учнів з середнім та низьким рівнем успішності ця група хвороб посідала друге рангове місце (відповідно 390,2±76,2‰ та 347,8±70,2‰; p&lt;0,05).</w:t>
      </w:r>
    </w:p>
    <w:p w:rsidR="009D7C05" w:rsidRPr="002E6ECA" w:rsidRDefault="009D7C05" w:rsidP="009D7C05">
      <w:pPr>
        <w:spacing w:line="360" w:lineRule="auto"/>
        <w:ind w:firstLine="709"/>
        <w:jc w:val="both"/>
        <w:rPr>
          <w:sz w:val="28"/>
          <w:szCs w:val="28"/>
          <w:lang w:val="uk-UA"/>
        </w:rPr>
      </w:pPr>
      <w:r w:rsidRPr="002E6ECA">
        <w:rPr>
          <w:sz w:val="28"/>
          <w:szCs w:val="28"/>
          <w:lang w:val="uk-UA"/>
        </w:rPr>
        <w:t>Учні із низьким рівнем академічної успішності протягом навчання у базовій школі характеризувались найнижчою чисельністю 1-ої групи здоров’я та найвищою кількістю учнів із хронічною патологією у стадії компенсації, але істотно – лише у середині навчання при порівнянні зі школярами з середнім рівнем академічної успішності (р&lt;0,05; рис. 6.1).</w:t>
      </w:r>
    </w:p>
    <w:p w:rsidR="00214250" w:rsidRPr="002E6ECA" w:rsidRDefault="000D2794" w:rsidP="00214250">
      <w:pPr>
        <w:spacing w:line="360" w:lineRule="auto"/>
        <w:ind w:firstLine="709"/>
        <w:jc w:val="both"/>
        <w:rPr>
          <w:sz w:val="28"/>
          <w:szCs w:val="28"/>
          <w:lang w:val="uk-UA"/>
        </w:rPr>
        <w:sectPr w:rsidR="00214250" w:rsidRPr="002E6ECA" w:rsidSect="007A1B31">
          <w:headerReference w:type="default" r:id="rId63"/>
          <w:pgSz w:w="11906" w:h="16838"/>
          <w:pgMar w:top="1134" w:right="851" w:bottom="1134" w:left="1418" w:header="709" w:footer="709" w:gutter="0"/>
          <w:cols w:space="708"/>
          <w:titlePg/>
          <w:docGrid w:linePitch="360"/>
        </w:sectPr>
      </w:pPr>
      <w:r w:rsidRPr="002E6ECA">
        <w:rPr>
          <w:sz w:val="28"/>
          <w:szCs w:val="28"/>
          <w:lang w:val="uk-UA"/>
        </w:rPr>
        <w:tab/>
      </w:r>
      <w:r w:rsidR="00214250" w:rsidRPr="002E6ECA">
        <w:rPr>
          <w:sz w:val="28"/>
          <w:szCs w:val="28"/>
          <w:lang w:val="uk-UA"/>
        </w:rPr>
        <w:t xml:space="preserve"> </w:t>
      </w:r>
    </w:p>
    <w:p w:rsidR="00214250" w:rsidRPr="002E6ECA" w:rsidRDefault="00214250" w:rsidP="00214250">
      <w:pPr>
        <w:tabs>
          <w:tab w:val="left" w:pos="6260"/>
        </w:tabs>
        <w:jc w:val="right"/>
        <w:rPr>
          <w:i/>
          <w:sz w:val="28"/>
          <w:szCs w:val="28"/>
          <w:lang w:val="uk-UA"/>
        </w:rPr>
      </w:pPr>
      <w:r w:rsidRPr="002E6ECA">
        <w:rPr>
          <w:i/>
          <w:sz w:val="28"/>
          <w:szCs w:val="28"/>
          <w:lang w:val="uk-UA"/>
        </w:rPr>
        <w:lastRenderedPageBreak/>
        <w:t>Таблиця 6.</w:t>
      </w:r>
      <w:r w:rsidR="000D2794" w:rsidRPr="002E6ECA">
        <w:rPr>
          <w:i/>
          <w:sz w:val="28"/>
          <w:szCs w:val="28"/>
          <w:lang w:val="uk-UA"/>
        </w:rPr>
        <w:t>7</w:t>
      </w:r>
    </w:p>
    <w:p w:rsidR="00214250" w:rsidRPr="002E6ECA" w:rsidRDefault="00214250" w:rsidP="00214250">
      <w:pPr>
        <w:tabs>
          <w:tab w:val="left" w:pos="6260"/>
        </w:tabs>
        <w:jc w:val="center"/>
        <w:rPr>
          <w:b/>
          <w:sz w:val="28"/>
          <w:szCs w:val="28"/>
          <w:lang w:val="uk-UA"/>
        </w:rPr>
      </w:pPr>
      <w:r w:rsidRPr="002E6ECA">
        <w:rPr>
          <w:b/>
          <w:sz w:val="28"/>
          <w:szCs w:val="28"/>
          <w:lang w:val="uk-UA"/>
        </w:rPr>
        <w:t>Патологічна ураженість учнів з різним рівнем академічної успішності, ‰±m</w:t>
      </w:r>
    </w:p>
    <w:p w:rsidR="00214250" w:rsidRPr="002E6ECA" w:rsidRDefault="00214250" w:rsidP="00214250">
      <w:pPr>
        <w:tabs>
          <w:tab w:val="left" w:pos="6260"/>
        </w:tabs>
        <w:rPr>
          <w:sz w:val="28"/>
          <w:szCs w:val="28"/>
          <w:lang w:val="uk-UA"/>
        </w:rPr>
      </w:pPr>
    </w:p>
    <w:tbl>
      <w:tblPr>
        <w:tblW w:w="14205"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309"/>
        <w:gridCol w:w="1276"/>
        <w:gridCol w:w="1417"/>
        <w:gridCol w:w="1276"/>
        <w:gridCol w:w="1276"/>
        <w:gridCol w:w="1417"/>
        <w:gridCol w:w="1276"/>
        <w:gridCol w:w="1432"/>
        <w:gridCol w:w="1433"/>
      </w:tblGrid>
      <w:tr w:rsidR="00214250" w:rsidRPr="002E6ECA" w:rsidTr="006F124B">
        <w:trPr>
          <w:trHeight w:val="290"/>
        </w:trPr>
        <w:tc>
          <w:tcPr>
            <w:tcW w:w="2093" w:type="dxa"/>
            <w:vMerge w:val="restart"/>
            <w:tcBorders>
              <w:tl2br w:val="single" w:sz="4" w:space="0" w:color="auto"/>
            </w:tcBorders>
            <w:shd w:val="clear" w:color="auto" w:fill="auto"/>
            <w:noWrap/>
            <w:tcMar>
              <w:left w:w="28" w:type="dxa"/>
              <w:right w:w="28" w:type="dxa"/>
            </w:tcMar>
            <w:vAlign w:val="bottom"/>
            <w:hideMark/>
          </w:tcPr>
          <w:p w:rsidR="00214250" w:rsidRPr="002E6ECA" w:rsidRDefault="00214250" w:rsidP="001425D9">
            <w:pPr>
              <w:jc w:val="right"/>
              <w:rPr>
                <w:lang w:val="uk-UA"/>
              </w:rPr>
            </w:pPr>
            <w:r w:rsidRPr="002E6ECA">
              <w:rPr>
                <w:lang w:val="uk-UA"/>
              </w:rPr>
              <w:t>Період навчання</w:t>
            </w:r>
          </w:p>
          <w:p w:rsidR="00214250" w:rsidRPr="002E6ECA" w:rsidRDefault="00214250" w:rsidP="001425D9">
            <w:pPr>
              <w:rPr>
                <w:lang w:val="uk-UA"/>
              </w:rPr>
            </w:pPr>
          </w:p>
          <w:p w:rsidR="00214250" w:rsidRPr="002E6ECA" w:rsidRDefault="00214250" w:rsidP="001425D9">
            <w:pPr>
              <w:rPr>
                <w:lang w:val="uk-UA"/>
              </w:rPr>
            </w:pPr>
            <w:r w:rsidRPr="002E6ECA">
              <w:rPr>
                <w:lang w:val="uk-UA"/>
              </w:rPr>
              <w:t xml:space="preserve">Хвороби </w:t>
            </w:r>
          </w:p>
        </w:tc>
        <w:tc>
          <w:tcPr>
            <w:tcW w:w="4002" w:type="dxa"/>
            <w:gridSpan w:val="3"/>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Нижче середнього</w:t>
            </w:r>
          </w:p>
        </w:tc>
        <w:tc>
          <w:tcPr>
            <w:tcW w:w="3969" w:type="dxa"/>
            <w:gridSpan w:val="3"/>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Середній</w:t>
            </w:r>
          </w:p>
        </w:tc>
        <w:tc>
          <w:tcPr>
            <w:tcW w:w="4141" w:type="dxa"/>
            <w:gridSpan w:val="3"/>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Вище середнього</w:t>
            </w:r>
          </w:p>
        </w:tc>
      </w:tr>
      <w:tr w:rsidR="00214250" w:rsidRPr="002E6ECA" w:rsidTr="006F124B">
        <w:trPr>
          <w:trHeight w:val="290"/>
        </w:trPr>
        <w:tc>
          <w:tcPr>
            <w:tcW w:w="2093" w:type="dxa"/>
            <w:vMerge/>
            <w:tcBorders>
              <w:tl2br w:val="single" w:sz="4" w:space="0" w:color="auto"/>
            </w:tcBorders>
            <w:shd w:val="clear" w:color="auto" w:fill="auto"/>
            <w:noWrap/>
            <w:tcMar>
              <w:left w:w="28" w:type="dxa"/>
              <w:right w:w="28" w:type="dxa"/>
            </w:tcMar>
            <w:vAlign w:val="bottom"/>
            <w:hideMark/>
          </w:tcPr>
          <w:p w:rsidR="00214250" w:rsidRPr="002E6ECA" w:rsidRDefault="00214250" w:rsidP="001425D9">
            <w:pPr>
              <w:jc w:val="center"/>
              <w:rPr>
                <w:lang w:val="uk-UA"/>
              </w:rPr>
            </w:pPr>
          </w:p>
        </w:tc>
        <w:tc>
          <w:tcPr>
            <w:tcW w:w="1309"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на початку навчання</w:t>
            </w:r>
          </w:p>
        </w:tc>
        <w:tc>
          <w:tcPr>
            <w:tcW w:w="1276"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у середині навчання</w:t>
            </w:r>
          </w:p>
        </w:tc>
        <w:tc>
          <w:tcPr>
            <w:tcW w:w="1417"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наприкінці навчання</w:t>
            </w:r>
          </w:p>
        </w:tc>
        <w:tc>
          <w:tcPr>
            <w:tcW w:w="1276"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на початку навчання</w:t>
            </w:r>
          </w:p>
        </w:tc>
        <w:tc>
          <w:tcPr>
            <w:tcW w:w="1276"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у середині навчання</w:t>
            </w:r>
          </w:p>
        </w:tc>
        <w:tc>
          <w:tcPr>
            <w:tcW w:w="1417"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наприкінці навчання</w:t>
            </w:r>
          </w:p>
        </w:tc>
        <w:tc>
          <w:tcPr>
            <w:tcW w:w="1276"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на початку навчання</w:t>
            </w:r>
          </w:p>
        </w:tc>
        <w:tc>
          <w:tcPr>
            <w:tcW w:w="1432"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у середині навчання</w:t>
            </w:r>
          </w:p>
        </w:tc>
        <w:tc>
          <w:tcPr>
            <w:tcW w:w="1433" w:type="dxa"/>
            <w:shd w:val="clear" w:color="auto" w:fill="auto"/>
            <w:noWrap/>
            <w:tcMar>
              <w:left w:w="28" w:type="dxa"/>
              <w:right w:w="28" w:type="dxa"/>
            </w:tcMar>
            <w:vAlign w:val="center"/>
            <w:hideMark/>
          </w:tcPr>
          <w:p w:rsidR="00214250" w:rsidRPr="002E6ECA" w:rsidRDefault="00214250" w:rsidP="001425D9">
            <w:pPr>
              <w:ind w:left="-40" w:right="-176"/>
              <w:jc w:val="center"/>
              <w:rPr>
                <w:lang w:val="uk-UA"/>
              </w:rPr>
            </w:pPr>
            <w:r w:rsidRPr="002E6ECA">
              <w:rPr>
                <w:lang w:val="uk-UA"/>
              </w:rPr>
              <w:t>наприкінці навчання</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ендокринної системи</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543,5±73,4</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608,7±72,0</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717,4±66,4</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439,0±77,5</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390,2±76,2</w:t>
            </w:r>
            <w:r w:rsidRPr="002E6ECA">
              <w:rPr>
                <w:spacing w:val="-8"/>
                <w:vertAlign w:val="superscript"/>
                <w:lang w:val="uk-UA"/>
              </w:rPr>
              <w:t>1</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561,0±77,5</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372,5±67,7</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274,5±62,5</w:t>
            </w:r>
            <w:r w:rsidRPr="002E6ECA">
              <w:rPr>
                <w:spacing w:val="-8"/>
                <w:vertAlign w:val="superscript"/>
                <w:lang w:val="uk-UA"/>
              </w:rPr>
              <w:t>11</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451,0±69,7</w:t>
            </w:r>
            <w:r w:rsidRPr="002E6ECA">
              <w:rPr>
                <w:spacing w:val="-8"/>
                <w:vertAlign w:val="superscript"/>
                <w:lang w:val="uk-UA"/>
              </w:rPr>
              <w:t>1</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ока та придаткового апарату</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282,6±66,4</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347,8±70,2</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521,7±73,7</w:t>
            </w:r>
            <w:r w:rsidRPr="002E6ECA">
              <w:rPr>
                <w:vertAlign w:val="superscript"/>
                <w:lang w:val="uk-UA"/>
              </w:rPr>
              <w:t>*</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268,3±69,2</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341,5±74,1</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439,0±77,5</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333,3±66,0</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431,4±69,4</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490,2±70,0</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системи кровообігу</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304,3±67,8</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369,6±71,2</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391,3±72,0</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243,9±67,1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341,5±74,1</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292,7±71,1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411,8±68,9</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529,4±69,9</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451,0±69,7</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дихальної системи</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347,8±70,2</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369,6±71,2</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260,9±64,7</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390,2±76,2</w:t>
            </w:r>
            <w:r w:rsidRPr="002E6ECA">
              <w:rPr>
                <w:spacing w:val="-8"/>
                <w:vertAlign w:val="superscript"/>
                <w:lang w:val="uk-UA"/>
              </w:rPr>
              <w:t>3</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268,3±69,2</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170,7±58,8</w:t>
            </w:r>
            <w:r w:rsidRPr="002E6ECA">
              <w:rPr>
                <w:vertAlign w:val="superscript"/>
                <w:lang w:val="uk-UA"/>
              </w:rPr>
              <w:t>*</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196,1±55,6</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156,9±50,9</w:t>
            </w:r>
            <w:r w:rsidRPr="002E6ECA">
              <w:rPr>
                <w:spacing w:val="-8"/>
                <w:vertAlign w:val="superscript"/>
                <w:lang w:val="uk-UA"/>
              </w:rPr>
              <w:t>1</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117,6±45,1</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Розлади психіки та поведінки</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217,4±60,8</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173,9±55,9</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130,4±49,7</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97,6±46,3</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97,6±46,3</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24,4±24,1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58,8±32,9</w:t>
            </w:r>
            <w:r w:rsidRPr="002E6ECA">
              <w:rPr>
                <w:spacing w:val="-8"/>
                <w:vertAlign w:val="superscript"/>
                <w:lang w:val="uk-UA"/>
              </w:rPr>
              <w:t>1</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58,8±32,9</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39,2±27,2</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нервової системи</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87,0±41,5</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130,4±49,7</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108,7±45,9</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97,6±46,3</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146,3±55,2</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73,2±40,7</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39,2±27,2</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98,0±41,6</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39,2±27,2</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органів травлення</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43,5±30,1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21,7±21,5</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239,1±62,9</w:t>
            </w:r>
            <w:r w:rsidRPr="002E6ECA">
              <w:rPr>
                <w:vertAlign w:val="superscript"/>
                <w:lang w:val="uk-UA"/>
              </w:rPr>
              <w:t>*</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24,4±24,1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97,6±46,3</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58,8±32,9</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176,5±53,4</w:t>
            </w:r>
            <w:r w:rsidRPr="002E6ECA">
              <w:rPr>
                <w:vertAlign w:val="superscript"/>
                <w:lang w:val="uk-UA"/>
              </w:rPr>
              <w:t>*</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шкіри та підшкірної клітковини</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73,2±40,7</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24,4±24,1</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24,4±24,1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r>
      <w:tr w:rsidR="00214250" w:rsidRPr="002E6ECA" w:rsidTr="006F124B">
        <w:trPr>
          <w:trHeight w:val="290"/>
        </w:trPr>
        <w:tc>
          <w:tcPr>
            <w:tcW w:w="2093" w:type="dxa"/>
            <w:shd w:val="clear" w:color="auto" w:fill="auto"/>
            <w:noWrap/>
            <w:tcMar>
              <w:left w:w="28" w:type="dxa"/>
              <w:right w:w="28" w:type="dxa"/>
            </w:tcMar>
            <w:vAlign w:val="center"/>
            <w:hideMark/>
          </w:tcPr>
          <w:p w:rsidR="00214250" w:rsidRPr="002E6ECA" w:rsidRDefault="00214250" w:rsidP="001425D9">
            <w:pPr>
              <w:rPr>
                <w:lang w:val="uk-UA"/>
              </w:rPr>
            </w:pPr>
            <w:r w:rsidRPr="002E6ECA">
              <w:rPr>
                <w:lang w:val="uk-UA"/>
              </w:rPr>
              <w:t>Хвороби кістково-м`язової системи і сполучних тканин</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21,7±21,5</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122,0±51,1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48,8±33,6</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48,8±33,6</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19,6±19,4</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0,0</w:t>
            </w:r>
          </w:p>
        </w:tc>
      </w:tr>
      <w:tr w:rsidR="00214250" w:rsidRPr="002E6ECA" w:rsidTr="006F124B">
        <w:trPr>
          <w:trHeight w:val="290"/>
        </w:trPr>
        <w:tc>
          <w:tcPr>
            <w:tcW w:w="2093" w:type="dxa"/>
            <w:shd w:val="clear" w:color="auto" w:fill="auto"/>
            <w:noWrap/>
            <w:tcMar>
              <w:left w:w="28" w:type="dxa"/>
              <w:right w:w="28" w:type="dxa"/>
            </w:tcMar>
            <w:hideMark/>
          </w:tcPr>
          <w:p w:rsidR="00214250" w:rsidRPr="002E6ECA" w:rsidRDefault="00214250" w:rsidP="001425D9">
            <w:pPr>
              <w:rPr>
                <w:lang w:val="uk-UA"/>
              </w:rPr>
            </w:pPr>
            <w:r w:rsidRPr="002E6ECA">
              <w:rPr>
                <w:lang w:val="uk-UA"/>
              </w:rPr>
              <w:t>Всього p‰</w:t>
            </w:r>
          </w:p>
        </w:tc>
        <w:tc>
          <w:tcPr>
            <w:tcW w:w="1309"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1847,8</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2021,7</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2413,0</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1756,1</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1658,5</w:t>
            </w:r>
          </w:p>
        </w:tc>
        <w:tc>
          <w:tcPr>
            <w:tcW w:w="1417"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1780,5</w:t>
            </w:r>
          </w:p>
        </w:tc>
        <w:tc>
          <w:tcPr>
            <w:tcW w:w="1276"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1490,2</w:t>
            </w:r>
          </w:p>
        </w:tc>
        <w:tc>
          <w:tcPr>
            <w:tcW w:w="1432"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1549,0</w:t>
            </w:r>
          </w:p>
        </w:tc>
        <w:tc>
          <w:tcPr>
            <w:tcW w:w="1433" w:type="dxa"/>
            <w:shd w:val="clear" w:color="auto" w:fill="auto"/>
            <w:noWrap/>
            <w:tcMar>
              <w:left w:w="28" w:type="dxa"/>
              <w:right w:w="28" w:type="dxa"/>
            </w:tcMar>
            <w:vAlign w:val="center"/>
            <w:hideMark/>
          </w:tcPr>
          <w:p w:rsidR="00214250" w:rsidRPr="002E6ECA" w:rsidRDefault="00214250" w:rsidP="001425D9">
            <w:pPr>
              <w:jc w:val="center"/>
              <w:rPr>
                <w:lang w:val="uk-UA"/>
              </w:rPr>
            </w:pPr>
            <w:r w:rsidRPr="002E6ECA">
              <w:rPr>
                <w:lang w:val="uk-UA"/>
              </w:rPr>
              <w:t>1764,7</w:t>
            </w:r>
          </w:p>
        </w:tc>
      </w:tr>
    </w:tbl>
    <w:p w:rsidR="00214250" w:rsidRPr="002E6ECA" w:rsidRDefault="00214250" w:rsidP="00214250">
      <w:pPr>
        <w:tabs>
          <w:tab w:val="left" w:pos="6260"/>
        </w:tabs>
        <w:rPr>
          <w:sz w:val="28"/>
          <w:szCs w:val="28"/>
          <w:lang w:val="uk-UA"/>
        </w:rPr>
      </w:pPr>
    </w:p>
    <w:p w:rsidR="00214250" w:rsidRPr="002E6ECA" w:rsidRDefault="00214250" w:rsidP="00214250">
      <w:pPr>
        <w:ind w:firstLine="709"/>
        <w:jc w:val="both"/>
        <w:rPr>
          <w:spacing w:val="-8"/>
          <w:sz w:val="28"/>
          <w:szCs w:val="28"/>
          <w:lang w:val="uk-UA"/>
        </w:rPr>
      </w:pPr>
      <w:r w:rsidRPr="002E6ECA">
        <w:rPr>
          <w:spacing w:val="-8"/>
          <w:sz w:val="28"/>
          <w:szCs w:val="28"/>
          <w:vertAlign w:val="superscript"/>
          <w:lang w:val="uk-UA"/>
        </w:rPr>
        <w:t>1</w:t>
      </w:r>
      <w:r w:rsidRPr="002E6ECA">
        <w:rPr>
          <w:spacing w:val="-8"/>
          <w:sz w:val="28"/>
          <w:szCs w:val="28"/>
          <w:lang w:val="uk-UA"/>
        </w:rPr>
        <w:t xml:space="preserve"> </w:t>
      </w:r>
      <w:r w:rsidRPr="002E6ECA">
        <w:rPr>
          <w:sz w:val="28"/>
          <w:szCs w:val="28"/>
          <w:lang w:val="uk-UA"/>
        </w:rPr>
        <w:t>–</w:t>
      </w:r>
      <w:r w:rsidRPr="002E6ECA">
        <w:rPr>
          <w:spacing w:val="-8"/>
          <w:sz w:val="28"/>
          <w:szCs w:val="28"/>
          <w:lang w:val="uk-UA"/>
        </w:rPr>
        <w:t xml:space="preserve"> істотна різниця  при порівнянні учнів з рівнем академічної успішності нижче за середній,  р&lt;0,05</w:t>
      </w:r>
    </w:p>
    <w:p w:rsidR="00214250" w:rsidRPr="002E6ECA" w:rsidRDefault="00214250" w:rsidP="00214250">
      <w:pPr>
        <w:ind w:firstLine="709"/>
        <w:jc w:val="both"/>
        <w:rPr>
          <w:sz w:val="28"/>
          <w:szCs w:val="28"/>
          <w:lang w:val="uk-UA"/>
        </w:rPr>
      </w:pPr>
      <w:r w:rsidRPr="002E6ECA">
        <w:rPr>
          <w:sz w:val="28"/>
          <w:szCs w:val="28"/>
          <w:vertAlign w:val="superscript"/>
          <w:lang w:val="uk-UA"/>
        </w:rPr>
        <w:t>*</w:t>
      </w:r>
      <w:r w:rsidRPr="002E6ECA">
        <w:rPr>
          <w:sz w:val="28"/>
          <w:szCs w:val="28"/>
          <w:lang w:val="uk-UA"/>
        </w:rPr>
        <w:t xml:space="preserve"> –</w:t>
      </w:r>
      <w:r w:rsidRPr="002E6ECA">
        <w:rPr>
          <w:spacing w:val="-8"/>
          <w:sz w:val="28"/>
          <w:szCs w:val="28"/>
          <w:lang w:val="uk-UA"/>
        </w:rPr>
        <w:t xml:space="preserve"> істотна різниця  при порівнянні патологічної ураженості протягом навчання</w:t>
      </w:r>
    </w:p>
    <w:p w:rsidR="00214250" w:rsidRPr="002E6ECA" w:rsidRDefault="00214250" w:rsidP="00214250">
      <w:pPr>
        <w:spacing w:line="360" w:lineRule="auto"/>
        <w:ind w:firstLine="709"/>
        <w:jc w:val="both"/>
        <w:rPr>
          <w:sz w:val="28"/>
          <w:szCs w:val="28"/>
          <w:lang w:val="uk-UA"/>
        </w:rPr>
        <w:sectPr w:rsidR="00214250" w:rsidRPr="002E6ECA" w:rsidSect="005414E8">
          <w:pgSz w:w="16838" w:h="11906" w:orient="landscape"/>
          <w:pgMar w:top="1417" w:right="850" w:bottom="850" w:left="850" w:header="708" w:footer="708" w:gutter="0"/>
          <w:cols w:space="708"/>
          <w:docGrid w:linePitch="360"/>
        </w:sectPr>
      </w:pPr>
    </w:p>
    <w:p w:rsidR="00A77207" w:rsidRPr="002E6ECA" w:rsidRDefault="00A77207" w:rsidP="00A77207">
      <w:pPr>
        <w:spacing w:line="360" w:lineRule="auto"/>
        <w:ind w:firstLine="567"/>
        <w:jc w:val="both"/>
        <w:rPr>
          <w:sz w:val="28"/>
          <w:szCs w:val="28"/>
          <w:lang w:val="uk-UA"/>
        </w:rPr>
      </w:pPr>
      <w:r w:rsidRPr="002E6ECA">
        <w:rPr>
          <w:noProof/>
          <w:lang w:val="uk-UA" w:eastAsia="uk-UA"/>
        </w:rPr>
        <w:lastRenderedPageBreak/>
        <w:drawing>
          <wp:inline distT="0" distB="0" distL="0" distR="0" wp14:anchorId="10B34437" wp14:editId="484CA5C1">
            <wp:extent cx="6024133" cy="4114800"/>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l="59751" t="15149" r="9958" b="23624"/>
                    <a:stretch/>
                  </pic:blipFill>
                  <pic:spPr bwMode="auto">
                    <a:xfrm>
                      <a:off x="0" y="0"/>
                      <a:ext cx="6026602" cy="4116487"/>
                    </a:xfrm>
                    <a:prstGeom prst="rect">
                      <a:avLst/>
                    </a:prstGeom>
                    <a:ln>
                      <a:noFill/>
                    </a:ln>
                    <a:extLst>
                      <a:ext uri="{53640926-AAD7-44D8-BBD7-CCE9431645EC}">
                        <a14:shadowObscured xmlns:a14="http://schemas.microsoft.com/office/drawing/2010/main"/>
                      </a:ext>
                    </a:extLst>
                  </pic:spPr>
                </pic:pic>
              </a:graphicData>
            </a:graphic>
          </wp:inline>
        </w:drawing>
      </w:r>
    </w:p>
    <w:p w:rsidR="00214250" w:rsidRPr="002E6ECA" w:rsidRDefault="00214250" w:rsidP="00214250">
      <w:pPr>
        <w:spacing w:line="360" w:lineRule="auto"/>
        <w:ind w:firstLine="709"/>
        <w:jc w:val="both"/>
        <w:rPr>
          <w:sz w:val="28"/>
          <w:szCs w:val="28"/>
          <w:lang w:val="uk-UA"/>
        </w:rPr>
      </w:pPr>
      <w:r w:rsidRPr="002E6ECA">
        <w:rPr>
          <w:sz w:val="28"/>
          <w:szCs w:val="28"/>
          <w:lang w:val="uk-UA"/>
        </w:rPr>
        <w:t>Рис. 6.1. Розподіл учнів з різним рівнем академічної успішності за групами здоров’я</w:t>
      </w:r>
    </w:p>
    <w:p w:rsidR="00214250" w:rsidRPr="002E6ECA" w:rsidRDefault="00214250" w:rsidP="00214250">
      <w:pPr>
        <w:spacing w:line="360" w:lineRule="auto"/>
        <w:jc w:val="both"/>
        <w:rPr>
          <w:sz w:val="28"/>
          <w:szCs w:val="28"/>
          <w:lang w:val="uk-UA"/>
        </w:rPr>
      </w:pPr>
    </w:p>
    <w:p w:rsidR="000D2794" w:rsidRPr="002E6ECA" w:rsidRDefault="000D2794" w:rsidP="000D2794">
      <w:pPr>
        <w:spacing w:line="360" w:lineRule="auto"/>
        <w:ind w:firstLine="709"/>
        <w:jc w:val="both"/>
        <w:rPr>
          <w:sz w:val="28"/>
          <w:szCs w:val="28"/>
          <w:lang w:val="uk-UA"/>
        </w:rPr>
      </w:pPr>
      <w:r w:rsidRPr="002E6ECA">
        <w:rPr>
          <w:sz w:val="28"/>
          <w:szCs w:val="28"/>
          <w:lang w:val="uk-UA"/>
        </w:rPr>
        <w:t>Динаміка перерозподілу учнів виявлялась у зростанні чисельності другої групи здоров’я незалежно від рівня академічної успішності, але істотно лише при її середньому рівні (з 63,4±7,5% до 82,9±5,9%; р&lt;0,05). Проте тенденції для всіх груп академічної успішності були однаковими: зменшення удвічі відсотку учнів з першої групи здоров’я та незначне – з третьої (р&gt;0,05).</w:t>
      </w:r>
    </w:p>
    <w:p w:rsidR="000D2794" w:rsidRPr="002E6ECA" w:rsidRDefault="000D2794" w:rsidP="000D2794">
      <w:pPr>
        <w:spacing w:line="360" w:lineRule="auto"/>
        <w:ind w:firstLine="709"/>
        <w:jc w:val="both"/>
        <w:rPr>
          <w:sz w:val="28"/>
          <w:szCs w:val="28"/>
          <w:lang w:val="uk-UA"/>
        </w:rPr>
      </w:pPr>
      <w:r w:rsidRPr="002E6ECA">
        <w:rPr>
          <w:sz w:val="28"/>
          <w:szCs w:val="28"/>
          <w:lang w:val="uk-UA"/>
        </w:rPr>
        <w:t xml:space="preserve">За допомогою однофакторного дисперсійного аналізу було встановлено вплив рівня академічної успішності під час навчання у 8-му класі за показником кількості випадків гострих захворювань протягом року (F=3,32; p=0,038) та у 9-му класі за цим же критерієм (F=6,60; p=0,002), а також за загальною тривалістю пропущених днів (F=5,93; p=0,003). </w:t>
      </w:r>
    </w:p>
    <w:p w:rsidR="00214250" w:rsidRPr="002E6ECA" w:rsidRDefault="000D2794" w:rsidP="000D2794">
      <w:pPr>
        <w:spacing w:line="360" w:lineRule="auto"/>
        <w:ind w:firstLine="709"/>
        <w:jc w:val="both"/>
        <w:rPr>
          <w:sz w:val="28"/>
          <w:szCs w:val="28"/>
          <w:lang w:val="uk-UA"/>
        </w:rPr>
      </w:pPr>
      <w:r w:rsidRPr="002E6ECA">
        <w:rPr>
          <w:sz w:val="28"/>
          <w:szCs w:val="28"/>
          <w:lang w:val="uk-UA"/>
        </w:rPr>
        <w:t xml:space="preserve">Аналіз показників гострої захворюваності упродовж навчання у базовій школі виявив найменш виражену динаміку усіх показників у учнів із середнім рівнем академічної успішності за всіма показниками гострої захворюваності </w:t>
      </w:r>
      <w:r w:rsidRPr="002E6ECA">
        <w:rPr>
          <w:sz w:val="28"/>
          <w:szCs w:val="28"/>
          <w:lang w:val="uk-UA"/>
        </w:rPr>
        <w:lastRenderedPageBreak/>
        <w:t xml:space="preserve">(загальна тривалість гострих захворювань, кількість випадків та тривалість </w:t>
      </w:r>
      <w:r w:rsidR="00214250" w:rsidRPr="002E6ECA">
        <w:rPr>
          <w:sz w:val="28"/>
          <w:szCs w:val="28"/>
          <w:lang w:val="uk-UA"/>
        </w:rPr>
        <w:t>одного епізоду), що може свідчити про відсутність значних ознак дезадаптації та адаптації до навчального навантаження.</w:t>
      </w:r>
    </w:p>
    <w:p w:rsidR="00214250" w:rsidRPr="002E6ECA" w:rsidRDefault="00214250" w:rsidP="00214250">
      <w:pPr>
        <w:spacing w:line="360" w:lineRule="auto"/>
        <w:ind w:firstLine="709"/>
        <w:jc w:val="both"/>
        <w:rPr>
          <w:sz w:val="28"/>
          <w:szCs w:val="28"/>
          <w:lang w:val="uk-UA"/>
        </w:rPr>
      </w:pPr>
      <w:r w:rsidRPr="002E6ECA">
        <w:rPr>
          <w:sz w:val="28"/>
          <w:szCs w:val="28"/>
          <w:lang w:val="uk-UA"/>
        </w:rPr>
        <w:t xml:space="preserve">У той же час у учнів із низькою академічною успішністю визначався найбільш критичний рівень резистентності організму як за загальною тривалістю гострої захворюваності протягом року, так і за кількістю випадків простудних захворювань (рис. 6.2-6.4). </w:t>
      </w:r>
    </w:p>
    <w:p w:rsidR="00A77207" w:rsidRPr="002E6ECA" w:rsidRDefault="00A77207" w:rsidP="00214250">
      <w:pPr>
        <w:spacing w:line="360" w:lineRule="auto"/>
        <w:ind w:firstLine="709"/>
        <w:jc w:val="both"/>
        <w:rPr>
          <w:sz w:val="28"/>
          <w:szCs w:val="28"/>
          <w:lang w:val="uk-UA"/>
        </w:rPr>
      </w:pPr>
      <w:r w:rsidRPr="002E6ECA">
        <w:rPr>
          <w:noProof/>
          <w:lang w:val="uk-UA" w:eastAsia="uk-UA"/>
        </w:rPr>
        <w:drawing>
          <wp:inline distT="0" distB="0" distL="0" distR="0" wp14:anchorId="3F7FCAA9" wp14:editId="248E7E4D">
            <wp:extent cx="5645150" cy="3686195"/>
            <wp:effectExtent l="0" t="0" r="0"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61825" t="30613" r="10374" b="14156"/>
                    <a:stretch/>
                  </pic:blipFill>
                  <pic:spPr bwMode="auto">
                    <a:xfrm>
                      <a:off x="0" y="0"/>
                      <a:ext cx="5643395" cy="3685049"/>
                    </a:xfrm>
                    <a:prstGeom prst="rect">
                      <a:avLst/>
                    </a:prstGeom>
                    <a:ln>
                      <a:noFill/>
                    </a:ln>
                    <a:extLst>
                      <a:ext uri="{53640926-AAD7-44D8-BBD7-CCE9431645EC}">
                        <a14:shadowObscured xmlns:a14="http://schemas.microsoft.com/office/drawing/2010/main"/>
                      </a:ext>
                    </a:extLst>
                  </pic:spPr>
                </pic:pic>
              </a:graphicData>
            </a:graphic>
          </wp:inline>
        </w:drawing>
      </w:r>
    </w:p>
    <w:p w:rsidR="00214250" w:rsidRPr="002E6ECA" w:rsidRDefault="00214250" w:rsidP="00214250">
      <w:pPr>
        <w:spacing w:line="360" w:lineRule="auto"/>
        <w:ind w:firstLine="709"/>
        <w:jc w:val="both"/>
        <w:rPr>
          <w:sz w:val="28"/>
          <w:szCs w:val="28"/>
          <w:lang w:val="uk-UA"/>
        </w:rPr>
      </w:pPr>
      <w:r w:rsidRPr="002E6ECA">
        <w:rPr>
          <w:sz w:val="28"/>
          <w:szCs w:val="28"/>
          <w:lang w:val="uk-UA"/>
        </w:rPr>
        <w:t>Рис. 6.2.</w:t>
      </w:r>
      <w:r w:rsidRPr="002E6ECA">
        <w:rPr>
          <w:b/>
          <w:sz w:val="28"/>
          <w:szCs w:val="28"/>
          <w:lang w:val="uk-UA"/>
        </w:rPr>
        <w:t xml:space="preserve"> </w:t>
      </w:r>
      <w:r w:rsidRPr="002E6ECA">
        <w:rPr>
          <w:sz w:val="28"/>
          <w:szCs w:val="28"/>
          <w:lang w:val="uk-UA" w:eastAsia="uk-UA"/>
        </w:rPr>
        <w:t>Загальна тривалість гострих захворювань у учнів із різною академічною успішністю</w:t>
      </w:r>
    </w:p>
    <w:p w:rsidR="0071262B" w:rsidRPr="002E6ECA" w:rsidRDefault="0071262B" w:rsidP="00214250">
      <w:pPr>
        <w:spacing w:line="360" w:lineRule="auto"/>
        <w:ind w:firstLine="709"/>
        <w:jc w:val="both"/>
        <w:rPr>
          <w:sz w:val="28"/>
          <w:szCs w:val="28"/>
          <w:lang w:val="uk-UA"/>
        </w:rPr>
      </w:pPr>
    </w:p>
    <w:p w:rsidR="00A3367B" w:rsidRPr="002E6ECA" w:rsidRDefault="00A3367B" w:rsidP="00A3367B">
      <w:pPr>
        <w:spacing w:line="360" w:lineRule="auto"/>
        <w:ind w:firstLine="709"/>
        <w:jc w:val="both"/>
        <w:rPr>
          <w:sz w:val="28"/>
          <w:szCs w:val="28"/>
          <w:lang w:val="uk-UA"/>
        </w:rPr>
      </w:pPr>
      <w:r w:rsidRPr="002E6ECA">
        <w:rPr>
          <w:sz w:val="28"/>
          <w:szCs w:val="28"/>
          <w:lang w:val="uk-UA"/>
        </w:rPr>
        <w:t xml:space="preserve">Динаміка показників гострої захворюваності також мала негативну тенденцію переважно серед учнів із низькою академічною успішністю: зростання загальної тривалості гострих захворювань протягом навчання у базовій школі від 13,2±1,7 до 16,9±1,3 днів при піковому зростання у 6-му класі до 19,2±2,0 днів і незначному зниженні на 7-му році навчання (р&lt;0,05). </w:t>
      </w:r>
    </w:p>
    <w:p w:rsidR="009D7C05" w:rsidRPr="002E6ECA" w:rsidRDefault="009D7C05" w:rsidP="009D7C05">
      <w:pPr>
        <w:spacing w:line="360" w:lineRule="auto"/>
        <w:ind w:firstLine="709"/>
        <w:jc w:val="both"/>
        <w:rPr>
          <w:sz w:val="28"/>
          <w:szCs w:val="28"/>
          <w:lang w:val="uk-UA"/>
        </w:rPr>
      </w:pPr>
      <w:r w:rsidRPr="002E6ECA">
        <w:rPr>
          <w:sz w:val="28"/>
          <w:szCs w:val="28"/>
          <w:lang w:val="uk-UA"/>
        </w:rPr>
        <w:t xml:space="preserve">Кількість випадків гострих захворювань серед цих школярів була максимальною на 8-му році навчання і складала 4,1±0,3 епізоди (р&lt;0,05). </w:t>
      </w:r>
    </w:p>
    <w:p w:rsidR="00A77207" w:rsidRPr="002E6ECA" w:rsidRDefault="00A77207" w:rsidP="00A77207">
      <w:pPr>
        <w:spacing w:line="360" w:lineRule="auto"/>
        <w:ind w:firstLine="426"/>
        <w:jc w:val="both"/>
        <w:rPr>
          <w:sz w:val="28"/>
          <w:szCs w:val="28"/>
          <w:lang w:val="uk-UA"/>
        </w:rPr>
      </w:pPr>
      <w:r w:rsidRPr="002E6ECA">
        <w:rPr>
          <w:noProof/>
          <w:lang w:val="uk-UA" w:eastAsia="uk-UA"/>
        </w:rPr>
        <w:lastRenderedPageBreak/>
        <w:drawing>
          <wp:inline distT="0" distB="0" distL="0" distR="0" wp14:anchorId="09901FB3" wp14:editId="791CD3B1">
            <wp:extent cx="5294617" cy="3257550"/>
            <wp:effectExtent l="0" t="0" r="190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61722" t="29351" r="12137" b="23624"/>
                    <a:stretch/>
                  </pic:blipFill>
                  <pic:spPr bwMode="auto">
                    <a:xfrm>
                      <a:off x="0" y="0"/>
                      <a:ext cx="5304306" cy="3263511"/>
                    </a:xfrm>
                    <a:prstGeom prst="rect">
                      <a:avLst/>
                    </a:prstGeom>
                    <a:ln>
                      <a:noFill/>
                    </a:ln>
                    <a:extLst>
                      <a:ext uri="{53640926-AAD7-44D8-BBD7-CCE9431645EC}">
                        <a14:shadowObscured xmlns:a14="http://schemas.microsoft.com/office/drawing/2010/main"/>
                      </a:ext>
                    </a:extLst>
                  </pic:spPr>
                </pic:pic>
              </a:graphicData>
            </a:graphic>
          </wp:inline>
        </w:drawing>
      </w:r>
    </w:p>
    <w:p w:rsidR="00214250" w:rsidRPr="002E6ECA" w:rsidRDefault="00214250" w:rsidP="00A3367B">
      <w:pPr>
        <w:spacing w:line="360" w:lineRule="auto"/>
        <w:ind w:firstLine="709"/>
        <w:jc w:val="both"/>
        <w:rPr>
          <w:sz w:val="28"/>
          <w:szCs w:val="28"/>
          <w:lang w:val="uk-UA"/>
        </w:rPr>
      </w:pPr>
      <w:r w:rsidRPr="002E6ECA">
        <w:rPr>
          <w:sz w:val="28"/>
          <w:szCs w:val="28"/>
          <w:lang w:val="uk-UA"/>
        </w:rPr>
        <w:t>Рис. 6.3.</w:t>
      </w:r>
      <w:r w:rsidRPr="002E6ECA">
        <w:rPr>
          <w:b/>
          <w:sz w:val="28"/>
          <w:szCs w:val="28"/>
          <w:lang w:val="uk-UA"/>
        </w:rPr>
        <w:t xml:space="preserve"> </w:t>
      </w:r>
      <w:r w:rsidRPr="002E6ECA">
        <w:rPr>
          <w:sz w:val="28"/>
          <w:szCs w:val="28"/>
          <w:lang w:val="uk-UA" w:eastAsia="uk-UA"/>
        </w:rPr>
        <w:t>Кількість випадків гострих захворювань у учнів із різною академічною успішністю</w:t>
      </w:r>
    </w:p>
    <w:p w:rsidR="006725DD" w:rsidRPr="002E6ECA" w:rsidRDefault="00A77207" w:rsidP="00A77207">
      <w:pPr>
        <w:spacing w:line="360" w:lineRule="auto"/>
        <w:ind w:firstLine="426"/>
        <w:jc w:val="both"/>
        <w:rPr>
          <w:sz w:val="28"/>
          <w:szCs w:val="28"/>
          <w:lang w:val="uk-UA"/>
        </w:rPr>
      </w:pPr>
      <w:r w:rsidRPr="002E6ECA">
        <w:rPr>
          <w:noProof/>
          <w:lang w:val="uk-UA" w:eastAsia="uk-UA"/>
        </w:rPr>
        <w:drawing>
          <wp:inline distT="0" distB="0" distL="0" distR="0" wp14:anchorId="61F219F2" wp14:editId="1FDA4171">
            <wp:extent cx="5204289" cy="3365500"/>
            <wp:effectExtent l="0" t="0" r="0" b="635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l="61514" t="22407" r="13382" b="30252"/>
                    <a:stretch/>
                  </pic:blipFill>
                  <pic:spPr bwMode="auto">
                    <a:xfrm>
                      <a:off x="0" y="0"/>
                      <a:ext cx="5207550" cy="3367609"/>
                    </a:xfrm>
                    <a:prstGeom prst="rect">
                      <a:avLst/>
                    </a:prstGeom>
                    <a:ln>
                      <a:noFill/>
                    </a:ln>
                    <a:extLst>
                      <a:ext uri="{53640926-AAD7-44D8-BBD7-CCE9431645EC}">
                        <a14:shadowObscured xmlns:a14="http://schemas.microsoft.com/office/drawing/2010/main"/>
                      </a:ext>
                    </a:extLst>
                  </pic:spPr>
                </pic:pic>
              </a:graphicData>
            </a:graphic>
          </wp:inline>
        </w:drawing>
      </w:r>
    </w:p>
    <w:p w:rsidR="00214250" w:rsidRPr="002E6ECA" w:rsidRDefault="00214250" w:rsidP="00214250">
      <w:pPr>
        <w:spacing w:line="360" w:lineRule="auto"/>
        <w:ind w:firstLine="709"/>
        <w:jc w:val="both"/>
        <w:rPr>
          <w:sz w:val="28"/>
          <w:szCs w:val="28"/>
          <w:lang w:val="uk-UA"/>
        </w:rPr>
      </w:pPr>
      <w:r w:rsidRPr="002E6ECA">
        <w:rPr>
          <w:sz w:val="28"/>
          <w:szCs w:val="28"/>
          <w:lang w:val="uk-UA"/>
        </w:rPr>
        <w:t>Рис. 6.4.</w:t>
      </w:r>
      <w:r w:rsidRPr="002E6ECA">
        <w:rPr>
          <w:b/>
          <w:sz w:val="28"/>
          <w:szCs w:val="28"/>
          <w:lang w:val="uk-UA"/>
        </w:rPr>
        <w:t xml:space="preserve"> </w:t>
      </w:r>
      <w:r w:rsidRPr="002E6ECA">
        <w:rPr>
          <w:sz w:val="28"/>
          <w:szCs w:val="28"/>
          <w:lang w:val="uk-UA" w:eastAsia="uk-UA"/>
        </w:rPr>
        <w:t>Тривалість 1 випадку гострого захворювання у учнів із різною академічною успішністю</w:t>
      </w:r>
    </w:p>
    <w:p w:rsidR="009D7C05" w:rsidRPr="002E6ECA" w:rsidRDefault="009D7C05" w:rsidP="00A3367B">
      <w:pPr>
        <w:spacing w:line="360" w:lineRule="auto"/>
        <w:ind w:firstLine="709"/>
        <w:jc w:val="both"/>
        <w:rPr>
          <w:sz w:val="28"/>
          <w:szCs w:val="28"/>
          <w:lang w:val="uk-UA"/>
        </w:rPr>
      </w:pPr>
    </w:p>
    <w:p w:rsidR="00A3367B" w:rsidRPr="002E6ECA" w:rsidRDefault="00A3367B" w:rsidP="00A3367B">
      <w:pPr>
        <w:spacing w:line="360" w:lineRule="auto"/>
        <w:ind w:firstLine="709"/>
        <w:jc w:val="both"/>
        <w:rPr>
          <w:sz w:val="28"/>
          <w:szCs w:val="28"/>
          <w:lang w:val="uk-UA"/>
        </w:rPr>
      </w:pPr>
      <w:r w:rsidRPr="002E6ECA">
        <w:rPr>
          <w:sz w:val="28"/>
          <w:szCs w:val="28"/>
          <w:lang w:val="uk-UA"/>
        </w:rPr>
        <w:t xml:space="preserve">Найбільш академічно успішні учні характеризувались такими ж піковими періодами щодо зростання (у 6-му класі) та зниження (у 7-му класі) показників </w:t>
      </w:r>
      <w:r w:rsidRPr="002E6ECA">
        <w:rPr>
          <w:sz w:val="28"/>
          <w:szCs w:val="28"/>
          <w:lang w:val="uk-UA"/>
        </w:rPr>
        <w:lastRenderedPageBreak/>
        <w:t xml:space="preserve">гострої захворюваність як і всі учні базової школи в цілому, а також мали істотно нижчі показники гострої захворюваності при порівнянні з учнями із рівнем академічної успішності нижче за середній на 5-му та 8-му році навчання.  </w:t>
      </w:r>
    </w:p>
    <w:p w:rsidR="00214250" w:rsidRPr="002E6ECA" w:rsidRDefault="00214250" w:rsidP="00214250">
      <w:pPr>
        <w:spacing w:line="360" w:lineRule="auto"/>
        <w:ind w:firstLine="709"/>
        <w:jc w:val="both"/>
        <w:rPr>
          <w:sz w:val="28"/>
          <w:szCs w:val="28"/>
          <w:lang w:val="uk-UA"/>
        </w:rPr>
      </w:pPr>
      <w:r w:rsidRPr="002E6ECA">
        <w:rPr>
          <w:sz w:val="28"/>
          <w:szCs w:val="28"/>
          <w:lang w:val="uk-UA"/>
        </w:rPr>
        <w:t>Загальна самооцінка стану здоров’я не встановила істотної різниці між учнями з різним рівнем академічної успішності: 51,8-57,2% школярів вважали себе здоровими, 36,3-43,2% – скоріше здоровими і 2,4±1,0% підлітків з низьким рівнем успішності вважали себе хворими. Щодо піклування про стан свого здоров’я у переважній більшості учні обирала відповідь «добре», що складало від 55,3±3,1% при низькій успішності до 62,6±3,1% - при високій, але істотна різниця визначалась лише за відповіддю «погано піклуюсь про стан здоров’я» з найбільшим відсотком серед підлітків із низькою академічною успішністю (5,5±1,4%; р&lt;0,05).</w:t>
      </w:r>
    </w:p>
    <w:p w:rsidR="000D2794" w:rsidRPr="002E6ECA" w:rsidRDefault="000D2794" w:rsidP="009E0B65">
      <w:pPr>
        <w:spacing w:line="360" w:lineRule="auto"/>
        <w:ind w:firstLine="709"/>
        <w:jc w:val="center"/>
        <w:rPr>
          <w:sz w:val="28"/>
          <w:szCs w:val="28"/>
          <w:lang w:val="uk-UA"/>
        </w:rPr>
      </w:pPr>
    </w:p>
    <w:p w:rsidR="009E0B65" w:rsidRPr="002E6ECA" w:rsidRDefault="009E0B65" w:rsidP="00A3367B">
      <w:pPr>
        <w:spacing w:line="360" w:lineRule="auto"/>
        <w:ind w:firstLine="709"/>
        <w:jc w:val="both"/>
        <w:rPr>
          <w:b/>
          <w:sz w:val="28"/>
          <w:szCs w:val="28"/>
          <w:lang w:val="uk-UA"/>
        </w:rPr>
      </w:pPr>
      <w:r w:rsidRPr="002E6ECA">
        <w:rPr>
          <w:b/>
          <w:sz w:val="28"/>
          <w:szCs w:val="28"/>
          <w:lang w:val="uk-UA"/>
        </w:rPr>
        <w:t>6.3. Стан вегетативних регуляторних систем учнів з різною академічною успішністю</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Наступний етап нашого дослідження полягав у порівнянні функціонального стану вегетативних регуляторних систем серед учнів з різною академічною успішністю.</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Встановлено, що на 5-му році навчання учні з академічною успішністю вищою за середню, порівняно з учнями з середньою академічною успішністю, характеризувалися вірогідно (р&lt;0,05) вищими значеннями SDNN, TP, CVr, HF, pNN50 (рис. 6.5, табл. 6.</w:t>
      </w:r>
      <w:r w:rsidR="000D2794" w:rsidRPr="002E6ECA">
        <w:rPr>
          <w:sz w:val="28"/>
          <w:szCs w:val="28"/>
          <w:shd w:val="clear" w:color="auto" w:fill="FFFFFF"/>
          <w:lang w:val="uk-UA"/>
        </w:rPr>
        <w:t>8</w:t>
      </w:r>
      <w:r w:rsidRPr="002E6ECA">
        <w:rPr>
          <w:sz w:val="28"/>
          <w:szCs w:val="28"/>
          <w:shd w:val="clear" w:color="auto" w:fill="FFFFFF"/>
          <w:lang w:val="uk-UA"/>
        </w:rPr>
        <w:t>).</w:t>
      </w:r>
    </w:p>
    <w:p w:rsidR="009D7C05" w:rsidRPr="002E6ECA" w:rsidRDefault="00A3367B" w:rsidP="009D7C0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Такі ж зміни параметрів ВСР спостерігалися і серед учнів з академічною успішністю нижче за середню. Однак, до них додалися також вірогідно (р&lt;0,05) нижчі значення АМо, ІН, ПАПР, ВПР, ІВР, СС1, %LF, LFn, LF/HF та вірогідно (р&lt;0,05) вищі значення Mean, RMSSD, VLF, %HF, HFn, порівняно з учнями з середньою академічною успішністю (рис. 6.5, табл. 6.8).</w:t>
      </w:r>
      <w:r w:rsidR="009D7C05" w:rsidRPr="002E6ECA">
        <w:rPr>
          <w:sz w:val="28"/>
          <w:szCs w:val="28"/>
          <w:shd w:val="clear" w:color="auto" w:fill="FFFFFF"/>
          <w:lang w:val="uk-UA"/>
        </w:rPr>
        <w:t xml:space="preserve"> У той же час на 5-му році навчання нами не знайдено вірогідних відмінностей (р&lt;0,05) за величинами показників ВСР між учнями з академічною успішністю вищою та нижчою за середню.</w:t>
      </w:r>
    </w:p>
    <w:p w:rsidR="00202350" w:rsidRPr="002E6ECA" w:rsidRDefault="00202350" w:rsidP="00202350">
      <w:pPr>
        <w:spacing w:line="360" w:lineRule="auto"/>
        <w:ind w:firstLine="709"/>
        <w:jc w:val="right"/>
        <w:rPr>
          <w:sz w:val="28"/>
          <w:szCs w:val="28"/>
          <w:lang w:val="uk-UA"/>
        </w:rPr>
      </w:pPr>
      <w:r w:rsidRPr="002E6ECA">
        <w:rPr>
          <w:i/>
          <w:sz w:val="28"/>
          <w:szCs w:val="28"/>
          <w:lang w:val="uk-UA"/>
        </w:rPr>
        <w:lastRenderedPageBreak/>
        <w:t>Таблиця 6.8</w:t>
      </w:r>
    </w:p>
    <w:p w:rsidR="00202350" w:rsidRPr="002E6ECA" w:rsidRDefault="00202350" w:rsidP="00202350">
      <w:pPr>
        <w:spacing w:line="360" w:lineRule="auto"/>
        <w:ind w:firstLine="709"/>
        <w:jc w:val="center"/>
        <w:rPr>
          <w:b/>
          <w:sz w:val="28"/>
          <w:szCs w:val="28"/>
          <w:lang w:val="uk-UA"/>
        </w:rPr>
      </w:pPr>
      <w:r w:rsidRPr="002E6ECA">
        <w:rPr>
          <w:b/>
          <w:sz w:val="28"/>
          <w:szCs w:val="28"/>
          <w:lang w:val="uk-UA"/>
        </w:rPr>
        <w:t>Спектральна потужність ВСР учнів основної школи із різною академічною успішністю на 5-му році навчання</w:t>
      </w:r>
    </w:p>
    <w:tbl>
      <w:tblPr>
        <w:tblW w:w="8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2169"/>
        <w:gridCol w:w="1631"/>
        <w:gridCol w:w="1289"/>
        <w:gridCol w:w="1289"/>
      </w:tblGrid>
      <w:tr w:rsidR="00202350" w:rsidRPr="002E6ECA" w:rsidTr="00B10BB2">
        <w:trPr>
          <w:trHeight w:val="567"/>
          <w:jc w:val="center"/>
        </w:trPr>
        <w:tc>
          <w:tcPr>
            <w:tcW w:w="3942" w:type="dxa"/>
            <w:gridSpan w:val="2"/>
            <w:vMerge w:val="restart"/>
            <w:shd w:val="clear" w:color="auto" w:fill="auto"/>
            <w:noWrap/>
            <w:vAlign w:val="center"/>
          </w:tcPr>
          <w:p w:rsidR="00202350" w:rsidRPr="002E6ECA" w:rsidRDefault="00202350" w:rsidP="00B10BB2">
            <w:pPr>
              <w:jc w:val="center"/>
              <w:rPr>
                <w:sz w:val="28"/>
                <w:szCs w:val="28"/>
              </w:rPr>
            </w:pPr>
            <w:r w:rsidRPr="002E6ECA">
              <w:rPr>
                <w:bCs/>
                <w:sz w:val="28"/>
                <w:szCs w:val="28"/>
                <w:lang w:val="uk-UA" w:eastAsia="uk-UA"/>
              </w:rPr>
              <w:t>Показник спектральної потужності</w:t>
            </w:r>
          </w:p>
        </w:tc>
        <w:tc>
          <w:tcPr>
            <w:tcW w:w="4209" w:type="dxa"/>
            <w:gridSpan w:val="3"/>
            <w:shd w:val="clear" w:color="000000" w:fill="D9D9D9"/>
            <w:noWrap/>
            <w:vAlign w:val="center"/>
          </w:tcPr>
          <w:p w:rsidR="00202350" w:rsidRPr="002E6ECA" w:rsidRDefault="00202350" w:rsidP="00B10BB2">
            <w:pPr>
              <w:rPr>
                <w:sz w:val="28"/>
                <w:szCs w:val="28"/>
              </w:rPr>
            </w:pPr>
            <w:r w:rsidRPr="002E6ECA">
              <w:rPr>
                <w:sz w:val="28"/>
                <w:szCs w:val="28"/>
              </w:rPr>
              <w:t>Рівень академічної успішності</w:t>
            </w:r>
          </w:p>
        </w:tc>
      </w:tr>
      <w:tr w:rsidR="00202350" w:rsidRPr="002E6ECA" w:rsidTr="00B10BB2">
        <w:trPr>
          <w:trHeight w:val="567"/>
          <w:jc w:val="center"/>
        </w:trPr>
        <w:tc>
          <w:tcPr>
            <w:tcW w:w="3942" w:type="dxa"/>
            <w:gridSpan w:val="2"/>
            <w:vMerge/>
            <w:shd w:val="clear" w:color="auto" w:fill="auto"/>
            <w:noWrap/>
            <w:vAlign w:val="bottom"/>
            <w:hideMark/>
          </w:tcPr>
          <w:p w:rsidR="00202350" w:rsidRPr="002E6ECA" w:rsidRDefault="00202350" w:rsidP="00B10BB2">
            <w:pPr>
              <w:jc w:val="center"/>
              <w:rPr>
                <w:sz w:val="28"/>
                <w:szCs w:val="28"/>
              </w:rPr>
            </w:pPr>
          </w:p>
        </w:tc>
        <w:tc>
          <w:tcPr>
            <w:tcW w:w="1631" w:type="dxa"/>
            <w:shd w:val="clear" w:color="000000" w:fill="D9D9D9"/>
            <w:noWrap/>
            <w:vAlign w:val="center"/>
            <w:hideMark/>
          </w:tcPr>
          <w:p w:rsidR="00202350" w:rsidRPr="002E6ECA" w:rsidRDefault="00202350" w:rsidP="00B10BB2">
            <w:pPr>
              <w:rPr>
                <w:sz w:val="28"/>
                <w:szCs w:val="28"/>
              </w:rPr>
            </w:pPr>
            <w:r w:rsidRPr="002E6ECA">
              <w:rPr>
                <w:sz w:val="28"/>
                <w:szCs w:val="28"/>
              </w:rPr>
              <w:t>нижча за середню</w:t>
            </w:r>
          </w:p>
        </w:tc>
        <w:tc>
          <w:tcPr>
            <w:tcW w:w="1289" w:type="dxa"/>
            <w:shd w:val="clear" w:color="auto" w:fill="auto"/>
            <w:noWrap/>
            <w:vAlign w:val="center"/>
            <w:hideMark/>
          </w:tcPr>
          <w:p w:rsidR="00202350" w:rsidRPr="002E6ECA" w:rsidRDefault="00202350" w:rsidP="00B10BB2">
            <w:pPr>
              <w:rPr>
                <w:sz w:val="28"/>
                <w:szCs w:val="28"/>
              </w:rPr>
            </w:pPr>
            <w:r w:rsidRPr="002E6ECA">
              <w:rPr>
                <w:sz w:val="28"/>
                <w:szCs w:val="28"/>
              </w:rPr>
              <w:t>середня</w:t>
            </w:r>
          </w:p>
        </w:tc>
        <w:tc>
          <w:tcPr>
            <w:tcW w:w="1289" w:type="dxa"/>
            <w:shd w:val="clear" w:color="auto" w:fill="auto"/>
            <w:noWrap/>
            <w:vAlign w:val="center"/>
            <w:hideMark/>
          </w:tcPr>
          <w:p w:rsidR="00202350" w:rsidRPr="002E6ECA" w:rsidRDefault="00202350" w:rsidP="00B10BB2">
            <w:pPr>
              <w:rPr>
                <w:sz w:val="28"/>
                <w:szCs w:val="28"/>
              </w:rPr>
            </w:pPr>
            <w:r w:rsidRPr="002E6ECA">
              <w:rPr>
                <w:sz w:val="28"/>
                <w:szCs w:val="28"/>
              </w:rPr>
              <w:t>вища за середню</w:t>
            </w:r>
          </w:p>
        </w:tc>
      </w:tr>
      <w:tr w:rsidR="00202350" w:rsidRPr="002E6ECA" w:rsidTr="00B10BB2">
        <w:trPr>
          <w:trHeight w:val="567"/>
          <w:jc w:val="center"/>
        </w:trPr>
        <w:tc>
          <w:tcPr>
            <w:tcW w:w="1773" w:type="dxa"/>
            <w:vMerge w:val="restart"/>
            <w:shd w:val="clear" w:color="auto" w:fill="auto"/>
            <w:noWrap/>
            <w:vAlign w:val="center"/>
            <w:hideMark/>
          </w:tcPr>
          <w:p w:rsidR="00202350" w:rsidRPr="002E6ECA" w:rsidRDefault="00202350" w:rsidP="00B10BB2">
            <w:pPr>
              <w:jc w:val="center"/>
              <w:rPr>
                <w:sz w:val="28"/>
                <w:szCs w:val="28"/>
                <w:lang w:val="uk-UA" w:eastAsia="uk-UA"/>
              </w:rPr>
            </w:pPr>
            <w:r w:rsidRPr="002E6ECA">
              <w:rPr>
                <w:bCs/>
                <w:sz w:val="28"/>
                <w:szCs w:val="28"/>
                <w:lang w:val="uk-UA" w:eastAsia="uk-UA"/>
              </w:rPr>
              <w:t>TP, мс</w:t>
            </w:r>
            <w:r w:rsidRPr="002E6ECA">
              <w:rPr>
                <w:sz w:val="28"/>
                <w:szCs w:val="28"/>
                <w:vertAlign w:val="superscript"/>
                <w:lang w:val="uk-UA" w:eastAsia="uk-UA"/>
              </w:rPr>
              <w:t>2</w:t>
            </w:r>
          </w:p>
        </w:tc>
        <w:tc>
          <w:tcPr>
            <w:tcW w:w="2169" w:type="dxa"/>
            <w:shd w:val="clear" w:color="auto" w:fill="auto"/>
            <w:noWrap/>
            <w:vAlign w:val="center"/>
            <w:hideMark/>
          </w:tcPr>
          <w:p w:rsidR="00202350" w:rsidRPr="002E6ECA" w:rsidRDefault="00202350"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02350" w:rsidRPr="002E6ECA" w:rsidRDefault="00202350" w:rsidP="00B10BB2">
            <w:pPr>
              <w:jc w:val="center"/>
              <w:rPr>
                <w:sz w:val="28"/>
                <w:szCs w:val="28"/>
              </w:rPr>
            </w:pPr>
            <w:r w:rsidRPr="002E6ECA">
              <w:rPr>
                <w:sz w:val="28"/>
                <w:szCs w:val="28"/>
              </w:rPr>
              <w:t>2144,39</w:t>
            </w:r>
            <w:r w:rsidRPr="002E6ECA">
              <w:rPr>
                <w:sz w:val="28"/>
                <w:szCs w:val="28"/>
                <w:vertAlign w:val="superscript"/>
              </w:rPr>
              <w:t>#</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982,31</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1497,99</w:t>
            </w:r>
            <w:r w:rsidRPr="002E6ECA">
              <w:rPr>
                <w:sz w:val="28"/>
                <w:szCs w:val="28"/>
                <w:vertAlign w:val="superscript"/>
              </w:rPr>
              <w:t>#</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1580,3</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680,4</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1054,4</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3173,8</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1163,4</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2412,9</w:t>
            </w:r>
          </w:p>
        </w:tc>
      </w:tr>
      <w:tr w:rsidR="00202350" w:rsidRPr="002E6ECA" w:rsidTr="00B10BB2">
        <w:trPr>
          <w:trHeight w:val="567"/>
          <w:jc w:val="center"/>
        </w:trPr>
        <w:tc>
          <w:tcPr>
            <w:tcW w:w="1773" w:type="dxa"/>
            <w:vMerge w:val="restart"/>
            <w:shd w:val="clear" w:color="auto" w:fill="auto"/>
            <w:noWrap/>
            <w:vAlign w:val="center"/>
            <w:hideMark/>
          </w:tcPr>
          <w:p w:rsidR="00202350" w:rsidRPr="002E6ECA" w:rsidRDefault="00202350" w:rsidP="00B10BB2">
            <w:pPr>
              <w:jc w:val="center"/>
              <w:rPr>
                <w:sz w:val="28"/>
                <w:szCs w:val="28"/>
                <w:lang w:val="uk-UA" w:eastAsia="uk-UA"/>
              </w:rPr>
            </w:pPr>
            <w:r w:rsidRPr="002E6ECA">
              <w:rPr>
                <w:bCs/>
                <w:sz w:val="28"/>
                <w:szCs w:val="28"/>
                <w:lang w:val="uk-UA" w:eastAsia="uk-UA"/>
              </w:rPr>
              <w:t>VLF, мс</w:t>
            </w:r>
            <w:r w:rsidRPr="002E6ECA">
              <w:rPr>
                <w:sz w:val="28"/>
                <w:szCs w:val="28"/>
                <w:vertAlign w:val="superscript"/>
                <w:lang w:val="uk-UA" w:eastAsia="uk-UA"/>
              </w:rPr>
              <w:t>2</w:t>
            </w:r>
          </w:p>
        </w:tc>
        <w:tc>
          <w:tcPr>
            <w:tcW w:w="2169" w:type="dxa"/>
            <w:shd w:val="clear" w:color="auto" w:fill="auto"/>
            <w:noWrap/>
            <w:vAlign w:val="center"/>
            <w:hideMark/>
          </w:tcPr>
          <w:p w:rsidR="00202350" w:rsidRPr="002E6ECA" w:rsidRDefault="00202350"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02350" w:rsidRPr="002E6ECA" w:rsidRDefault="00202350" w:rsidP="00B10BB2">
            <w:pPr>
              <w:jc w:val="center"/>
              <w:rPr>
                <w:sz w:val="28"/>
                <w:szCs w:val="28"/>
              </w:rPr>
            </w:pPr>
            <w:r w:rsidRPr="002E6ECA">
              <w:rPr>
                <w:sz w:val="28"/>
                <w:szCs w:val="28"/>
              </w:rPr>
              <w:t>196,75</w:t>
            </w:r>
            <w:r w:rsidRPr="002E6ECA">
              <w:rPr>
                <w:sz w:val="28"/>
                <w:szCs w:val="28"/>
                <w:vertAlign w:val="superscript"/>
              </w:rPr>
              <w:t>#</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114,71</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145,07</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164,57</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61,21</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91,32</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309,43</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187,64</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282,36</w:t>
            </w:r>
          </w:p>
        </w:tc>
      </w:tr>
      <w:tr w:rsidR="00202350" w:rsidRPr="002E6ECA" w:rsidTr="00B10BB2">
        <w:trPr>
          <w:trHeight w:val="567"/>
          <w:jc w:val="center"/>
        </w:trPr>
        <w:tc>
          <w:tcPr>
            <w:tcW w:w="1773" w:type="dxa"/>
            <w:vMerge w:val="restart"/>
            <w:shd w:val="clear" w:color="auto" w:fill="auto"/>
            <w:noWrap/>
            <w:vAlign w:val="center"/>
            <w:hideMark/>
          </w:tcPr>
          <w:p w:rsidR="00202350" w:rsidRPr="002E6ECA" w:rsidRDefault="00202350" w:rsidP="00B10BB2">
            <w:pPr>
              <w:jc w:val="center"/>
              <w:rPr>
                <w:sz w:val="28"/>
                <w:szCs w:val="28"/>
                <w:lang w:val="uk-UA" w:eastAsia="uk-UA"/>
              </w:rPr>
            </w:pPr>
            <w:r w:rsidRPr="002E6ECA">
              <w:rPr>
                <w:bCs/>
                <w:sz w:val="28"/>
                <w:szCs w:val="28"/>
                <w:lang w:val="uk-UA" w:eastAsia="uk-UA"/>
              </w:rPr>
              <w:t>LF, мс</w:t>
            </w:r>
            <w:r w:rsidRPr="002E6ECA">
              <w:rPr>
                <w:sz w:val="28"/>
                <w:szCs w:val="28"/>
                <w:vertAlign w:val="superscript"/>
                <w:lang w:val="uk-UA" w:eastAsia="uk-UA"/>
              </w:rPr>
              <w:t>2</w:t>
            </w:r>
          </w:p>
        </w:tc>
        <w:tc>
          <w:tcPr>
            <w:tcW w:w="2169" w:type="dxa"/>
            <w:shd w:val="clear" w:color="auto" w:fill="auto"/>
            <w:noWrap/>
            <w:vAlign w:val="center"/>
            <w:hideMark/>
          </w:tcPr>
          <w:p w:rsidR="00202350" w:rsidRPr="002E6ECA" w:rsidRDefault="00202350"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02350" w:rsidRPr="002E6ECA" w:rsidRDefault="00202350" w:rsidP="00B10BB2">
            <w:pPr>
              <w:jc w:val="center"/>
              <w:rPr>
                <w:sz w:val="28"/>
                <w:szCs w:val="28"/>
              </w:rPr>
            </w:pPr>
            <w:r w:rsidRPr="002E6ECA">
              <w:rPr>
                <w:sz w:val="28"/>
                <w:szCs w:val="28"/>
              </w:rPr>
              <w:t>643,89</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336,81</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396,74</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342,87</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256,73</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323,28</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686,04</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512,62</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543,09</w:t>
            </w:r>
          </w:p>
        </w:tc>
      </w:tr>
      <w:tr w:rsidR="00202350" w:rsidRPr="002E6ECA" w:rsidTr="00B10BB2">
        <w:trPr>
          <w:trHeight w:val="567"/>
          <w:jc w:val="center"/>
        </w:trPr>
        <w:tc>
          <w:tcPr>
            <w:tcW w:w="1773" w:type="dxa"/>
            <w:vMerge w:val="restart"/>
            <w:shd w:val="clear" w:color="auto" w:fill="auto"/>
            <w:noWrap/>
            <w:vAlign w:val="center"/>
            <w:hideMark/>
          </w:tcPr>
          <w:p w:rsidR="00202350" w:rsidRPr="002E6ECA" w:rsidRDefault="00202350" w:rsidP="00B10BB2">
            <w:pPr>
              <w:jc w:val="center"/>
              <w:rPr>
                <w:sz w:val="28"/>
                <w:szCs w:val="28"/>
                <w:lang w:val="uk-UA" w:eastAsia="uk-UA"/>
              </w:rPr>
            </w:pPr>
            <w:r w:rsidRPr="002E6ECA">
              <w:rPr>
                <w:bCs/>
                <w:sz w:val="28"/>
                <w:szCs w:val="28"/>
                <w:lang w:val="uk-UA" w:eastAsia="uk-UA"/>
              </w:rPr>
              <w:t>HF, мс</w:t>
            </w:r>
            <w:r w:rsidRPr="002E6ECA">
              <w:rPr>
                <w:sz w:val="28"/>
                <w:szCs w:val="28"/>
                <w:vertAlign w:val="superscript"/>
                <w:lang w:val="uk-UA" w:eastAsia="uk-UA"/>
              </w:rPr>
              <w:t>2</w:t>
            </w:r>
          </w:p>
        </w:tc>
        <w:tc>
          <w:tcPr>
            <w:tcW w:w="2169" w:type="dxa"/>
            <w:shd w:val="clear" w:color="auto" w:fill="auto"/>
            <w:noWrap/>
            <w:vAlign w:val="center"/>
            <w:hideMark/>
          </w:tcPr>
          <w:p w:rsidR="00202350" w:rsidRPr="002E6ECA" w:rsidRDefault="00202350"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02350" w:rsidRPr="002E6ECA" w:rsidRDefault="00202350" w:rsidP="00B10BB2">
            <w:pPr>
              <w:jc w:val="center"/>
              <w:rPr>
                <w:sz w:val="28"/>
                <w:szCs w:val="28"/>
              </w:rPr>
            </w:pPr>
            <w:r w:rsidRPr="002E6ECA">
              <w:rPr>
                <w:sz w:val="28"/>
                <w:szCs w:val="28"/>
              </w:rPr>
              <w:t>1447,52</w:t>
            </w:r>
            <w:r w:rsidRPr="002E6ECA">
              <w:rPr>
                <w:sz w:val="28"/>
                <w:szCs w:val="28"/>
                <w:vertAlign w:val="superscript"/>
              </w:rPr>
              <w:t>#</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418,26</w:t>
            </w:r>
          </w:p>
        </w:tc>
        <w:tc>
          <w:tcPr>
            <w:tcW w:w="1289" w:type="dxa"/>
            <w:shd w:val="clear" w:color="auto" w:fill="auto"/>
            <w:noWrap/>
            <w:vAlign w:val="center"/>
            <w:hideMark/>
          </w:tcPr>
          <w:p w:rsidR="00202350" w:rsidRPr="002E6ECA" w:rsidRDefault="00202350" w:rsidP="00B10BB2">
            <w:pPr>
              <w:jc w:val="center"/>
              <w:rPr>
                <w:sz w:val="28"/>
                <w:szCs w:val="28"/>
              </w:rPr>
            </w:pPr>
            <w:r w:rsidRPr="002E6ECA">
              <w:rPr>
                <w:sz w:val="28"/>
                <w:szCs w:val="28"/>
              </w:rPr>
              <w:t>734,77</w:t>
            </w:r>
            <w:r w:rsidRPr="002E6ECA">
              <w:rPr>
                <w:sz w:val="28"/>
                <w:szCs w:val="28"/>
                <w:vertAlign w:val="superscript"/>
              </w:rPr>
              <w:t>#</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02350" w:rsidRPr="002E6ECA" w:rsidRDefault="00202350" w:rsidP="00B10BB2">
            <w:pPr>
              <w:jc w:val="center"/>
              <w:rPr>
                <w:sz w:val="28"/>
                <w:szCs w:val="28"/>
              </w:rPr>
            </w:pPr>
            <w:r w:rsidRPr="002E6ECA">
              <w:rPr>
                <w:sz w:val="28"/>
                <w:szCs w:val="28"/>
              </w:rPr>
              <w:t>911,94</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282,41</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431,97</w:t>
            </w:r>
          </w:p>
        </w:tc>
      </w:tr>
      <w:tr w:rsidR="00202350" w:rsidRPr="002E6ECA" w:rsidTr="00B10BB2">
        <w:trPr>
          <w:trHeight w:val="567"/>
          <w:jc w:val="center"/>
        </w:trPr>
        <w:tc>
          <w:tcPr>
            <w:tcW w:w="1773" w:type="dxa"/>
            <w:vMerge/>
            <w:vAlign w:val="center"/>
            <w:hideMark/>
          </w:tcPr>
          <w:p w:rsidR="00202350" w:rsidRPr="002E6ECA" w:rsidRDefault="00202350" w:rsidP="00B10BB2">
            <w:pPr>
              <w:rPr>
                <w:sz w:val="28"/>
                <w:szCs w:val="28"/>
                <w:lang w:val="uk-UA" w:eastAsia="uk-UA"/>
              </w:rPr>
            </w:pPr>
          </w:p>
        </w:tc>
        <w:tc>
          <w:tcPr>
            <w:tcW w:w="2169" w:type="dxa"/>
            <w:shd w:val="clear" w:color="auto" w:fill="auto"/>
            <w:vAlign w:val="center"/>
            <w:hideMark/>
          </w:tcPr>
          <w:p w:rsidR="00202350" w:rsidRPr="002E6ECA" w:rsidRDefault="00202350"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02350" w:rsidRPr="002E6ECA" w:rsidRDefault="00202350" w:rsidP="00B10BB2">
            <w:pPr>
              <w:jc w:val="center"/>
              <w:rPr>
                <w:sz w:val="28"/>
                <w:szCs w:val="28"/>
                <w:lang w:val="uk-UA"/>
              </w:rPr>
            </w:pPr>
            <w:r w:rsidRPr="002E6ECA">
              <w:rPr>
                <w:sz w:val="28"/>
                <w:szCs w:val="28"/>
              </w:rPr>
              <w:t>2291</w:t>
            </w:r>
            <w:r w:rsidRPr="002E6ECA">
              <w:rPr>
                <w:sz w:val="28"/>
                <w:szCs w:val="28"/>
                <w:lang w:val="uk-UA"/>
              </w:rPr>
              <w:t>,0</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636,3</w:t>
            </w:r>
          </w:p>
        </w:tc>
        <w:tc>
          <w:tcPr>
            <w:tcW w:w="1289" w:type="dxa"/>
            <w:shd w:val="clear" w:color="auto" w:fill="auto"/>
            <w:vAlign w:val="center"/>
            <w:hideMark/>
          </w:tcPr>
          <w:p w:rsidR="00202350" w:rsidRPr="002E6ECA" w:rsidRDefault="00202350" w:rsidP="00B10BB2">
            <w:pPr>
              <w:jc w:val="center"/>
              <w:rPr>
                <w:sz w:val="28"/>
                <w:szCs w:val="28"/>
              </w:rPr>
            </w:pPr>
            <w:r w:rsidRPr="002E6ECA">
              <w:rPr>
                <w:sz w:val="28"/>
                <w:szCs w:val="28"/>
              </w:rPr>
              <w:t>1896,9</w:t>
            </w:r>
          </w:p>
        </w:tc>
      </w:tr>
    </w:tbl>
    <w:p w:rsidR="00202350" w:rsidRPr="002E6ECA" w:rsidRDefault="002B246C" w:rsidP="002B246C">
      <w:pPr>
        <w:spacing w:line="276" w:lineRule="auto"/>
        <w:ind w:firstLine="709"/>
        <w:rPr>
          <w:lang w:val="uk-UA"/>
        </w:rPr>
      </w:pPr>
      <w:r w:rsidRPr="002E6ECA">
        <w:rPr>
          <w:bCs/>
          <w:lang w:val="uk-UA"/>
        </w:rPr>
        <w:t xml:space="preserve">Примітки: </w:t>
      </w:r>
      <w:r w:rsidRPr="002E6ECA">
        <w:rPr>
          <w:bCs/>
          <w:vertAlign w:val="superscript"/>
        </w:rPr>
        <w:t>#</w:t>
      </w:r>
      <w:r w:rsidRPr="002E6ECA">
        <w:rPr>
          <w:bCs/>
          <w:lang w:val="uk-UA"/>
        </w:rPr>
        <w:t xml:space="preserve"> – вірогідні відмінності з показниками учнів з середньою академічною успішністю при </w:t>
      </w:r>
      <w:r w:rsidRPr="002E6ECA">
        <w:rPr>
          <w:shd w:val="clear" w:color="auto" w:fill="FFFFFF"/>
          <w:lang w:val="uk-UA"/>
        </w:rPr>
        <w:t>р&lt;0,05</w:t>
      </w:r>
    </w:p>
    <w:p w:rsidR="00202350" w:rsidRPr="002E6ECA" w:rsidRDefault="00202350"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p>
    <w:p w:rsidR="009D7C05" w:rsidRPr="002E6ECA" w:rsidRDefault="002B246C" w:rsidP="009D7C0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 xml:space="preserve">На 6-му році навчання характер відмінностей вегетативних профілів учнів з академічною успішністю вищою та нижчою за середню від вегетативного профілю учнів з середньою академічною успішністю став досить подібним (рис. 6.6, табл. 6.9). </w:t>
      </w:r>
      <w:r w:rsidR="009D7C05" w:rsidRPr="002E6ECA">
        <w:rPr>
          <w:sz w:val="28"/>
          <w:szCs w:val="28"/>
          <w:shd w:val="clear" w:color="auto" w:fill="FFFFFF"/>
          <w:lang w:val="uk-UA"/>
        </w:rPr>
        <w:t xml:space="preserve">Так, учні з академічною успішністю вищою та нижчою за середню відрізнялися від учнів з середньою академічною успішністю вірогідно (р&lt;0,05) вищими значеннями pNN50, HF, %HF, HFn та </w:t>
      </w:r>
      <w:r w:rsidR="009D7C05" w:rsidRPr="002E6ECA">
        <w:rPr>
          <w:sz w:val="28"/>
          <w:szCs w:val="28"/>
          <w:shd w:val="clear" w:color="auto" w:fill="FFFFFF"/>
          <w:lang w:val="uk-UA"/>
        </w:rPr>
        <w:lastRenderedPageBreak/>
        <w:t>вірогідно (р&lt;0,05) нижчими значеннями %LF, LFn, LF/HF, IC та тенденцією до вищих значень ТР (р=0,08), %VLF (р=0,07).</w:t>
      </w:r>
    </w:p>
    <w:p w:rsidR="00DA2E3C" w:rsidRPr="002E6ECA" w:rsidRDefault="00DA2E3C" w:rsidP="00DA2E3C">
      <w:pPr>
        <w:pStyle w:val="a5"/>
        <w:shd w:val="clear" w:color="auto" w:fill="FFFFFF"/>
        <w:spacing w:before="0" w:beforeAutospacing="0" w:after="0" w:afterAutospacing="0" w:line="360" w:lineRule="auto"/>
        <w:ind w:firstLine="567"/>
        <w:jc w:val="both"/>
        <w:rPr>
          <w:sz w:val="28"/>
          <w:szCs w:val="28"/>
          <w:lang w:val="uk-UA"/>
        </w:rPr>
      </w:pPr>
      <w:r w:rsidRPr="002E6ECA">
        <w:rPr>
          <w:noProof/>
          <w:lang w:val="uk-UA" w:eastAsia="uk-UA"/>
        </w:rPr>
        <w:drawing>
          <wp:inline distT="0" distB="0" distL="0" distR="0" wp14:anchorId="130D4E71" wp14:editId="0086F5FC">
            <wp:extent cx="5656997" cy="5159940"/>
            <wp:effectExtent l="0" t="0" r="1270" b="317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8"/>
                    <a:srcRect l="62207" t="16959" r="11148" b="9101"/>
                    <a:stretch/>
                  </pic:blipFill>
                  <pic:spPr bwMode="auto">
                    <a:xfrm>
                      <a:off x="0" y="0"/>
                      <a:ext cx="5656997" cy="5159940"/>
                    </a:xfrm>
                    <a:prstGeom prst="rect">
                      <a:avLst/>
                    </a:prstGeom>
                    <a:ln>
                      <a:noFill/>
                    </a:ln>
                    <a:extLst>
                      <a:ext uri="{53640926-AAD7-44D8-BBD7-CCE9431645EC}">
                        <a14:shadowObscured xmlns:a14="http://schemas.microsoft.com/office/drawing/2010/main"/>
                      </a:ext>
                    </a:extLst>
                  </pic:spPr>
                </pic:pic>
              </a:graphicData>
            </a:graphic>
          </wp:inline>
        </w:drawing>
      </w:r>
    </w:p>
    <w:p w:rsidR="009E0B65" w:rsidRPr="002E6ECA" w:rsidRDefault="009E0B65" w:rsidP="00DA2E3C">
      <w:pPr>
        <w:pStyle w:val="a5"/>
        <w:shd w:val="clear" w:color="auto" w:fill="FFFFFF"/>
        <w:spacing w:before="0" w:beforeAutospacing="0" w:after="0" w:afterAutospacing="0" w:line="360" w:lineRule="auto"/>
        <w:ind w:firstLine="709"/>
        <w:jc w:val="both"/>
        <w:rPr>
          <w:sz w:val="28"/>
          <w:szCs w:val="28"/>
          <w:lang w:val="uk-UA"/>
        </w:rPr>
      </w:pPr>
      <w:r w:rsidRPr="002E6ECA">
        <w:rPr>
          <w:sz w:val="28"/>
          <w:szCs w:val="28"/>
          <w:lang w:val="uk-UA"/>
        </w:rPr>
        <w:t>Рис. 6.5. Вегетативні профілі учнів з різним рівнем академічної успішності на 5-му році навчання</w:t>
      </w:r>
    </w:p>
    <w:p w:rsidR="009E0B65" w:rsidRPr="002E6ECA" w:rsidRDefault="009E0B65" w:rsidP="009E0B65">
      <w:pPr>
        <w:spacing w:line="360" w:lineRule="auto"/>
        <w:ind w:firstLine="709"/>
        <w:rPr>
          <w:lang w:val="uk-UA"/>
        </w:rPr>
      </w:pPr>
      <w:r w:rsidRPr="002E6ECA">
        <w:rPr>
          <w:lang w:val="uk-UA"/>
        </w:rPr>
        <w:t>Примітка: у якості базової лінії взяті показники учнів з середньою академічною успішністю</w:t>
      </w:r>
    </w:p>
    <w:p w:rsidR="000D2794" w:rsidRPr="002E6ECA" w:rsidRDefault="000D2794" w:rsidP="009E0B65">
      <w:pPr>
        <w:spacing w:line="360" w:lineRule="auto"/>
        <w:ind w:firstLine="709"/>
        <w:rPr>
          <w:sz w:val="28"/>
          <w:szCs w:val="28"/>
          <w:lang w:val="uk-UA"/>
        </w:rPr>
      </w:pPr>
    </w:p>
    <w:p w:rsidR="002B246C" w:rsidRPr="002E6ECA" w:rsidRDefault="002B246C" w:rsidP="002B246C">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 xml:space="preserve">На 6-му році навчання  учні з академічною успішністю нижчою за середню характеризувалися вірогідно (р&lt;0,05) нижчими значеннями ПАПР, СС1 та вірогідно (р&lt;0,05) вищим значеннями RMSSD порівняно з учнями з середньою академічною успішністю, тоді як серед учнів з академічною успішністю вищою за середню спостерігалася тільки подібна тенденція (0,07≤р&lt;0,10). </w:t>
      </w:r>
    </w:p>
    <w:p w:rsidR="009D7C05" w:rsidRPr="002E6ECA" w:rsidRDefault="009D7C05" w:rsidP="002B246C">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lastRenderedPageBreak/>
        <w:t>У той же час учні з академічною успішністю вищою за середню характеризувалися вірогідно (р&lt;0,05) нижчою частотою серцевих скорочень і тривалішим кардіоциклом порівняно з учнями з середньою академічною успішністю. Подібна тенденція (р=0,06) спостерігалася серед учнів з академічною успішністю нижчою за середню.</w:t>
      </w:r>
    </w:p>
    <w:p w:rsidR="002B246C" w:rsidRPr="002E6ECA" w:rsidRDefault="002B246C" w:rsidP="002B246C">
      <w:pPr>
        <w:spacing w:line="360" w:lineRule="auto"/>
        <w:ind w:firstLine="709"/>
        <w:jc w:val="right"/>
        <w:rPr>
          <w:sz w:val="28"/>
          <w:szCs w:val="28"/>
          <w:lang w:val="uk-UA"/>
        </w:rPr>
      </w:pPr>
      <w:r w:rsidRPr="002E6ECA">
        <w:rPr>
          <w:i/>
          <w:sz w:val="28"/>
          <w:szCs w:val="28"/>
          <w:lang w:val="uk-UA"/>
        </w:rPr>
        <w:t>Таблиця 6.9</w:t>
      </w:r>
    </w:p>
    <w:p w:rsidR="002B246C" w:rsidRPr="002E6ECA" w:rsidRDefault="002B246C" w:rsidP="002B246C">
      <w:pPr>
        <w:spacing w:line="360" w:lineRule="auto"/>
        <w:ind w:firstLine="709"/>
        <w:jc w:val="center"/>
        <w:rPr>
          <w:b/>
          <w:sz w:val="28"/>
          <w:szCs w:val="28"/>
          <w:lang w:val="uk-UA"/>
        </w:rPr>
      </w:pPr>
      <w:r w:rsidRPr="002E6ECA">
        <w:rPr>
          <w:b/>
          <w:sz w:val="28"/>
          <w:szCs w:val="28"/>
          <w:lang w:val="uk-UA"/>
        </w:rPr>
        <w:t>Спектральна потужність ВСР учнів основної школи із різною академічною успішністю на 6-му році навчання</w:t>
      </w:r>
    </w:p>
    <w:tbl>
      <w:tblPr>
        <w:tblW w:w="8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2169"/>
        <w:gridCol w:w="1631"/>
        <w:gridCol w:w="1289"/>
        <w:gridCol w:w="1289"/>
      </w:tblGrid>
      <w:tr w:rsidR="002B246C" w:rsidRPr="002E6ECA" w:rsidTr="00B10BB2">
        <w:trPr>
          <w:trHeight w:val="567"/>
          <w:jc w:val="center"/>
        </w:trPr>
        <w:tc>
          <w:tcPr>
            <w:tcW w:w="3942" w:type="dxa"/>
            <w:gridSpan w:val="2"/>
            <w:vMerge w:val="restart"/>
            <w:shd w:val="clear" w:color="auto" w:fill="auto"/>
            <w:noWrap/>
            <w:vAlign w:val="center"/>
          </w:tcPr>
          <w:p w:rsidR="002B246C" w:rsidRPr="002E6ECA" w:rsidRDefault="002B246C" w:rsidP="00B10BB2">
            <w:pPr>
              <w:jc w:val="center"/>
              <w:rPr>
                <w:sz w:val="28"/>
                <w:szCs w:val="28"/>
              </w:rPr>
            </w:pPr>
            <w:r w:rsidRPr="002E6ECA">
              <w:rPr>
                <w:bCs/>
                <w:sz w:val="28"/>
                <w:szCs w:val="28"/>
                <w:lang w:val="uk-UA" w:eastAsia="uk-UA"/>
              </w:rPr>
              <w:t>Показник спектральної потужності</w:t>
            </w:r>
          </w:p>
        </w:tc>
        <w:tc>
          <w:tcPr>
            <w:tcW w:w="4209" w:type="dxa"/>
            <w:gridSpan w:val="3"/>
            <w:shd w:val="clear" w:color="000000" w:fill="D9D9D9"/>
            <w:noWrap/>
            <w:vAlign w:val="center"/>
          </w:tcPr>
          <w:p w:rsidR="002B246C" w:rsidRPr="002E6ECA" w:rsidRDefault="002B246C" w:rsidP="00B10BB2">
            <w:pPr>
              <w:rPr>
                <w:sz w:val="28"/>
                <w:szCs w:val="28"/>
              </w:rPr>
            </w:pPr>
            <w:r w:rsidRPr="002E6ECA">
              <w:rPr>
                <w:sz w:val="28"/>
                <w:szCs w:val="28"/>
              </w:rPr>
              <w:t>Рівень академічної успішності</w:t>
            </w:r>
          </w:p>
        </w:tc>
      </w:tr>
      <w:tr w:rsidR="002B246C" w:rsidRPr="002E6ECA" w:rsidTr="00B10BB2">
        <w:trPr>
          <w:trHeight w:val="567"/>
          <w:jc w:val="center"/>
        </w:trPr>
        <w:tc>
          <w:tcPr>
            <w:tcW w:w="3942" w:type="dxa"/>
            <w:gridSpan w:val="2"/>
            <w:vMerge/>
            <w:shd w:val="clear" w:color="auto" w:fill="auto"/>
            <w:noWrap/>
            <w:vAlign w:val="bottom"/>
            <w:hideMark/>
          </w:tcPr>
          <w:p w:rsidR="002B246C" w:rsidRPr="002E6ECA" w:rsidRDefault="002B246C" w:rsidP="00B10BB2">
            <w:pPr>
              <w:jc w:val="center"/>
              <w:rPr>
                <w:sz w:val="28"/>
                <w:szCs w:val="28"/>
              </w:rPr>
            </w:pPr>
          </w:p>
        </w:tc>
        <w:tc>
          <w:tcPr>
            <w:tcW w:w="1631" w:type="dxa"/>
            <w:shd w:val="clear" w:color="000000" w:fill="D9D9D9"/>
            <w:noWrap/>
            <w:vAlign w:val="center"/>
            <w:hideMark/>
          </w:tcPr>
          <w:p w:rsidR="002B246C" w:rsidRPr="002E6ECA" w:rsidRDefault="002B246C" w:rsidP="00B10BB2">
            <w:pPr>
              <w:rPr>
                <w:sz w:val="28"/>
                <w:szCs w:val="28"/>
              </w:rPr>
            </w:pPr>
            <w:r w:rsidRPr="002E6ECA">
              <w:rPr>
                <w:sz w:val="28"/>
                <w:szCs w:val="28"/>
              </w:rPr>
              <w:t>нижча за середню</w:t>
            </w:r>
          </w:p>
        </w:tc>
        <w:tc>
          <w:tcPr>
            <w:tcW w:w="1289" w:type="dxa"/>
            <w:shd w:val="clear" w:color="auto" w:fill="auto"/>
            <w:noWrap/>
            <w:vAlign w:val="center"/>
            <w:hideMark/>
          </w:tcPr>
          <w:p w:rsidR="002B246C" w:rsidRPr="002E6ECA" w:rsidRDefault="002B246C" w:rsidP="00B10BB2">
            <w:pPr>
              <w:rPr>
                <w:sz w:val="28"/>
                <w:szCs w:val="28"/>
              </w:rPr>
            </w:pPr>
            <w:r w:rsidRPr="002E6ECA">
              <w:rPr>
                <w:sz w:val="28"/>
                <w:szCs w:val="28"/>
              </w:rPr>
              <w:t>середня</w:t>
            </w:r>
          </w:p>
        </w:tc>
        <w:tc>
          <w:tcPr>
            <w:tcW w:w="1289" w:type="dxa"/>
            <w:shd w:val="clear" w:color="auto" w:fill="auto"/>
            <w:noWrap/>
            <w:vAlign w:val="center"/>
            <w:hideMark/>
          </w:tcPr>
          <w:p w:rsidR="002B246C" w:rsidRPr="002E6ECA" w:rsidRDefault="002B246C" w:rsidP="00B10BB2">
            <w:pPr>
              <w:rPr>
                <w:sz w:val="28"/>
                <w:szCs w:val="28"/>
              </w:rPr>
            </w:pPr>
            <w:r w:rsidRPr="002E6ECA">
              <w:rPr>
                <w:sz w:val="28"/>
                <w:szCs w:val="28"/>
              </w:rPr>
              <w:t>вища за середню</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TP,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1436,50</w:t>
            </w:r>
            <w:r w:rsidRPr="002E6ECA">
              <w:rPr>
                <w:sz w:val="28"/>
                <w:szCs w:val="28"/>
                <w:vertAlign w:val="superscript"/>
              </w:rPr>
              <w:t>*</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838,91</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1520,25</w:t>
            </w:r>
            <w:r w:rsidRPr="002E6ECA">
              <w:rPr>
                <w:sz w:val="28"/>
                <w:szCs w:val="28"/>
                <w:vertAlign w:val="superscript"/>
              </w:rPr>
              <w:t>*</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707,74</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610,36</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653,56</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2897</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1351,3</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2187,4</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VLF,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101,97</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139,45</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125,74</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72,38</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72,49</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61,59</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157,95</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180,36</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182,4</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LF,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463,14</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295,08</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312,2</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123,69</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178,22</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249,27</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605,37</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419,41</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490,13</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HF,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753,47</w:t>
            </w:r>
            <w:r w:rsidRPr="002E6ECA">
              <w:rPr>
                <w:sz w:val="28"/>
                <w:szCs w:val="28"/>
                <w:vertAlign w:val="superscript"/>
              </w:rPr>
              <w:t>#</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358,8</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810,56</w:t>
            </w:r>
            <w:r w:rsidRPr="002E6ECA">
              <w:rPr>
                <w:sz w:val="28"/>
                <w:szCs w:val="28"/>
                <w:vertAlign w:val="superscript"/>
              </w:rPr>
              <w:t>#</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481,19</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294,9</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331,53</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1657,6</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652,24</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1547,4</w:t>
            </w:r>
          </w:p>
        </w:tc>
      </w:tr>
    </w:tbl>
    <w:p w:rsidR="002B246C" w:rsidRPr="002E6ECA" w:rsidRDefault="002B246C" w:rsidP="002B246C">
      <w:pPr>
        <w:spacing w:line="276" w:lineRule="auto"/>
        <w:ind w:firstLine="709"/>
        <w:jc w:val="both"/>
        <w:rPr>
          <w:bCs/>
          <w:lang w:val="uk-UA"/>
        </w:rPr>
      </w:pPr>
      <w:r w:rsidRPr="002E6ECA">
        <w:rPr>
          <w:bCs/>
          <w:lang w:val="uk-UA"/>
        </w:rPr>
        <w:t xml:space="preserve">Примітки: </w:t>
      </w:r>
      <w:r w:rsidRPr="002E6ECA">
        <w:rPr>
          <w:bCs/>
          <w:vertAlign w:val="superscript"/>
        </w:rPr>
        <w:t>#</w:t>
      </w:r>
      <w:r w:rsidRPr="002E6ECA">
        <w:rPr>
          <w:bCs/>
          <w:lang w:val="uk-UA"/>
        </w:rPr>
        <w:t xml:space="preserve"> – вірогідні відмінності з показниками учнів з середньою академічною успішністю при </w:t>
      </w:r>
      <w:r w:rsidRPr="002E6ECA">
        <w:rPr>
          <w:shd w:val="clear" w:color="auto" w:fill="FFFFFF"/>
          <w:lang w:val="uk-UA"/>
        </w:rPr>
        <w:t>р&lt;0,05</w:t>
      </w:r>
    </w:p>
    <w:p w:rsidR="002B246C" w:rsidRPr="002E6ECA" w:rsidRDefault="002B246C" w:rsidP="002B246C">
      <w:pPr>
        <w:spacing w:line="276" w:lineRule="auto"/>
        <w:ind w:firstLine="709"/>
        <w:rPr>
          <w:lang w:val="uk-UA"/>
        </w:rPr>
      </w:pPr>
      <w:r w:rsidRPr="002E6ECA">
        <w:rPr>
          <w:bCs/>
          <w:vertAlign w:val="superscript"/>
          <w:lang w:val="uk-UA"/>
        </w:rPr>
        <w:t>*</w:t>
      </w:r>
      <w:r w:rsidRPr="002E6ECA">
        <w:rPr>
          <w:bCs/>
          <w:lang w:val="uk-UA"/>
        </w:rPr>
        <w:t xml:space="preserve"> – вірогідні відмінності з показниками учнів з середньою академічною успішністю при р=0,008</w:t>
      </w:r>
    </w:p>
    <w:p w:rsidR="002B246C" w:rsidRPr="002E6ECA" w:rsidRDefault="002B246C" w:rsidP="002B246C">
      <w:pPr>
        <w:spacing w:line="360" w:lineRule="auto"/>
        <w:ind w:firstLine="709"/>
        <w:rPr>
          <w:sz w:val="28"/>
          <w:szCs w:val="28"/>
          <w:lang w:val="uk-UA"/>
        </w:rPr>
      </w:pPr>
    </w:p>
    <w:p w:rsidR="002B246C" w:rsidRPr="002E6ECA" w:rsidRDefault="002B246C" w:rsidP="002B246C">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lastRenderedPageBreak/>
        <w:t>Тільки учні з академічною успішністю нижчою за середню характеризувалися вірогідно (р&lt;0,05) нижчими значеннями СС0 порівняно з учнями з середньою академічною успішністю.</w:t>
      </w:r>
    </w:p>
    <w:p w:rsidR="0052009D" w:rsidRPr="002E6ECA" w:rsidRDefault="0052009D" w:rsidP="0052009D">
      <w:pPr>
        <w:spacing w:line="360" w:lineRule="auto"/>
        <w:ind w:firstLine="426"/>
        <w:jc w:val="both"/>
        <w:rPr>
          <w:sz w:val="28"/>
          <w:szCs w:val="28"/>
          <w:lang w:val="uk-UA"/>
        </w:rPr>
      </w:pPr>
      <w:r w:rsidRPr="002E6ECA">
        <w:rPr>
          <w:noProof/>
          <w:lang w:val="uk-UA" w:eastAsia="uk-UA"/>
        </w:rPr>
        <w:drawing>
          <wp:inline distT="0" distB="0" distL="0" distR="0" wp14:anchorId="5497691C" wp14:editId="4FA84997">
            <wp:extent cx="5848066" cy="5145206"/>
            <wp:effectExtent l="0" t="0" r="63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a:srcRect l="61204" t="20690" r="11929" b="8761"/>
                    <a:stretch/>
                  </pic:blipFill>
                  <pic:spPr bwMode="auto">
                    <a:xfrm>
                      <a:off x="0" y="0"/>
                      <a:ext cx="5856889" cy="5152969"/>
                    </a:xfrm>
                    <a:prstGeom prst="rect">
                      <a:avLst/>
                    </a:prstGeom>
                    <a:ln>
                      <a:noFill/>
                    </a:ln>
                    <a:extLst>
                      <a:ext uri="{53640926-AAD7-44D8-BBD7-CCE9431645EC}">
                        <a14:shadowObscured xmlns:a14="http://schemas.microsoft.com/office/drawing/2010/main"/>
                      </a:ext>
                    </a:extLst>
                  </pic:spPr>
                </pic:pic>
              </a:graphicData>
            </a:graphic>
          </wp:inline>
        </w:drawing>
      </w:r>
    </w:p>
    <w:p w:rsidR="009E0B65" w:rsidRPr="002E6ECA" w:rsidRDefault="009E0B65" w:rsidP="009E0B65">
      <w:pPr>
        <w:spacing w:line="360" w:lineRule="auto"/>
        <w:ind w:firstLine="709"/>
        <w:jc w:val="both"/>
        <w:rPr>
          <w:sz w:val="28"/>
          <w:szCs w:val="28"/>
          <w:lang w:val="uk-UA"/>
        </w:rPr>
      </w:pPr>
      <w:r w:rsidRPr="002E6ECA">
        <w:rPr>
          <w:sz w:val="28"/>
          <w:szCs w:val="28"/>
          <w:lang w:val="uk-UA"/>
        </w:rPr>
        <w:t>Рис. 6.6. Вегетативні профілі учнів з різним рівнем академічної успішності на 6-му році навчання</w:t>
      </w:r>
    </w:p>
    <w:p w:rsidR="009E0B65" w:rsidRPr="002E6ECA" w:rsidRDefault="009E0B65" w:rsidP="009E0B65">
      <w:pPr>
        <w:spacing w:line="360" w:lineRule="auto"/>
        <w:ind w:firstLine="709"/>
        <w:jc w:val="both"/>
        <w:rPr>
          <w:lang w:val="uk-UA"/>
        </w:rPr>
      </w:pPr>
      <w:r w:rsidRPr="002E6ECA">
        <w:rPr>
          <w:lang w:val="uk-UA"/>
        </w:rPr>
        <w:t>Примітка: у якості базової лінії взяті показники учнів з середньою академічною успішністю</w:t>
      </w:r>
    </w:p>
    <w:p w:rsidR="002B246C" w:rsidRPr="002E6ECA" w:rsidRDefault="002B246C" w:rsidP="0071262B">
      <w:pPr>
        <w:pStyle w:val="a5"/>
        <w:shd w:val="clear" w:color="auto" w:fill="FFFFFF"/>
        <w:spacing w:before="0" w:beforeAutospacing="0" w:after="0" w:afterAutospacing="0" w:line="360" w:lineRule="auto"/>
        <w:ind w:firstLine="709"/>
        <w:jc w:val="both"/>
        <w:rPr>
          <w:sz w:val="28"/>
          <w:szCs w:val="28"/>
          <w:shd w:val="clear" w:color="auto" w:fill="FFFFFF"/>
          <w:lang w:val="uk-UA"/>
        </w:rPr>
      </w:pP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Також на 6-му році навчання виявлено достовірні відмінності за параметрами ВСР між учнями з академічною успішністю вищою та нижчою за середню. Так, учні з академічною успішністю вищою за середню характеризувалися вірогідно (р&lt;0,05) вищими значеннями RMSSD, pNN50, CC1, CC0.</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lastRenderedPageBreak/>
        <w:t>На 7-му році навчання вегетативні профілі учнів з різною академічною успішністю були подібними (рис. 6.7</w:t>
      </w:r>
      <w:r w:rsidR="002B246C" w:rsidRPr="002E6ECA">
        <w:rPr>
          <w:sz w:val="28"/>
          <w:szCs w:val="28"/>
          <w:shd w:val="clear" w:color="auto" w:fill="FFFFFF"/>
          <w:lang w:val="uk-UA"/>
        </w:rPr>
        <w:t>, табл. 6.10</w:t>
      </w:r>
      <w:r w:rsidRPr="002E6ECA">
        <w:rPr>
          <w:sz w:val="28"/>
          <w:szCs w:val="28"/>
          <w:shd w:val="clear" w:color="auto" w:fill="FFFFFF"/>
          <w:lang w:val="uk-UA"/>
        </w:rPr>
        <w:t>).</w:t>
      </w:r>
    </w:p>
    <w:p w:rsidR="002B246C" w:rsidRPr="002E6ECA" w:rsidRDefault="002B246C" w:rsidP="002B246C">
      <w:pPr>
        <w:spacing w:line="360" w:lineRule="auto"/>
        <w:ind w:firstLine="709"/>
        <w:jc w:val="right"/>
        <w:rPr>
          <w:sz w:val="28"/>
          <w:szCs w:val="28"/>
          <w:lang w:val="uk-UA"/>
        </w:rPr>
      </w:pPr>
      <w:r w:rsidRPr="002E6ECA">
        <w:rPr>
          <w:i/>
          <w:sz w:val="28"/>
          <w:szCs w:val="28"/>
          <w:lang w:val="uk-UA"/>
        </w:rPr>
        <w:t>Таблиця 6.10</w:t>
      </w:r>
    </w:p>
    <w:p w:rsidR="002B246C" w:rsidRPr="002E6ECA" w:rsidRDefault="002B246C" w:rsidP="002B246C">
      <w:pPr>
        <w:spacing w:line="360" w:lineRule="auto"/>
        <w:ind w:firstLine="709"/>
        <w:jc w:val="center"/>
        <w:rPr>
          <w:b/>
          <w:sz w:val="28"/>
          <w:szCs w:val="28"/>
          <w:lang w:val="uk-UA"/>
        </w:rPr>
      </w:pPr>
      <w:r w:rsidRPr="002E6ECA">
        <w:rPr>
          <w:b/>
          <w:sz w:val="28"/>
          <w:szCs w:val="28"/>
          <w:lang w:val="uk-UA"/>
        </w:rPr>
        <w:t>Спектральна потужність ВСР учнів основної школи із різною академічною успішністю на 7-му році навчання</w:t>
      </w:r>
    </w:p>
    <w:tbl>
      <w:tblPr>
        <w:tblW w:w="8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2169"/>
        <w:gridCol w:w="1631"/>
        <w:gridCol w:w="1289"/>
        <w:gridCol w:w="1289"/>
      </w:tblGrid>
      <w:tr w:rsidR="002B246C" w:rsidRPr="002E6ECA" w:rsidTr="00B10BB2">
        <w:trPr>
          <w:trHeight w:val="567"/>
          <w:jc w:val="center"/>
        </w:trPr>
        <w:tc>
          <w:tcPr>
            <w:tcW w:w="3942" w:type="dxa"/>
            <w:gridSpan w:val="2"/>
            <w:vMerge w:val="restart"/>
            <w:shd w:val="clear" w:color="auto" w:fill="auto"/>
            <w:noWrap/>
            <w:vAlign w:val="center"/>
          </w:tcPr>
          <w:p w:rsidR="002B246C" w:rsidRPr="002E6ECA" w:rsidRDefault="002B246C" w:rsidP="00B10BB2">
            <w:pPr>
              <w:jc w:val="center"/>
              <w:rPr>
                <w:sz w:val="28"/>
                <w:szCs w:val="28"/>
              </w:rPr>
            </w:pPr>
            <w:r w:rsidRPr="002E6ECA">
              <w:rPr>
                <w:bCs/>
                <w:sz w:val="28"/>
                <w:szCs w:val="28"/>
                <w:lang w:val="uk-UA" w:eastAsia="uk-UA"/>
              </w:rPr>
              <w:t>Показник спектральної потужності</w:t>
            </w:r>
          </w:p>
        </w:tc>
        <w:tc>
          <w:tcPr>
            <w:tcW w:w="4209" w:type="dxa"/>
            <w:gridSpan w:val="3"/>
            <w:shd w:val="clear" w:color="000000" w:fill="D9D9D9"/>
            <w:noWrap/>
            <w:vAlign w:val="center"/>
          </w:tcPr>
          <w:p w:rsidR="002B246C" w:rsidRPr="002E6ECA" w:rsidRDefault="002B246C" w:rsidP="00B10BB2">
            <w:pPr>
              <w:rPr>
                <w:sz w:val="28"/>
                <w:szCs w:val="28"/>
              </w:rPr>
            </w:pPr>
            <w:r w:rsidRPr="002E6ECA">
              <w:rPr>
                <w:sz w:val="28"/>
                <w:szCs w:val="28"/>
              </w:rPr>
              <w:t>Рівень академічної успішності</w:t>
            </w:r>
          </w:p>
        </w:tc>
      </w:tr>
      <w:tr w:rsidR="002B246C" w:rsidRPr="002E6ECA" w:rsidTr="00B10BB2">
        <w:trPr>
          <w:trHeight w:val="567"/>
          <w:jc w:val="center"/>
        </w:trPr>
        <w:tc>
          <w:tcPr>
            <w:tcW w:w="3942" w:type="dxa"/>
            <w:gridSpan w:val="2"/>
            <w:vMerge/>
            <w:shd w:val="clear" w:color="auto" w:fill="auto"/>
            <w:noWrap/>
            <w:vAlign w:val="bottom"/>
            <w:hideMark/>
          </w:tcPr>
          <w:p w:rsidR="002B246C" w:rsidRPr="002E6ECA" w:rsidRDefault="002B246C" w:rsidP="00B10BB2">
            <w:pPr>
              <w:jc w:val="center"/>
              <w:rPr>
                <w:sz w:val="28"/>
                <w:szCs w:val="28"/>
              </w:rPr>
            </w:pPr>
          </w:p>
        </w:tc>
        <w:tc>
          <w:tcPr>
            <w:tcW w:w="1631" w:type="dxa"/>
            <w:shd w:val="clear" w:color="000000" w:fill="D9D9D9"/>
            <w:noWrap/>
            <w:vAlign w:val="center"/>
            <w:hideMark/>
          </w:tcPr>
          <w:p w:rsidR="002B246C" w:rsidRPr="002E6ECA" w:rsidRDefault="002B246C" w:rsidP="00B10BB2">
            <w:pPr>
              <w:rPr>
                <w:sz w:val="28"/>
                <w:szCs w:val="28"/>
              </w:rPr>
            </w:pPr>
            <w:r w:rsidRPr="002E6ECA">
              <w:rPr>
                <w:sz w:val="28"/>
                <w:szCs w:val="28"/>
              </w:rPr>
              <w:t>нижча за середню</w:t>
            </w:r>
          </w:p>
        </w:tc>
        <w:tc>
          <w:tcPr>
            <w:tcW w:w="1289" w:type="dxa"/>
            <w:shd w:val="clear" w:color="auto" w:fill="auto"/>
            <w:noWrap/>
            <w:vAlign w:val="center"/>
            <w:hideMark/>
          </w:tcPr>
          <w:p w:rsidR="002B246C" w:rsidRPr="002E6ECA" w:rsidRDefault="002B246C" w:rsidP="00B10BB2">
            <w:pPr>
              <w:rPr>
                <w:sz w:val="28"/>
                <w:szCs w:val="28"/>
              </w:rPr>
            </w:pPr>
            <w:r w:rsidRPr="002E6ECA">
              <w:rPr>
                <w:sz w:val="28"/>
                <w:szCs w:val="28"/>
              </w:rPr>
              <w:t>середня</w:t>
            </w:r>
          </w:p>
        </w:tc>
        <w:tc>
          <w:tcPr>
            <w:tcW w:w="1289" w:type="dxa"/>
            <w:shd w:val="clear" w:color="auto" w:fill="auto"/>
            <w:noWrap/>
            <w:vAlign w:val="center"/>
            <w:hideMark/>
          </w:tcPr>
          <w:p w:rsidR="002B246C" w:rsidRPr="002E6ECA" w:rsidRDefault="002B246C" w:rsidP="00B10BB2">
            <w:pPr>
              <w:rPr>
                <w:sz w:val="28"/>
                <w:szCs w:val="28"/>
              </w:rPr>
            </w:pPr>
            <w:r w:rsidRPr="002E6ECA">
              <w:rPr>
                <w:sz w:val="28"/>
                <w:szCs w:val="28"/>
              </w:rPr>
              <w:t>вища за середню</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TP,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1177,5</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866,18</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1041,4</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568,99</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513,2</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582,13</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2263,5</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1361,3</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1353,3</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VLF,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110,06</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98,84</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126,93</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40,3</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80,84</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65,37</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300,93</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203,15</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179,34</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LF,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452,2</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357,55</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308,51</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187,74</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183,11</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182,63</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656,52</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491,8</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619,71</w:t>
            </w:r>
          </w:p>
        </w:tc>
      </w:tr>
      <w:tr w:rsidR="002B246C" w:rsidRPr="002E6ECA" w:rsidTr="00B10BB2">
        <w:trPr>
          <w:trHeight w:val="567"/>
          <w:jc w:val="center"/>
        </w:trPr>
        <w:tc>
          <w:tcPr>
            <w:tcW w:w="1773" w:type="dxa"/>
            <w:vMerge w:val="restart"/>
            <w:shd w:val="clear" w:color="auto" w:fill="auto"/>
            <w:noWrap/>
            <w:vAlign w:val="center"/>
            <w:hideMark/>
          </w:tcPr>
          <w:p w:rsidR="002B246C" w:rsidRPr="002E6ECA" w:rsidRDefault="002B246C" w:rsidP="00B10BB2">
            <w:pPr>
              <w:jc w:val="center"/>
              <w:rPr>
                <w:sz w:val="28"/>
                <w:szCs w:val="28"/>
                <w:lang w:val="uk-UA" w:eastAsia="uk-UA"/>
              </w:rPr>
            </w:pPr>
            <w:r w:rsidRPr="002E6ECA">
              <w:rPr>
                <w:bCs/>
                <w:sz w:val="28"/>
                <w:szCs w:val="28"/>
                <w:lang w:val="uk-UA" w:eastAsia="uk-UA"/>
              </w:rPr>
              <w:t>HF, мс</w:t>
            </w:r>
            <w:r w:rsidRPr="002E6ECA">
              <w:rPr>
                <w:sz w:val="28"/>
                <w:szCs w:val="28"/>
                <w:vertAlign w:val="superscript"/>
                <w:lang w:val="uk-UA" w:eastAsia="uk-UA"/>
              </w:rPr>
              <w:t>2</w:t>
            </w:r>
          </w:p>
        </w:tc>
        <w:tc>
          <w:tcPr>
            <w:tcW w:w="2169" w:type="dxa"/>
            <w:shd w:val="clear" w:color="auto" w:fill="auto"/>
            <w:noWrap/>
            <w:vAlign w:val="center"/>
            <w:hideMark/>
          </w:tcPr>
          <w:p w:rsidR="002B246C" w:rsidRPr="002E6ECA" w:rsidRDefault="002B246C" w:rsidP="00B10BB2">
            <w:pPr>
              <w:jc w:val="center"/>
              <w:rPr>
                <w:sz w:val="28"/>
                <w:szCs w:val="28"/>
              </w:rPr>
            </w:pPr>
            <w:r w:rsidRPr="002E6ECA">
              <w:rPr>
                <w:sz w:val="28"/>
                <w:szCs w:val="28"/>
              </w:rPr>
              <w:t>Медіана</w:t>
            </w:r>
          </w:p>
        </w:tc>
        <w:tc>
          <w:tcPr>
            <w:tcW w:w="1631" w:type="dxa"/>
            <w:shd w:val="clear" w:color="000000" w:fill="D9D9D9"/>
            <w:noWrap/>
            <w:vAlign w:val="center"/>
            <w:hideMark/>
          </w:tcPr>
          <w:p w:rsidR="002B246C" w:rsidRPr="002E6ECA" w:rsidRDefault="002B246C" w:rsidP="00B10BB2">
            <w:pPr>
              <w:jc w:val="center"/>
              <w:rPr>
                <w:sz w:val="28"/>
                <w:szCs w:val="28"/>
              </w:rPr>
            </w:pPr>
            <w:r w:rsidRPr="002E6ECA">
              <w:rPr>
                <w:bCs/>
                <w:sz w:val="28"/>
                <w:szCs w:val="28"/>
              </w:rPr>
              <w:t>340,94</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331,03</w:t>
            </w:r>
          </w:p>
        </w:tc>
        <w:tc>
          <w:tcPr>
            <w:tcW w:w="1289" w:type="dxa"/>
            <w:shd w:val="clear" w:color="auto" w:fill="auto"/>
            <w:noWrap/>
            <w:vAlign w:val="center"/>
            <w:hideMark/>
          </w:tcPr>
          <w:p w:rsidR="002B246C" w:rsidRPr="002E6ECA" w:rsidRDefault="002B246C" w:rsidP="00B10BB2">
            <w:pPr>
              <w:jc w:val="center"/>
              <w:rPr>
                <w:sz w:val="28"/>
                <w:szCs w:val="28"/>
              </w:rPr>
            </w:pPr>
            <w:r w:rsidRPr="002E6ECA">
              <w:rPr>
                <w:bCs/>
                <w:sz w:val="28"/>
                <w:szCs w:val="28"/>
              </w:rPr>
              <w:t>386,07</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Нижній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220,08</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213,31</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139,15</w:t>
            </w:r>
          </w:p>
        </w:tc>
      </w:tr>
      <w:tr w:rsidR="002B246C" w:rsidRPr="002E6ECA" w:rsidTr="00B10BB2">
        <w:trPr>
          <w:trHeight w:val="567"/>
          <w:jc w:val="center"/>
        </w:trPr>
        <w:tc>
          <w:tcPr>
            <w:tcW w:w="1773" w:type="dxa"/>
            <w:vMerge/>
            <w:vAlign w:val="center"/>
            <w:hideMark/>
          </w:tcPr>
          <w:p w:rsidR="002B246C" w:rsidRPr="002E6ECA" w:rsidRDefault="002B246C" w:rsidP="00B10BB2">
            <w:pPr>
              <w:rPr>
                <w:sz w:val="28"/>
                <w:szCs w:val="28"/>
                <w:lang w:val="uk-UA" w:eastAsia="uk-UA"/>
              </w:rPr>
            </w:pPr>
          </w:p>
        </w:tc>
        <w:tc>
          <w:tcPr>
            <w:tcW w:w="2169" w:type="dxa"/>
            <w:shd w:val="clear" w:color="auto" w:fill="auto"/>
            <w:vAlign w:val="center"/>
            <w:hideMark/>
          </w:tcPr>
          <w:p w:rsidR="002B246C" w:rsidRPr="002E6ECA" w:rsidRDefault="002B246C" w:rsidP="00B10BB2">
            <w:pPr>
              <w:jc w:val="center"/>
              <w:rPr>
                <w:sz w:val="28"/>
                <w:szCs w:val="28"/>
              </w:rPr>
            </w:pPr>
            <w:r w:rsidRPr="002E6ECA">
              <w:rPr>
                <w:sz w:val="28"/>
                <w:szCs w:val="28"/>
              </w:rPr>
              <w:t>Верхній квартиль</w:t>
            </w:r>
          </w:p>
        </w:tc>
        <w:tc>
          <w:tcPr>
            <w:tcW w:w="1631" w:type="dxa"/>
            <w:shd w:val="clear" w:color="000000" w:fill="D9D9D9"/>
            <w:vAlign w:val="center"/>
            <w:hideMark/>
          </w:tcPr>
          <w:p w:rsidR="002B246C" w:rsidRPr="002E6ECA" w:rsidRDefault="002B246C" w:rsidP="00B10BB2">
            <w:pPr>
              <w:jc w:val="center"/>
              <w:rPr>
                <w:sz w:val="28"/>
                <w:szCs w:val="28"/>
              </w:rPr>
            </w:pPr>
            <w:r w:rsidRPr="002E6ECA">
              <w:rPr>
                <w:sz w:val="28"/>
                <w:szCs w:val="28"/>
              </w:rPr>
              <w:t>933,98</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491,65</w:t>
            </w:r>
          </w:p>
        </w:tc>
        <w:tc>
          <w:tcPr>
            <w:tcW w:w="1289" w:type="dxa"/>
            <w:shd w:val="clear" w:color="auto" w:fill="auto"/>
            <w:vAlign w:val="center"/>
            <w:hideMark/>
          </w:tcPr>
          <w:p w:rsidR="002B246C" w:rsidRPr="002E6ECA" w:rsidRDefault="002B246C" w:rsidP="00B10BB2">
            <w:pPr>
              <w:jc w:val="center"/>
              <w:rPr>
                <w:sz w:val="28"/>
                <w:szCs w:val="28"/>
              </w:rPr>
            </w:pPr>
            <w:r w:rsidRPr="002E6ECA">
              <w:rPr>
                <w:sz w:val="28"/>
                <w:szCs w:val="28"/>
              </w:rPr>
              <w:t>657,93</w:t>
            </w:r>
          </w:p>
        </w:tc>
      </w:tr>
    </w:tbl>
    <w:p w:rsidR="002B246C" w:rsidRPr="002E6ECA" w:rsidRDefault="002B246C" w:rsidP="002B246C">
      <w:pPr>
        <w:spacing w:line="360" w:lineRule="auto"/>
        <w:ind w:firstLine="709"/>
        <w:rPr>
          <w:sz w:val="28"/>
          <w:szCs w:val="28"/>
          <w:lang w:val="uk-UA"/>
        </w:rPr>
      </w:pPr>
    </w:p>
    <w:p w:rsidR="000D2794" w:rsidRPr="002E6ECA" w:rsidRDefault="000D2794" w:rsidP="009D7C05">
      <w:pPr>
        <w:pStyle w:val="a5"/>
        <w:shd w:val="clear" w:color="auto" w:fill="FFFFFF"/>
        <w:spacing w:before="0" w:beforeAutospacing="0" w:after="0" w:afterAutospacing="0" w:line="336" w:lineRule="auto"/>
        <w:ind w:firstLine="709"/>
        <w:jc w:val="both"/>
        <w:rPr>
          <w:sz w:val="28"/>
          <w:szCs w:val="28"/>
          <w:shd w:val="clear" w:color="auto" w:fill="FFFFFF"/>
          <w:lang w:val="uk-UA"/>
        </w:rPr>
      </w:pPr>
      <w:r w:rsidRPr="002E6ECA">
        <w:rPr>
          <w:sz w:val="28"/>
          <w:szCs w:val="28"/>
          <w:shd w:val="clear" w:color="auto" w:fill="FFFFFF"/>
          <w:lang w:val="uk-UA"/>
        </w:rPr>
        <w:t xml:space="preserve">Комплексна оцінка стану вегетативних регуляторних систем учнів з різною академічною успішністю за показником ПАРС виявила (рис. 6.8), що серед учнів з академічною успішністю вищою за середню на 6-му році навчання у 2,4 рази частіше порівняно з учнями з середньою академічною успішністю спостерігався оптимальний стан вегетативних регуляторних систем (відповідно, 46,2% і 19,1%, р&lt;0,05), а на 7-му році навчання – у 2,5 рази </w:t>
      </w:r>
      <w:r w:rsidRPr="002E6ECA">
        <w:rPr>
          <w:sz w:val="28"/>
          <w:szCs w:val="28"/>
          <w:shd w:val="clear" w:color="auto" w:fill="FFFFFF"/>
          <w:lang w:val="uk-UA"/>
        </w:rPr>
        <w:lastRenderedPageBreak/>
        <w:t>порівняно з учнями з академічною успішністю нижчою за середню (відповідно, 46,2% і 18,2%, р&lt;0,05).</w:t>
      </w:r>
    </w:p>
    <w:p w:rsidR="0052009D" w:rsidRPr="002E6ECA" w:rsidRDefault="0052009D" w:rsidP="0052009D">
      <w:pPr>
        <w:pStyle w:val="a5"/>
        <w:shd w:val="clear" w:color="auto" w:fill="FFFFFF"/>
        <w:spacing w:before="0" w:beforeAutospacing="0" w:after="0" w:afterAutospacing="0" w:line="336" w:lineRule="auto"/>
        <w:ind w:firstLine="567"/>
        <w:jc w:val="both"/>
        <w:rPr>
          <w:sz w:val="28"/>
          <w:szCs w:val="28"/>
          <w:shd w:val="clear" w:color="auto" w:fill="FFFFFF"/>
          <w:lang w:val="uk-UA"/>
        </w:rPr>
      </w:pPr>
      <w:r w:rsidRPr="002E6ECA">
        <w:rPr>
          <w:noProof/>
          <w:lang w:val="uk-UA" w:eastAsia="uk-UA"/>
        </w:rPr>
        <w:drawing>
          <wp:inline distT="0" distB="0" distL="0" distR="0" wp14:anchorId="061BF2D0" wp14:editId="793EB794">
            <wp:extent cx="5917399" cy="4913194"/>
            <wp:effectExtent l="0" t="0" r="7620" b="190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a:srcRect l="61427" t="18995" r="10702" b="12832"/>
                    <a:stretch/>
                  </pic:blipFill>
                  <pic:spPr bwMode="auto">
                    <a:xfrm>
                      <a:off x="0" y="0"/>
                      <a:ext cx="5917769" cy="4913502"/>
                    </a:xfrm>
                    <a:prstGeom prst="rect">
                      <a:avLst/>
                    </a:prstGeom>
                    <a:ln>
                      <a:noFill/>
                    </a:ln>
                    <a:extLst>
                      <a:ext uri="{53640926-AAD7-44D8-BBD7-CCE9431645EC}">
                        <a14:shadowObscured xmlns:a14="http://schemas.microsoft.com/office/drawing/2010/main"/>
                      </a:ext>
                    </a:extLst>
                  </pic:spPr>
                </pic:pic>
              </a:graphicData>
            </a:graphic>
          </wp:inline>
        </w:drawing>
      </w:r>
    </w:p>
    <w:p w:rsidR="009E0B65" w:rsidRPr="002E6ECA" w:rsidRDefault="009E0B65" w:rsidP="009E0B65">
      <w:pPr>
        <w:spacing w:line="360" w:lineRule="auto"/>
        <w:ind w:firstLine="709"/>
        <w:jc w:val="both"/>
        <w:rPr>
          <w:sz w:val="28"/>
          <w:szCs w:val="28"/>
          <w:lang w:val="uk-UA"/>
        </w:rPr>
      </w:pPr>
      <w:r w:rsidRPr="002E6ECA">
        <w:rPr>
          <w:sz w:val="28"/>
          <w:szCs w:val="28"/>
          <w:lang w:val="uk-UA"/>
        </w:rPr>
        <w:t>Рис. 6.7. Вегетативні профілі учнів з різним рівнем академічної успішності на 7-му році навчання</w:t>
      </w:r>
    </w:p>
    <w:p w:rsidR="009E0B65" w:rsidRPr="002E6ECA" w:rsidRDefault="009E0B65" w:rsidP="009E0B65">
      <w:pPr>
        <w:spacing w:line="360" w:lineRule="auto"/>
        <w:ind w:firstLine="709"/>
        <w:jc w:val="both"/>
        <w:rPr>
          <w:lang w:val="uk-UA"/>
        </w:rPr>
      </w:pPr>
      <w:r w:rsidRPr="002E6ECA">
        <w:rPr>
          <w:lang w:val="uk-UA"/>
        </w:rPr>
        <w:t>Примітка: у якості базової лінії взяті показники учнів з середньою академічною успішністю</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p>
    <w:p w:rsidR="00D74609" w:rsidRPr="002E6ECA" w:rsidRDefault="00D74609" w:rsidP="009D7C05">
      <w:pPr>
        <w:pStyle w:val="a5"/>
        <w:shd w:val="clear" w:color="auto" w:fill="FFFFFF"/>
        <w:spacing w:before="0" w:beforeAutospacing="0" w:after="0" w:afterAutospacing="0" w:line="336" w:lineRule="auto"/>
        <w:ind w:firstLine="709"/>
        <w:jc w:val="both"/>
        <w:rPr>
          <w:sz w:val="28"/>
          <w:szCs w:val="28"/>
          <w:shd w:val="clear" w:color="auto" w:fill="FFFFFF"/>
          <w:lang w:val="uk-UA"/>
        </w:rPr>
      </w:pPr>
      <w:r w:rsidRPr="002E6ECA">
        <w:rPr>
          <w:sz w:val="28"/>
          <w:szCs w:val="28"/>
          <w:shd w:val="clear" w:color="auto" w:fill="FFFFFF"/>
          <w:lang w:val="uk-UA"/>
        </w:rPr>
        <w:t>Перехід до основної школи вимагає адаптації учнів до нових умов освітнього середовища, що супроводжується використанням фізіологічних резервів організму. За співвідношення між досягнутим рівнем результативності діяльності та витраченими фізіологічними резервами для їх досягнення говорять про фізіологічну «ціну» адаптації [</w:t>
      </w:r>
      <w:r w:rsidR="00E53B5C" w:rsidRPr="002E6ECA">
        <w:rPr>
          <w:sz w:val="28"/>
          <w:szCs w:val="28"/>
          <w:shd w:val="clear" w:color="auto" w:fill="FFFFFF"/>
          <w:lang w:val="uk-UA"/>
        </w:rPr>
        <w:t>78</w:t>
      </w:r>
      <w:r w:rsidRPr="002E6ECA">
        <w:rPr>
          <w:sz w:val="28"/>
          <w:szCs w:val="28"/>
          <w:shd w:val="clear" w:color="auto" w:fill="FFFFFF"/>
          <w:lang w:val="uk-UA"/>
        </w:rPr>
        <w:t xml:space="preserve">]. У якості результативності діяльності нами використано показник академічної успішності, а фізіологічні ресурси оцінювали за параметрами варіабельності серцевого ритму. </w:t>
      </w:r>
    </w:p>
    <w:p w:rsidR="0052009D" w:rsidRPr="002E6ECA" w:rsidRDefault="0052009D" w:rsidP="0052009D">
      <w:pPr>
        <w:spacing w:line="360" w:lineRule="auto"/>
        <w:ind w:firstLine="284"/>
        <w:jc w:val="both"/>
        <w:rPr>
          <w:sz w:val="28"/>
          <w:szCs w:val="28"/>
          <w:lang w:val="uk-UA"/>
        </w:rPr>
      </w:pPr>
      <w:r w:rsidRPr="002E6ECA">
        <w:rPr>
          <w:noProof/>
          <w:sz w:val="28"/>
          <w:szCs w:val="28"/>
          <w:lang w:val="uk-UA" w:eastAsia="uk-UA"/>
        </w:rPr>
        <w:lastRenderedPageBreak/>
        <w:drawing>
          <wp:inline distT="0" distB="0" distL="0" distR="0" wp14:anchorId="7615946F" wp14:editId="34EC6747">
            <wp:extent cx="5936776" cy="3411940"/>
            <wp:effectExtent l="0" t="0" r="6985"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38525" cy="3412945"/>
                    </a:xfrm>
                    <a:prstGeom prst="rect">
                      <a:avLst/>
                    </a:prstGeom>
                    <a:noFill/>
                  </pic:spPr>
                </pic:pic>
              </a:graphicData>
            </a:graphic>
          </wp:inline>
        </w:drawing>
      </w:r>
    </w:p>
    <w:p w:rsidR="009E0B65" w:rsidRPr="002E6ECA" w:rsidRDefault="009E0B65" w:rsidP="009E0B65">
      <w:pPr>
        <w:spacing w:line="360" w:lineRule="auto"/>
        <w:ind w:firstLine="709"/>
        <w:jc w:val="both"/>
        <w:rPr>
          <w:sz w:val="28"/>
          <w:szCs w:val="28"/>
          <w:lang w:val="uk-UA"/>
        </w:rPr>
      </w:pPr>
      <w:r w:rsidRPr="002E6ECA">
        <w:rPr>
          <w:sz w:val="28"/>
          <w:szCs w:val="28"/>
          <w:lang w:val="uk-UA"/>
        </w:rPr>
        <w:t>Рис. 6.8. Розподіл учнів основної школи з нижчою за середню (І), середньою (ІІ) та вищою за середню (ІІІ) академічною успішністю за рівнями активності регуляторних систем</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За результатами однофакторного дисперсійного аналізу Краскела-Уоліса достовірні відмінності за параметрами ВСР у залежності від рівня академічної успішності виявлені тільки на 5-му та 6-му роках навчання, що може відображати різну фізіологічну ціну адаптації до основної школи в залежності від академічної успішності.</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З наведеного вище можемо дійти до висновку, що на 5-му році навчання учні з академічною успішністю вищою за середню характеризувалися збільшенням загальної варіабельності серцевого ритму за рахунок посилення абсолютної активності парасимпатичної нервової системи, порівняно з учнями з середньою академічною успішністю. Такий стан вегетативних регуляторних систем у учнів з академічною успішністю вищою за середню може бути охарактеризований як помірне переважання в стані спокійного неспання активності автономного контуру регуляції над центральним зі збереженням симпато-вагального балансу на рівні автономного контуру регуляції.</w:t>
      </w:r>
    </w:p>
    <w:p w:rsidR="009E0B65" w:rsidRPr="002E6ECA" w:rsidRDefault="009E0B65" w:rsidP="009E0B65">
      <w:pPr>
        <w:pStyle w:val="a5"/>
        <w:shd w:val="clear" w:color="auto" w:fill="FFFFFF"/>
        <w:spacing w:before="0" w:beforeAutospacing="0" w:after="0" w:afterAutospacing="0" w:line="360" w:lineRule="auto"/>
        <w:ind w:firstLine="709"/>
        <w:jc w:val="both"/>
        <w:rPr>
          <w:spacing w:val="-2"/>
          <w:sz w:val="28"/>
          <w:szCs w:val="28"/>
          <w:shd w:val="clear" w:color="auto" w:fill="FFFFFF"/>
          <w:lang w:val="uk-UA"/>
        </w:rPr>
      </w:pPr>
      <w:r w:rsidRPr="002E6ECA">
        <w:rPr>
          <w:sz w:val="28"/>
          <w:szCs w:val="28"/>
          <w:shd w:val="clear" w:color="auto" w:fill="FFFFFF"/>
          <w:lang w:val="uk-UA"/>
        </w:rPr>
        <w:lastRenderedPageBreak/>
        <w:t xml:space="preserve">На відміну від учнів з академічною успішністю вищою за середню, серед учнів з академічною успішністю нижчою за середню на 5-му році навчання ми спостерігали не тільки посилення абсолютної, але й питомої активності </w:t>
      </w:r>
      <w:r w:rsidRPr="002E6ECA">
        <w:rPr>
          <w:spacing w:val="-2"/>
          <w:sz w:val="28"/>
          <w:szCs w:val="28"/>
          <w:shd w:val="clear" w:color="auto" w:fill="FFFFFF"/>
          <w:lang w:val="uk-UA"/>
        </w:rPr>
        <w:t>парасимпатичної нервової системи на фоні зниження питомої активності симпатичної нервової системи. Крім того, спостерігалося посилення абсолютної активності надсегментарних структур вегетативної нервової системи на фоні зниження взаємозв’язку між центральним і автономним контурами регуляції та нижчого індексу напруження регуляторних систем. Це зумовило суттєвий зсув симпато-вагального балансу у бік ваготонії, що підтверджувалося вірогідно (р&lt;0,05) нижчою частотою серцевих скорочень і тривалішим кардіоциклом. Подібні особливості вегетативного профілю вказують на виражене переважання автономного контуру регуляції та відображає перенапруження регуляторних систем та, імовірно, перевтомлення учнів.</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Привертає увагу, що на 6-му році навчання вегетативний профіль учнів з академічною успішністю вищою та нижчою за середню стає подібним та вказує на виражену ваготонію на фоні суттєвого зниження впливів центрального контуру регуляції. Хоча в обох випадках відхилення академічної успішності від середнього рівня ми можемо говорити про перенапруження механізмів регуляції та перевтомлення учнів. Утім ці процеси більш виражені серед учнів з академічною успішністю нижчою за середню. У той час, як у учнів з академічною успішністю вищою за середню ще включені механізми компенсації за рахунок посилення взаємозв’язку між центральним і автономним контурами регуляції, однак центральних мобілізуючих впливів виявляється недостатньо. Імовірно, це пов’язано з тим, що на 6-й рік навчання припадає сенситивний період становлення вегетативних регуляторних систем, що знижує адаптаційні резерви учнів.</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 xml:space="preserve">Оскільки на 7-му році навчання вегетативні профілі учнів з різною академічною успішністю в умовах спокійного неспання є максимально подібними, то ми можемо припускати, що це період стійкої адаптації до умов освітнього середовища основної школи. Зазначимо, що серед учнів з </w:t>
      </w:r>
      <w:r w:rsidRPr="002E6ECA">
        <w:rPr>
          <w:sz w:val="28"/>
          <w:szCs w:val="28"/>
          <w:shd w:val="clear" w:color="auto" w:fill="FFFFFF"/>
          <w:lang w:val="uk-UA"/>
        </w:rPr>
        <w:lastRenderedPageBreak/>
        <w:t>академічною успішністю вище за середню у 2,5 рази частіше спостерігався оптимальний стан вегетативних регуляторних систем порівняно з учнями з академічною успішністю нижчою за середню (відповідно, 46,2% і 18,2%, р&lt;0,05) у яких у 2,5 рази частіше спостерігалося напруження/перенапруження вегетативної регуляції (відповідно, 53,8% і 81,8%, р&lt;0,05). Це дає підстави стверджувати, що учні з академічною успішністю нижчою за середню платять вищу фізіологічну ціну за адаптацію до основної школи. Саме ця категорія учнів має бути віднесена до групи ризику з точки зору розвитку вегетативної дисфункції та психосоматичних захворювань.</w:t>
      </w:r>
    </w:p>
    <w:p w:rsidR="002B246C" w:rsidRPr="002E6ECA" w:rsidRDefault="002B246C" w:rsidP="002B246C">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t>Наразі нам не відомі дослідження взаємозв’язку між академічною успішністю та ВСР саме серед учнів основної школи [</w:t>
      </w:r>
      <w:r w:rsidR="00E53B5C" w:rsidRPr="002E6ECA">
        <w:rPr>
          <w:sz w:val="28"/>
          <w:szCs w:val="28"/>
          <w:shd w:val="clear" w:color="auto" w:fill="FFFFFF"/>
          <w:lang w:val="uk-UA"/>
        </w:rPr>
        <w:t>250</w:t>
      </w:r>
      <w:r w:rsidRPr="002E6ECA">
        <w:rPr>
          <w:sz w:val="28"/>
          <w:szCs w:val="28"/>
          <w:shd w:val="clear" w:color="auto" w:fill="FFFFFF"/>
          <w:lang w:val="uk-UA"/>
        </w:rPr>
        <w:t>], що академічно неуспішні п’ятикласники мали нижчу частоту серцевих скорочень. Ми також спостерігали таку тенденцію, однак, учні з академічною успішністю вищою за середню, також мали ЧСС нижчу, ніж у учнів з середньою академічною успішністю. У дослідженні [</w:t>
      </w:r>
      <w:r w:rsidR="00E53B5C" w:rsidRPr="002E6ECA">
        <w:rPr>
          <w:sz w:val="28"/>
          <w:szCs w:val="28"/>
          <w:shd w:val="clear" w:color="auto" w:fill="FFFFFF"/>
          <w:lang w:val="uk-UA"/>
        </w:rPr>
        <w:t>41</w:t>
      </w:r>
      <w:r w:rsidRPr="002E6ECA">
        <w:rPr>
          <w:sz w:val="28"/>
          <w:szCs w:val="28"/>
          <w:shd w:val="clear" w:color="auto" w:fill="FFFFFF"/>
          <w:lang w:val="uk-UA"/>
        </w:rPr>
        <w:t xml:space="preserve">] виявлено відмінності за показниками ТР і LF/HF між учнями з різним рівнем академічної успішності серед учнів 7–16 років, при цьому більше напруження адаптаційних механізмів виявлено серед відмінників. Дослідженнями </w:t>
      </w:r>
      <w:r w:rsidR="00E53B5C" w:rsidRPr="002E6ECA">
        <w:rPr>
          <w:sz w:val="28"/>
          <w:szCs w:val="28"/>
          <w:shd w:val="clear" w:color="auto" w:fill="FFFFFF"/>
          <w:lang w:val="uk-UA"/>
        </w:rPr>
        <w:t>Т.</w:t>
      </w:r>
      <w:r w:rsidR="00E26678" w:rsidRPr="002E6ECA">
        <w:rPr>
          <w:sz w:val="28"/>
          <w:szCs w:val="28"/>
          <w:lang w:val="uk-UA"/>
        </w:rPr>
        <w:t> </w:t>
      </w:r>
      <w:r w:rsidR="00E53B5C" w:rsidRPr="002E6ECA">
        <w:rPr>
          <w:sz w:val="28"/>
          <w:szCs w:val="28"/>
          <w:shd w:val="clear" w:color="auto" w:fill="FFFFFF"/>
          <w:lang w:val="uk-UA"/>
        </w:rPr>
        <w:t>В.</w:t>
      </w:r>
      <w:r w:rsidR="00E26678" w:rsidRPr="002E6ECA">
        <w:rPr>
          <w:sz w:val="28"/>
          <w:szCs w:val="28"/>
          <w:lang w:val="uk-UA"/>
        </w:rPr>
        <w:t> </w:t>
      </w:r>
      <w:r w:rsidRPr="002E6ECA">
        <w:rPr>
          <w:sz w:val="28"/>
          <w:szCs w:val="28"/>
          <w:shd w:val="clear" w:color="auto" w:fill="FFFFFF"/>
          <w:lang w:val="uk-UA"/>
        </w:rPr>
        <w:t>Агафонкина та ін. (2015) встановлено, що студенти «відмінники» мають кращий стан вегетативної нервової системи та адаптаційні можливості, ніж студенти, що навчаються на задовільно та добре [</w:t>
      </w:r>
      <w:r w:rsidR="00E53B5C" w:rsidRPr="002E6ECA">
        <w:rPr>
          <w:sz w:val="28"/>
          <w:szCs w:val="28"/>
          <w:shd w:val="clear" w:color="auto" w:fill="FFFFFF"/>
          <w:lang w:val="uk-UA"/>
        </w:rPr>
        <w:t>3</w:t>
      </w:r>
      <w:r w:rsidRPr="002E6ECA">
        <w:rPr>
          <w:sz w:val="28"/>
          <w:szCs w:val="28"/>
          <w:shd w:val="clear" w:color="auto" w:fill="FFFFFF"/>
          <w:lang w:val="uk-UA"/>
        </w:rPr>
        <w:t xml:space="preserve">] за показниками частоти серцевих скорочень, артеріального тиску та вегетативного індексу Кердо в умовах спокою, холодової та ортостатичної проб. У той же час, у дослідженні </w:t>
      </w:r>
      <w:r w:rsidR="00E53B5C" w:rsidRPr="002E6ECA">
        <w:rPr>
          <w:sz w:val="28"/>
          <w:szCs w:val="28"/>
          <w:shd w:val="clear" w:color="auto" w:fill="FFFFFF"/>
          <w:lang w:val="uk-UA"/>
        </w:rPr>
        <w:t>Л.</w:t>
      </w:r>
      <w:r w:rsidR="00E26678" w:rsidRPr="002E6ECA">
        <w:rPr>
          <w:sz w:val="28"/>
          <w:szCs w:val="28"/>
          <w:lang w:val="uk-UA"/>
        </w:rPr>
        <w:t> </w:t>
      </w:r>
      <w:r w:rsidR="00E53B5C" w:rsidRPr="002E6ECA">
        <w:rPr>
          <w:sz w:val="28"/>
          <w:szCs w:val="28"/>
          <w:shd w:val="clear" w:color="auto" w:fill="FFFFFF"/>
          <w:lang w:val="uk-UA"/>
        </w:rPr>
        <w:t>А.</w:t>
      </w:r>
      <w:r w:rsidR="00E26678" w:rsidRPr="002E6ECA">
        <w:rPr>
          <w:sz w:val="28"/>
          <w:szCs w:val="28"/>
          <w:lang w:val="uk-UA"/>
        </w:rPr>
        <w:t> </w:t>
      </w:r>
      <w:r w:rsidRPr="002E6ECA">
        <w:rPr>
          <w:sz w:val="28"/>
          <w:szCs w:val="28"/>
          <w:shd w:val="clear" w:color="auto" w:fill="FFFFFF"/>
          <w:lang w:val="uk-UA"/>
        </w:rPr>
        <w:t>Александрової та ін. (2014) відзначено, що старшокласники з високою академічною успішністю мають вищий рівень напруження фізіологічних механізмів. Оскільки високий рівень напруження фізіологічних механізмів був пов'язаний з вищим рівнем особистісних ресурсів старшокласників, то автори припустили, що така напруженість фізіологічних механізмів викликана тим, що поточні завдання знаходяться в зоні найближчого розвитку, тобто перевищують актуальні здібності проте запускають механізми особистісної саморегуляції [</w:t>
      </w:r>
      <w:r w:rsidR="00E53B5C" w:rsidRPr="002E6ECA">
        <w:rPr>
          <w:sz w:val="28"/>
          <w:szCs w:val="28"/>
          <w:lang w:val="uk-UA"/>
        </w:rPr>
        <w:t>5</w:t>
      </w:r>
      <w:r w:rsidRPr="002E6ECA">
        <w:rPr>
          <w:sz w:val="28"/>
          <w:szCs w:val="28"/>
          <w:shd w:val="clear" w:color="auto" w:fill="FFFFFF"/>
          <w:lang w:val="uk-UA"/>
        </w:rPr>
        <w:t>].</w:t>
      </w:r>
    </w:p>
    <w:p w:rsidR="009E0B65" w:rsidRPr="002E6ECA" w:rsidRDefault="009E0B65" w:rsidP="009E0B65">
      <w:pPr>
        <w:pStyle w:val="a5"/>
        <w:shd w:val="clear" w:color="auto" w:fill="FFFFFF"/>
        <w:spacing w:before="0" w:beforeAutospacing="0" w:after="0" w:afterAutospacing="0" w:line="360" w:lineRule="auto"/>
        <w:ind w:firstLine="709"/>
        <w:jc w:val="both"/>
        <w:rPr>
          <w:sz w:val="28"/>
          <w:szCs w:val="28"/>
          <w:shd w:val="clear" w:color="auto" w:fill="FFFFFF"/>
          <w:lang w:val="uk-UA"/>
        </w:rPr>
      </w:pPr>
      <w:r w:rsidRPr="002E6ECA">
        <w:rPr>
          <w:sz w:val="28"/>
          <w:szCs w:val="28"/>
          <w:shd w:val="clear" w:color="auto" w:fill="FFFFFF"/>
          <w:lang w:val="uk-UA"/>
        </w:rPr>
        <w:lastRenderedPageBreak/>
        <w:t>Ці дані частково співпадають з нашими результатами щодо напруження адаптаційно-компенсаторних механізмів у учнів з академічною успішністю вищою за середню на 6-му році навчання. Однак, у нашому дослідженні виснаження механізмів вегетативної регуляції спостерігалося серед учнів з низькою академічною успішністю.</w:t>
      </w:r>
    </w:p>
    <w:p w:rsidR="009E0B65" w:rsidRPr="002E6ECA" w:rsidRDefault="009E0B65" w:rsidP="009E0B65">
      <w:pPr>
        <w:spacing w:line="360" w:lineRule="auto"/>
        <w:ind w:firstLine="709"/>
        <w:jc w:val="center"/>
        <w:rPr>
          <w:sz w:val="28"/>
          <w:szCs w:val="28"/>
          <w:lang w:val="uk-UA"/>
        </w:rPr>
      </w:pPr>
    </w:p>
    <w:p w:rsidR="009E0B65" w:rsidRPr="002E6ECA" w:rsidRDefault="009E0B65" w:rsidP="009E0B65">
      <w:pPr>
        <w:spacing w:line="360" w:lineRule="auto"/>
        <w:ind w:firstLine="709"/>
        <w:jc w:val="center"/>
        <w:rPr>
          <w:b/>
          <w:sz w:val="28"/>
          <w:szCs w:val="28"/>
          <w:lang w:val="uk-UA"/>
        </w:rPr>
      </w:pPr>
      <w:r w:rsidRPr="002E6ECA">
        <w:rPr>
          <w:b/>
          <w:sz w:val="28"/>
          <w:szCs w:val="28"/>
          <w:lang w:val="uk-UA"/>
        </w:rPr>
        <w:t>Висновки до розділу 6</w:t>
      </w:r>
    </w:p>
    <w:p w:rsidR="009E0B65" w:rsidRPr="002E6ECA" w:rsidRDefault="009E0B65" w:rsidP="009E0B65">
      <w:pPr>
        <w:pStyle w:val="a3"/>
        <w:numPr>
          <w:ilvl w:val="0"/>
          <w:numId w:val="5"/>
        </w:numPr>
        <w:tabs>
          <w:tab w:val="left" w:pos="993"/>
        </w:tabs>
        <w:spacing w:line="360" w:lineRule="auto"/>
        <w:ind w:left="0" w:firstLine="709"/>
        <w:jc w:val="both"/>
        <w:rPr>
          <w:sz w:val="28"/>
          <w:szCs w:val="28"/>
          <w:lang w:val="uk-UA"/>
        </w:rPr>
      </w:pPr>
      <w:r w:rsidRPr="002E6ECA">
        <w:rPr>
          <w:sz w:val="28"/>
          <w:szCs w:val="28"/>
          <w:lang w:val="uk-UA"/>
        </w:rPr>
        <w:t>Встановлено взаємозв’язок між рівнем академічної успішності та станом здоров’я учнів середнього шкільного віку. Так, учні з низьким рівнем успішності  мали найвищий рівень загальної патологічної ураженості (1847,8‰) із найбільш вираженою негативною динамікою протягом навчання у базовій школі – на 565,2‰; стабільно вищий рівень захворюваності за ендокринною патологією, розладами психіки та поведінки, але нижчим рівнем поширеності патології дихальної системи (196,1±68,9‰); характеризувались найнижчою чисельністю 1-ої групи здоров’я та найвищою кількістю учнів із хронічною патологією у стадії компенсації; негативною динамікою загальної тривалості гострих захворювань протягом навчання у базовій школі (від 13,2±1,7 до 16,9±1,3 днів) та максимальною їх кількістю на 8-му році навчання.</w:t>
      </w:r>
    </w:p>
    <w:p w:rsidR="009E0B65" w:rsidRPr="002E6ECA" w:rsidRDefault="009E0B65" w:rsidP="009E0B65">
      <w:pPr>
        <w:pStyle w:val="a5"/>
        <w:numPr>
          <w:ilvl w:val="0"/>
          <w:numId w:val="5"/>
        </w:numPr>
        <w:shd w:val="clear" w:color="auto" w:fill="FFFFFF"/>
        <w:tabs>
          <w:tab w:val="left" w:pos="993"/>
        </w:tabs>
        <w:spacing w:before="0" w:beforeAutospacing="0" w:after="0" w:afterAutospacing="0" w:line="360" w:lineRule="auto"/>
        <w:ind w:left="0" w:firstLine="709"/>
        <w:jc w:val="both"/>
        <w:rPr>
          <w:sz w:val="28"/>
          <w:szCs w:val="28"/>
          <w:shd w:val="clear" w:color="auto" w:fill="FFFFFF"/>
          <w:lang w:val="uk-UA"/>
        </w:rPr>
      </w:pPr>
      <w:r w:rsidRPr="002E6ECA">
        <w:rPr>
          <w:sz w:val="28"/>
          <w:szCs w:val="28"/>
          <w:shd w:val="clear" w:color="auto" w:fill="FFFFFF"/>
          <w:lang w:val="uk-UA"/>
        </w:rPr>
        <w:t>Адаптація до освітнього середовища основної школи спостерігається на третьому році навчання (7-й клас).</w:t>
      </w:r>
    </w:p>
    <w:p w:rsidR="009E0B65" w:rsidRPr="002E6ECA" w:rsidRDefault="009E0B65" w:rsidP="009E0B65">
      <w:pPr>
        <w:pStyle w:val="a5"/>
        <w:numPr>
          <w:ilvl w:val="0"/>
          <w:numId w:val="5"/>
        </w:numPr>
        <w:shd w:val="clear" w:color="auto" w:fill="FFFFFF"/>
        <w:tabs>
          <w:tab w:val="left" w:pos="993"/>
        </w:tabs>
        <w:spacing w:before="0" w:beforeAutospacing="0" w:after="0" w:afterAutospacing="0" w:line="360" w:lineRule="auto"/>
        <w:ind w:left="0" w:firstLine="709"/>
        <w:jc w:val="both"/>
        <w:rPr>
          <w:sz w:val="28"/>
          <w:szCs w:val="28"/>
          <w:shd w:val="clear" w:color="auto" w:fill="FFFFFF"/>
          <w:lang w:val="uk-UA"/>
        </w:rPr>
      </w:pPr>
      <w:r w:rsidRPr="002E6ECA">
        <w:rPr>
          <w:sz w:val="28"/>
          <w:szCs w:val="28"/>
          <w:shd w:val="clear" w:color="auto" w:fill="FFFFFF"/>
          <w:lang w:val="uk-UA"/>
        </w:rPr>
        <w:t>Відхилення академічної успішності від середнього рівня супроводжувалися переважанням активності автономного контуру регуляції в умовах спокійного неспання. Перевтомлення та перенапруження механізмів вегетативної регуляції притаманно учням з академічною успішністю нижчою за середню, тоді як у учнів з академічною успішністю вищою за середню спостерігався високий рівень напруження адаптаційно-компенсаторних механізмів на 6-му році навчання.</w:t>
      </w:r>
    </w:p>
    <w:p w:rsidR="009E0B65" w:rsidRPr="002E6ECA" w:rsidRDefault="009E0B65" w:rsidP="009E0B65">
      <w:pPr>
        <w:rPr>
          <w:lang w:val="uk-UA"/>
        </w:rPr>
      </w:pPr>
    </w:p>
    <w:p w:rsidR="00C908AE" w:rsidRPr="002E6ECA" w:rsidRDefault="004341ED" w:rsidP="009D7C05">
      <w:pPr>
        <w:spacing w:line="360" w:lineRule="auto"/>
        <w:rPr>
          <w:sz w:val="28"/>
          <w:szCs w:val="28"/>
          <w:lang w:val="uk-UA"/>
        </w:rPr>
      </w:pPr>
      <w:r w:rsidRPr="002E6ECA">
        <w:rPr>
          <w:sz w:val="28"/>
          <w:szCs w:val="28"/>
          <w:lang w:val="uk-UA"/>
        </w:rPr>
        <w:t>Матеріали розділу викладено у наступних публікаціях:</w:t>
      </w:r>
      <w:r w:rsidR="009E0B65" w:rsidRPr="002E6ECA">
        <w:rPr>
          <w:sz w:val="28"/>
          <w:szCs w:val="28"/>
          <w:lang w:val="uk-UA"/>
        </w:rPr>
        <w:t xml:space="preserve"> </w:t>
      </w:r>
      <w:r w:rsidR="00222F30" w:rsidRPr="002E6ECA">
        <w:rPr>
          <w:sz w:val="28"/>
          <w:szCs w:val="28"/>
          <w:lang w:val="uk-UA"/>
        </w:rPr>
        <w:t xml:space="preserve"> </w:t>
      </w:r>
      <w:r w:rsidR="00E53B5C" w:rsidRPr="002E6ECA">
        <w:rPr>
          <w:sz w:val="28"/>
          <w:szCs w:val="28"/>
          <w:lang w:val="uk-UA"/>
        </w:rPr>
        <w:t>471</w:t>
      </w:r>
      <w:r w:rsidR="00222F30" w:rsidRPr="002E6ECA">
        <w:rPr>
          <w:sz w:val="28"/>
          <w:szCs w:val="28"/>
        </w:rPr>
        <w:t xml:space="preserve"> </w:t>
      </w:r>
      <w:r w:rsidR="009D7C05" w:rsidRPr="002E6ECA">
        <w:rPr>
          <w:sz w:val="28"/>
          <w:szCs w:val="28"/>
          <w:lang w:val="uk-UA"/>
        </w:rPr>
        <w:t xml:space="preserve"> </w:t>
      </w:r>
      <w:r w:rsidR="00917BD4" w:rsidRPr="002E6ECA">
        <w:rPr>
          <w:sz w:val="28"/>
          <w:szCs w:val="28"/>
          <w:lang w:val="uk-UA"/>
        </w:rPr>
        <w:br w:type="page"/>
      </w:r>
    </w:p>
    <w:p w:rsidR="00273D93" w:rsidRPr="002E6ECA" w:rsidRDefault="00430A05" w:rsidP="00430A05">
      <w:pPr>
        <w:spacing w:line="360" w:lineRule="auto"/>
        <w:ind w:firstLine="709"/>
        <w:jc w:val="center"/>
        <w:rPr>
          <w:sz w:val="28"/>
          <w:szCs w:val="28"/>
          <w:lang w:val="uk-UA"/>
        </w:rPr>
      </w:pPr>
      <w:r w:rsidRPr="002E6ECA">
        <w:rPr>
          <w:sz w:val="28"/>
          <w:szCs w:val="28"/>
          <w:lang w:val="uk-UA"/>
        </w:rPr>
        <w:lastRenderedPageBreak/>
        <w:t>РОЗДІЛ 7</w:t>
      </w:r>
    </w:p>
    <w:p w:rsidR="00430A05" w:rsidRPr="002E6ECA" w:rsidRDefault="00430A05" w:rsidP="00430A05">
      <w:pPr>
        <w:spacing w:line="360" w:lineRule="auto"/>
        <w:ind w:firstLine="709"/>
        <w:jc w:val="center"/>
        <w:rPr>
          <w:sz w:val="28"/>
          <w:szCs w:val="28"/>
          <w:lang w:val="uk-UA"/>
        </w:rPr>
      </w:pPr>
      <w:r w:rsidRPr="002E6ECA">
        <w:rPr>
          <w:sz w:val="28"/>
          <w:szCs w:val="28"/>
          <w:lang w:val="uk-UA"/>
        </w:rPr>
        <w:t>ПСИХОСОЦІАЛЬНЕ ФУНКЦІОНУВАННЯ ЯК ІНСТРУМЕНТ МОНІТОРИНГУ ЗДОРОВ’Я ДІТЕЙ ТА ПІДЛІТКІВ</w:t>
      </w:r>
    </w:p>
    <w:p w:rsidR="00430A05" w:rsidRPr="002E6ECA" w:rsidRDefault="00430A05" w:rsidP="00430A05">
      <w:pPr>
        <w:spacing w:line="360" w:lineRule="auto"/>
        <w:ind w:firstLine="709"/>
        <w:jc w:val="center"/>
        <w:rPr>
          <w:sz w:val="28"/>
          <w:szCs w:val="28"/>
          <w:lang w:val="uk-UA"/>
        </w:rPr>
      </w:pPr>
    </w:p>
    <w:p w:rsidR="00222F30" w:rsidRPr="002E6ECA" w:rsidRDefault="00222F30" w:rsidP="00222F30">
      <w:pPr>
        <w:spacing w:line="360" w:lineRule="auto"/>
        <w:ind w:firstLine="709"/>
        <w:jc w:val="both"/>
        <w:rPr>
          <w:sz w:val="28"/>
          <w:szCs w:val="28"/>
          <w:lang w:val="uk-UA"/>
        </w:rPr>
      </w:pPr>
      <w:r w:rsidRPr="002E6ECA">
        <w:rPr>
          <w:sz w:val="28"/>
          <w:szCs w:val="28"/>
          <w:lang w:val="uk-UA"/>
        </w:rPr>
        <w:t>Сьогодні світовою медичною спільнотою оцінка якості життя різних статево-вікових верств населення у том числі тих, хто страждає на хронічні соматичні захворювання, розглядається як основний інструмент сучасних популяційних  досліджень стану здоров’я та впливу на нього соціальних, екологічних, психологічних та інших чинників, що дозволяє створювати ефективні профілактичні програми, суттєво впливати на</w:t>
      </w:r>
      <w:r w:rsidRPr="002E6ECA">
        <w:rPr>
          <w:b/>
          <w:sz w:val="28"/>
          <w:szCs w:val="28"/>
          <w:lang w:val="uk-UA"/>
        </w:rPr>
        <w:t xml:space="preserve"> </w:t>
      </w:r>
      <w:r w:rsidRPr="002E6ECA">
        <w:rPr>
          <w:sz w:val="28"/>
          <w:szCs w:val="28"/>
          <w:lang w:val="uk-UA"/>
        </w:rPr>
        <w:t>покращання здоров’я та попереджати виникнення хвороб [</w:t>
      </w:r>
      <w:r w:rsidR="00E53B5C" w:rsidRPr="002E6ECA">
        <w:rPr>
          <w:rFonts w:eastAsia="CIDFont+F7"/>
          <w:sz w:val="28"/>
          <w:szCs w:val="28"/>
          <w:lang w:val="uk-UA"/>
        </w:rPr>
        <w:t>148,</w:t>
      </w:r>
      <w:r w:rsidR="00E53B5C" w:rsidRPr="002E6ECA">
        <w:rPr>
          <w:lang w:val="uk-UA"/>
        </w:rPr>
        <w:t xml:space="preserve"> </w:t>
      </w:r>
      <w:r w:rsidR="009A04FD" w:rsidRPr="002E6ECA">
        <w:rPr>
          <w:rFonts w:eastAsia="CIDFont+F7"/>
          <w:sz w:val="28"/>
          <w:szCs w:val="28"/>
          <w:lang w:val="uk-UA"/>
        </w:rPr>
        <w:t>307</w:t>
      </w:r>
      <w:r w:rsidR="00E53B5C" w:rsidRPr="002E6ECA">
        <w:rPr>
          <w:rFonts w:eastAsia="CIDFont+F7"/>
          <w:sz w:val="28"/>
          <w:szCs w:val="28"/>
          <w:lang w:val="uk-UA"/>
        </w:rPr>
        <w:t>, 348, 409, 451</w:t>
      </w:r>
      <w:r w:rsidRPr="002E6ECA">
        <w:rPr>
          <w:sz w:val="28"/>
          <w:szCs w:val="28"/>
          <w:lang w:val="uk-UA"/>
        </w:rPr>
        <w:t>]. У цій площині питання якості життя, пов’язаних зі здоров’ям дитячого населення, набувають у суспільстві все більшої уваги і потребують науково обґрунтованого розв’язання [</w:t>
      </w:r>
      <w:r w:rsidR="00E53B5C" w:rsidRPr="002E6ECA">
        <w:rPr>
          <w:rFonts w:eastAsia="CIDFont+F7"/>
          <w:sz w:val="28"/>
          <w:szCs w:val="28"/>
          <w:lang w:val="uk-UA"/>
        </w:rPr>
        <w:t xml:space="preserve">148, </w:t>
      </w:r>
      <w:r w:rsidR="00E53B5C" w:rsidRPr="002E6ECA">
        <w:rPr>
          <w:sz w:val="28"/>
          <w:szCs w:val="28"/>
          <w:lang w:val="uk-UA"/>
        </w:rPr>
        <w:t>159, 347,</w:t>
      </w:r>
      <w:r w:rsidR="00E53B5C" w:rsidRPr="002E6ECA">
        <w:rPr>
          <w:lang w:val="uk-UA"/>
        </w:rPr>
        <w:t xml:space="preserve"> </w:t>
      </w:r>
      <w:r w:rsidR="00E53B5C" w:rsidRPr="002E6ECA">
        <w:rPr>
          <w:sz w:val="28"/>
          <w:szCs w:val="28"/>
          <w:lang w:val="uk-UA"/>
        </w:rPr>
        <w:t>408</w:t>
      </w:r>
      <w:r w:rsidR="0091404F" w:rsidRPr="002E6ECA">
        <w:rPr>
          <w:sz w:val="28"/>
          <w:szCs w:val="28"/>
          <w:lang w:val="uk-UA"/>
        </w:rPr>
        <w:t>, 483</w:t>
      </w:r>
      <w:r w:rsidRPr="002E6ECA">
        <w:rPr>
          <w:sz w:val="28"/>
          <w:szCs w:val="28"/>
          <w:lang w:val="uk-UA"/>
        </w:rPr>
        <w:t xml:space="preserve">]. </w:t>
      </w:r>
    </w:p>
    <w:p w:rsidR="00222F30" w:rsidRPr="002E6ECA" w:rsidRDefault="00222F30" w:rsidP="00222F30">
      <w:pPr>
        <w:spacing w:line="360" w:lineRule="auto"/>
        <w:ind w:firstLine="709"/>
        <w:jc w:val="both"/>
        <w:rPr>
          <w:sz w:val="28"/>
          <w:szCs w:val="28"/>
          <w:lang w:val="uk-UA"/>
        </w:rPr>
      </w:pPr>
      <w:r w:rsidRPr="002E6ECA">
        <w:rPr>
          <w:sz w:val="28"/>
          <w:szCs w:val="28"/>
          <w:lang w:val="uk-UA"/>
        </w:rPr>
        <w:t xml:space="preserve"> За </w:t>
      </w:r>
      <w:r w:rsidRPr="002E6ECA">
        <w:rPr>
          <w:spacing w:val="-2"/>
          <w:sz w:val="28"/>
          <w:szCs w:val="28"/>
          <w:lang w:val="uk-UA"/>
        </w:rPr>
        <w:t>аналізом наукових світових та вітчизняних публікацій якість життя дитини, пов’язана зі здоров’ям (ЯЖПЗ), визначається як інтегральне поняття, що характеризує її фізичне, психологічне, емоційне та соціальне функціонування, яке засноване на суб'єктивному сприйнятті оточуючого середовища [</w:t>
      </w:r>
      <w:r w:rsidR="00E53B5C" w:rsidRPr="002E6ECA">
        <w:rPr>
          <w:rFonts w:eastAsia="CIDFont+F7"/>
          <w:sz w:val="28"/>
          <w:szCs w:val="28"/>
          <w:lang w:val="uk-UA"/>
        </w:rPr>
        <w:t>156, 209, 244</w:t>
      </w:r>
      <w:r w:rsidRPr="002E6ECA">
        <w:rPr>
          <w:spacing w:val="-2"/>
          <w:sz w:val="28"/>
          <w:szCs w:val="28"/>
          <w:lang w:val="uk-UA"/>
        </w:rPr>
        <w:t>].</w:t>
      </w:r>
    </w:p>
    <w:p w:rsidR="00222F30" w:rsidRPr="002E6ECA" w:rsidRDefault="00222F30" w:rsidP="00222F30">
      <w:pPr>
        <w:spacing w:line="360" w:lineRule="auto"/>
        <w:ind w:firstLine="709"/>
        <w:jc w:val="both"/>
        <w:rPr>
          <w:sz w:val="28"/>
          <w:szCs w:val="28"/>
          <w:lang w:val="uk-UA"/>
        </w:rPr>
      </w:pPr>
      <w:r w:rsidRPr="002E6ECA">
        <w:rPr>
          <w:sz w:val="28"/>
          <w:szCs w:val="28"/>
          <w:lang w:val="uk-UA"/>
        </w:rPr>
        <w:t>Інформаційний аналіз з цього питання вказує на стрімке зростання уваги як з боку науковців, так і організаторів охорони здоров’я щодо розробки інструментів оцінки ЯЖПЗ та їх використання серед учнівській молоді. Проведено низку масштабних досліджень у різних країнах щодо визначення взаємозв’язку фізичної активності, життєвих цілей, емоційного стану та інших складових з якістю життя, що пов’язана зі здоров’ям, серед учнів старшої школи та студентів [</w:t>
      </w:r>
      <w:r w:rsidR="00E53B5C" w:rsidRPr="002E6ECA">
        <w:rPr>
          <w:sz w:val="28"/>
          <w:szCs w:val="28"/>
          <w:lang w:val="uk-UA"/>
        </w:rPr>
        <w:t>209, 451, 466</w:t>
      </w:r>
      <w:r w:rsidRPr="002E6ECA">
        <w:rPr>
          <w:sz w:val="28"/>
          <w:szCs w:val="28"/>
          <w:lang w:val="uk-UA"/>
        </w:rPr>
        <w:t xml:space="preserve">]. Разом з тим проведення цих наукових пошуків серед учнів базової школи залишається недостатнім. Тому вивчення різних складових цього явища у дітей та підлітків, є новим актуальним напрямком міждисциплінарних досліджень, а отримані дані дозволяють </w:t>
      </w:r>
      <w:r w:rsidRPr="002E6ECA">
        <w:rPr>
          <w:sz w:val="28"/>
          <w:szCs w:val="28"/>
          <w:lang w:val="uk-UA"/>
        </w:rPr>
        <w:lastRenderedPageBreak/>
        <w:t>надавати комплексну об’єктивну оцінку благополуччя дітей шкільного віку та підлітків.</w:t>
      </w:r>
    </w:p>
    <w:p w:rsidR="00222F30" w:rsidRPr="002E6ECA" w:rsidRDefault="00222F30" w:rsidP="00FB7E22">
      <w:pPr>
        <w:spacing w:line="360" w:lineRule="auto"/>
        <w:ind w:firstLine="709"/>
        <w:jc w:val="both"/>
        <w:rPr>
          <w:b/>
          <w:sz w:val="28"/>
          <w:szCs w:val="28"/>
          <w:lang w:val="uk-UA"/>
        </w:rPr>
      </w:pPr>
    </w:p>
    <w:p w:rsidR="00430A05" w:rsidRPr="002E6ECA" w:rsidRDefault="00430A05" w:rsidP="00FB7E22">
      <w:pPr>
        <w:spacing w:line="360" w:lineRule="auto"/>
        <w:ind w:firstLine="709"/>
        <w:jc w:val="both"/>
        <w:rPr>
          <w:b/>
          <w:sz w:val="28"/>
          <w:szCs w:val="28"/>
          <w:lang w:val="uk-UA"/>
        </w:rPr>
      </w:pPr>
      <w:r w:rsidRPr="002E6ECA">
        <w:rPr>
          <w:b/>
          <w:sz w:val="28"/>
          <w:szCs w:val="28"/>
          <w:lang w:val="uk-UA"/>
        </w:rPr>
        <w:t>7.1. Вікові особливості шкільної діяльності при переході з початкової до базової школи</w:t>
      </w:r>
    </w:p>
    <w:p w:rsidR="00430A05" w:rsidRPr="002E6ECA" w:rsidRDefault="00430A05" w:rsidP="00430A05">
      <w:pPr>
        <w:spacing w:line="360" w:lineRule="auto"/>
        <w:ind w:firstLine="709"/>
        <w:jc w:val="both"/>
        <w:rPr>
          <w:sz w:val="28"/>
          <w:szCs w:val="28"/>
          <w:lang w:val="uk-UA"/>
        </w:rPr>
      </w:pPr>
      <w:r w:rsidRPr="002E6ECA">
        <w:rPr>
          <w:sz w:val="28"/>
          <w:szCs w:val="28"/>
          <w:lang w:val="uk-UA"/>
        </w:rPr>
        <w:t>Дослідження ЯЖПЗ учнів проведено у віковій динаміці на всіх етапах здобування загальної середньої освіти за відповідними методиками ( окремо для початкової, базової та старшої школи) у сполученні з україномовною адаптованою методикою «Перелік дитячих симптомів» у дитячо-підлітковій (Y-PSC-Ukr) та батьківській (PSC-Ukr) версії, що дозволило не тільки виявити наявні проблеми, а й з’ясувати механізми формування інтегрованої системи оцінювання психологічного здоров’я та напрямків (екстерналізованих або інтерналізованих) порушень психосоціального функціонування.</w:t>
      </w:r>
    </w:p>
    <w:p w:rsidR="00430A05" w:rsidRPr="002E6ECA" w:rsidRDefault="00430A05" w:rsidP="00430A05">
      <w:pPr>
        <w:spacing w:line="360" w:lineRule="auto"/>
        <w:ind w:firstLine="709"/>
        <w:jc w:val="both"/>
        <w:rPr>
          <w:sz w:val="28"/>
          <w:szCs w:val="28"/>
          <w:lang w:val="uk-UA"/>
        </w:rPr>
      </w:pPr>
      <w:r w:rsidRPr="002E6ECA">
        <w:rPr>
          <w:sz w:val="28"/>
          <w:szCs w:val="28"/>
          <w:lang w:val="uk-UA"/>
        </w:rPr>
        <w:t>З метою визначення вихідного для базової школи рівня ЯЖПЗ учнів та основних тенденцій щодо його формування на попередньому етапі навчання було проаналізовано основні його критерії в учнів початкової школи.</w:t>
      </w:r>
    </w:p>
    <w:p w:rsidR="00E627C7" w:rsidRPr="002E6ECA" w:rsidRDefault="00430A05" w:rsidP="00E627C7">
      <w:pPr>
        <w:spacing w:line="360" w:lineRule="auto"/>
        <w:ind w:firstLine="709"/>
        <w:jc w:val="both"/>
        <w:rPr>
          <w:sz w:val="28"/>
          <w:szCs w:val="28"/>
          <w:lang w:val="uk-UA"/>
        </w:rPr>
      </w:pPr>
      <w:r w:rsidRPr="002E6ECA">
        <w:rPr>
          <w:sz w:val="28"/>
          <w:szCs w:val="28"/>
          <w:lang w:val="uk-UA"/>
        </w:rPr>
        <w:t xml:space="preserve">Шляхом однофакторного дисперсійного аналізу встановлено вплив статі на шкалу взаємовідносин з однолітками (F=6,49; р=0,011; %=1,04), при цьому у хлопців цей показник був вищим. </w:t>
      </w:r>
      <w:r w:rsidR="00E627C7" w:rsidRPr="002E6ECA">
        <w:rPr>
          <w:sz w:val="28"/>
          <w:szCs w:val="28"/>
          <w:lang w:val="uk-UA"/>
        </w:rPr>
        <w:t xml:space="preserve">Визначено і вікові особливості ЯЖПЗ у дітей молодшого шкільного віку. Так, найбільшого впливу зазнали показники соціалізації та, якщо показники шкільної активності за результатами самооцінки були вищими у 11 років (р=0,001), а за думкою батьків – у 8-річному віці (р&lt;0,001), то шкала відношення із однолітками за оцінкою обох груп респондентів була схожою – найвища у 7-річному віці (р&lt;0,01). </w:t>
      </w:r>
    </w:p>
    <w:p w:rsidR="00430A05" w:rsidRPr="002E6ECA" w:rsidRDefault="00E627C7" w:rsidP="00430A05">
      <w:pPr>
        <w:spacing w:line="360" w:lineRule="auto"/>
        <w:ind w:firstLine="709"/>
        <w:jc w:val="both"/>
        <w:rPr>
          <w:sz w:val="28"/>
          <w:szCs w:val="28"/>
          <w:lang w:val="uk-UA"/>
        </w:rPr>
      </w:pPr>
      <w:r w:rsidRPr="002E6ECA">
        <w:rPr>
          <w:sz w:val="28"/>
          <w:szCs w:val="28"/>
          <w:lang w:val="uk-UA"/>
        </w:rPr>
        <w:t xml:space="preserve">Рік навчання також впливав на показники ЯЖПЗ (табл. 7.1). За результатами самооцінки у дітей вірогідно знижувався рівень шкільної діяльності, але істотно при порівнянні початку та кінця навчання у початковій школі (р&lt;0,01). Слід відмітити неконкордантність результатів опитування учнів та їх батьків саме за цією шкалою. Так, різниця в оцінці ШД була </w:t>
      </w:r>
      <w:r w:rsidRPr="002E6ECA">
        <w:rPr>
          <w:sz w:val="28"/>
          <w:szCs w:val="28"/>
          <w:lang w:val="uk-UA"/>
        </w:rPr>
        <w:lastRenderedPageBreak/>
        <w:t>максимальною у 1-му класі (на 34 бали) та зберігалась на рівні 17-20 балів упродовж навчання.</w:t>
      </w:r>
    </w:p>
    <w:p w:rsidR="00430A05" w:rsidRPr="002E6ECA" w:rsidRDefault="00430A05" w:rsidP="00430A05">
      <w:pPr>
        <w:spacing w:line="360" w:lineRule="auto"/>
        <w:ind w:firstLine="709"/>
        <w:jc w:val="right"/>
        <w:rPr>
          <w:i/>
          <w:sz w:val="28"/>
          <w:szCs w:val="28"/>
          <w:lang w:val="uk-UA"/>
        </w:rPr>
      </w:pPr>
      <w:r w:rsidRPr="002E6ECA">
        <w:rPr>
          <w:i/>
          <w:sz w:val="28"/>
          <w:szCs w:val="28"/>
          <w:lang w:val="uk-UA"/>
        </w:rPr>
        <w:t>Таблиця 7.1</w:t>
      </w:r>
    </w:p>
    <w:p w:rsidR="00430A05" w:rsidRPr="002E6ECA" w:rsidRDefault="00430A05" w:rsidP="00430A05">
      <w:pPr>
        <w:spacing w:line="360" w:lineRule="auto"/>
        <w:ind w:firstLine="709"/>
        <w:jc w:val="center"/>
        <w:rPr>
          <w:b/>
          <w:sz w:val="28"/>
          <w:szCs w:val="28"/>
          <w:lang w:val="uk-UA"/>
        </w:rPr>
      </w:pPr>
      <w:r w:rsidRPr="002E6ECA">
        <w:rPr>
          <w:b/>
          <w:sz w:val="28"/>
          <w:szCs w:val="28"/>
          <w:lang w:val="uk-UA"/>
        </w:rPr>
        <w:t>Показники якості життя, що пов’язана зі здоров’ям за результатами оцінювання учнів та батьків</w:t>
      </w:r>
    </w:p>
    <w:tbl>
      <w:tblPr>
        <w:tblW w:w="9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8"/>
        <w:gridCol w:w="992"/>
        <w:gridCol w:w="1560"/>
        <w:gridCol w:w="1701"/>
        <w:gridCol w:w="1418"/>
        <w:gridCol w:w="1558"/>
      </w:tblGrid>
      <w:tr w:rsidR="00515818" w:rsidRPr="002E6ECA" w:rsidTr="00D52EFC">
        <w:trPr>
          <w:trHeight w:val="550"/>
        </w:trPr>
        <w:tc>
          <w:tcPr>
            <w:tcW w:w="2438" w:type="dxa"/>
            <w:vMerge w:val="restart"/>
            <w:tcBorders>
              <w:top w:val="single" w:sz="4" w:space="0" w:color="auto"/>
              <w:left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276" w:lineRule="auto"/>
              <w:jc w:val="center"/>
              <w:rPr>
                <w:sz w:val="28"/>
                <w:szCs w:val="28"/>
                <w:lang w:val="uk-UA"/>
              </w:rPr>
            </w:pPr>
            <w:r w:rsidRPr="002E6ECA">
              <w:rPr>
                <w:sz w:val="28"/>
                <w:szCs w:val="28"/>
                <w:lang w:val="uk-UA"/>
              </w:rPr>
              <w:t>Шкала</w:t>
            </w:r>
          </w:p>
        </w:tc>
        <w:tc>
          <w:tcPr>
            <w:tcW w:w="992" w:type="dxa"/>
            <w:vMerge w:val="restart"/>
            <w:tcBorders>
              <w:top w:val="single" w:sz="4" w:space="0" w:color="auto"/>
              <w:left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276" w:lineRule="auto"/>
              <w:jc w:val="center"/>
              <w:rPr>
                <w:sz w:val="28"/>
                <w:szCs w:val="28"/>
                <w:lang w:val="uk-UA"/>
              </w:rPr>
            </w:pPr>
            <w:r w:rsidRPr="002E6ECA">
              <w:rPr>
                <w:sz w:val="28"/>
                <w:szCs w:val="28"/>
                <w:lang w:val="uk-UA"/>
              </w:rPr>
              <w:t>Група респондентів</w:t>
            </w:r>
          </w:p>
        </w:tc>
        <w:tc>
          <w:tcPr>
            <w:tcW w:w="6237"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360" w:lineRule="auto"/>
              <w:jc w:val="center"/>
              <w:rPr>
                <w:sz w:val="28"/>
                <w:szCs w:val="28"/>
                <w:lang w:val="uk-UA"/>
              </w:rPr>
            </w:pPr>
            <w:r w:rsidRPr="002E6ECA">
              <w:rPr>
                <w:sz w:val="28"/>
                <w:szCs w:val="28"/>
                <w:lang w:val="uk-UA"/>
              </w:rPr>
              <w:t>Рік навчання</w:t>
            </w:r>
          </w:p>
        </w:tc>
      </w:tr>
      <w:tr w:rsidR="00515818" w:rsidRPr="002E6ECA" w:rsidTr="00D52EFC">
        <w:trPr>
          <w:trHeight w:val="551"/>
        </w:trPr>
        <w:tc>
          <w:tcPr>
            <w:tcW w:w="2438" w:type="dxa"/>
            <w:vMerge/>
            <w:tcBorders>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jc w:val="center"/>
              <w:rPr>
                <w:sz w:val="28"/>
                <w:szCs w:val="28"/>
                <w:lang w:val="uk-UA"/>
              </w:rPr>
            </w:pPr>
          </w:p>
        </w:tc>
        <w:tc>
          <w:tcPr>
            <w:tcW w:w="992" w:type="dxa"/>
            <w:vMerge/>
            <w:tcBorders>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276" w:lineRule="auto"/>
              <w:jc w:val="center"/>
              <w:rPr>
                <w:sz w:val="28"/>
                <w:szCs w:val="28"/>
                <w:lang w:val="uk-UA"/>
              </w:rPr>
            </w:pP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360" w:lineRule="auto"/>
              <w:jc w:val="center"/>
              <w:rPr>
                <w:sz w:val="28"/>
                <w:szCs w:val="28"/>
                <w:lang w:val="uk-UA"/>
              </w:rPr>
            </w:pPr>
            <w:r w:rsidRPr="002E6ECA">
              <w:rPr>
                <w:sz w:val="28"/>
                <w:szCs w:val="28"/>
                <w:lang w:val="uk-UA"/>
              </w:rPr>
              <w:t>1-й</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360" w:lineRule="auto"/>
              <w:jc w:val="center"/>
              <w:rPr>
                <w:sz w:val="28"/>
                <w:szCs w:val="28"/>
                <w:lang w:val="uk-UA"/>
              </w:rPr>
            </w:pPr>
            <w:r w:rsidRPr="002E6ECA">
              <w:rPr>
                <w:sz w:val="28"/>
                <w:szCs w:val="28"/>
                <w:lang w:val="uk-UA"/>
              </w:rPr>
              <w:t>2-й</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360" w:lineRule="auto"/>
              <w:jc w:val="center"/>
              <w:rPr>
                <w:sz w:val="28"/>
                <w:szCs w:val="28"/>
                <w:lang w:val="uk-UA"/>
              </w:rPr>
            </w:pPr>
            <w:r w:rsidRPr="002E6ECA">
              <w:rPr>
                <w:sz w:val="28"/>
                <w:szCs w:val="28"/>
                <w:lang w:val="uk-UA"/>
              </w:rPr>
              <w:t>3-й</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360" w:lineRule="auto"/>
              <w:jc w:val="center"/>
              <w:rPr>
                <w:sz w:val="28"/>
                <w:szCs w:val="28"/>
                <w:lang w:val="uk-UA"/>
              </w:rPr>
            </w:pPr>
            <w:r w:rsidRPr="002E6ECA">
              <w:rPr>
                <w:sz w:val="28"/>
                <w:szCs w:val="28"/>
                <w:lang w:val="uk-UA"/>
              </w:rPr>
              <w:t>4-й</w:t>
            </w:r>
          </w:p>
        </w:tc>
      </w:tr>
      <w:tr w:rsidR="00515818" w:rsidRPr="002E6ECA" w:rsidTr="00D52EFC">
        <w:trPr>
          <w:trHeight w:val="549"/>
        </w:trPr>
        <w:tc>
          <w:tcPr>
            <w:tcW w:w="2438" w:type="dxa"/>
            <w:vMerge w:val="restar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r w:rsidRPr="002E6ECA">
              <w:rPr>
                <w:spacing w:val="-6"/>
                <w:sz w:val="28"/>
                <w:szCs w:val="28"/>
                <w:lang w:val="uk-UA"/>
              </w:rPr>
              <w:t>Фізична діяльність (ФД)</w:t>
            </w: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діти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82,3±0,6</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79,2±0,7</w:t>
            </w:r>
            <w:r w:rsidR="00D52EFC" w:rsidRPr="002E6ECA">
              <w:rPr>
                <w:sz w:val="28"/>
                <w:szCs w:val="28"/>
                <w:vertAlign w:val="superscript"/>
                <w:lang w:val="uk-UA"/>
              </w:rPr>
              <w:t>#1</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78,9±0,7</w:t>
            </w:r>
            <w:r w:rsidR="00D52EFC" w:rsidRPr="002E6ECA">
              <w:rPr>
                <w:sz w:val="28"/>
                <w:szCs w:val="28"/>
                <w:vertAlign w:val="superscript"/>
                <w:lang w:val="uk-UA"/>
              </w:rPr>
              <w:t>#1</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lang w:val="uk-UA"/>
              </w:rPr>
            </w:pPr>
            <w:r w:rsidRPr="002E6ECA">
              <w:rPr>
                <w:sz w:val="28"/>
                <w:szCs w:val="28"/>
              </w:rPr>
              <w:t>80,9±0,6</w:t>
            </w:r>
            <w:r w:rsidR="00D52EFC" w:rsidRPr="002E6ECA">
              <w:rPr>
                <w:sz w:val="28"/>
                <w:szCs w:val="28"/>
                <w:vertAlign w:val="superscript"/>
                <w:lang w:val="uk-UA"/>
              </w:rPr>
              <w:t>*3</w:t>
            </w:r>
          </w:p>
        </w:tc>
      </w:tr>
      <w:tr w:rsidR="00515818" w:rsidRPr="002E6ECA" w:rsidTr="00D52EFC">
        <w:trPr>
          <w:trHeight w:val="550"/>
        </w:trPr>
        <w:tc>
          <w:tcPr>
            <w:tcW w:w="2438" w:type="dxa"/>
            <w:vMerge/>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батьки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88,5±0,7</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88,1±0,7</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lang w:val="uk-UA"/>
              </w:rPr>
            </w:pPr>
            <w:r w:rsidRPr="002E6ECA">
              <w:rPr>
                <w:sz w:val="28"/>
                <w:szCs w:val="28"/>
              </w:rPr>
              <w:t>88</w:t>
            </w:r>
            <w:r w:rsidRPr="002E6ECA">
              <w:rPr>
                <w:sz w:val="28"/>
                <w:szCs w:val="28"/>
                <w:lang w:val="uk-UA"/>
              </w:rPr>
              <w:t>,0</w:t>
            </w:r>
            <w:r w:rsidRPr="002E6ECA">
              <w:rPr>
                <w:sz w:val="28"/>
                <w:szCs w:val="28"/>
              </w:rPr>
              <w:t>±1</w:t>
            </w:r>
            <w:r w:rsidRPr="002E6ECA">
              <w:rPr>
                <w:sz w:val="28"/>
                <w:szCs w:val="28"/>
                <w:lang w:val="uk-UA"/>
              </w:rPr>
              <w:t>,0</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88,4±0,8</w:t>
            </w:r>
          </w:p>
        </w:tc>
      </w:tr>
      <w:tr w:rsidR="00515818" w:rsidRPr="002E6ECA" w:rsidTr="00D52EFC">
        <w:trPr>
          <w:trHeight w:val="549"/>
        </w:trPr>
        <w:tc>
          <w:tcPr>
            <w:tcW w:w="2438" w:type="dxa"/>
            <w:vMerge w:val="restar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r w:rsidRPr="002E6ECA">
              <w:rPr>
                <w:spacing w:val="-6"/>
                <w:sz w:val="28"/>
                <w:szCs w:val="28"/>
                <w:lang w:val="uk-UA"/>
              </w:rPr>
              <w:t>Шкільна діяльність (ШД)</w:t>
            </w: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діти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88,2±0,6</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82,7±0,7</w:t>
            </w:r>
            <w:r w:rsidR="00D52EFC" w:rsidRPr="002E6ECA">
              <w:rPr>
                <w:sz w:val="28"/>
                <w:szCs w:val="28"/>
                <w:vertAlign w:val="superscript"/>
                <w:lang w:val="uk-UA"/>
              </w:rPr>
              <w:t>#1</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81,4±0,7</w:t>
            </w:r>
            <w:r w:rsidR="00D52EFC" w:rsidRPr="002E6ECA">
              <w:rPr>
                <w:sz w:val="28"/>
                <w:szCs w:val="28"/>
                <w:vertAlign w:val="superscript"/>
                <w:lang w:val="uk-UA"/>
              </w:rPr>
              <w:t>#1</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80,9±0,7</w:t>
            </w:r>
            <w:r w:rsidR="00D52EFC" w:rsidRPr="002E6ECA">
              <w:rPr>
                <w:sz w:val="28"/>
                <w:szCs w:val="28"/>
                <w:vertAlign w:val="superscript"/>
                <w:lang w:val="uk-UA"/>
              </w:rPr>
              <w:t>#1</w:t>
            </w:r>
          </w:p>
        </w:tc>
      </w:tr>
      <w:tr w:rsidR="00515818" w:rsidRPr="002E6ECA" w:rsidTr="00D52EFC">
        <w:trPr>
          <w:trHeight w:val="550"/>
        </w:trPr>
        <w:tc>
          <w:tcPr>
            <w:tcW w:w="2438" w:type="dxa"/>
            <w:vMerge/>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батьки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54,1±0,7</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64,7±0,4</w:t>
            </w:r>
            <w:r w:rsidR="00D52EFC" w:rsidRPr="002E6ECA">
              <w:rPr>
                <w:sz w:val="28"/>
                <w:szCs w:val="28"/>
                <w:vertAlign w:val="superscript"/>
                <w:lang w:val="uk-UA"/>
              </w:rPr>
              <w:t>#14</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64,8±0,6</w:t>
            </w:r>
            <w:r w:rsidR="00D52EFC" w:rsidRPr="002E6ECA">
              <w:rPr>
                <w:sz w:val="28"/>
                <w:szCs w:val="28"/>
                <w:vertAlign w:val="superscript"/>
                <w:lang w:val="uk-UA"/>
              </w:rPr>
              <w:t>#14</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60,8±0,6</w:t>
            </w:r>
            <w:r w:rsidR="00D52EFC" w:rsidRPr="002E6ECA">
              <w:rPr>
                <w:sz w:val="28"/>
                <w:szCs w:val="28"/>
                <w:vertAlign w:val="superscript"/>
                <w:lang w:val="uk-UA"/>
              </w:rPr>
              <w:t>#1</w:t>
            </w:r>
          </w:p>
        </w:tc>
      </w:tr>
      <w:tr w:rsidR="00515818" w:rsidRPr="002E6ECA" w:rsidTr="00D52EFC">
        <w:trPr>
          <w:trHeight w:val="550"/>
        </w:trPr>
        <w:tc>
          <w:tcPr>
            <w:tcW w:w="2438" w:type="dxa"/>
            <w:vMerge w:val="restar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r w:rsidRPr="002E6ECA">
              <w:rPr>
                <w:spacing w:val="-6"/>
                <w:sz w:val="28"/>
                <w:szCs w:val="28"/>
                <w:lang w:val="uk-UA"/>
              </w:rPr>
              <w:t>Емоційна діяльність (ЕД)</w:t>
            </w: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діти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78</w:t>
            </w:r>
            <w:r w:rsidRPr="002E6ECA">
              <w:rPr>
                <w:sz w:val="28"/>
                <w:szCs w:val="28"/>
                <w:lang w:val="uk-UA"/>
              </w:rPr>
              <w:t>,0</w:t>
            </w:r>
            <w:r w:rsidRPr="002E6ECA">
              <w:rPr>
                <w:sz w:val="28"/>
                <w:szCs w:val="28"/>
              </w:rPr>
              <w:t>±0,8</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77,1±0,8</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77,2±0,9</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78,2±0,8</w:t>
            </w:r>
          </w:p>
        </w:tc>
      </w:tr>
      <w:tr w:rsidR="00515818" w:rsidRPr="002E6ECA" w:rsidTr="00D52EFC">
        <w:trPr>
          <w:trHeight w:val="549"/>
        </w:trPr>
        <w:tc>
          <w:tcPr>
            <w:tcW w:w="2438" w:type="dxa"/>
            <w:vMerge/>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батьки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80,2±0,6</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84,3±0,6</w:t>
            </w:r>
            <w:r w:rsidR="00D52EFC" w:rsidRPr="002E6ECA">
              <w:rPr>
                <w:sz w:val="28"/>
                <w:szCs w:val="28"/>
                <w:vertAlign w:val="superscript"/>
                <w:lang w:val="uk-UA"/>
              </w:rPr>
              <w:t>#1*4</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85,8±0,7</w:t>
            </w:r>
            <w:r w:rsidR="00D52EFC" w:rsidRPr="002E6ECA">
              <w:rPr>
                <w:sz w:val="28"/>
                <w:szCs w:val="28"/>
                <w:vertAlign w:val="superscript"/>
                <w:lang w:val="uk-UA"/>
              </w:rPr>
              <w:t>#1</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86±0,6</w:t>
            </w:r>
            <w:r w:rsidR="00D52EFC" w:rsidRPr="002E6ECA">
              <w:rPr>
                <w:sz w:val="28"/>
                <w:szCs w:val="28"/>
                <w:vertAlign w:val="superscript"/>
                <w:lang w:val="uk-UA"/>
              </w:rPr>
              <w:t>#1</w:t>
            </w:r>
          </w:p>
        </w:tc>
      </w:tr>
      <w:tr w:rsidR="00515818" w:rsidRPr="002E6ECA" w:rsidTr="00D52EFC">
        <w:trPr>
          <w:trHeight w:val="550"/>
        </w:trPr>
        <w:tc>
          <w:tcPr>
            <w:tcW w:w="2438" w:type="dxa"/>
            <w:vMerge w:val="restar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r w:rsidRPr="002E6ECA">
              <w:rPr>
                <w:spacing w:val="-6"/>
                <w:sz w:val="28"/>
                <w:szCs w:val="28"/>
                <w:lang w:val="uk-UA"/>
              </w:rPr>
              <w:t>Соціальна діяльність з дорослими (СДд)</w:t>
            </w: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діти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82,2±0,8</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83,2±0,9</w:t>
            </w:r>
            <w:r w:rsidR="00D52EFC" w:rsidRPr="002E6ECA">
              <w:rPr>
                <w:sz w:val="28"/>
                <w:szCs w:val="28"/>
                <w:vertAlign w:val="superscript"/>
                <w:lang w:val="uk-UA"/>
              </w:rPr>
              <w:t>#4</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82,2±1,1</w:t>
            </w:r>
            <w:r w:rsidR="00D52EFC" w:rsidRPr="002E6ECA">
              <w:rPr>
                <w:sz w:val="28"/>
                <w:szCs w:val="28"/>
                <w:vertAlign w:val="superscript"/>
                <w:lang w:val="uk-UA"/>
              </w:rPr>
              <w:t>#4</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86,5±0,8</w:t>
            </w:r>
            <w:r w:rsidR="00D52EFC" w:rsidRPr="002E6ECA">
              <w:rPr>
                <w:sz w:val="28"/>
                <w:szCs w:val="28"/>
                <w:vertAlign w:val="superscript"/>
                <w:lang w:val="uk-UA"/>
              </w:rPr>
              <w:t>#1</w:t>
            </w:r>
          </w:p>
        </w:tc>
      </w:tr>
      <w:tr w:rsidR="00515818" w:rsidRPr="002E6ECA" w:rsidTr="00D52EFC">
        <w:trPr>
          <w:trHeight w:val="549"/>
        </w:trPr>
        <w:tc>
          <w:tcPr>
            <w:tcW w:w="2438" w:type="dxa"/>
            <w:vMerge/>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pacing w:val="-6"/>
                <w:sz w:val="28"/>
                <w:szCs w:val="28"/>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spacing w:line="276" w:lineRule="auto"/>
              <w:rPr>
                <w:sz w:val="28"/>
                <w:szCs w:val="28"/>
                <w:lang w:val="uk-UA"/>
              </w:rPr>
            </w:pPr>
            <w:r w:rsidRPr="002E6ECA">
              <w:rPr>
                <w:sz w:val="28"/>
                <w:szCs w:val="28"/>
                <w:lang w:val="uk-UA"/>
              </w:rPr>
              <w:t>батьки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86</w:t>
            </w:r>
            <w:r w:rsidR="00D52EFC" w:rsidRPr="002E6ECA">
              <w:rPr>
                <w:sz w:val="28"/>
                <w:szCs w:val="28"/>
                <w:lang w:val="uk-UA"/>
              </w:rPr>
              <w:t>,0</w:t>
            </w:r>
            <w:r w:rsidRPr="002E6ECA">
              <w:rPr>
                <w:sz w:val="28"/>
                <w:szCs w:val="28"/>
              </w:rPr>
              <w:t>±0,5</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88,4±0,6</w:t>
            </w:r>
            <w:r w:rsidR="00D52EFC" w:rsidRPr="002E6ECA">
              <w:rPr>
                <w:sz w:val="28"/>
                <w:szCs w:val="28"/>
                <w:vertAlign w:val="superscript"/>
                <w:lang w:val="uk-UA"/>
              </w:rPr>
              <w:t>#14</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89,1±0,7</w:t>
            </w:r>
            <w:r w:rsidR="00D52EFC" w:rsidRPr="002E6ECA">
              <w:rPr>
                <w:sz w:val="28"/>
                <w:szCs w:val="28"/>
                <w:vertAlign w:val="superscript"/>
                <w:lang w:val="uk-UA"/>
              </w:rPr>
              <w:t>#14</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rsidR="00515818" w:rsidRPr="002E6ECA" w:rsidRDefault="00515818" w:rsidP="00515818">
            <w:pPr>
              <w:rPr>
                <w:sz w:val="28"/>
                <w:szCs w:val="28"/>
              </w:rPr>
            </w:pPr>
            <w:r w:rsidRPr="002E6ECA">
              <w:rPr>
                <w:sz w:val="28"/>
                <w:szCs w:val="28"/>
              </w:rPr>
              <w:t>90,7±0,6</w:t>
            </w:r>
            <w:r w:rsidR="00D52EFC" w:rsidRPr="002E6ECA">
              <w:rPr>
                <w:sz w:val="28"/>
                <w:szCs w:val="28"/>
                <w:vertAlign w:val="superscript"/>
                <w:lang w:val="uk-UA"/>
              </w:rPr>
              <w:t>#1</w:t>
            </w:r>
          </w:p>
        </w:tc>
      </w:tr>
      <w:tr w:rsidR="00515818" w:rsidRPr="002E6ECA" w:rsidTr="00D52EFC">
        <w:trPr>
          <w:trHeight w:val="550"/>
        </w:trPr>
        <w:tc>
          <w:tcPr>
            <w:tcW w:w="2438" w:type="dxa"/>
            <w:vMerge w:val="restart"/>
            <w:tcBorders>
              <w:top w:val="single" w:sz="4" w:space="0" w:color="auto"/>
              <w:left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276" w:lineRule="auto"/>
              <w:rPr>
                <w:spacing w:val="-6"/>
                <w:sz w:val="28"/>
                <w:szCs w:val="28"/>
                <w:lang w:val="uk-UA"/>
              </w:rPr>
            </w:pPr>
            <w:r w:rsidRPr="002E6ECA">
              <w:rPr>
                <w:spacing w:val="-6"/>
                <w:sz w:val="28"/>
                <w:szCs w:val="28"/>
                <w:lang w:val="uk-UA"/>
              </w:rPr>
              <w:t>Соціальна діяльність з однолітками (СДо)</w:t>
            </w: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276" w:lineRule="auto"/>
              <w:rPr>
                <w:sz w:val="28"/>
                <w:szCs w:val="28"/>
                <w:lang w:val="uk-UA"/>
              </w:rPr>
            </w:pPr>
            <w:r w:rsidRPr="002E6ECA">
              <w:rPr>
                <w:sz w:val="28"/>
                <w:szCs w:val="28"/>
                <w:lang w:val="uk-UA"/>
              </w:rPr>
              <w:t>діти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83,8±0,7</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83</w:t>
            </w:r>
            <w:r w:rsidR="00D52EFC" w:rsidRPr="002E6ECA">
              <w:rPr>
                <w:sz w:val="28"/>
                <w:szCs w:val="28"/>
                <w:lang w:val="uk-UA"/>
              </w:rPr>
              <w:t>,0</w:t>
            </w:r>
            <w:r w:rsidRPr="002E6ECA">
              <w:rPr>
                <w:sz w:val="28"/>
                <w:szCs w:val="28"/>
              </w:rPr>
              <w:t>±0,8</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84,3±0,9</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84,4±0,8</w:t>
            </w:r>
          </w:p>
        </w:tc>
      </w:tr>
      <w:tr w:rsidR="00515818" w:rsidRPr="002E6ECA" w:rsidTr="00D52EFC">
        <w:trPr>
          <w:trHeight w:val="550"/>
        </w:trPr>
        <w:tc>
          <w:tcPr>
            <w:tcW w:w="2438" w:type="dxa"/>
            <w:vMerge/>
            <w:tcBorders>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E627C7">
            <w:pPr>
              <w:spacing w:line="360" w:lineRule="auto"/>
              <w:rPr>
                <w:sz w:val="28"/>
                <w:szCs w:val="28"/>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spacing w:line="360" w:lineRule="auto"/>
              <w:rPr>
                <w:sz w:val="28"/>
                <w:szCs w:val="28"/>
                <w:lang w:val="uk-UA"/>
              </w:rPr>
            </w:pPr>
            <w:r w:rsidRPr="002E6ECA">
              <w:rPr>
                <w:sz w:val="28"/>
                <w:szCs w:val="28"/>
                <w:lang w:val="uk-UA"/>
              </w:rPr>
              <w:t>батьки</w:t>
            </w:r>
          </w:p>
        </w:tc>
        <w:tc>
          <w:tcPr>
            <w:tcW w:w="1560"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87</w:t>
            </w:r>
            <w:r w:rsidR="00D52EFC" w:rsidRPr="002E6ECA">
              <w:rPr>
                <w:sz w:val="28"/>
                <w:szCs w:val="28"/>
                <w:lang w:val="uk-UA"/>
              </w:rPr>
              <w:t>,0</w:t>
            </w:r>
            <w:r w:rsidRPr="002E6ECA">
              <w:rPr>
                <w:sz w:val="28"/>
                <w:szCs w:val="28"/>
              </w:rPr>
              <w:t>±0,5</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91,2±0,4</w:t>
            </w:r>
            <w:r w:rsidR="00D52EFC" w:rsidRPr="002E6ECA">
              <w:rPr>
                <w:sz w:val="28"/>
                <w:szCs w:val="28"/>
                <w:vertAlign w:val="superscript"/>
                <w:lang w:val="uk-UA"/>
              </w:rPr>
              <w:t>*1</w:t>
            </w:r>
          </w:p>
        </w:tc>
        <w:tc>
          <w:tcPr>
            <w:tcW w:w="141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92,3±0,5</w:t>
            </w:r>
            <w:r w:rsidR="00D52EFC" w:rsidRPr="002E6ECA">
              <w:rPr>
                <w:sz w:val="28"/>
                <w:szCs w:val="28"/>
                <w:vertAlign w:val="superscript"/>
                <w:lang w:val="uk-UA"/>
              </w:rPr>
              <w:t>*1</w:t>
            </w:r>
          </w:p>
        </w:tc>
        <w:tc>
          <w:tcPr>
            <w:tcW w:w="1558"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515818" w:rsidRPr="002E6ECA" w:rsidRDefault="00515818" w:rsidP="00515818">
            <w:pPr>
              <w:rPr>
                <w:sz w:val="28"/>
                <w:szCs w:val="28"/>
              </w:rPr>
            </w:pPr>
            <w:r w:rsidRPr="002E6ECA">
              <w:rPr>
                <w:sz w:val="28"/>
                <w:szCs w:val="28"/>
              </w:rPr>
              <w:t>92,6±0,4</w:t>
            </w:r>
            <w:r w:rsidR="00D52EFC" w:rsidRPr="002E6ECA">
              <w:rPr>
                <w:sz w:val="28"/>
                <w:szCs w:val="28"/>
                <w:vertAlign w:val="superscript"/>
                <w:lang w:val="uk-UA"/>
              </w:rPr>
              <w:t>#1</w:t>
            </w:r>
          </w:p>
        </w:tc>
      </w:tr>
    </w:tbl>
    <w:p w:rsidR="00430A05" w:rsidRPr="002E6ECA" w:rsidRDefault="00D52EFC" w:rsidP="00D52EFC">
      <w:pPr>
        <w:spacing w:line="276" w:lineRule="auto"/>
        <w:ind w:firstLine="709"/>
        <w:jc w:val="both"/>
        <w:rPr>
          <w:sz w:val="28"/>
          <w:szCs w:val="28"/>
          <w:lang w:val="uk-UA"/>
        </w:rPr>
      </w:pPr>
      <w:r w:rsidRPr="002E6ECA">
        <w:rPr>
          <w:lang w:val="uk-UA"/>
        </w:rPr>
        <w:t>Примітка: істотна різниця з учнями 1-го (</w:t>
      </w:r>
      <w:r w:rsidRPr="002E6ECA">
        <w:rPr>
          <w:vertAlign w:val="superscript"/>
          <w:lang w:val="uk-UA"/>
        </w:rPr>
        <w:t>1</w:t>
      </w:r>
      <w:r w:rsidRPr="002E6ECA">
        <w:rPr>
          <w:lang w:val="uk-UA"/>
        </w:rPr>
        <w:t>), 2-го (</w:t>
      </w:r>
      <w:r w:rsidRPr="002E6ECA">
        <w:rPr>
          <w:vertAlign w:val="superscript"/>
          <w:lang w:val="uk-UA"/>
        </w:rPr>
        <w:t>2</w:t>
      </w:r>
      <w:r w:rsidRPr="002E6ECA">
        <w:rPr>
          <w:lang w:val="uk-UA"/>
        </w:rPr>
        <w:t>), 3-го (</w:t>
      </w:r>
      <w:r w:rsidRPr="002E6ECA">
        <w:rPr>
          <w:vertAlign w:val="superscript"/>
          <w:lang w:val="uk-UA"/>
        </w:rPr>
        <w:t>3</w:t>
      </w:r>
      <w:r w:rsidRPr="002E6ECA">
        <w:rPr>
          <w:lang w:val="uk-UA"/>
        </w:rPr>
        <w:t>) та 4-го (</w:t>
      </w:r>
      <w:r w:rsidRPr="002E6ECA">
        <w:rPr>
          <w:vertAlign w:val="superscript"/>
          <w:lang w:val="uk-UA"/>
        </w:rPr>
        <w:t>4</w:t>
      </w:r>
      <w:r w:rsidRPr="002E6ECA">
        <w:rPr>
          <w:lang w:val="uk-UA"/>
        </w:rPr>
        <w:t>) років навчання на рівні значущості р˂0,05 (</w:t>
      </w:r>
      <w:r w:rsidRPr="002E6ECA">
        <w:rPr>
          <w:vertAlign w:val="superscript"/>
          <w:lang w:val="uk-UA"/>
        </w:rPr>
        <w:t>*</w:t>
      </w:r>
      <w:r w:rsidRPr="002E6ECA">
        <w:rPr>
          <w:lang w:val="uk-UA"/>
        </w:rPr>
        <w:t>),р˂0,01 (</w:t>
      </w:r>
      <w:r w:rsidRPr="002E6ECA">
        <w:rPr>
          <w:vertAlign w:val="superscript"/>
          <w:lang w:val="uk-UA"/>
        </w:rPr>
        <w:t>#</w:t>
      </w:r>
      <w:r w:rsidRPr="002E6ECA">
        <w:rPr>
          <w:lang w:val="uk-UA"/>
        </w:rPr>
        <w:t>)</w:t>
      </w:r>
    </w:p>
    <w:p w:rsidR="00160FB7" w:rsidRPr="002E6ECA" w:rsidRDefault="00160FB7" w:rsidP="00E627C7">
      <w:pPr>
        <w:spacing w:line="360" w:lineRule="auto"/>
        <w:ind w:firstLine="709"/>
        <w:jc w:val="both"/>
        <w:rPr>
          <w:sz w:val="28"/>
          <w:szCs w:val="28"/>
          <w:lang w:val="uk-UA"/>
        </w:rPr>
      </w:pPr>
    </w:p>
    <w:p w:rsidR="00E627C7" w:rsidRPr="002E6ECA" w:rsidRDefault="00E627C7" w:rsidP="00E627C7">
      <w:pPr>
        <w:spacing w:line="360" w:lineRule="auto"/>
        <w:ind w:firstLine="709"/>
        <w:jc w:val="both"/>
        <w:rPr>
          <w:sz w:val="28"/>
          <w:szCs w:val="28"/>
          <w:lang w:val="uk-UA"/>
        </w:rPr>
      </w:pPr>
      <w:r w:rsidRPr="002E6ECA">
        <w:rPr>
          <w:sz w:val="28"/>
          <w:szCs w:val="28"/>
          <w:lang w:val="uk-UA"/>
        </w:rPr>
        <w:t xml:space="preserve">Крім того за батьківською версією саме показник шкільної діяльності був найнижчим серед інших шкал, а за дитячою версією найвищим на 1-му році навчання. Батьки незмінно високо оцінювали фізичну діяльність (близько 88 балів), у той час як школярі відмічали її суттєве зниження – більшою мірою у 3-му класі (р&lt;0,05-0,01). Найнижчу оцінку діти надавали своїй емоційній діяльності (77-78 балів), а батьки акцентували увагу на покращенні емоційного фону дітей на порозі базової школи і більш високий рівень ЯЖПЗ за всіма шкалами, окрім ШД. </w:t>
      </w:r>
    </w:p>
    <w:p w:rsidR="00430A05" w:rsidRPr="002E6ECA" w:rsidRDefault="00430A05" w:rsidP="00430A05">
      <w:pPr>
        <w:spacing w:line="360" w:lineRule="auto"/>
        <w:ind w:firstLine="709"/>
        <w:jc w:val="both"/>
        <w:rPr>
          <w:sz w:val="28"/>
          <w:szCs w:val="28"/>
          <w:lang w:val="uk-UA"/>
        </w:rPr>
      </w:pPr>
      <w:r w:rsidRPr="002E6ECA">
        <w:rPr>
          <w:sz w:val="28"/>
          <w:szCs w:val="28"/>
          <w:lang w:val="uk-UA"/>
        </w:rPr>
        <w:lastRenderedPageBreak/>
        <w:t xml:space="preserve">Для уточнення характеру процесу вікових змін оцінювання ЯЖПЗ було проведено кореляційний аналіз із подальшим побудуванням граф-моделей кореляційних структур (рис. 7.1). </w:t>
      </w:r>
    </w:p>
    <w:p w:rsidR="00430A05" w:rsidRPr="002E6ECA" w:rsidRDefault="00430A05" w:rsidP="00430A05">
      <w:pPr>
        <w:spacing w:line="360" w:lineRule="auto"/>
      </w:pPr>
      <w:r w:rsidRPr="002E6ECA">
        <w:rPr>
          <w:noProof/>
          <w:lang w:val="uk-UA" w:eastAsia="uk-UA"/>
        </w:rPr>
        <w:drawing>
          <wp:inline distT="0" distB="0" distL="0" distR="0" wp14:anchorId="6C42D97E" wp14:editId="5B9EBAA5">
            <wp:extent cx="5969233" cy="27484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extLst>
                        <a:ext uri="{BEBA8EAE-BF5A-486C-A8C5-ECC9F3942E4B}">
                          <a14:imgProps xmlns:a14="http://schemas.microsoft.com/office/drawing/2010/main">
                            <a14:imgLayer r:embed="rId73">
                              <a14:imgEffect>
                                <a14:sharpenSoften amount="50000"/>
                              </a14:imgEffect>
                            </a14:imgLayer>
                          </a14:imgProps>
                        </a:ext>
                      </a:extLst>
                    </a:blip>
                    <a:srcRect l="18175" t="30175" r="9354" b="19368"/>
                    <a:stretch/>
                  </pic:blipFill>
                  <pic:spPr bwMode="auto">
                    <a:xfrm>
                      <a:off x="0" y="0"/>
                      <a:ext cx="5972358" cy="2749914"/>
                    </a:xfrm>
                    <a:prstGeom prst="rect">
                      <a:avLst/>
                    </a:prstGeom>
                    <a:ln>
                      <a:noFill/>
                    </a:ln>
                    <a:extLst>
                      <a:ext uri="{53640926-AAD7-44D8-BBD7-CCE9431645EC}">
                        <a14:shadowObscured xmlns:a14="http://schemas.microsoft.com/office/drawing/2010/main"/>
                      </a:ext>
                    </a:extLst>
                  </pic:spPr>
                </pic:pic>
              </a:graphicData>
            </a:graphic>
          </wp:inline>
        </w:drawing>
      </w:r>
      <w:r w:rsidRPr="002E6ECA">
        <w:rPr>
          <w:noProof/>
          <w:lang w:val="uk-UA" w:eastAsia="uk-UA"/>
        </w:rPr>
        <w:drawing>
          <wp:inline distT="0" distB="0" distL="0" distR="0" wp14:anchorId="736B4027" wp14:editId="74890DCD">
            <wp:extent cx="5940932" cy="2610285"/>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extLst>
                        <a:ext uri="{BEBA8EAE-BF5A-486C-A8C5-ECC9F3942E4B}">
                          <a14:imgProps xmlns:a14="http://schemas.microsoft.com/office/drawing/2010/main">
                            <a14:imgLayer r:embed="rId75">
                              <a14:imgEffect>
                                <a14:sharpenSoften amount="50000"/>
                              </a14:imgEffect>
                            </a14:imgLayer>
                          </a14:imgProps>
                        </a:ext>
                      </a:extLst>
                    </a:blip>
                    <a:srcRect l="17623" t="30526" r="10346" b="18832"/>
                    <a:stretch/>
                  </pic:blipFill>
                  <pic:spPr bwMode="auto">
                    <a:xfrm>
                      <a:off x="0" y="0"/>
                      <a:ext cx="5958502" cy="2618005"/>
                    </a:xfrm>
                    <a:prstGeom prst="rect">
                      <a:avLst/>
                    </a:prstGeom>
                    <a:ln>
                      <a:noFill/>
                    </a:ln>
                    <a:extLst>
                      <a:ext uri="{53640926-AAD7-44D8-BBD7-CCE9431645EC}">
                        <a14:shadowObscured xmlns:a14="http://schemas.microsoft.com/office/drawing/2010/main"/>
                      </a:ext>
                    </a:extLst>
                  </pic:spPr>
                </pic:pic>
              </a:graphicData>
            </a:graphic>
          </wp:inline>
        </w:drawing>
      </w:r>
    </w:p>
    <w:p w:rsidR="00430A05" w:rsidRPr="002E6ECA" w:rsidRDefault="00430A05" w:rsidP="0070157A">
      <w:pPr>
        <w:spacing w:line="360" w:lineRule="auto"/>
      </w:pPr>
      <w:r w:rsidRPr="002E6ECA">
        <w:rPr>
          <w:noProof/>
          <w:sz w:val="20"/>
          <w:lang w:val="uk-UA" w:eastAsia="uk-UA"/>
        </w:rPr>
        <mc:AlternateContent>
          <mc:Choice Requires="wps">
            <w:drawing>
              <wp:anchor distT="0" distB="0" distL="114300" distR="114300" simplePos="0" relativeHeight="251707904" behindDoc="0" locked="0" layoutInCell="1" allowOverlap="1" wp14:anchorId="48E37891" wp14:editId="59953FB2">
                <wp:simplePos x="0" y="0"/>
                <wp:positionH relativeFrom="column">
                  <wp:posOffset>957</wp:posOffset>
                </wp:positionH>
                <wp:positionV relativeFrom="paragraph">
                  <wp:posOffset>85678</wp:posOffset>
                </wp:positionV>
                <wp:extent cx="271780" cy="0"/>
                <wp:effectExtent l="0" t="0" r="13970" b="1905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7178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5F313AF" id="Прямая соединительная линия 18" o:spid="_x0000_s1026" style="position:absolute;flip:x y;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6.75pt" to="21.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" strokeweight="1pt"/>
            </w:pict>
          </mc:Fallback>
        </mc:AlternateContent>
      </w:r>
      <w:r w:rsidRPr="002E6ECA">
        <w:tab/>
        <w:t>середній кореляційний зв’язок (r=0,5-0,7; p&lt;0,05)</w:t>
      </w:r>
    </w:p>
    <w:p w:rsidR="00430A05" w:rsidRPr="002E6ECA" w:rsidRDefault="00430A05" w:rsidP="0070157A">
      <w:pPr>
        <w:spacing w:line="360" w:lineRule="auto"/>
      </w:pPr>
      <w:r w:rsidRPr="002E6ECA">
        <w:rPr>
          <w:noProof/>
          <w:sz w:val="20"/>
          <w:lang w:val="uk-UA" w:eastAsia="uk-UA"/>
        </w:rPr>
        <mc:AlternateContent>
          <mc:Choice Requires="wps">
            <w:drawing>
              <wp:anchor distT="0" distB="0" distL="114300" distR="114300" simplePos="0" relativeHeight="251706880" behindDoc="0" locked="0" layoutInCell="1" allowOverlap="1" wp14:anchorId="4DB97484" wp14:editId="5EB7D886">
                <wp:simplePos x="0" y="0"/>
                <wp:positionH relativeFrom="column">
                  <wp:posOffset>1951</wp:posOffset>
                </wp:positionH>
                <wp:positionV relativeFrom="paragraph">
                  <wp:posOffset>101078</wp:posOffset>
                </wp:positionV>
                <wp:extent cx="271960" cy="0"/>
                <wp:effectExtent l="0" t="0" r="13970" b="19050"/>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71960" cy="0"/>
                        </a:xfrm>
                        <a:prstGeom prst="line">
                          <a:avLst/>
                        </a:prstGeom>
                        <a:noFill/>
                        <a:ln w="1270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595D174" id="Прямая соединительная линия 34" o:spid="_x0000_s1026" style="position:absolute;flip:y;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7.95pt" to="21.55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" strokeweight="1pt">
                <v:stroke dashstyle="dashDot"/>
              </v:line>
            </w:pict>
          </mc:Fallback>
        </mc:AlternateContent>
      </w:r>
      <w:r w:rsidRPr="002E6ECA">
        <w:tab/>
        <w:t>слабкий кореляційний зв’язок (r=0,3-0,5; p&lt;0,05)</w:t>
      </w:r>
    </w:p>
    <w:p w:rsidR="00430A05" w:rsidRPr="002E6ECA" w:rsidRDefault="00430A05" w:rsidP="00430A05">
      <w:pPr>
        <w:spacing w:line="360" w:lineRule="auto"/>
        <w:ind w:firstLine="709"/>
        <w:rPr>
          <w:sz w:val="28"/>
          <w:szCs w:val="28"/>
          <w:lang w:val="uk-UA"/>
        </w:rPr>
      </w:pPr>
      <w:r w:rsidRPr="002E6ECA">
        <w:rPr>
          <w:sz w:val="28"/>
          <w:szCs w:val="28"/>
          <w:lang w:val="uk-UA"/>
        </w:rPr>
        <w:t>Рис. 7.1. Граф-моделі кореляційних структур якості життя у залежності від року навчання</w:t>
      </w:r>
    </w:p>
    <w:p w:rsidR="00E627C7" w:rsidRPr="002E6ECA" w:rsidRDefault="00E627C7" w:rsidP="0070157A">
      <w:pPr>
        <w:spacing w:line="360" w:lineRule="auto"/>
        <w:ind w:firstLine="709"/>
        <w:jc w:val="both"/>
        <w:rPr>
          <w:sz w:val="28"/>
          <w:szCs w:val="28"/>
          <w:lang w:val="uk-UA"/>
        </w:rPr>
      </w:pPr>
    </w:p>
    <w:p w:rsidR="0070157A" w:rsidRPr="002E6ECA" w:rsidRDefault="0070157A" w:rsidP="0070157A">
      <w:pPr>
        <w:spacing w:line="360" w:lineRule="auto"/>
        <w:ind w:firstLine="709"/>
        <w:jc w:val="both"/>
        <w:rPr>
          <w:sz w:val="28"/>
          <w:szCs w:val="28"/>
          <w:lang w:val="uk-UA"/>
        </w:rPr>
      </w:pPr>
      <w:r w:rsidRPr="002E6ECA">
        <w:rPr>
          <w:sz w:val="28"/>
          <w:szCs w:val="28"/>
          <w:lang w:val="uk-UA"/>
        </w:rPr>
        <w:t xml:space="preserve">За результатами системного аналізу структури оцінювання ЯЖПЗ учнями молодшого шкільного віку різних років навчання було визначено, що при переході з першого до другого класу і далі, до завершення навчання у </w:t>
      </w:r>
      <w:r w:rsidRPr="002E6ECA">
        <w:rPr>
          <w:sz w:val="28"/>
          <w:szCs w:val="28"/>
          <w:lang w:val="uk-UA"/>
        </w:rPr>
        <w:lastRenderedPageBreak/>
        <w:t xml:space="preserve">початковій школі, зберігались кореляційні зв’язки між усіма шкалами, але їх якісна та кількісна характеристика мала певні особливості. </w:t>
      </w:r>
    </w:p>
    <w:p w:rsidR="00FB7E22" w:rsidRPr="002E6ECA" w:rsidRDefault="00FB7E22" w:rsidP="00FB7E22">
      <w:pPr>
        <w:spacing w:line="360" w:lineRule="auto"/>
        <w:ind w:firstLine="709"/>
        <w:jc w:val="both"/>
        <w:rPr>
          <w:rStyle w:val="fontstyle01"/>
          <w:b w:val="0"/>
          <w:color w:val="auto"/>
          <w:sz w:val="28"/>
          <w:szCs w:val="28"/>
          <w:lang w:val="uk-UA"/>
        </w:rPr>
      </w:pPr>
      <w:r w:rsidRPr="002E6ECA">
        <w:rPr>
          <w:sz w:val="28"/>
          <w:szCs w:val="28"/>
          <w:lang w:val="uk-UA"/>
        </w:rPr>
        <w:t xml:space="preserve">Показником системоутворення у 1-му та 2-му класах виступала емоційна діяльність, що відповідає віковим нормам дитини. У 3-му класі на першому місці за внеском в утворення взаємозв’язків з іншими шкалами виступала </w:t>
      </w:r>
      <w:r w:rsidRPr="002E6ECA">
        <w:rPr>
          <w:rStyle w:val="fontstyle01"/>
          <w:b w:val="0"/>
          <w:color w:val="auto"/>
          <w:sz w:val="28"/>
          <w:szCs w:val="28"/>
          <w:lang w:val="uk-UA"/>
        </w:rPr>
        <w:t xml:space="preserve">шкільна діяльність, що може свідчити про досягнення учнями певного рівня соціалізації. При переході до 4-го класу системоутворюючим показником виступає фізична діяльність. Суттєві зміни реєструвались і за результатами ранжування ПС із створенням ієрархії системоутворюючих властивостей показників якості життя (рис. 7.2).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95"/>
        <w:gridCol w:w="2295"/>
        <w:gridCol w:w="2295"/>
        <w:gridCol w:w="2295"/>
      </w:tblGrid>
      <w:tr w:rsidR="00430A05" w:rsidRPr="002E6ECA" w:rsidTr="00430A05">
        <w:tc>
          <w:tcPr>
            <w:tcW w:w="9180" w:type="dxa"/>
            <w:gridSpan w:val="4"/>
          </w:tcPr>
          <w:p w:rsidR="00430A05" w:rsidRPr="002E6ECA" w:rsidRDefault="00430A05" w:rsidP="00430A05">
            <w:pPr>
              <w:spacing w:line="360" w:lineRule="auto"/>
              <w:jc w:val="both"/>
              <w:rPr>
                <w:rStyle w:val="fontstyle01"/>
                <w:b w:val="0"/>
                <w:color w:val="auto"/>
                <w:sz w:val="28"/>
                <w:szCs w:val="28"/>
                <w:lang w:val="uk-UA"/>
              </w:rPr>
            </w:pPr>
            <w:r w:rsidRPr="002E6ECA">
              <w:rPr>
                <w:noProof/>
                <w:sz w:val="28"/>
                <w:szCs w:val="28"/>
                <w:lang w:val="uk-UA" w:eastAsia="uk-UA"/>
              </w:rPr>
              <w:drawing>
                <wp:inline distT="0" distB="0" distL="0" distR="0" wp14:anchorId="4DFA6E16" wp14:editId="1B5E20EE">
                  <wp:extent cx="5813233" cy="3990589"/>
                  <wp:effectExtent l="0" t="0" r="0" b="0"/>
                  <wp:docPr id="8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rotWithShape="1">
                          <a:blip r:embed="rId76">
                            <a:extLst>
                              <a:ext uri="{28A0092B-C50C-407E-A947-70E740481C1C}">
                                <a14:useLocalDpi xmlns:a14="http://schemas.microsoft.com/office/drawing/2010/main" val="0"/>
                              </a:ext>
                            </a:extLst>
                          </a:blip>
                          <a:srcRect l="28519" t="21980" r="24225" b="26148"/>
                          <a:stretch/>
                        </pic:blipFill>
                        <pic:spPr bwMode="auto">
                          <a:xfrm>
                            <a:off x="0" y="0"/>
                            <a:ext cx="5814695" cy="399159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30A05" w:rsidRPr="002E6ECA" w:rsidTr="00430A05">
        <w:tc>
          <w:tcPr>
            <w:tcW w:w="2295" w:type="dxa"/>
          </w:tcPr>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1-й рік</w:t>
            </w:r>
          </w:p>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навчання</w:t>
            </w:r>
          </w:p>
        </w:tc>
        <w:tc>
          <w:tcPr>
            <w:tcW w:w="2295" w:type="dxa"/>
          </w:tcPr>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2-й рік</w:t>
            </w:r>
          </w:p>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навчання</w:t>
            </w:r>
          </w:p>
        </w:tc>
        <w:tc>
          <w:tcPr>
            <w:tcW w:w="2295" w:type="dxa"/>
          </w:tcPr>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3-й рік</w:t>
            </w:r>
          </w:p>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навчання</w:t>
            </w:r>
          </w:p>
        </w:tc>
        <w:tc>
          <w:tcPr>
            <w:tcW w:w="2295" w:type="dxa"/>
          </w:tcPr>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4-й рік</w:t>
            </w:r>
          </w:p>
          <w:p w:rsidR="00430A05" w:rsidRPr="002E6ECA" w:rsidRDefault="00430A05" w:rsidP="00430A05">
            <w:pPr>
              <w:spacing w:line="360" w:lineRule="auto"/>
              <w:jc w:val="center"/>
              <w:rPr>
                <w:rStyle w:val="fontstyle01"/>
                <w:b w:val="0"/>
                <w:color w:val="auto"/>
                <w:lang w:val="uk-UA"/>
              </w:rPr>
            </w:pPr>
            <w:r w:rsidRPr="002E6ECA">
              <w:rPr>
                <w:rStyle w:val="fontstyle01"/>
                <w:b w:val="0"/>
                <w:color w:val="auto"/>
                <w:lang w:val="uk-UA"/>
              </w:rPr>
              <w:t>навчання</w:t>
            </w:r>
          </w:p>
        </w:tc>
      </w:tr>
    </w:tbl>
    <w:p w:rsidR="00430A05" w:rsidRPr="002E6ECA" w:rsidRDefault="00430A05" w:rsidP="00430A05">
      <w:pPr>
        <w:spacing w:line="360" w:lineRule="auto"/>
        <w:ind w:firstLine="709"/>
        <w:jc w:val="both"/>
        <w:rPr>
          <w:rStyle w:val="fontstyle01"/>
          <w:b w:val="0"/>
          <w:color w:val="auto"/>
          <w:lang w:val="uk-UA"/>
        </w:rPr>
      </w:pPr>
    </w:p>
    <w:p w:rsidR="00430A05" w:rsidRPr="002E6ECA" w:rsidRDefault="00430A05" w:rsidP="00430A05">
      <w:pPr>
        <w:spacing w:line="360" w:lineRule="auto"/>
        <w:ind w:firstLine="709"/>
        <w:jc w:val="both"/>
        <w:rPr>
          <w:rStyle w:val="fontstyle01"/>
          <w:b w:val="0"/>
          <w:color w:val="auto"/>
          <w:sz w:val="28"/>
          <w:szCs w:val="28"/>
          <w:lang w:val="uk-UA"/>
        </w:rPr>
      </w:pPr>
      <w:r w:rsidRPr="002E6ECA">
        <w:rPr>
          <w:rStyle w:val="fontstyle01"/>
          <w:b w:val="0"/>
          <w:color w:val="auto"/>
          <w:sz w:val="28"/>
          <w:szCs w:val="28"/>
          <w:lang w:val="uk-UA"/>
        </w:rPr>
        <w:t>Рис. 7.2. Ієрархія системоутворюючих властивостей показників ЯЖПЗ</w:t>
      </w:r>
    </w:p>
    <w:p w:rsidR="00E627C7" w:rsidRPr="002E6ECA" w:rsidRDefault="00E627C7" w:rsidP="00430A05">
      <w:pPr>
        <w:spacing w:line="360" w:lineRule="auto"/>
        <w:ind w:firstLine="709"/>
        <w:jc w:val="both"/>
        <w:rPr>
          <w:rStyle w:val="fontstyle01"/>
          <w:b w:val="0"/>
          <w:color w:val="auto"/>
          <w:sz w:val="28"/>
          <w:szCs w:val="28"/>
          <w:lang w:val="uk-UA"/>
        </w:rPr>
      </w:pPr>
    </w:p>
    <w:p w:rsidR="00FB7E22" w:rsidRPr="002E6ECA" w:rsidRDefault="0070157A" w:rsidP="00430A05">
      <w:pPr>
        <w:spacing w:line="360" w:lineRule="auto"/>
        <w:ind w:firstLine="709"/>
        <w:jc w:val="both"/>
        <w:rPr>
          <w:rStyle w:val="fontstyle01"/>
          <w:b w:val="0"/>
          <w:color w:val="auto"/>
          <w:sz w:val="28"/>
          <w:szCs w:val="28"/>
          <w:lang w:val="uk-UA"/>
        </w:rPr>
      </w:pPr>
      <w:r w:rsidRPr="002E6ECA">
        <w:rPr>
          <w:rStyle w:val="fontstyle01"/>
          <w:b w:val="0"/>
          <w:color w:val="auto"/>
          <w:sz w:val="28"/>
          <w:szCs w:val="28"/>
          <w:lang w:val="uk-UA"/>
        </w:rPr>
        <w:t xml:space="preserve">Перше рангове місце за шкалою «Емоційна діяльність» у 3-му класі змінювалось на другу, а у 4-му класі – на 3 позицію. І, якщо у 1-2-му класах </w:t>
      </w:r>
      <w:r w:rsidRPr="002E6ECA">
        <w:rPr>
          <w:rStyle w:val="fontstyle01"/>
          <w:b w:val="0"/>
          <w:color w:val="auto"/>
          <w:sz w:val="28"/>
          <w:szCs w:val="28"/>
          <w:lang w:val="uk-UA"/>
        </w:rPr>
        <w:lastRenderedPageBreak/>
        <w:t xml:space="preserve">головними системоутворюючими структурами виступали емоційна та фізична діяльність, то у старшому віці вже більш важливою становилась шкільна активність, що може свідчити про формування достатнього рівня соціальної відповідальності та особистісного самосприйняття. </w:t>
      </w:r>
      <w:r w:rsidR="00FB7E22" w:rsidRPr="002E6ECA">
        <w:rPr>
          <w:rStyle w:val="fontstyle01"/>
          <w:b w:val="0"/>
          <w:color w:val="auto"/>
          <w:sz w:val="28"/>
          <w:szCs w:val="28"/>
          <w:lang w:val="uk-UA"/>
        </w:rPr>
        <w:t>За умов недостатності адаптаційних ресурсів</w:t>
      </w:r>
      <w:r w:rsidR="00FB7E22" w:rsidRPr="002E6ECA">
        <w:rPr>
          <w:rStyle w:val="fontstyle01"/>
          <w:color w:val="auto"/>
          <w:sz w:val="28"/>
          <w:szCs w:val="28"/>
          <w:lang w:val="uk-UA"/>
        </w:rPr>
        <w:t xml:space="preserve"> </w:t>
      </w:r>
      <w:r w:rsidR="00FB7E22" w:rsidRPr="002E6ECA">
        <w:rPr>
          <w:rStyle w:val="fontstyle01"/>
          <w:b w:val="0"/>
          <w:color w:val="auto"/>
          <w:sz w:val="28"/>
          <w:szCs w:val="28"/>
          <w:lang w:val="uk-UA"/>
        </w:rPr>
        <w:t>спостерігається певна соматизація, коли фізичне функціонування стає системоутворюючим показником.</w:t>
      </w:r>
    </w:p>
    <w:p w:rsidR="00FB7E22" w:rsidRPr="002E6ECA" w:rsidRDefault="00FB7E22" w:rsidP="00430A05">
      <w:pPr>
        <w:spacing w:line="360" w:lineRule="auto"/>
        <w:ind w:firstLine="709"/>
        <w:jc w:val="both"/>
        <w:rPr>
          <w:sz w:val="28"/>
          <w:szCs w:val="28"/>
          <w:lang w:val="uk-UA"/>
        </w:rPr>
      </w:pPr>
      <w:r w:rsidRPr="002E6ECA">
        <w:rPr>
          <w:rStyle w:val="fontstyle01"/>
          <w:b w:val="0"/>
          <w:color w:val="auto"/>
          <w:sz w:val="28"/>
          <w:szCs w:val="28"/>
          <w:lang w:val="uk-UA"/>
        </w:rPr>
        <w:t>Якщо вважати за вихідний стан учнів, що тільки-но прийшли до школи, то якісна «портретна» характеристика системи оцінювання ЯЖПЗ зазнавала поступових змін з року на рік і максимально – при переході з другого до третього класу із збереженням на четвертому році навчання стану напруги, що підтверджується найвищим показником кореляційного розходження: ПКР</w:t>
      </w:r>
      <w:r w:rsidRPr="002E6ECA">
        <w:rPr>
          <w:rStyle w:val="fontstyle01"/>
          <w:b w:val="0"/>
          <w:color w:val="auto"/>
          <w:sz w:val="28"/>
          <w:szCs w:val="28"/>
          <w:vertAlign w:val="subscript"/>
          <w:lang w:val="uk-UA"/>
        </w:rPr>
        <w:t>23</w:t>
      </w:r>
      <w:r w:rsidRPr="002E6ECA">
        <w:rPr>
          <w:rStyle w:val="fontstyle01"/>
          <w:b w:val="0"/>
          <w:color w:val="auto"/>
          <w:sz w:val="28"/>
          <w:szCs w:val="28"/>
          <w:lang w:val="uk-UA"/>
        </w:rPr>
        <w:t xml:space="preserve"> – 68,4% (для порівняння ПКР</w:t>
      </w:r>
      <w:r w:rsidRPr="002E6ECA">
        <w:rPr>
          <w:rStyle w:val="fontstyle01"/>
          <w:b w:val="0"/>
          <w:color w:val="auto"/>
          <w:sz w:val="28"/>
          <w:szCs w:val="28"/>
          <w:vertAlign w:val="subscript"/>
          <w:lang w:val="uk-UA"/>
        </w:rPr>
        <w:t>12</w:t>
      </w:r>
      <w:r w:rsidRPr="002E6ECA">
        <w:rPr>
          <w:rStyle w:val="fontstyle01"/>
          <w:b w:val="0"/>
          <w:color w:val="auto"/>
          <w:sz w:val="28"/>
          <w:szCs w:val="28"/>
          <w:lang w:val="uk-UA"/>
        </w:rPr>
        <w:t xml:space="preserve"> – 40,0%, ПКР </w:t>
      </w:r>
      <w:r w:rsidRPr="002E6ECA">
        <w:rPr>
          <w:rStyle w:val="fontstyle01"/>
          <w:b w:val="0"/>
          <w:color w:val="auto"/>
          <w:sz w:val="28"/>
          <w:szCs w:val="28"/>
          <w:vertAlign w:val="subscript"/>
          <w:lang w:val="uk-UA"/>
        </w:rPr>
        <w:t>13</w:t>
      </w:r>
      <w:r w:rsidRPr="002E6ECA">
        <w:rPr>
          <w:rStyle w:val="fontstyle01"/>
          <w:b w:val="0"/>
          <w:color w:val="auto"/>
          <w:sz w:val="28"/>
          <w:szCs w:val="28"/>
          <w:lang w:val="uk-UA"/>
        </w:rPr>
        <w:t xml:space="preserve"> – 47,4%, ПКР</w:t>
      </w:r>
      <w:r w:rsidRPr="002E6ECA">
        <w:rPr>
          <w:rStyle w:val="fontstyle01"/>
          <w:b w:val="0"/>
          <w:color w:val="auto"/>
          <w:sz w:val="28"/>
          <w:szCs w:val="28"/>
          <w:vertAlign w:val="subscript"/>
          <w:lang w:val="uk-UA"/>
        </w:rPr>
        <w:t>14</w:t>
      </w:r>
      <w:r w:rsidRPr="002E6ECA">
        <w:rPr>
          <w:rStyle w:val="fontstyle01"/>
          <w:b w:val="0"/>
          <w:color w:val="auto"/>
          <w:sz w:val="28"/>
          <w:szCs w:val="28"/>
          <w:lang w:val="uk-UA"/>
        </w:rPr>
        <w:t xml:space="preserve"> – 62,5%). </w:t>
      </w:r>
      <w:r w:rsidRPr="002E6ECA">
        <w:rPr>
          <w:sz w:val="28"/>
          <w:szCs w:val="28"/>
          <w:lang w:val="uk-UA"/>
        </w:rPr>
        <w:t>Найбільші якісні розходження у характері зв’язків між другим та третім роком навчання свідчили про критичність саме цього періоду навчання для дітей.</w:t>
      </w:r>
    </w:p>
    <w:p w:rsidR="00430A05" w:rsidRPr="002E6ECA" w:rsidRDefault="00430A05" w:rsidP="00430A05">
      <w:pPr>
        <w:spacing w:line="360" w:lineRule="auto"/>
        <w:ind w:firstLine="709"/>
        <w:jc w:val="both"/>
        <w:rPr>
          <w:sz w:val="28"/>
          <w:szCs w:val="28"/>
          <w:lang w:val="uk-UA"/>
        </w:rPr>
      </w:pPr>
      <w:r w:rsidRPr="002E6ECA">
        <w:rPr>
          <w:sz w:val="28"/>
          <w:szCs w:val="28"/>
          <w:lang w:val="uk-UA"/>
        </w:rPr>
        <w:t>Проте зниження коефіцієнту лабілізації (КЛ) у 2-му класі з 71,9% до 59,9% і деяке його зростання у третьому класі до 61,2</w:t>
      </w:r>
      <w:r w:rsidR="0080667E" w:rsidRPr="002E6ECA">
        <w:rPr>
          <w:sz w:val="28"/>
          <w:szCs w:val="28"/>
          <w:lang w:val="uk-UA"/>
        </w:rPr>
        <w:t>%</w:t>
      </w:r>
      <w:r w:rsidRPr="002E6ECA">
        <w:rPr>
          <w:sz w:val="28"/>
          <w:szCs w:val="28"/>
          <w:lang w:val="uk-UA"/>
        </w:rPr>
        <w:t xml:space="preserve"> з одного боку підтверджувало критичність цього періоду, а з іншого – свідчило про достатню компенсацію і синхронізацію цілісної системи оцінювання ЯЖПЗ.</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За адаптованою версією методики було визначено, що загальний середній рівень психосоціального функціонування дітей молодших класів за Y-PSC становив 17,6 балів (від 14,6 до 18,8 балів), що перевищує встановлену норму (16,7±7,6 балів). Звертає на себе увагу те, що у дітей 2-го та 3-го років навчання розбіжність із нормативними показниками була суттєвішою –</w:t>
      </w:r>
      <w:r w:rsidR="00161750" w:rsidRPr="002E6ECA">
        <w:rPr>
          <w:rStyle w:val="shorttext"/>
          <w:sz w:val="28"/>
          <w:szCs w:val="28"/>
          <w:lang w:val="uk-UA"/>
        </w:rPr>
        <w:t xml:space="preserve"> </w:t>
      </w:r>
      <w:r w:rsidRPr="002E6ECA">
        <w:rPr>
          <w:sz w:val="28"/>
          <w:szCs w:val="28"/>
          <w:lang w:val="uk-UA"/>
        </w:rPr>
        <w:t>18,0 балів (від 16,6 до 19,4 балів) та 18,7 балів (від 16,3 до 21,1 балів) відповідно. Це може свідчити про деяке напруження механізмів психосоціальної адаптації протягом цього періоду. За батьківською версією методики загальний середній рівень показників 15,1 балів (від 14,1 до 16,1 балів) знаходився в межах нормативних значень (15,6</w:t>
      </w:r>
      <w:r w:rsidRPr="002E6ECA">
        <w:rPr>
          <w:rStyle w:val="shorttext"/>
          <w:sz w:val="28"/>
          <w:szCs w:val="28"/>
          <w:lang w:val="uk-UA"/>
        </w:rPr>
        <w:t>±</w:t>
      </w:r>
      <w:r w:rsidRPr="002E6ECA">
        <w:rPr>
          <w:sz w:val="28"/>
          <w:szCs w:val="28"/>
          <w:lang w:val="uk-UA"/>
        </w:rPr>
        <w:t>7,8 балів). Між тим, показники щодо дітей 2-го року навчання - 16,1 балів (від 14,2 до 17,9 балів) можуть підтверджувати, що саме цей рік є найбільш напруженим й для батьків.</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lastRenderedPageBreak/>
        <w:t xml:space="preserve">Щоб з’ясувати, які саме у дитини можливі психологічні проблеми, в тесті були пораховані субшкальні показники, які рекомендовані в закордонних версіях методики: субшкала уваги, </w:t>
      </w:r>
      <w:bookmarkStart w:id="16" w:name="_Hlk535500845"/>
      <w:r w:rsidRPr="002E6ECA">
        <w:rPr>
          <w:rStyle w:val="shorttext"/>
          <w:sz w:val="28"/>
          <w:szCs w:val="28"/>
          <w:lang w:val="uk-UA"/>
        </w:rPr>
        <w:t>інтерналізації</w:t>
      </w:r>
      <w:bookmarkEnd w:id="16"/>
      <w:r w:rsidRPr="002E6ECA">
        <w:rPr>
          <w:rStyle w:val="shorttext"/>
          <w:sz w:val="28"/>
          <w:szCs w:val="28"/>
          <w:lang w:val="uk-UA"/>
        </w:rPr>
        <w:t xml:space="preserve"> та екстерналізації. Така діагностика важлива для того, щоб не пропустити дитину, яка має порушення лише в якомусь одному або двох доменах.</w:t>
      </w:r>
    </w:p>
    <w:p w:rsidR="00A668A3" w:rsidRPr="002E6ECA" w:rsidRDefault="00A668A3" w:rsidP="00A668A3">
      <w:pPr>
        <w:spacing w:line="360" w:lineRule="auto"/>
        <w:ind w:firstLine="709"/>
        <w:jc w:val="both"/>
        <w:rPr>
          <w:rStyle w:val="shorttext"/>
          <w:sz w:val="28"/>
          <w:szCs w:val="28"/>
          <w:lang w:val="uk-UA"/>
        </w:rPr>
      </w:pPr>
      <w:r w:rsidRPr="002E6ECA">
        <w:rPr>
          <w:rStyle w:val="shorttext"/>
          <w:sz w:val="28"/>
          <w:szCs w:val="28"/>
          <w:lang w:val="uk-UA"/>
        </w:rPr>
        <w:t xml:space="preserve">За дитячою версією опитувальника (Y-PSC) серед учнів молодшого шкільного віку середній рівень </w:t>
      </w:r>
      <w:r w:rsidRPr="002E6ECA">
        <w:rPr>
          <w:rStyle w:val="shorttext"/>
          <w:spacing w:val="-2"/>
          <w:sz w:val="28"/>
          <w:szCs w:val="28"/>
          <w:lang w:val="uk-UA"/>
        </w:rPr>
        <w:t>відповідав нормативним показникам за субшкалами інтерналізації (3,2</w:t>
      </w:r>
      <w:r w:rsidRPr="002E6ECA">
        <w:rPr>
          <w:spacing w:val="-2"/>
          <w:sz w:val="28"/>
          <w:szCs w:val="28"/>
          <w:lang w:val="uk-UA"/>
        </w:rPr>
        <w:t> </w:t>
      </w:r>
      <w:r w:rsidRPr="002E6ECA">
        <w:rPr>
          <w:rStyle w:val="shorttext"/>
          <w:spacing w:val="-2"/>
          <w:sz w:val="28"/>
          <w:szCs w:val="28"/>
          <w:lang w:val="uk-UA"/>
        </w:rPr>
        <w:t>бали), екстерналізації (2,4</w:t>
      </w:r>
      <w:r w:rsidRPr="002E6ECA">
        <w:rPr>
          <w:spacing w:val="-2"/>
          <w:sz w:val="28"/>
          <w:szCs w:val="28"/>
          <w:lang w:val="uk-UA"/>
        </w:rPr>
        <w:t> </w:t>
      </w:r>
      <w:r w:rsidRPr="002E6ECA">
        <w:rPr>
          <w:rStyle w:val="shorttext"/>
          <w:spacing w:val="-2"/>
          <w:sz w:val="28"/>
          <w:szCs w:val="28"/>
          <w:lang w:val="uk-UA"/>
        </w:rPr>
        <w:t>бали) та уваги (3,2</w:t>
      </w:r>
      <w:r w:rsidRPr="002E6ECA">
        <w:rPr>
          <w:spacing w:val="-2"/>
          <w:sz w:val="28"/>
          <w:szCs w:val="28"/>
          <w:lang w:val="uk-UA"/>
        </w:rPr>
        <w:t> </w:t>
      </w:r>
      <w:r w:rsidRPr="002E6ECA">
        <w:rPr>
          <w:rStyle w:val="shorttext"/>
          <w:spacing w:val="-2"/>
          <w:sz w:val="28"/>
          <w:szCs w:val="28"/>
          <w:lang w:val="uk-UA"/>
        </w:rPr>
        <w:t>бали), що відповідає характеристиці «вільні від ознак психосоціальної дисфункції дітей, їх когнітивних, емоційних і поведінкових проблем» (табл.</w:t>
      </w:r>
      <w:r w:rsidRPr="002E6ECA">
        <w:rPr>
          <w:spacing w:val="-2"/>
          <w:sz w:val="28"/>
          <w:szCs w:val="28"/>
          <w:lang w:val="uk-UA"/>
        </w:rPr>
        <w:t> </w:t>
      </w:r>
      <w:r w:rsidRPr="002E6ECA">
        <w:rPr>
          <w:rStyle w:val="shorttext"/>
          <w:spacing w:val="-2"/>
          <w:sz w:val="28"/>
          <w:szCs w:val="28"/>
          <w:lang w:val="uk-UA"/>
        </w:rPr>
        <w:t>7.2).</w:t>
      </w:r>
    </w:p>
    <w:p w:rsidR="00430A05" w:rsidRPr="002E6ECA" w:rsidRDefault="004B7F56" w:rsidP="00430A05">
      <w:pPr>
        <w:spacing w:line="360" w:lineRule="auto"/>
        <w:ind w:firstLine="709"/>
        <w:jc w:val="both"/>
        <w:rPr>
          <w:rStyle w:val="shorttext"/>
          <w:sz w:val="28"/>
          <w:szCs w:val="28"/>
          <w:lang w:val="uk-UA"/>
        </w:rPr>
      </w:pPr>
      <w:r w:rsidRPr="002E6ECA">
        <w:rPr>
          <w:rStyle w:val="shorttext"/>
          <w:sz w:val="28"/>
          <w:szCs w:val="28"/>
          <w:lang w:val="uk-UA"/>
        </w:rPr>
        <w:t>Визначений за допомогою батьківської версії опитувальника (PSC) с</w:t>
      </w:r>
      <w:r w:rsidR="00430A05" w:rsidRPr="002E6ECA">
        <w:rPr>
          <w:rStyle w:val="shorttext"/>
          <w:sz w:val="28"/>
          <w:szCs w:val="28"/>
          <w:lang w:val="uk-UA"/>
        </w:rPr>
        <w:t xml:space="preserve">ередній бал за </w:t>
      </w:r>
      <w:r w:rsidRPr="002E6ECA">
        <w:rPr>
          <w:rStyle w:val="shorttext"/>
          <w:sz w:val="28"/>
          <w:szCs w:val="28"/>
          <w:lang w:val="uk-UA"/>
        </w:rPr>
        <w:t xml:space="preserve">всіма </w:t>
      </w:r>
      <w:r w:rsidR="00430A05" w:rsidRPr="002E6ECA">
        <w:rPr>
          <w:rStyle w:val="shorttext"/>
          <w:sz w:val="28"/>
          <w:szCs w:val="28"/>
          <w:lang w:val="uk-UA"/>
        </w:rPr>
        <w:t xml:space="preserve">субшкалами </w:t>
      </w:r>
      <w:r w:rsidRPr="002E6ECA">
        <w:rPr>
          <w:rStyle w:val="shorttext"/>
          <w:sz w:val="28"/>
          <w:szCs w:val="28"/>
          <w:lang w:val="uk-UA"/>
        </w:rPr>
        <w:t>також</w:t>
      </w:r>
      <w:r w:rsidR="00430A05" w:rsidRPr="002E6ECA">
        <w:rPr>
          <w:rStyle w:val="shorttext"/>
          <w:sz w:val="28"/>
          <w:szCs w:val="28"/>
          <w:lang w:val="uk-UA"/>
        </w:rPr>
        <w:t xml:space="preserve"> не виходив за межі нормативних значень (4-7 балів). </w:t>
      </w:r>
      <w:r w:rsidRPr="002E6ECA">
        <w:rPr>
          <w:rStyle w:val="shorttext"/>
          <w:sz w:val="28"/>
          <w:szCs w:val="28"/>
          <w:lang w:val="uk-UA"/>
        </w:rPr>
        <w:t>Визначено істотно вищий рівень екст</w:t>
      </w:r>
      <w:r w:rsidRPr="002E6ECA">
        <w:rPr>
          <w:rStyle w:val="shorttext"/>
          <w:sz w:val="28"/>
          <w:szCs w:val="28"/>
        </w:rPr>
        <w:t>ер</w:t>
      </w:r>
      <w:r w:rsidRPr="002E6ECA">
        <w:rPr>
          <w:rStyle w:val="shorttext"/>
          <w:sz w:val="28"/>
          <w:szCs w:val="28"/>
          <w:lang w:val="uk-UA"/>
        </w:rPr>
        <w:t>налізації у хлопців за думкою обох груп респондентів (р&lt;0,01).</w:t>
      </w:r>
    </w:p>
    <w:p w:rsidR="00430A05" w:rsidRPr="002E6ECA" w:rsidRDefault="00430A05" w:rsidP="00430A05">
      <w:pPr>
        <w:spacing w:line="360" w:lineRule="auto"/>
        <w:ind w:firstLine="708"/>
        <w:jc w:val="right"/>
        <w:rPr>
          <w:rStyle w:val="shorttext"/>
          <w:i/>
          <w:sz w:val="28"/>
          <w:szCs w:val="28"/>
          <w:lang w:val="uk-UA"/>
        </w:rPr>
      </w:pPr>
      <w:r w:rsidRPr="002E6ECA">
        <w:rPr>
          <w:rStyle w:val="shorttext"/>
          <w:i/>
          <w:sz w:val="28"/>
          <w:szCs w:val="28"/>
          <w:lang w:val="uk-UA"/>
        </w:rPr>
        <w:t>Таблиця 7.2</w:t>
      </w:r>
    </w:p>
    <w:p w:rsidR="00430A05" w:rsidRPr="002E6ECA" w:rsidRDefault="00430A05" w:rsidP="00430A05">
      <w:pPr>
        <w:spacing w:line="360" w:lineRule="auto"/>
        <w:ind w:firstLine="708"/>
        <w:jc w:val="center"/>
        <w:rPr>
          <w:rStyle w:val="shorttext"/>
          <w:b/>
          <w:sz w:val="28"/>
          <w:szCs w:val="28"/>
          <w:lang w:val="uk-UA"/>
        </w:rPr>
      </w:pPr>
      <w:r w:rsidRPr="002E6ECA">
        <w:rPr>
          <w:rStyle w:val="shorttext"/>
          <w:b/>
          <w:sz w:val="28"/>
          <w:szCs w:val="28"/>
          <w:lang w:val="uk-UA"/>
        </w:rPr>
        <w:t>Показники психосоціального функціонування за субшкалами у різних статевих групах</w:t>
      </w:r>
    </w:p>
    <w:tbl>
      <w:tblPr>
        <w:tblW w:w="75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17"/>
        <w:gridCol w:w="1530"/>
        <w:gridCol w:w="1530"/>
        <w:gridCol w:w="1350"/>
        <w:gridCol w:w="1350"/>
      </w:tblGrid>
      <w:tr w:rsidR="00430A05" w:rsidRPr="002E6ECA" w:rsidTr="00430A05">
        <w:trPr>
          <w:trHeight w:val="315"/>
          <w:jc w:val="center"/>
        </w:trPr>
        <w:tc>
          <w:tcPr>
            <w:tcW w:w="2117" w:type="dxa"/>
            <w:vMerge w:val="restart"/>
            <w:noWrap/>
          </w:tcPr>
          <w:p w:rsidR="00430A05" w:rsidRPr="002E6ECA" w:rsidRDefault="00430A05" w:rsidP="00430A05">
            <w:pPr>
              <w:spacing w:line="360" w:lineRule="auto"/>
              <w:rPr>
                <w:sz w:val="28"/>
                <w:szCs w:val="28"/>
                <w:lang w:val="uk-UA" w:eastAsia="en-US"/>
              </w:rPr>
            </w:pPr>
            <w:r w:rsidRPr="002E6ECA">
              <w:rPr>
                <w:sz w:val="28"/>
                <w:szCs w:val="28"/>
                <w:lang w:val="uk-UA" w:eastAsia="en-US"/>
              </w:rPr>
              <w:t>Субшкала</w:t>
            </w:r>
          </w:p>
        </w:tc>
        <w:tc>
          <w:tcPr>
            <w:tcW w:w="2700" w:type="dxa"/>
            <w:gridSpan w:val="2"/>
          </w:tcPr>
          <w:p w:rsidR="00430A05" w:rsidRPr="002E6ECA" w:rsidRDefault="00430A05" w:rsidP="00430A05">
            <w:pPr>
              <w:spacing w:line="360" w:lineRule="auto"/>
              <w:jc w:val="center"/>
              <w:rPr>
                <w:sz w:val="28"/>
                <w:szCs w:val="28"/>
                <w:lang w:eastAsia="en-US"/>
              </w:rPr>
            </w:pPr>
            <w:r w:rsidRPr="002E6ECA">
              <w:rPr>
                <w:sz w:val="28"/>
                <w:szCs w:val="28"/>
                <w:lang w:eastAsia="en-US"/>
              </w:rPr>
              <w:t>Хлопчики</w:t>
            </w:r>
          </w:p>
        </w:tc>
        <w:tc>
          <w:tcPr>
            <w:tcW w:w="2700" w:type="dxa"/>
            <w:gridSpan w:val="2"/>
            <w:noWrap/>
          </w:tcPr>
          <w:p w:rsidR="00430A05" w:rsidRPr="002E6ECA" w:rsidRDefault="00430A05" w:rsidP="00430A05">
            <w:pPr>
              <w:spacing w:line="360" w:lineRule="auto"/>
              <w:jc w:val="center"/>
              <w:rPr>
                <w:sz w:val="28"/>
                <w:szCs w:val="28"/>
                <w:lang w:eastAsia="en-US"/>
              </w:rPr>
            </w:pPr>
            <w:r w:rsidRPr="002E6ECA">
              <w:rPr>
                <w:sz w:val="28"/>
                <w:szCs w:val="28"/>
                <w:lang w:eastAsia="en-US"/>
              </w:rPr>
              <w:t>Дівчата</w:t>
            </w:r>
          </w:p>
        </w:tc>
      </w:tr>
      <w:tr w:rsidR="00430A05" w:rsidRPr="002E6ECA" w:rsidTr="00430A05">
        <w:trPr>
          <w:trHeight w:val="315"/>
          <w:jc w:val="center"/>
        </w:trPr>
        <w:tc>
          <w:tcPr>
            <w:tcW w:w="2117" w:type="dxa"/>
            <w:vMerge/>
            <w:noWrap/>
          </w:tcPr>
          <w:p w:rsidR="00430A05" w:rsidRPr="002E6ECA" w:rsidRDefault="00430A05" w:rsidP="00430A05">
            <w:pPr>
              <w:spacing w:line="360" w:lineRule="auto"/>
              <w:rPr>
                <w:sz w:val="28"/>
                <w:szCs w:val="28"/>
                <w:lang w:eastAsia="en-US"/>
              </w:rPr>
            </w:pP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YPSC</w:t>
            </w:r>
            <w:r w:rsidRPr="002E6ECA">
              <w:rPr>
                <w:sz w:val="28"/>
                <w:szCs w:val="28"/>
                <w:lang w:val="uk-UA" w:eastAsia="en-US"/>
              </w:rPr>
              <w:t xml:space="preserve"> (</w:t>
            </w:r>
            <w:r w:rsidRPr="002E6ECA">
              <w:rPr>
                <w:sz w:val="28"/>
                <w:szCs w:val="28"/>
                <w:lang w:val="en-US" w:eastAsia="en-US"/>
              </w:rPr>
              <w:t>n=</w:t>
            </w:r>
            <w:r w:rsidRPr="002E6ECA">
              <w:rPr>
                <w:sz w:val="28"/>
                <w:szCs w:val="28"/>
                <w:lang w:val="uk-UA" w:eastAsia="en-US"/>
              </w:rPr>
              <w:t>144</w:t>
            </w:r>
            <w:r w:rsidRPr="002E6ECA">
              <w:rPr>
                <w:sz w:val="28"/>
                <w:szCs w:val="28"/>
                <w:lang w:eastAsia="en-US"/>
              </w:rPr>
              <w:t>)</w:t>
            </w:r>
          </w:p>
        </w:tc>
        <w:tc>
          <w:tcPr>
            <w:tcW w:w="1350" w:type="dxa"/>
            <w:noWrap/>
          </w:tcPr>
          <w:p w:rsidR="00430A05" w:rsidRPr="002E6ECA" w:rsidRDefault="00DE59E3" w:rsidP="00430A05">
            <w:pPr>
              <w:spacing w:line="360" w:lineRule="auto"/>
              <w:jc w:val="center"/>
              <w:rPr>
                <w:sz w:val="28"/>
                <w:szCs w:val="28"/>
                <w:lang w:val="uk-UA" w:eastAsia="en-US"/>
              </w:rPr>
            </w:pPr>
            <w:r w:rsidRPr="002E6ECA">
              <w:rPr>
                <w:sz w:val="28"/>
                <w:szCs w:val="28"/>
                <w:lang w:eastAsia="en-US"/>
              </w:rPr>
              <w:t>PS</w:t>
            </w:r>
            <w:r w:rsidRPr="002E6ECA">
              <w:rPr>
                <w:sz w:val="28"/>
                <w:szCs w:val="28"/>
                <w:lang w:val="en-US" w:eastAsia="en-US"/>
              </w:rPr>
              <w:t>C</w:t>
            </w:r>
            <w:r w:rsidR="00430A05" w:rsidRPr="002E6ECA">
              <w:rPr>
                <w:sz w:val="28"/>
                <w:szCs w:val="28"/>
                <w:lang w:val="uk-UA" w:eastAsia="en-US"/>
              </w:rPr>
              <w:t xml:space="preserve"> (</w:t>
            </w:r>
            <w:r w:rsidR="00430A05" w:rsidRPr="002E6ECA">
              <w:rPr>
                <w:sz w:val="28"/>
                <w:szCs w:val="28"/>
                <w:lang w:val="en-US" w:eastAsia="en-US"/>
              </w:rPr>
              <w:t>n=</w:t>
            </w:r>
            <w:r w:rsidR="00430A05" w:rsidRPr="002E6ECA">
              <w:rPr>
                <w:sz w:val="28"/>
                <w:szCs w:val="28"/>
                <w:lang w:val="uk-UA" w:eastAsia="en-US"/>
              </w:rPr>
              <w:t>119</w:t>
            </w:r>
            <w:r w:rsidR="00430A05" w:rsidRPr="002E6ECA">
              <w:rPr>
                <w:sz w:val="28"/>
                <w:szCs w:val="28"/>
                <w:lang w:eastAsia="en-US"/>
              </w:rPr>
              <w:t>)</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YPSC</w:t>
            </w:r>
            <w:r w:rsidRPr="002E6ECA">
              <w:rPr>
                <w:sz w:val="28"/>
                <w:szCs w:val="28"/>
                <w:lang w:val="uk-UA" w:eastAsia="en-US"/>
              </w:rPr>
              <w:t xml:space="preserve"> (</w:t>
            </w:r>
            <w:r w:rsidRPr="002E6ECA">
              <w:rPr>
                <w:sz w:val="28"/>
                <w:szCs w:val="28"/>
                <w:lang w:val="en-US" w:eastAsia="en-US"/>
              </w:rPr>
              <w:t>n=</w:t>
            </w:r>
            <w:r w:rsidRPr="002E6ECA">
              <w:rPr>
                <w:sz w:val="28"/>
                <w:szCs w:val="28"/>
                <w:lang w:val="uk-UA" w:eastAsia="en-US"/>
              </w:rPr>
              <w:t>118</w:t>
            </w:r>
            <w:r w:rsidRPr="002E6ECA">
              <w:rPr>
                <w:sz w:val="28"/>
                <w:szCs w:val="28"/>
                <w:lang w:eastAsia="en-US"/>
              </w:rPr>
              <w:t>)</w:t>
            </w:r>
          </w:p>
        </w:tc>
        <w:tc>
          <w:tcPr>
            <w:tcW w:w="1350" w:type="dxa"/>
            <w:noWrap/>
          </w:tcPr>
          <w:p w:rsidR="00430A05" w:rsidRPr="002E6ECA" w:rsidRDefault="00430A05" w:rsidP="00DE59E3">
            <w:pPr>
              <w:spacing w:line="360" w:lineRule="auto"/>
              <w:jc w:val="center"/>
              <w:rPr>
                <w:sz w:val="28"/>
                <w:szCs w:val="28"/>
                <w:lang w:val="uk-UA" w:eastAsia="en-US"/>
              </w:rPr>
            </w:pPr>
            <w:r w:rsidRPr="002E6ECA">
              <w:rPr>
                <w:sz w:val="28"/>
                <w:szCs w:val="28"/>
                <w:lang w:eastAsia="en-US"/>
              </w:rPr>
              <w:t>PS</w:t>
            </w:r>
            <w:r w:rsidR="00DE59E3" w:rsidRPr="002E6ECA">
              <w:rPr>
                <w:sz w:val="28"/>
                <w:szCs w:val="28"/>
                <w:lang w:val="en-US" w:eastAsia="en-US"/>
              </w:rPr>
              <w:t>C</w:t>
            </w:r>
            <w:r w:rsidRPr="002E6ECA">
              <w:rPr>
                <w:sz w:val="28"/>
                <w:szCs w:val="28"/>
                <w:lang w:val="uk-UA" w:eastAsia="en-US"/>
              </w:rPr>
              <w:t xml:space="preserve"> (</w:t>
            </w:r>
            <w:r w:rsidRPr="002E6ECA">
              <w:rPr>
                <w:sz w:val="28"/>
                <w:szCs w:val="28"/>
                <w:lang w:val="en-US" w:eastAsia="en-US"/>
              </w:rPr>
              <w:t>n=</w:t>
            </w:r>
            <w:r w:rsidRPr="002E6ECA">
              <w:rPr>
                <w:sz w:val="28"/>
                <w:szCs w:val="28"/>
                <w:lang w:val="uk-UA" w:eastAsia="en-US"/>
              </w:rPr>
              <w:t>110</w:t>
            </w:r>
            <w:r w:rsidRPr="002E6ECA">
              <w:rPr>
                <w:sz w:val="28"/>
                <w:szCs w:val="28"/>
                <w:lang w:eastAsia="en-US"/>
              </w:rPr>
              <w:t>)</w:t>
            </w:r>
          </w:p>
        </w:tc>
      </w:tr>
      <w:tr w:rsidR="00430A05" w:rsidRPr="002E6ECA" w:rsidTr="00430A05">
        <w:trPr>
          <w:trHeight w:val="315"/>
          <w:jc w:val="center"/>
        </w:trPr>
        <w:tc>
          <w:tcPr>
            <w:tcW w:w="2117" w:type="dxa"/>
            <w:noWrap/>
          </w:tcPr>
          <w:p w:rsidR="00430A05" w:rsidRPr="002E6ECA" w:rsidRDefault="00430A05" w:rsidP="00430A05">
            <w:pPr>
              <w:spacing w:line="360" w:lineRule="auto"/>
              <w:rPr>
                <w:sz w:val="28"/>
                <w:szCs w:val="28"/>
                <w:lang w:eastAsia="en-US"/>
              </w:rPr>
            </w:pPr>
            <w:r w:rsidRPr="002E6ECA">
              <w:rPr>
                <w:sz w:val="28"/>
                <w:szCs w:val="28"/>
                <w:lang w:eastAsia="en-US"/>
              </w:rPr>
              <w:t>Увага</w:t>
            </w:r>
          </w:p>
        </w:tc>
        <w:tc>
          <w:tcPr>
            <w:tcW w:w="1350" w:type="dxa"/>
            <w:noWrap/>
          </w:tcPr>
          <w:p w:rsidR="00430A05" w:rsidRPr="002E6ECA" w:rsidRDefault="00430A05" w:rsidP="00430A05">
            <w:pPr>
              <w:spacing w:line="360" w:lineRule="auto"/>
              <w:jc w:val="center"/>
              <w:rPr>
                <w:sz w:val="28"/>
                <w:szCs w:val="28"/>
                <w:lang w:eastAsia="en-US"/>
              </w:rPr>
            </w:pPr>
            <w:r w:rsidRPr="002E6ECA">
              <w:rPr>
                <w:sz w:val="28"/>
                <w:szCs w:val="28"/>
                <w:lang w:eastAsia="en-US"/>
              </w:rPr>
              <w:t>3,35±0,18</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4,16±0,</w:t>
            </w:r>
            <w:r w:rsidRPr="002E6ECA">
              <w:rPr>
                <w:sz w:val="28"/>
                <w:szCs w:val="28"/>
                <w:lang w:val="uk-UA" w:eastAsia="en-US"/>
              </w:rPr>
              <w:t>20</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2,93±0,1</w:t>
            </w:r>
            <w:r w:rsidRPr="002E6ECA">
              <w:rPr>
                <w:sz w:val="28"/>
                <w:szCs w:val="28"/>
                <w:lang w:val="uk-UA" w:eastAsia="en-US"/>
              </w:rPr>
              <w:t>8</w:t>
            </w:r>
          </w:p>
        </w:tc>
        <w:tc>
          <w:tcPr>
            <w:tcW w:w="1350" w:type="dxa"/>
            <w:noWrap/>
          </w:tcPr>
          <w:p w:rsidR="00430A05" w:rsidRPr="002E6ECA" w:rsidRDefault="00430A05" w:rsidP="00430A05">
            <w:pPr>
              <w:spacing w:line="360" w:lineRule="auto"/>
              <w:jc w:val="center"/>
              <w:rPr>
                <w:sz w:val="28"/>
                <w:szCs w:val="28"/>
                <w:lang w:eastAsia="en-US"/>
              </w:rPr>
            </w:pPr>
            <w:r w:rsidRPr="002E6ECA">
              <w:rPr>
                <w:sz w:val="28"/>
                <w:szCs w:val="28"/>
                <w:lang w:eastAsia="en-US"/>
              </w:rPr>
              <w:t>3,76±0,22</w:t>
            </w:r>
          </w:p>
        </w:tc>
      </w:tr>
      <w:tr w:rsidR="00430A05" w:rsidRPr="002E6ECA" w:rsidTr="00430A05">
        <w:trPr>
          <w:trHeight w:val="315"/>
          <w:jc w:val="center"/>
        </w:trPr>
        <w:tc>
          <w:tcPr>
            <w:tcW w:w="2117" w:type="dxa"/>
            <w:noWrap/>
          </w:tcPr>
          <w:p w:rsidR="00430A05" w:rsidRPr="002E6ECA" w:rsidRDefault="00430A05" w:rsidP="00430A05">
            <w:pPr>
              <w:spacing w:line="360" w:lineRule="auto"/>
              <w:rPr>
                <w:sz w:val="28"/>
                <w:szCs w:val="28"/>
                <w:lang w:eastAsia="en-US"/>
              </w:rPr>
            </w:pPr>
            <w:r w:rsidRPr="002E6ECA">
              <w:rPr>
                <w:sz w:val="28"/>
                <w:szCs w:val="28"/>
                <w:lang w:eastAsia="en-US"/>
              </w:rPr>
              <w:t>Інтерналізація</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2,73±0,1</w:t>
            </w:r>
            <w:r w:rsidRPr="002E6ECA">
              <w:rPr>
                <w:sz w:val="28"/>
                <w:szCs w:val="28"/>
                <w:lang w:val="uk-UA" w:eastAsia="en-US"/>
              </w:rPr>
              <w:t>5</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1,61±0,1</w:t>
            </w:r>
            <w:r w:rsidRPr="002E6ECA">
              <w:rPr>
                <w:sz w:val="28"/>
                <w:szCs w:val="28"/>
                <w:lang w:val="uk-UA" w:eastAsia="en-US"/>
              </w:rPr>
              <w:t>2</w:t>
            </w:r>
          </w:p>
        </w:tc>
        <w:tc>
          <w:tcPr>
            <w:tcW w:w="1350" w:type="dxa"/>
            <w:noWrap/>
          </w:tcPr>
          <w:p w:rsidR="00430A05" w:rsidRPr="002E6ECA" w:rsidRDefault="00430A05" w:rsidP="00430A05">
            <w:pPr>
              <w:spacing w:line="360" w:lineRule="auto"/>
              <w:jc w:val="center"/>
              <w:rPr>
                <w:sz w:val="28"/>
                <w:szCs w:val="28"/>
                <w:lang w:eastAsia="en-US"/>
              </w:rPr>
            </w:pPr>
            <w:r w:rsidRPr="002E6ECA">
              <w:rPr>
                <w:sz w:val="28"/>
                <w:szCs w:val="28"/>
                <w:lang w:eastAsia="en-US"/>
              </w:rPr>
              <w:t>2,82±0,15</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1,78±0,1</w:t>
            </w:r>
            <w:r w:rsidRPr="002E6ECA">
              <w:rPr>
                <w:sz w:val="28"/>
                <w:szCs w:val="28"/>
                <w:lang w:val="uk-UA" w:eastAsia="en-US"/>
              </w:rPr>
              <w:t>5</w:t>
            </w:r>
          </w:p>
        </w:tc>
      </w:tr>
      <w:tr w:rsidR="00430A05" w:rsidRPr="002E6ECA" w:rsidTr="00430A05">
        <w:trPr>
          <w:trHeight w:val="315"/>
          <w:jc w:val="center"/>
        </w:trPr>
        <w:tc>
          <w:tcPr>
            <w:tcW w:w="2117" w:type="dxa"/>
            <w:noWrap/>
          </w:tcPr>
          <w:p w:rsidR="00430A05" w:rsidRPr="002E6ECA" w:rsidRDefault="00430A05" w:rsidP="00430A05">
            <w:pPr>
              <w:spacing w:line="360" w:lineRule="auto"/>
              <w:rPr>
                <w:sz w:val="28"/>
                <w:szCs w:val="28"/>
                <w:lang w:eastAsia="en-US"/>
              </w:rPr>
            </w:pPr>
            <w:r w:rsidRPr="002E6ECA">
              <w:rPr>
                <w:sz w:val="28"/>
                <w:szCs w:val="28"/>
                <w:lang w:eastAsia="en-US"/>
              </w:rPr>
              <w:t>Екстерналізація</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3,01±0,1</w:t>
            </w:r>
            <w:r w:rsidRPr="002E6ECA">
              <w:rPr>
                <w:sz w:val="28"/>
                <w:szCs w:val="28"/>
                <w:lang w:val="uk-UA" w:eastAsia="en-US"/>
              </w:rPr>
              <w:t>9</w:t>
            </w:r>
            <w:r w:rsidRPr="002E6ECA">
              <w:rPr>
                <w:sz w:val="28"/>
                <w:szCs w:val="28"/>
                <w:vertAlign w:val="superscript"/>
                <w:lang w:val="uk-UA" w:eastAsia="en-US"/>
              </w:rPr>
              <w:t>**</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3,48±0,21</w:t>
            </w:r>
            <w:r w:rsidRPr="002E6ECA">
              <w:rPr>
                <w:sz w:val="28"/>
                <w:szCs w:val="28"/>
                <w:vertAlign w:val="superscript"/>
                <w:lang w:val="uk-UA" w:eastAsia="en-US"/>
              </w:rPr>
              <w:t>**</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1,62±0,1</w:t>
            </w:r>
            <w:r w:rsidRPr="002E6ECA">
              <w:rPr>
                <w:sz w:val="28"/>
                <w:szCs w:val="28"/>
                <w:lang w:val="uk-UA" w:eastAsia="en-US"/>
              </w:rPr>
              <w:t>4</w:t>
            </w:r>
          </w:p>
        </w:tc>
        <w:tc>
          <w:tcPr>
            <w:tcW w:w="1350" w:type="dxa"/>
            <w:noWrap/>
          </w:tcPr>
          <w:p w:rsidR="00430A05" w:rsidRPr="002E6ECA" w:rsidRDefault="00430A05" w:rsidP="00430A05">
            <w:pPr>
              <w:spacing w:line="360" w:lineRule="auto"/>
              <w:jc w:val="center"/>
              <w:rPr>
                <w:sz w:val="28"/>
                <w:szCs w:val="28"/>
                <w:lang w:val="uk-UA" w:eastAsia="en-US"/>
              </w:rPr>
            </w:pPr>
            <w:r w:rsidRPr="002E6ECA">
              <w:rPr>
                <w:sz w:val="28"/>
                <w:szCs w:val="28"/>
                <w:lang w:eastAsia="en-US"/>
              </w:rPr>
              <w:t>2,15±0,1</w:t>
            </w:r>
            <w:r w:rsidRPr="002E6ECA">
              <w:rPr>
                <w:sz w:val="28"/>
                <w:szCs w:val="28"/>
                <w:lang w:val="uk-UA" w:eastAsia="en-US"/>
              </w:rPr>
              <w:t>9</w:t>
            </w:r>
          </w:p>
        </w:tc>
      </w:tr>
    </w:tbl>
    <w:p w:rsidR="00430A05" w:rsidRPr="002E6ECA" w:rsidRDefault="00FB7E22" w:rsidP="00430A05">
      <w:pPr>
        <w:spacing w:line="360" w:lineRule="auto"/>
        <w:ind w:firstLine="708"/>
        <w:jc w:val="both"/>
        <w:rPr>
          <w:rStyle w:val="shorttext"/>
        </w:rPr>
      </w:pPr>
      <w:r w:rsidRPr="002E6ECA">
        <w:rPr>
          <w:rStyle w:val="shorttext"/>
          <w:lang w:val="uk-UA"/>
        </w:rPr>
        <w:t xml:space="preserve">Примітка: </w:t>
      </w:r>
      <w:r w:rsidR="00430A05" w:rsidRPr="002E6ECA">
        <w:rPr>
          <w:rStyle w:val="shorttext"/>
          <w:lang w:val="uk-UA"/>
        </w:rPr>
        <w:t>статистично значима відмінність між статевими групами</w:t>
      </w:r>
      <w:r w:rsidRPr="002E6ECA">
        <w:rPr>
          <w:rStyle w:val="shorttext"/>
          <w:lang w:val="uk-UA"/>
        </w:rPr>
        <w:t>,</w:t>
      </w:r>
      <w:r w:rsidRPr="002E6ECA">
        <w:rPr>
          <w:rStyle w:val="shorttext"/>
          <w:vertAlign w:val="superscript"/>
          <w:lang w:val="uk-UA"/>
        </w:rPr>
        <w:t>**</w:t>
      </w:r>
      <w:r w:rsidRPr="002E6ECA">
        <w:rPr>
          <w:rStyle w:val="shorttext"/>
          <w:lang w:val="uk-UA"/>
        </w:rPr>
        <w:t xml:space="preserve"> </w:t>
      </w:r>
      <w:r w:rsidR="00161750" w:rsidRPr="002E6ECA">
        <w:rPr>
          <w:rStyle w:val="shorttext"/>
          <w:sz w:val="28"/>
          <w:szCs w:val="28"/>
          <w:lang w:val="uk-UA"/>
        </w:rPr>
        <w:t>–</w:t>
      </w:r>
      <w:r w:rsidR="00430A05" w:rsidRPr="002E6ECA">
        <w:rPr>
          <w:rStyle w:val="shorttext"/>
          <w:lang w:val="uk-UA"/>
        </w:rPr>
        <w:t xml:space="preserve"> р</w:t>
      </w:r>
      <w:r w:rsidR="00430A05" w:rsidRPr="002E6ECA">
        <w:rPr>
          <w:rStyle w:val="shorttext"/>
        </w:rPr>
        <w:t>&lt;0,01</w:t>
      </w:r>
    </w:p>
    <w:p w:rsidR="00430A05" w:rsidRPr="002E6ECA" w:rsidRDefault="00430A05" w:rsidP="00430A05">
      <w:pPr>
        <w:spacing w:line="360" w:lineRule="auto"/>
        <w:ind w:firstLine="709"/>
        <w:jc w:val="both"/>
        <w:rPr>
          <w:rStyle w:val="shorttext"/>
          <w:bCs/>
          <w:sz w:val="28"/>
          <w:szCs w:val="28"/>
          <w:lang w:val="uk-UA"/>
        </w:rPr>
      </w:pPr>
    </w:p>
    <w:p w:rsidR="00430A05" w:rsidRPr="002E6ECA" w:rsidRDefault="00430A05" w:rsidP="00430A05">
      <w:pPr>
        <w:spacing w:line="360" w:lineRule="auto"/>
        <w:ind w:firstLine="709"/>
        <w:jc w:val="both"/>
        <w:rPr>
          <w:sz w:val="28"/>
          <w:szCs w:val="28"/>
          <w:lang w:val="uk-UA"/>
        </w:rPr>
      </w:pPr>
      <w:r w:rsidRPr="002E6ECA">
        <w:rPr>
          <w:rStyle w:val="shorttext"/>
          <w:sz w:val="28"/>
          <w:szCs w:val="28"/>
          <w:lang w:val="uk-UA"/>
        </w:rPr>
        <w:t xml:space="preserve">Якщо вважати за мету будь-якого скринінгового дослідження визначення критичних балів, то за методикою PSC їх наявність вказує, що дитина вже має певні психосоціальні порушення, які потребують більш детального аналізу та уваги фахівців психологічного і медичного профілів. Так, для визначення можливих порушень уваги діти мали ствердження щодо таких запитань </w:t>
      </w:r>
      <w:r w:rsidRPr="002E6ECA">
        <w:rPr>
          <w:rStyle w:val="shorttext"/>
          <w:sz w:val="28"/>
          <w:szCs w:val="28"/>
          <w:lang w:val="uk-UA"/>
        </w:rPr>
        <w:lastRenderedPageBreak/>
        <w:t>опитувальника, як «</w:t>
      </w:r>
      <w:r w:rsidRPr="002E6ECA">
        <w:rPr>
          <w:sz w:val="28"/>
          <w:szCs w:val="28"/>
          <w:lang w:val="uk-UA"/>
        </w:rPr>
        <w:t>Невгамовний, не можеш сидіти спокійно», «Дієш «як заведений» («як моторчик»)», «Надто багато витаєш у хмарах (мрієш, фантазуєш)», «Легко відволікаєшся», «Маєш труднощі з зосередженням уваги». Ознаки інтерналізації виявлялися завдяки таким запитанням: «Почуваєшся сумним, нещасливим», «Відчуваєш безнадійність», «Почуваєшся винним», «Багато хвилюєшся», «Менше розважаєшся». Екстерналізація відповідала запитанням: «Б’єшся з іншими дітьми», «Не виконуєш правила», «Не розумієш почуття інших», «Дражниш інших»,  «Звинувачуєш інших у власних проблемах», «Береш чужі речі», «Відмовляєшся ділитися з іншими».</w:t>
      </w:r>
    </w:p>
    <w:p w:rsidR="00430A05" w:rsidRPr="002E6ECA" w:rsidRDefault="000D4B7A" w:rsidP="00430A05">
      <w:pPr>
        <w:spacing w:line="360" w:lineRule="auto"/>
        <w:ind w:firstLine="709"/>
        <w:jc w:val="both"/>
        <w:rPr>
          <w:rStyle w:val="shorttext"/>
          <w:sz w:val="28"/>
          <w:szCs w:val="28"/>
          <w:lang w:val="uk-UA"/>
        </w:rPr>
      </w:pPr>
      <w:r w:rsidRPr="002E6ECA">
        <w:rPr>
          <w:rStyle w:val="shorttext"/>
          <w:sz w:val="28"/>
          <w:szCs w:val="28"/>
          <w:lang w:val="uk-UA"/>
        </w:rPr>
        <w:t>У</w:t>
      </w:r>
      <w:r w:rsidR="00430A05" w:rsidRPr="002E6ECA">
        <w:rPr>
          <w:rStyle w:val="shorttext"/>
          <w:sz w:val="28"/>
          <w:szCs w:val="28"/>
          <w:lang w:val="uk-UA"/>
        </w:rPr>
        <w:t xml:space="preserve"> 12,9</w:t>
      </w:r>
      <w:r w:rsidR="0080667E" w:rsidRPr="002E6ECA">
        <w:rPr>
          <w:rStyle w:val="shorttext"/>
          <w:sz w:val="28"/>
          <w:szCs w:val="28"/>
          <w:lang w:val="uk-UA"/>
        </w:rPr>
        <w:t>%</w:t>
      </w:r>
      <w:r w:rsidR="004B7F56" w:rsidRPr="002E6ECA">
        <w:rPr>
          <w:rStyle w:val="shorttext"/>
          <w:sz w:val="28"/>
          <w:szCs w:val="28"/>
          <w:lang w:val="uk-UA"/>
        </w:rPr>
        <w:t xml:space="preserve"> учнів початкової школи </w:t>
      </w:r>
      <w:r w:rsidRPr="002E6ECA">
        <w:rPr>
          <w:rStyle w:val="shorttext"/>
          <w:sz w:val="28"/>
          <w:szCs w:val="28"/>
          <w:lang w:val="uk-UA"/>
        </w:rPr>
        <w:t>встановлено</w:t>
      </w:r>
      <w:r w:rsidR="00430A05" w:rsidRPr="002E6ECA">
        <w:rPr>
          <w:rStyle w:val="shorttext"/>
          <w:sz w:val="28"/>
          <w:szCs w:val="28"/>
          <w:lang w:val="uk-UA"/>
        </w:rPr>
        <w:t xml:space="preserve"> порушен</w:t>
      </w:r>
      <w:r w:rsidRPr="002E6ECA">
        <w:rPr>
          <w:rStyle w:val="shorttext"/>
          <w:sz w:val="28"/>
          <w:szCs w:val="28"/>
          <w:lang w:val="uk-UA"/>
        </w:rPr>
        <w:t>ня</w:t>
      </w:r>
      <w:r w:rsidR="00430A05" w:rsidRPr="002E6ECA">
        <w:rPr>
          <w:rStyle w:val="shorttext"/>
          <w:sz w:val="28"/>
          <w:szCs w:val="28"/>
          <w:lang w:val="uk-UA"/>
        </w:rPr>
        <w:t xml:space="preserve"> </w:t>
      </w:r>
      <w:r w:rsidRPr="002E6ECA">
        <w:rPr>
          <w:rStyle w:val="shorttext"/>
          <w:sz w:val="28"/>
          <w:szCs w:val="28"/>
          <w:lang w:val="uk-UA"/>
        </w:rPr>
        <w:t xml:space="preserve">на граничному/високому та гранично/дуже високому рівнях за шкалою </w:t>
      </w:r>
      <w:r w:rsidR="00430A05" w:rsidRPr="002E6ECA">
        <w:rPr>
          <w:rStyle w:val="shorttext"/>
          <w:sz w:val="28"/>
          <w:szCs w:val="28"/>
          <w:lang w:val="uk-UA"/>
        </w:rPr>
        <w:t>уваги (</w:t>
      </w:r>
      <w:r w:rsidRPr="002E6ECA">
        <w:rPr>
          <w:rStyle w:val="shorttext"/>
          <w:sz w:val="28"/>
          <w:szCs w:val="28"/>
          <w:lang w:val="uk-UA"/>
        </w:rPr>
        <w:t xml:space="preserve">відповідно понад 6 та </w:t>
      </w:r>
      <w:r w:rsidR="00430A05" w:rsidRPr="002E6ECA">
        <w:rPr>
          <w:rStyle w:val="shorttext"/>
          <w:sz w:val="28"/>
          <w:szCs w:val="28"/>
          <w:lang w:val="uk-UA"/>
        </w:rPr>
        <w:t xml:space="preserve">8 </w:t>
      </w:r>
      <w:r w:rsidRPr="002E6ECA">
        <w:rPr>
          <w:rStyle w:val="shorttext"/>
          <w:sz w:val="28"/>
          <w:szCs w:val="28"/>
          <w:lang w:val="uk-UA"/>
        </w:rPr>
        <w:t>балів)</w:t>
      </w:r>
      <w:r w:rsidR="00430A05" w:rsidRPr="002E6ECA">
        <w:rPr>
          <w:rStyle w:val="shorttext"/>
          <w:sz w:val="28"/>
          <w:szCs w:val="28"/>
          <w:lang w:val="uk-UA"/>
        </w:rPr>
        <w:t xml:space="preserve">; </w:t>
      </w:r>
      <w:r w:rsidRPr="002E6ECA">
        <w:rPr>
          <w:rStyle w:val="shorttext"/>
          <w:sz w:val="28"/>
          <w:szCs w:val="28"/>
          <w:lang w:val="uk-UA"/>
        </w:rPr>
        <w:t xml:space="preserve">у 33,1% дітей – </w:t>
      </w:r>
      <w:r w:rsidR="00430A05" w:rsidRPr="002E6ECA">
        <w:rPr>
          <w:rStyle w:val="shorttext"/>
          <w:sz w:val="28"/>
          <w:szCs w:val="28"/>
          <w:lang w:val="uk-UA"/>
        </w:rPr>
        <w:t>за субшкалою інтерналізації (</w:t>
      </w:r>
      <w:r w:rsidRPr="002E6ECA">
        <w:rPr>
          <w:rStyle w:val="shorttext"/>
          <w:sz w:val="28"/>
          <w:szCs w:val="28"/>
          <w:lang w:val="uk-UA"/>
        </w:rPr>
        <w:t xml:space="preserve">відповідно понад 4 та </w:t>
      </w:r>
      <w:r w:rsidR="00430A05" w:rsidRPr="002E6ECA">
        <w:rPr>
          <w:rStyle w:val="shorttext"/>
          <w:sz w:val="28"/>
          <w:szCs w:val="28"/>
          <w:lang w:val="uk-UA"/>
        </w:rPr>
        <w:t xml:space="preserve">6 </w:t>
      </w:r>
      <w:r w:rsidRPr="002E6ECA">
        <w:rPr>
          <w:rStyle w:val="shorttext"/>
          <w:sz w:val="28"/>
          <w:szCs w:val="28"/>
          <w:lang w:val="uk-UA"/>
        </w:rPr>
        <w:t>балів)</w:t>
      </w:r>
      <w:r w:rsidR="00430A05" w:rsidRPr="002E6ECA">
        <w:rPr>
          <w:rStyle w:val="shorttext"/>
          <w:sz w:val="28"/>
          <w:szCs w:val="28"/>
          <w:lang w:val="uk-UA"/>
        </w:rPr>
        <w:t xml:space="preserve">; </w:t>
      </w:r>
      <w:r w:rsidRPr="002E6ECA">
        <w:rPr>
          <w:rStyle w:val="shorttext"/>
          <w:sz w:val="28"/>
          <w:szCs w:val="28"/>
          <w:lang w:val="uk-UA"/>
        </w:rPr>
        <w:t xml:space="preserve">у 21,7% школярів – </w:t>
      </w:r>
      <w:r w:rsidR="00430A05" w:rsidRPr="002E6ECA">
        <w:rPr>
          <w:rStyle w:val="shorttext"/>
          <w:sz w:val="28"/>
          <w:szCs w:val="28"/>
          <w:lang w:val="uk-UA"/>
        </w:rPr>
        <w:t>за субшкалою екстерналізації (</w:t>
      </w:r>
      <w:r w:rsidRPr="002E6ECA">
        <w:rPr>
          <w:rStyle w:val="shorttext"/>
          <w:sz w:val="28"/>
          <w:szCs w:val="28"/>
          <w:lang w:val="uk-UA"/>
        </w:rPr>
        <w:t xml:space="preserve">відповідно понад 4 та </w:t>
      </w:r>
      <w:r w:rsidR="00430A05" w:rsidRPr="002E6ECA">
        <w:rPr>
          <w:rStyle w:val="shorttext"/>
          <w:sz w:val="28"/>
          <w:szCs w:val="28"/>
          <w:lang w:val="uk-UA"/>
        </w:rPr>
        <w:t xml:space="preserve">7 </w:t>
      </w:r>
      <w:r w:rsidRPr="002E6ECA">
        <w:rPr>
          <w:rStyle w:val="shorttext"/>
          <w:sz w:val="28"/>
          <w:szCs w:val="28"/>
          <w:lang w:val="uk-UA"/>
        </w:rPr>
        <w:t>балів</w:t>
      </w:r>
      <w:r w:rsidR="00430A05" w:rsidRPr="002E6ECA">
        <w:rPr>
          <w:rStyle w:val="shorttext"/>
          <w:sz w:val="28"/>
          <w:szCs w:val="28"/>
          <w:lang w:val="uk-UA"/>
        </w:rPr>
        <w:t>). За батьківс</w:t>
      </w:r>
      <w:r w:rsidRPr="002E6ECA">
        <w:rPr>
          <w:rStyle w:val="shorttext"/>
          <w:sz w:val="28"/>
          <w:szCs w:val="28"/>
          <w:lang w:val="uk-UA"/>
        </w:rPr>
        <w:t xml:space="preserve">ькою версією PSC спостерігалися на граничному/високому та гранично/дуже високому рівнях у </w:t>
      </w:r>
      <w:r w:rsidR="00430A05" w:rsidRPr="002E6ECA">
        <w:rPr>
          <w:rStyle w:val="shorttext"/>
          <w:sz w:val="28"/>
          <w:szCs w:val="28"/>
          <w:lang w:val="uk-UA"/>
        </w:rPr>
        <w:t>18,9</w:t>
      </w:r>
      <w:r w:rsidR="0080667E" w:rsidRPr="002E6ECA">
        <w:rPr>
          <w:rStyle w:val="shorttext"/>
          <w:sz w:val="28"/>
          <w:szCs w:val="28"/>
          <w:lang w:val="uk-UA"/>
        </w:rPr>
        <w:t>%</w:t>
      </w:r>
      <w:r w:rsidRPr="002E6ECA">
        <w:rPr>
          <w:rStyle w:val="shorttext"/>
          <w:sz w:val="28"/>
          <w:szCs w:val="28"/>
          <w:lang w:val="uk-UA"/>
        </w:rPr>
        <w:t xml:space="preserve"> випадків</w:t>
      </w:r>
      <w:r w:rsidR="00430A05" w:rsidRPr="002E6ECA">
        <w:rPr>
          <w:rStyle w:val="shorttext"/>
          <w:sz w:val="28"/>
          <w:szCs w:val="28"/>
          <w:lang w:val="uk-UA"/>
        </w:rPr>
        <w:t xml:space="preserve"> поруш</w:t>
      </w:r>
      <w:r w:rsidRPr="002E6ECA">
        <w:rPr>
          <w:rStyle w:val="shorttext"/>
          <w:sz w:val="28"/>
          <w:szCs w:val="28"/>
          <w:lang w:val="uk-UA"/>
        </w:rPr>
        <w:t xml:space="preserve">ення уваги, </w:t>
      </w:r>
      <w:r w:rsidR="00430A05" w:rsidRPr="002E6ECA">
        <w:rPr>
          <w:rStyle w:val="shorttext"/>
          <w:sz w:val="28"/>
          <w:szCs w:val="28"/>
          <w:lang w:val="uk-UA"/>
        </w:rPr>
        <w:t>у 7,9%</w:t>
      </w:r>
      <w:r w:rsidRPr="002E6ECA">
        <w:rPr>
          <w:rStyle w:val="shorttext"/>
          <w:sz w:val="28"/>
          <w:szCs w:val="28"/>
          <w:lang w:val="uk-UA"/>
        </w:rPr>
        <w:t xml:space="preserve"> </w:t>
      </w:r>
      <w:r w:rsidR="00C337C4" w:rsidRPr="002E6ECA">
        <w:rPr>
          <w:rStyle w:val="shorttext"/>
          <w:sz w:val="28"/>
          <w:szCs w:val="28"/>
          <w:lang w:val="uk-UA"/>
        </w:rPr>
        <w:t>–</w:t>
      </w:r>
      <w:r w:rsidRPr="002E6ECA">
        <w:rPr>
          <w:rStyle w:val="shorttext"/>
          <w:sz w:val="28"/>
          <w:szCs w:val="28"/>
          <w:lang w:val="uk-UA"/>
        </w:rPr>
        <w:t xml:space="preserve"> </w:t>
      </w:r>
      <w:r w:rsidR="00C337C4" w:rsidRPr="002E6ECA">
        <w:rPr>
          <w:rStyle w:val="shorttext"/>
          <w:sz w:val="28"/>
          <w:szCs w:val="28"/>
          <w:lang w:val="uk-UA"/>
        </w:rPr>
        <w:t xml:space="preserve">за шкалою інтерналізації та у </w:t>
      </w:r>
      <w:r w:rsidR="00430A05" w:rsidRPr="002E6ECA">
        <w:rPr>
          <w:rStyle w:val="shorttext"/>
          <w:sz w:val="28"/>
          <w:szCs w:val="28"/>
          <w:lang w:val="uk-UA"/>
        </w:rPr>
        <w:t>32,9%</w:t>
      </w:r>
      <w:r w:rsidR="00C337C4" w:rsidRPr="002E6ECA">
        <w:rPr>
          <w:rStyle w:val="shorttext"/>
          <w:sz w:val="28"/>
          <w:szCs w:val="28"/>
          <w:lang w:val="uk-UA"/>
        </w:rPr>
        <w:t xml:space="preserve"> –</w:t>
      </w:r>
      <w:r w:rsidR="00430A05" w:rsidRPr="002E6ECA">
        <w:rPr>
          <w:rStyle w:val="shorttext"/>
          <w:sz w:val="28"/>
          <w:szCs w:val="28"/>
          <w:lang w:val="uk-UA"/>
        </w:rPr>
        <w:t xml:space="preserve"> </w:t>
      </w:r>
      <w:r w:rsidR="00C337C4" w:rsidRPr="002E6ECA">
        <w:rPr>
          <w:rStyle w:val="shorttext"/>
          <w:sz w:val="28"/>
          <w:szCs w:val="28"/>
          <w:lang w:val="uk-UA"/>
        </w:rPr>
        <w:t>за субшкалою екстерналізації</w:t>
      </w:r>
      <w:r w:rsidR="00430A05" w:rsidRPr="002E6ECA">
        <w:rPr>
          <w:rStyle w:val="shorttext"/>
          <w:sz w:val="28"/>
          <w:szCs w:val="28"/>
          <w:lang w:val="uk-UA"/>
        </w:rPr>
        <w:t xml:space="preserve">. </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 xml:space="preserve">За допомогою однофакторного дисперсійного аналізу встановлено, що спосіб опитування впливав на результати за всіма субшкалами: «Уваги» </w:t>
      </w:r>
      <w:r w:rsidRPr="002E6ECA">
        <w:rPr>
          <w:sz w:val="28"/>
          <w:szCs w:val="28"/>
          <w:lang w:val="uk-UA"/>
        </w:rPr>
        <w:t>(F=14,64; р&lt;0,001; %=5,59) і був вищим у 1,4 рази за даними онлайн-опитування. Подібна ситуація відмічалась і за шкалою «Екстерналізації» (F=18,35; р&lt;0,001; %=6,93). За субшкалою «Інтерналізації» результат був протилежним: дані паперових носіїв зареєстрували майже у 1,5 рази вищий бал (F=15,13; р&lt;0,001; %=5,71).</w:t>
      </w:r>
    </w:p>
    <w:p w:rsidR="00430A05" w:rsidRPr="002E6ECA" w:rsidRDefault="00C337C4" w:rsidP="00430A05">
      <w:pPr>
        <w:spacing w:line="360" w:lineRule="auto"/>
        <w:ind w:firstLine="709"/>
        <w:jc w:val="both"/>
        <w:rPr>
          <w:sz w:val="28"/>
          <w:szCs w:val="28"/>
          <w:lang w:val="uk-UA"/>
        </w:rPr>
      </w:pPr>
      <w:r w:rsidRPr="002E6ECA">
        <w:rPr>
          <w:sz w:val="28"/>
          <w:szCs w:val="28"/>
          <w:lang w:val="uk-UA"/>
        </w:rPr>
        <w:t>О</w:t>
      </w:r>
      <w:r w:rsidR="00430A05" w:rsidRPr="002E6ECA">
        <w:rPr>
          <w:sz w:val="28"/>
          <w:szCs w:val="28"/>
          <w:lang w:val="uk-UA"/>
        </w:rPr>
        <w:t>днофакторн</w:t>
      </w:r>
      <w:r w:rsidRPr="002E6ECA">
        <w:rPr>
          <w:sz w:val="28"/>
          <w:szCs w:val="28"/>
          <w:lang w:val="uk-UA"/>
        </w:rPr>
        <w:t>ий</w:t>
      </w:r>
      <w:r w:rsidR="00430A05" w:rsidRPr="002E6ECA">
        <w:rPr>
          <w:sz w:val="28"/>
          <w:szCs w:val="28"/>
          <w:lang w:val="uk-UA"/>
        </w:rPr>
        <w:t xml:space="preserve"> дисперсійн</w:t>
      </w:r>
      <w:r w:rsidRPr="002E6ECA">
        <w:rPr>
          <w:sz w:val="28"/>
          <w:szCs w:val="28"/>
          <w:lang w:val="uk-UA"/>
        </w:rPr>
        <w:t>ий</w:t>
      </w:r>
      <w:r w:rsidR="00430A05" w:rsidRPr="002E6ECA">
        <w:rPr>
          <w:sz w:val="28"/>
          <w:szCs w:val="28"/>
          <w:lang w:val="uk-UA"/>
        </w:rPr>
        <w:t xml:space="preserve"> аналіз встанов</w:t>
      </w:r>
      <w:r w:rsidRPr="002E6ECA">
        <w:rPr>
          <w:sz w:val="28"/>
          <w:szCs w:val="28"/>
          <w:lang w:val="uk-UA"/>
        </w:rPr>
        <w:t xml:space="preserve">ив вплив </w:t>
      </w:r>
      <w:r w:rsidR="00430A05" w:rsidRPr="002E6ECA">
        <w:rPr>
          <w:sz w:val="28"/>
          <w:szCs w:val="28"/>
          <w:lang w:val="uk-UA"/>
        </w:rPr>
        <w:t>стат</w:t>
      </w:r>
      <w:r w:rsidRPr="002E6ECA">
        <w:rPr>
          <w:sz w:val="28"/>
          <w:szCs w:val="28"/>
          <w:lang w:val="uk-UA"/>
        </w:rPr>
        <w:t>і</w:t>
      </w:r>
      <w:r w:rsidR="00430A05" w:rsidRPr="002E6ECA">
        <w:rPr>
          <w:sz w:val="28"/>
          <w:szCs w:val="28"/>
          <w:lang w:val="uk-UA"/>
        </w:rPr>
        <w:t xml:space="preserve"> на рівень екстерналізації (F=33,84; р&lt;0,001) та загальну оцінку (F=5,20; р=0,023) за результатами опитування дітей </w:t>
      </w:r>
      <w:r w:rsidRPr="002E6ECA">
        <w:rPr>
          <w:sz w:val="28"/>
          <w:szCs w:val="28"/>
          <w:lang w:val="uk-UA"/>
        </w:rPr>
        <w:t>і</w:t>
      </w:r>
      <w:r w:rsidR="00430A05" w:rsidRPr="002E6ECA">
        <w:rPr>
          <w:sz w:val="28"/>
          <w:szCs w:val="28"/>
          <w:lang w:val="uk-UA"/>
        </w:rPr>
        <w:t xml:space="preserve"> на рівень е</w:t>
      </w:r>
      <w:r w:rsidRPr="002E6ECA">
        <w:rPr>
          <w:sz w:val="28"/>
          <w:szCs w:val="28"/>
          <w:lang w:val="uk-UA"/>
        </w:rPr>
        <w:t>кстерналізації (F=22,0; р&lt;0,001</w:t>
      </w:r>
      <w:r w:rsidR="00430A05" w:rsidRPr="002E6ECA">
        <w:rPr>
          <w:sz w:val="28"/>
          <w:szCs w:val="28"/>
          <w:lang w:val="uk-UA"/>
        </w:rPr>
        <w:t>)</w:t>
      </w:r>
      <w:r w:rsidRPr="002E6ECA">
        <w:rPr>
          <w:sz w:val="28"/>
          <w:szCs w:val="28"/>
          <w:lang w:val="uk-UA"/>
        </w:rPr>
        <w:t xml:space="preserve"> </w:t>
      </w:r>
      <w:r w:rsidR="00430A05" w:rsidRPr="002E6ECA">
        <w:rPr>
          <w:sz w:val="28"/>
          <w:szCs w:val="28"/>
          <w:lang w:val="uk-UA"/>
        </w:rPr>
        <w:t>– за думкою батьків. При цьому у дівчат визначався більш високий рівень інтерналізаціїї, а у хлопців вірогідно – екстерналізації і за батьківською, і за дитячою версією.</w:t>
      </w:r>
    </w:p>
    <w:p w:rsidR="00430A05" w:rsidRPr="002E6ECA" w:rsidRDefault="00430A05" w:rsidP="00430A05">
      <w:pPr>
        <w:spacing w:line="360" w:lineRule="auto"/>
        <w:ind w:firstLine="709"/>
        <w:jc w:val="both"/>
        <w:rPr>
          <w:sz w:val="28"/>
          <w:szCs w:val="28"/>
          <w:lang w:val="uk-UA"/>
        </w:rPr>
      </w:pPr>
      <w:r w:rsidRPr="002E6ECA">
        <w:rPr>
          <w:sz w:val="28"/>
          <w:szCs w:val="28"/>
          <w:lang w:val="uk-UA"/>
        </w:rPr>
        <w:lastRenderedPageBreak/>
        <w:t xml:space="preserve">Рік навчання впливав на рівень самооцінки школярами за усіма субшкалами (рис. 7.3). Так, рівень уваги та екстерналізації був суттєво вищим у першокласників (відповідно F=5,76; р=0,001; %=6,65 та F=14,44; р&lt;0,001; %=16,47), рівень інтерналізації– у учнів 2-го та 3-го року навчання (F=9,99; р&lt;0,001; %=11,39). </w:t>
      </w:r>
    </w:p>
    <w:p w:rsidR="0052009D" w:rsidRPr="002E6ECA" w:rsidRDefault="0052009D" w:rsidP="0052009D">
      <w:pPr>
        <w:spacing w:line="360" w:lineRule="auto"/>
        <w:ind w:firstLine="426"/>
        <w:jc w:val="both"/>
        <w:rPr>
          <w:lang w:val="uk-UA"/>
        </w:rPr>
      </w:pPr>
      <w:r w:rsidRPr="002E6ECA">
        <w:rPr>
          <w:noProof/>
          <w:lang w:val="uk-UA" w:eastAsia="uk-UA"/>
        </w:rPr>
        <w:drawing>
          <wp:inline distT="0" distB="0" distL="0" distR="0" wp14:anchorId="05220343" wp14:editId="04E3C8AE">
            <wp:extent cx="5356747" cy="3439236"/>
            <wp:effectExtent l="0" t="0" r="0" b="889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60535" t="34651" r="12370" b="12424"/>
                    <a:stretch/>
                  </pic:blipFill>
                  <pic:spPr bwMode="auto">
                    <a:xfrm>
                      <a:off x="0" y="0"/>
                      <a:ext cx="5385253" cy="3457538"/>
                    </a:xfrm>
                    <a:prstGeom prst="rect">
                      <a:avLst/>
                    </a:prstGeom>
                    <a:ln>
                      <a:noFill/>
                    </a:ln>
                    <a:extLst>
                      <a:ext uri="{53640926-AAD7-44D8-BBD7-CCE9431645EC}">
                        <a14:shadowObscured xmlns:a14="http://schemas.microsoft.com/office/drawing/2010/main"/>
                      </a:ext>
                    </a:extLst>
                  </pic:spPr>
                </pic:pic>
              </a:graphicData>
            </a:graphic>
          </wp:inline>
        </w:drawing>
      </w:r>
    </w:p>
    <w:p w:rsidR="00430A05" w:rsidRPr="002E6ECA" w:rsidRDefault="00430A05" w:rsidP="0052009D">
      <w:pPr>
        <w:spacing w:line="360" w:lineRule="auto"/>
        <w:ind w:firstLine="709"/>
        <w:jc w:val="center"/>
        <w:rPr>
          <w:sz w:val="28"/>
          <w:szCs w:val="28"/>
          <w:lang w:val="uk-UA"/>
        </w:rPr>
      </w:pPr>
      <w:r w:rsidRPr="002E6ECA">
        <w:rPr>
          <w:sz w:val="28"/>
          <w:szCs w:val="28"/>
          <w:lang w:val="uk-UA"/>
        </w:rPr>
        <w:t>Рис. 7.3. Психосоціальне функціонування у залежності від року навчання</w:t>
      </w:r>
    </w:p>
    <w:p w:rsidR="00430A05" w:rsidRPr="002E6ECA" w:rsidRDefault="00430A05" w:rsidP="00430A05">
      <w:pPr>
        <w:spacing w:line="360" w:lineRule="auto"/>
        <w:ind w:firstLine="709"/>
        <w:rPr>
          <w:sz w:val="28"/>
          <w:szCs w:val="28"/>
          <w:lang w:val="uk-UA"/>
        </w:rPr>
      </w:pPr>
    </w:p>
    <w:p w:rsidR="00C337C4" w:rsidRPr="002E6ECA" w:rsidRDefault="00C337C4" w:rsidP="00C337C4">
      <w:pPr>
        <w:spacing w:line="360" w:lineRule="auto"/>
        <w:ind w:firstLine="709"/>
        <w:jc w:val="both"/>
        <w:rPr>
          <w:spacing w:val="-2"/>
          <w:sz w:val="28"/>
          <w:szCs w:val="28"/>
          <w:lang w:val="uk-UA" w:eastAsia="uk-UA"/>
        </w:rPr>
      </w:pPr>
      <w:r w:rsidRPr="002E6ECA">
        <w:rPr>
          <w:spacing w:val="-2"/>
          <w:sz w:val="28"/>
          <w:szCs w:val="28"/>
          <w:lang w:val="uk-UA" w:eastAsia="uk-UA"/>
        </w:rPr>
        <w:t>Загальний рівень психосоціальної дисфункції зростав на 2-му році навчання за батьківською версією та на 3-му за дитячою і вірогідно був вищим у 3-класників за даними самооцінки при порівнянні з батьківською версією (p&lt;0,1). Вік дітей впливав на самооцінку учнів за усіма субшкалами (р&lt;0,005) і мав певні особливості у різних статевих групах за субшкалою уваги. Так, у хлопців 6, 7, 9 та 10 років рівень за цією шкалою був вищим, що свідчило про їх меншу сконцентрованість та зосередженість порівняно з дівчатами. У 7-річному віці цей показник був однаковим у обох статевих групах.</w:t>
      </w:r>
    </w:p>
    <w:p w:rsidR="00430A05" w:rsidRPr="002E6ECA" w:rsidRDefault="00430A05" w:rsidP="00430A05">
      <w:pPr>
        <w:spacing w:line="360" w:lineRule="auto"/>
        <w:ind w:firstLine="709"/>
        <w:jc w:val="both"/>
        <w:rPr>
          <w:rStyle w:val="shorttext"/>
          <w:bCs/>
          <w:sz w:val="28"/>
          <w:szCs w:val="28"/>
          <w:lang w:val="uk-UA"/>
        </w:rPr>
      </w:pPr>
      <w:r w:rsidRPr="002E6ECA">
        <w:rPr>
          <w:rStyle w:val="shorttext"/>
          <w:sz w:val="28"/>
          <w:szCs w:val="28"/>
          <w:lang w:val="uk-UA"/>
        </w:rPr>
        <w:t>Результати, що було отримано, свід</w:t>
      </w:r>
      <w:r w:rsidR="003F0F94" w:rsidRPr="002E6ECA">
        <w:rPr>
          <w:rStyle w:val="shorttext"/>
          <w:sz w:val="28"/>
          <w:szCs w:val="28"/>
          <w:lang w:val="uk-UA"/>
        </w:rPr>
        <w:t>ч</w:t>
      </w:r>
      <w:r w:rsidR="00C337C4" w:rsidRPr="002E6ECA">
        <w:rPr>
          <w:rStyle w:val="shorttext"/>
          <w:sz w:val="28"/>
          <w:szCs w:val="28"/>
          <w:lang w:val="uk-UA"/>
        </w:rPr>
        <w:t xml:space="preserve">или про високу значущість </w:t>
      </w:r>
      <w:r w:rsidRPr="002E6ECA">
        <w:rPr>
          <w:rStyle w:val="shorttext"/>
          <w:sz w:val="28"/>
          <w:szCs w:val="28"/>
          <w:lang w:val="uk-UA"/>
        </w:rPr>
        <w:t xml:space="preserve"> скринінгов</w:t>
      </w:r>
      <w:r w:rsidR="00C337C4" w:rsidRPr="002E6ECA">
        <w:rPr>
          <w:rStyle w:val="shorttext"/>
          <w:sz w:val="28"/>
          <w:szCs w:val="28"/>
          <w:lang w:val="uk-UA"/>
        </w:rPr>
        <w:t>ої</w:t>
      </w:r>
      <w:r w:rsidRPr="002E6ECA">
        <w:rPr>
          <w:rStyle w:val="shorttext"/>
          <w:sz w:val="28"/>
          <w:szCs w:val="28"/>
          <w:lang w:val="uk-UA"/>
        </w:rPr>
        <w:t xml:space="preserve"> методик</w:t>
      </w:r>
      <w:r w:rsidR="00C337C4" w:rsidRPr="002E6ECA">
        <w:rPr>
          <w:rStyle w:val="shorttext"/>
          <w:sz w:val="28"/>
          <w:szCs w:val="28"/>
          <w:lang w:val="uk-UA"/>
        </w:rPr>
        <w:t>и</w:t>
      </w:r>
      <w:r w:rsidRPr="002E6ECA">
        <w:rPr>
          <w:rStyle w:val="shorttext"/>
          <w:sz w:val="28"/>
          <w:szCs w:val="28"/>
          <w:lang w:val="uk-UA"/>
        </w:rPr>
        <w:t xml:space="preserve"> PSC, яка використовувалася для визначення дітей з критичними значеннями щодо психосоціальної дисфункції, </w:t>
      </w:r>
      <w:r w:rsidR="00C337C4" w:rsidRPr="002E6ECA">
        <w:rPr>
          <w:rStyle w:val="shorttext"/>
          <w:sz w:val="28"/>
          <w:szCs w:val="28"/>
          <w:lang w:val="uk-UA"/>
        </w:rPr>
        <w:t xml:space="preserve">та може бути </w:t>
      </w:r>
      <w:r w:rsidR="00C337C4" w:rsidRPr="002E6ECA">
        <w:rPr>
          <w:rStyle w:val="shorttext"/>
          <w:sz w:val="28"/>
          <w:szCs w:val="28"/>
          <w:lang w:val="uk-UA"/>
        </w:rPr>
        <w:lastRenderedPageBreak/>
        <w:t>використана у</w:t>
      </w:r>
      <w:r w:rsidRPr="002E6ECA">
        <w:rPr>
          <w:rStyle w:val="shorttext"/>
          <w:sz w:val="28"/>
          <w:szCs w:val="28"/>
          <w:lang w:val="uk-UA"/>
        </w:rPr>
        <w:t xml:space="preserve"> як</w:t>
      </w:r>
      <w:r w:rsidR="00C337C4" w:rsidRPr="002E6ECA">
        <w:rPr>
          <w:rStyle w:val="shorttext"/>
          <w:sz w:val="28"/>
          <w:szCs w:val="28"/>
          <w:lang w:val="uk-UA"/>
        </w:rPr>
        <w:t>ості</w:t>
      </w:r>
      <w:r w:rsidRPr="002E6ECA">
        <w:rPr>
          <w:rStyle w:val="shorttext"/>
          <w:sz w:val="28"/>
          <w:szCs w:val="28"/>
          <w:lang w:val="uk-UA"/>
        </w:rPr>
        <w:t xml:space="preserve"> діагностичн</w:t>
      </w:r>
      <w:r w:rsidR="00C337C4" w:rsidRPr="002E6ECA">
        <w:rPr>
          <w:rStyle w:val="shorttext"/>
          <w:sz w:val="28"/>
          <w:szCs w:val="28"/>
          <w:lang w:val="uk-UA"/>
        </w:rPr>
        <w:t>ого</w:t>
      </w:r>
      <w:r w:rsidRPr="002E6ECA">
        <w:rPr>
          <w:rStyle w:val="shorttext"/>
          <w:sz w:val="28"/>
          <w:szCs w:val="28"/>
          <w:lang w:val="uk-UA"/>
        </w:rPr>
        <w:t xml:space="preserve"> апарат</w:t>
      </w:r>
      <w:r w:rsidR="00C337C4" w:rsidRPr="002E6ECA">
        <w:rPr>
          <w:rStyle w:val="shorttext"/>
          <w:sz w:val="28"/>
          <w:szCs w:val="28"/>
          <w:lang w:val="uk-UA"/>
        </w:rPr>
        <w:t>у</w:t>
      </w:r>
      <w:r w:rsidRPr="002E6ECA">
        <w:rPr>
          <w:rStyle w:val="shorttext"/>
          <w:sz w:val="28"/>
          <w:szCs w:val="28"/>
          <w:lang w:val="uk-UA"/>
        </w:rPr>
        <w:t xml:space="preserve"> у масових дослідженнях завдяки своїй інформативності, легкості виконання, що не потребує значного часу, можливості залучення до анкетування не тільки дітей, а й батьків, що є важливим і доцільним при обстеженні дитячих контингентів. Визначено, що завдяки достатній чутливості тесту, певний відсоток дітей має відхилення від нормативних для відповідного віку ознак психосоціальної дисфункції. Якщо вважати, що метою скринінгу є визначення саме критичних рівнів показників, то дослідження досягло своєї мети. За адаптованою версією методики було визначено, що загальний середній рівень психосоціального функціонування дітей молодших класів із групи ризику за Y-PSC  та батьківською версією (PSC) перевищує встановлену норму із суттєвою розбіжністю протягом 2-го та 3-го років навчання, що може свідчити про певне напруження механізмів адаптації дітей до навчального процесу, а також певні труднощі у супроводі дітей з боку батьків. </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 xml:space="preserve">Проведений </w:t>
      </w:r>
      <w:r w:rsidRPr="002E6ECA">
        <w:rPr>
          <w:sz w:val="28"/>
          <w:szCs w:val="28"/>
          <w:lang w:val="uk-UA"/>
        </w:rPr>
        <w:t xml:space="preserve">однофакторний дисперсійний аналіз підтверджує наявність впливу на рівень загальної оцінки та оцінок за всіма субшкалами  (уваги, інтерналізації та екстерналізації) року навчання, умов, що склалися у певному навчальному колективі у молодшій школі. </w:t>
      </w:r>
    </w:p>
    <w:p w:rsidR="00430A05" w:rsidRPr="002E6ECA" w:rsidRDefault="00430A05" w:rsidP="00430A05">
      <w:pPr>
        <w:spacing w:line="360" w:lineRule="auto"/>
        <w:ind w:firstLine="709"/>
        <w:jc w:val="both"/>
        <w:rPr>
          <w:sz w:val="28"/>
          <w:szCs w:val="28"/>
          <w:lang w:val="uk-UA"/>
        </w:rPr>
      </w:pPr>
      <w:r w:rsidRPr="002E6ECA">
        <w:rPr>
          <w:rStyle w:val="shorttext"/>
          <w:sz w:val="28"/>
          <w:szCs w:val="28"/>
          <w:lang w:val="uk-UA"/>
        </w:rPr>
        <w:t xml:space="preserve">Так, у 12,93% школярів показники порушень уваги спостерігалися  на граничному/високому та гранично/дуже високому рівнях; критичні значення за субшкалою інтерналізації визначено у 33,1% дітей; за субшкалою екстерналізації критичні значення було виявлено у 21,67%. Таким чином, ці діти можуть складати групу ризику щодо розвитку граничних між психологічними та психопатологічними порушеннями, зумовлювати недостатню академічну успішність внаслідок дефіцитарності функції уваги, емоційні розлади депресивного регістру при наявності ознак інтерналізації, що на цей час й не досягають клінічного рівня. Звертає увагу те, що представленість ознак інтерналізації значним чином розрізняються між дітьми та їх батьками, що може свідчити про недостатню увагу з боку батьків до таких проявів у дітей, як </w:t>
      </w:r>
      <w:r w:rsidRPr="002E6ECA">
        <w:rPr>
          <w:sz w:val="28"/>
          <w:szCs w:val="28"/>
          <w:lang w:val="uk-UA"/>
        </w:rPr>
        <w:t xml:space="preserve">сум, нудьга, безнадійність, нещасливість, винність, </w:t>
      </w:r>
      <w:r w:rsidRPr="002E6ECA">
        <w:rPr>
          <w:sz w:val="28"/>
          <w:szCs w:val="28"/>
          <w:lang w:val="uk-UA"/>
        </w:rPr>
        <w:lastRenderedPageBreak/>
        <w:t xml:space="preserve">схвильованість. Між тим, прояви екстерналізації є більш наявними, демонстративними, привертаючими до себе увагу, заважаючими батькам, вчителям та одноліткам, коли діти демонструють конфліктну/захисну поведінку, сваряться, </w:t>
      </w:r>
      <w:r w:rsidRPr="002E6ECA">
        <w:rPr>
          <w:rStyle w:val="tlid-translationtranslation"/>
          <w:rFonts w:eastAsia="Calibri"/>
          <w:sz w:val="28"/>
          <w:szCs w:val="28"/>
          <w:lang w:val="uk-UA"/>
        </w:rPr>
        <w:t>сперечаються</w:t>
      </w:r>
      <w:r w:rsidRPr="002E6ECA">
        <w:rPr>
          <w:sz w:val="28"/>
          <w:szCs w:val="28"/>
          <w:lang w:val="uk-UA"/>
        </w:rPr>
        <w:t xml:space="preserve"> з дорослими й однолітками, активно </w:t>
      </w:r>
      <w:r w:rsidRPr="002E6ECA">
        <w:rPr>
          <w:rStyle w:val="tlid-translationtranslation"/>
          <w:rFonts w:eastAsia="Calibri"/>
          <w:sz w:val="28"/>
          <w:szCs w:val="28"/>
          <w:lang w:val="uk-UA"/>
        </w:rPr>
        <w:t>заперечують або відмовляються виконувати правила і вимоги старших людей</w:t>
      </w:r>
      <w:r w:rsidRPr="002E6ECA">
        <w:rPr>
          <w:sz w:val="28"/>
          <w:szCs w:val="28"/>
          <w:lang w:val="uk-UA"/>
        </w:rPr>
        <w:t xml:space="preserve">, </w:t>
      </w:r>
      <w:r w:rsidRPr="002E6ECA">
        <w:rPr>
          <w:rStyle w:val="tlid-translationtranslation"/>
          <w:rFonts w:eastAsia="Calibri"/>
          <w:sz w:val="28"/>
          <w:szCs w:val="28"/>
          <w:lang w:val="uk-UA"/>
        </w:rPr>
        <w:t xml:space="preserve">спеціально докучають іншим людям, звинувачують інших у своїх помилках і в своєму поганому поводженні, </w:t>
      </w:r>
      <w:r w:rsidRPr="002E6ECA">
        <w:rPr>
          <w:sz w:val="28"/>
          <w:szCs w:val="28"/>
          <w:lang w:val="uk-UA"/>
        </w:rPr>
        <w:t>про що свідчить співпадіння між оцінками дітей та батьків.</w:t>
      </w:r>
    </w:p>
    <w:p w:rsidR="00746B53" w:rsidRPr="002E6ECA" w:rsidRDefault="00746B53" w:rsidP="00746B53">
      <w:pPr>
        <w:spacing w:line="360" w:lineRule="auto"/>
        <w:ind w:firstLine="709"/>
        <w:jc w:val="both"/>
        <w:rPr>
          <w:sz w:val="28"/>
          <w:szCs w:val="28"/>
          <w:lang w:val="uk-UA"/>
        </w:rPr>
      </w:pPr>
      <w:r w:rsidRPr="002E6ECA">
        <w:rPr>
          <w:sz w:val="28"/>
          <w:szCs w:val="28"/>
          <w:lang w:val="uk-UA"/>
        </w:rPr>
        <w:t xml:space="preserve">Додатково вивчались донозологічні прояви граничних психічних відхилень у стані здоров’я учнів у динаміці спостереження, серед яких найчастіше реєструвались: вегетативна лабільність із астенією, головний біль, метеочутливість. У динаміці спостереження майже втричі зростала кількість учнів з донозологічними розладами, у т.ч. на 43,65% – порушення сну, на 21,05 % – гіпердинамічні розлади, на 30,79 % – ознаки вегетативного дисбалансу та на 20,98% – синдром нав’язливих дій. </w:t>
      </w:r>
    </w:p>
    <w:p w:rsidR="00E627C7" w:rsidRPr="002E6ECA" w:rsidRDefault="00430A05" w:rsidP="00E627C7">
      <w:pPr>
        <w:spacing w:line="360" w:lineRule="auto"/>
        <w:ind w:firstLine="709"/>
        <w:jc w:val="both"/>
        <w:rPr>
          <w:sz w:val="28"/>
          <w:szCs w:val="28"/>
          <w:lang w:val="uk-UA"/>
        </w:rPr>
      </w:pPr>
      <w:r w:rsidRPr="002E6ECA">
        <w:rPr>
          <w:sz w:val="28"/>
          <w:szCs w:val="28"/>
          <w:lang w:val="uk-UA"/>
        </w:rPr>
        <w:t>У доступних наукових публікаціях представлено дані щодо визначення психосоціальної дисфункції в окремих категоріальних групах досліджуваних, наприклад, серед молоді, яка шукає лікування ваги або пацієнтів із афективними розладами, гіперактивним розладом з дефіцитом уваги, дітей – жертв домашнього насильства тощо. Між тим, метою даного дослідження було визначення саме груп ризику серед звичайних дітей із соціально благополучних сімей для подальшого спостереження та формування програм допомоги дітям та їх бат</w:t>
      </w:r>
      <w:r w:rsidR="00E627C7" w:rsidRPr="002E6ECA">
        <w:rPr>
          <w:sz w:val="28"/>
          <w:szCs w:val="28"/>
          <w:lang w:val="uk-UA"/>
        </w:rPr>
        <w:t>ькам [128, 404, 406, 425, 438].</w:t>
      </w:r>
    </w:p>
    <w:p w:rsidR="00E627C7" w:rsidRPr="002E6ECA" w:rsidRDefault="00E627C7" w:rsidP="00E627C7">
      <w:pPr>
        <w:spacing w:line="360" w:lineRule="auto"/>
        <w:ind w:firstLine="709"/>
        <w:jc w:val="both"/>
        <w:rPr>
          <w:sz w:val="28"/>
          <w:szCs w:val="28"/>
          <w:lang w:val="uk-UA"/>
        </w:rPr>
      </w:pPr>
      <w:r w:rsidRPr="002E6ECA">
        <w:rPr>
          <w:sz w:val="28"/>
          <w:szCs w:val="28"/>
          <w:lang w:val="uk-UA"/>
        </w:rPr>
        <w:t xml:space="preserve">Таким чином на порозі базової школи погіршувалось фізичне благополуччя учнів на тлі емоційного виснаження, що додавало певної соматизації, яка визначалась як за суб’єктивною оцінкою ЯЖПЗ, так і за результатами об’єктивного обстеження із виявленням донозологічних розладів у вигляді порушення сну, ознак вегетативного дисбалансу та синдрому нав’язливих дій. При цьому 3-й рік навчання був визначений найбільш критичним з точки зору формування вегетативної та психосоціальної </w:t>
      </w:r>
      <w:r w:rsidRPr="002E6ECA">
        <w:rPr>
          <w:sz w:val="28"/>
          <w:szCs w:val="28"/>
          <w:lang w:val="uk-UA"/>
        </w:rPr>
        <w:lastRenderedPageBreak/>
        <w:t>дисфункції, які поглиблювались протягом останніх 2-х років перебування у початковій школі. Проте рівень соціального благополуччя і за оцінкою спілкування з однолітками, і з дорослими зберігався на достатньому рівні упродовж 4-х років навчання.</w:t>
      </w:r>
    </w:p>
    <w:p w:rsidR="0070157A" w:rsidRPr="002E6ECA" w:rsidRDefault="00E627C7" w:rsidP="00430A05">
      <w:pPr>
        <w:spacing w:line="360" w:lineRule="auto"/>
        <w:ind w:firstLine="709"/>
        <w:jc w:val="both"/>
        <w:rPr>
          <w:sz w:val="28"/>
          <w:szCs w:val="28"/>
          <w:lang w:val="uk-UA"/>
        </w:rPr>
      </w:pPr>
      <w:r w:rsidRPr="002E6ECA">
        <w:rPr>
          <w:sz w:val="28"/>
          <w:szCs w:val="28"/>
          <w:lang w:val="uk-UA"/>
        </w:rPr>
        <w:t>О</w:t>
      </w:r>
      <w:r w:rsidR="00430A05" w:rsidRPr="002E6ECA">
        <w:rPr>
          <w:sz w:val="28"/>
          <w:szCs w:val="28"/>
          <w:lang w:val="uk-UA"/>
        </w:rPr>
        <w:t>тримані</w:t>
      </w:r>
      <w:r w:rsidRPr="002E6ECA">
        <w:rPr>
          <w:sz w:val="28"/>
          <w:szCs w:val="28"/>
          <w:lang w:val="uk-UA"/>
        </w:rPr>
        <w:t xml:space="preserve"> </w:t>
      </w:r>
      <w:r w:rsidR="00430A05" w:rsidRPr="002E6ECA">
        <w:rPr>
          <w:sz w:val="28"/>
          <w:szCs w:val="28"/>
          <w:lang w:val="uk-UA"/>
        </w:rPr>
        <w:t>результати можуть стати підґрунтям для подальших досліджень різних вікових категорій дітей шкільного віку та підлітків. Крім того, динамічне спостереження за дітьми групи ризику в умовах залучення до їх супроводу, психологічних інтервенцій, психоосвітніх програм з боку психологів, насамперед, шкільних, може створювати певні обґрунтовані заходи для подолання та дезактуалізації наявних відхилень на доклінічному рівні.</w:t>
      </w:r>
      <w:r w:rsidR="00A668A3" w:rsidRPr="002E6ECA">
        <w:rPr>
          <w:sz w:val="28"/>
          <w:szCs w:val="28"/>
          <w:lang w:val="uk-UA"/>
        </w:rPr>
        <w:t xml:space="preserve"> </w:t>
      </w:r>
      <w:r w:rsidR="0070157A" w:rsidRPr="002E6ECA">
        <w:rPr>
          <w:sz w:val="28"/>
          <w:szCs w:val="28"/>
          <w:lang w:val="uk-UA"/>
        </w:rPr>
        <w:t>Впровадження в систему діагностики комплексної методики, що на 1-му етапі включає визначення ЯЖПЗ самими учнями, їх батьками та</w:t>
      </w:r>
      <w:r w:rsidR="00A668A3" w:rsidRPr="002E6ECA">
        <w:rPr>
          <w:sz w:val="28"/>
          <w:szCs w:val="28"/>
          <w:lang w:val="uk-UA"/>
        </w:rPr>
        <w:t xml:space="preserve"> </w:t>
      </w:r>
      <w:r w:rsidR="0070157A" w:rsidRPr="002E6ECA">
        <w:rPr>
          <w:sz w:val="28"/>
          <w:szCs w:val="28"/>
          <w:lang w:val="uk-UA"/>
        </w:rPr>
        <w:t>вчителями дозволить виявляти дезадаптивні прояви на донозологічному рівні. Подальша їх верифікація повинна включати визначення психофізіологічного стану організму та медичний огляд відповідними фахівцями.</w:t>
      </w:r>
    </w:p>
    <w:p w:rsidR="00430A05" w:rsidRPr="002E6ECA" w:rsidRDefault="00430A05" w:rsidP="00430A05">
      <w:pPr>
        <w:spacing w:line="360" w:lineRule="auto"/>
        <w:ind w:firstLine="709"/>
        <w:jc w:val="center"/>
        <w:rPr>
          <w:b/>
          <w:sz w:val="28"/>
          <w:szCs w:val="28"/>
          <w:lang w:val="uk-UA"/>
        </w:rPr>
      </w:pPr>
    </w:p>
    <w:p w:rsidR="00430A05" w:rsidRPr="002E6ECA" w:rsidRDefault="00430A05" w:rsidP="00FB7E22">
      <w:pPr>
        <w:spacing w:line="360" w:lineRule="auto"/>
        <w:ind w:firstLine="709"/>
        <w:jc w:val="both"/>
        <w:rPr>
          <w:b/>
          <w:sz w:val="28"/>
          <w:szCs w:val="28"/>
          <w:lang w:val="uk-UA"/>
        </w:rPr>
      </w:pPr>
      <w:r w:rsidRPr="002E6ECA">
        <w:rPr>
          <w:b/>
          <w:sz w:val="28"/>
          <w:szCs w:val="28"/>
          <w:lang w:val="uk-UA"/>
        </w:rPr>
        <w:t>7.2. ЯЖПЗ та PSC учнів середнього шкільного віку</w:t>
      </w:r>
    </w:p>
    <w:p w:rsidR="00430A05" w:rsidRPr="002E6ECA" w:rsidRDefault="00430A05" w:rsidP="00430A05">
      <w:pPr>
        <w:spacing w:line="360" w:lineRule="auto"/>
        <w:ind w:firstLine="709"/>
        <w:jc w:val="both"/>
        <w:rPr>
          <w:sz w:val="28"/>
          <w:szCs w:val="28"/>
          <w:lang w:val="uk-UA"/>
        </w:rPr>
      </w:pPr>
      <w:r w:rsidRPr="002E6ECA">
        <w:rPr>
          <w:sz w:val="28"/>
          <w:szCs w:val="28"/>
          <w:lang w:val="uk-UA"/>
        </w:rPr>
        <w:t>Якість життя, що пов’язана зі здоров’ям учнів середнього шкільного віку було визначено за допомогою спеціально розробленої анкети [</w:t>
      </w:r>
      <w:r w:rsidR="00E53B5C" w:rsidRPr="002E6ECA">
        <w:rPr>
          <w:sz w:val="28"/>
          <w:szCs w:val="28"/>
          <w:lang w:val="uk-UA"/>
        </w:rPr>
        <w:t>122</w:t>
      </w:r>
      <w:r w:rsidRPr="002E6ECA">
        <w:rPr>
          <w:sz w:val="28"/>
          <w:szCs w:val="28"/>
          <w:lang w:val="uk-UA"/>
        </w:rPr>
        <w:t>].</w:t>
      </w:r>
    </w:p>
    <w:p w:rsidR="00430A05" w:rsidRPr="002E6ECA" w:rsidRDefault="00430A05" w:rsidP="00430A05">
      <w:pPr>
        <w:pStyle w:val="a5"/>
        <w:shd w:val="clear" w:color="auto" w:fill="FFFFFF"/>
        <w:spacing w:before="0" w:beforeAutospacing="0" w:after="0" w:afterAutospacing="0" w:line="360" w:lineRule="auto"/>
        <w:ind w:firstLine="709"/>
        <w:jc w:val="both"/>
        <w:rPr>
          <w:sz w:val="28"/>
          <w:szCs w:val="28"/>
          <w:lang w:val="uk-UA"/>
        </w:rPr>
      </w:pPr>
      <w:r w:rsidRPr="002E6ECA">
        <w:rPr>
          <w:sz w:val="28"/>
          <w:szCs w:val="28"/>
          <w:lang w:val="uk-UA"/>
        </w:rPr>
        <w:t>Упродовж навчання у базовій школі найвищий рівень ЯЖПЗ визначався за шкалами фізичного, рольового фізичного та родинного функціонування із суттєвим зниженням відповідно на 10,5%, 9,5% та 16</w:t>
      </w:r>
      <w:r w:rsidR="004B7F56" w:rsidRPr="002E6ECA">
        <w:rPr>
          <w:sz w:val="28"/>
          <w:szCs w:val="28"/>
          <w:lang w:val="uk-UA"/>
        </w:rPr>
        <w:t>,0</w:t>
      </w:r>
      <w:r w:rsidRPr="002E6ECA">
        <w:rPr>
          <w:sz w:val="28"/>
          <w:szCs w:val="28"/>
          <w:lang w:val="uk-UA"/>
        </w:rPr>
        <w:t>% (табл. 7.3). Нижче за середній визначались показники загального здоров’я (48,17-56,87 балів), психологічного благополуччя (54,11-66,87 балів) та соціального функціонування (61,52-71,94 балів), а найбільш вираженим зниження у динаміці навчання – за шкалою життєздатності (на 20</w:t>
      </w:r>
      <w:r w:rsidR="0080667E" w:rsidRPr="002E6ECA">
        <w:rPr>
          <w:sz w:val="28"/>
          <w:szCs w:val="28"/>
          <w:lang w:val="uk-UA"/>
        </w:rPr>
        <w:t>%</w:t>
      </w:r>
      <w:r w:rsidRPr="002E6ECA">
        <w:rPr>
          <w:sz w:val="28"/>
          <w:szCs w:val="28"/>
          <w:lang w:val="uk-UA"/>
        </w:rPr>
        <w:t>).</w:t>
      </w:r>
    </w:p>
    <w:p w:rsidR="00430A05" w:rsidRPr="002E6ECA" w:rsidRDefault="00430A05" w:rsidP="00430A05">
      <w:pPr>
        <w:pStyle w:val="a5"/>
        <w:shd w:val="clear" w:color="auto" w:fill="FFFFFF"/>
        <w:spacing w:before="0" w:beforeAutospacing="0" w:after="0" w:afterAutospacing="0" w:line="360" w:lineRule="auto"/>
        <w:ind w:firstLine="709"/>
        <w:jc w:val="both"/>
        <w:rPr>
          <w:rStyle w:val="shorttext"/>
          <w:rFonts w:eastAsia="Calibri"/>
          <w:sz w:val="28"/>
          <w:szCs w:val="28"/>
          <w:lang w:val="uk-UA"/>
        </w:rPr>
      </w:pPr>
      <w:r w:rsidRPr="002E6ECA">
        <w:rPr>
          <w:rStyle w:val="shorttext"/>
          <w:rFonts w:eastAsia="Calibri"/>
          <w:sz w:val="28"/>
          <w:szCs w:val="28"/>
          <w:lang w:val="uk-UA"/>
        </w:rPr>
        <w:t xml:space="preserve">Перехід до базової школи як і перші 2 роки навчання характеризувався переважанням значущості емоційного компоненту ЯЖПЗ, який визначався показником системоутворення. У системі оцінки ЯЖПЗ домінувала її психологічна компонента: психологічне благополуччя у 5-му, життєздатність – </w:t>
      </w:r>
      <w:r w:rsidRPr="002E6ECA">
        <w:rPr>
          <w:rStyle w:val="shorttext"/>
          <w:rFonts w:eastAsia="Calibri"/>
          <w:sz w:val="28"/>
          <w:szCs w:val="28"/>
          <w:lang w:val="uk-UA"/>
        </w:rPr>
        <w:lastRenderedPageBreak/>
        <w:t>у 6-му, рольове емоційне функціонування – у 7-му та соціальне функціонування – у 8-му класі. І лише на 9-му році навчання показником системоутворення поставало фізичне функціонування, що визначалось як обмеження у виконанні фізичних дій та навантажень. Важливість спілкування з однолітками та дорослими як системоутворюючого показника поступово зростала і сягала піку значущості у 8-му класі та повністю нівелювалась на 9-му році навчання</w:t>
      </w:r>
    </w:p>
    <w:p w:rsidR="00430A05" w:rsidRPr="002E6ECA" w:rsidRDefault="00430A05" w:rsidP="00430A05">
      <w:pPr>
        <w:pStyle w:val="a5"/>
        <w:shd w:val="clear" w:color="auto" w:fill="FFFFFF"/>
        <w:spacing w:before="0" w:beforeAutospacing="0" w:after="0" w:afterAutospacing="0" w:line="360" w:lineRule="auto"/>
        <w:ind w:firstLine="709"/>
        <w:jc w:val="right"/>
        <w:rPr>
          <w:i/>
          <w:sz w:val="28"/>
          <w:szCs w:val="28"/>
          <w:lang w:val="uk-UA"/>
        </w:rPr>
      </w:pPr>
      <w:r w:rsidRPr="002E6ECA">
        <w:rPr>
          <w:i/>
          <w:sz w:val="28"/>
          <w:szCs w:val="28"/>
          <w:lang w:val="uk-UA"/>
        </w:rPr>
        <w:t>Таблиця 7.3</w:t>
      </w:r>
    </w:p>
    <w:p w:rsidR="00430A05" w:rsidRPr="002E6ECA" w:rsidRDefault="00430A05" w:rsidP="00430A05">
      <w:pPr>
        <w:pStyle w:val="a5"/>
        <w:shd w:val="clear" w:color="auto" w:fill="FFFFFF"/>
        <w:spacing w:before="0" w:beforeAutospacing="0" w:after="0" w:afterAutospacing="0" w:line="360" w:lineRule="auto"/>
        <w:ind w:firstLine="709"/>
        <w:jc w:val="center"/>
        <w:rPr>
          <w:b/>
          <w:sz w:val="28"/>
          <w:szCs w:val="28"/>
          <w:lang w:val="uk-UA"/>
        </w:rPr>
      </w:pPr>
      <w:r w:rsidRPr="002E6ECA">
        <w:rPr>
          <w:b/>
          <w:sz w:val="28"/>
          <w:szCs w:val="28"/>
          <w:lang w:val="uk-UA"/>
        </w:rPr>
        <w:t>Показники ЯЖПЗ учнів базової школи (бал±</w:t>
      </w:r>
      <w:r w:rsidRPr="002E6ECA">
        <w:rPr>
          <w:b/>
          <w:sz w:val="28"/>
          <w:szCs w:val="28"/>
        </w:rPr>
        <w:t>m</w:t>
      </w:r>
      <w:r w:rsidRPr="002E6ECA">
        <w:rPr>
          <w:b/>
          <w:sz w:val="28"/>
          <w:szCs w:val="28"/>
          <w:lang w:val="ru-RU"/>
        </w:rPr>
        <w:t>)</w:t>
      </w:r>
    </w:p>
    <w:tbl>
      <w:tblPr>
        <w:tblW w:w="958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7"/>
        <w:gridCol w:w="1330"/>
        <w:gridCol w:w="1420"/>
        <w:gridCol w:w="1420"/>
        <w:gridCol w:w="1330"/>
        <w:gridCol w:w="1600"/>
      </w:tblGrid>
      <w:tr w:rsidR="00430A05" w:rsidRPr="002E6ECA" w:rsidTr="00430A05">
        <w:trPr>
          <w:trHeight w:val="255"/>
        </w:trPr>
        <w:tc>
          <w:tcPr>
            <w:tcW w:w="2487" w:type="dxa"/>
            <w:vMerge w:val="restart"/>
            <w:shd w:val="clear" w:color="auto" w:fill="auto"/>
            <w:noWrap/>
            <w:tcMar>
              <w:left w:w="28" w:type="dxa"/>
              <w:right w:w="28" w:type="dxa"/>
            </w:tcMar>
            <w:vAlign w:val="bottom"/>
          </w:tcPr>
          <w:p w:rsidR="00430A05" w:rsidRPr="002E6ECA" w:rsidRDefault="00430A05" w:rsidP="00430A05">
            <w:pPr>
              <w:spacing w:line="360" w:lineRule="auto"/>
              <w:jc w:val="center"/>
              <w:rPr>
                <w:sz w:val="28"/>
                <w:szCs w:val="28"/>
                <w:lang w:eastAsia="uk-UA"/>
              </w:rPr>
            </w:pPr>
            <w:r w:rsidRPr="002E6ECA">
              <w:rPr>
                <w:sz w:val="28"/>
                <w:szCs w:val="28"/>
                <w:lang w:eastAsia="uk-UA"/>
              </w:rPr>
              <w:t>Шкала</w:t>
            </w:r>
          </w:p>
        </w:tc>
        <w:tc>
          <w:tcPr>
            <w:tcW w:w="7100" w:type="dxa"/>
            <w:gridSpan w:val="5"/>
            <w:shd w:val="clear" w:color="auto" w:fill="auto"/>
            <w:noWrap/>
            <w:tcMar>
              <w:left w:w="28" w:type="dxa"/>
              <w:right w:w="28" w:type="dxa"/>
            </w:tcMar>
            <w:vAlign w:val="bottom"/>
          </w:tcPr>
          <w:p w:rsidR="00430A05" w:rsidRPr="002E6ECA" w:rsidRDefault="00430A05" w:rsidP="00430A05">
            <w:pPr>
              <w:spacing w:line="360" w:lineRule="auto"/>
              <w:jc w:val="center"/>
              <w:rPr>
                <w:sz w:val="28"/>
                <w:szCs w:val="28"/>
                <w:lang w:val="uk-UA" w:eastAsia="uk-UA"/>
              </w:rPr>
            </w:pPr>
            <w:r w:rsidRPr="002E6ECA">
              <w:rPr>
                <w:sz w:val="28"/>
                <w:szCs w:val="28"/>
                <w:lang w:val="uk-UA" w:eastAsia="uk-UA"/>
              </w:rPr>
              <w:t>Рік навчання</w:t>
            </w:r>
          </w:p>
        </w:tc>
      </w:tr>
      <w:tr w:rsidR="00430A05" w:rsidRPr="002E6ECA" w:rsidTr="00430A05">
        <w:trPr>
          <w:trHeight w:val="255"/>
        </w:trPr>
        <w:tc>
          <w:tcPr>
            <w:tcW w:w="2487" w:type="dxa"/>
            <w:vMerge/>
            <w:shd w:val="clear" w:color="auto" w:fill="auto"/>
            <w:noWrap/>
            <w:tcMar>
              <w:left w:w="28" w:type="dxa"/>
              <w:right w:w="28" w:type="dxa"/>
            </w:tcMar>
            <w:vAlign w:val="bottom"/>
            <w:hideMark/>
          </w:tcPr>
          <w:p w:rsidR="00430A05" w:rsidRPr="002E6ECA" w:rsidRDefault="00430A05" w:rsidP="00430A05">
            <w:pPr>
              <w:spacing w:line="360" w:lineRule="auto"/>
              <w:jc w:val="center"/>
              <w:rPr>
                <w:sz w:val="28"/>
                <w:szCs w:val="28"/>
                <w:lang w:eastAsia="uk-UA"/>
              </w:rPr>
            </w:pPr>
          </w:p>
        </w:tc>
        <w:tc>
          <w:tcPr>
            <w:tcW w:w="1330" w:type="dxa"/>
            <w:shd w:val="clear" w:color="auto" w:fill="auto"/>
            <w:noWrap/>
            <w:tcMar>
              <w:left w:w="28" w:type="dxa"/>
              <w:right w:w="28" w:type="dxa"/>
            </w:tcMar>
            <w:vAlign w:val="bottom"/>
            <w:hideMark/>
          </w:tcPr>
          <w:p w:rsidR="00430A05" w:rsidRPr="002E6ECA" w:rsidRDefault="00430A05" w:rsidP="00430A05">
            <w:pPr>
              <w:spacing w:line="360" w:lineRule="auto"/>
              <w:jc w:val="center"/>
              <w:rPr>
                <w:sz w:val="28"/>
                <w:szCs w:val="28"/>
                <w:lang w:val="uk-UA" w:eastAsia="uk-UA"/>
              </w:rPr>
            </w:pPr>
            <w:r w:rsidRPr="002E6ECA">
              <w:rPr>
                <w:sz w:val="28"/>
                <w:szCs w:val="28"/>
                <w:lang w:eastAsia="uk-UA"/>
              </w:rPr>
              <w:t>5</w:t>
            </w:r>
            <w:r w:rsidRPr="002E6ECA">
              <w:rPr>
                <w:sz w:val="28"/>
                <w:szCs w:val="28"/>
                <w:lang w:val="uk-UA" w:eastAsia="uk-UA"/>
              </w:rPr>
              <w:t>-й</w:t>
            </w:r>
          </w:p>
        </w:tc>
        <w:tc>
          <w:tcPr>
            <w:tcW w:w="1420" w:type="dxa"/>
            <w:shd w:val="clear" w:color="auto" w:fill="auto"/>
            <w:noWrap/>
            <w:tcMar>
              <w:left w:w="28" w:type="dxa"/>
              <w:right w:w="28" w:type="dxa"/>
            </w:tcMar>
            <w:vAlign w:val="bottom"/>
            <w:hideMark/>
          </w:tcPr>
          <w:p w:rsidR="00430A05" w:rsidRPr="002E6ECA" w:rsidRDefault="00430A05" w:rsidP="00430A05">
            <w:pPr>
              <w:spacing w:line="360" w:lineRule="auto"/>
              <w:jc w:val="center"/>
              <w:rPr>
                <w:sz w:val="28"/>
                <w:szCs w:val="28"/>
                <w:lang w:eastAsia="uk-UA"/>
              </w:rPr>
            </w:pPr>
            <w:r w:rsidRPr="002E6ECA">
              <w:rPr>
                <w:sz w:val="28"/>
                <w:szCs w:val="28"/>
                <w:lang w:eastAsia="uk-UA"/>
              </w:rPr>
              <w:t>6</w:t>
            </w:r>
            <w:r w:rsidRPr="002E6ECA">
              <w:rPr>
                <w:sz w:val="28"/>
                <w:szCs w:val="28"/>
                <w:lang w:val="uk-UA" w:eastAsia="uk-UA"/>
              </w:rPr>
              <w:t>-й</w:t>
            </w:r>
          </w:p>
        </w:tc>
        <w:tc>
          <w:tcPr>
            <w:tcW w:w="1420" w:type="dxa"/>
            <w:shd w:val="clear" w:color="auto" w:fill="auto"/>
            <w:noWrap/>
            <w:tcMar>
              <w:left w:w="28" w:type="dxa"/>
              <w:right w:w="28" w:type="dxa"/>
            </w:tcMar>
            <w:vAlign w:val="bottom"/>
            <w:hideMark/>
          </w:tcPr>
          <w:p w:rsidR="00430A05" w:rsidRPr="002E6ECA" w:rsidRDefault="00430A05" w:rsidP="00430A05">
            <w:pPr>
              <w:spacing w:line="360" w:lineRule="auto"/>
              <w:jc w:val="center"/>
              <w:rPr>
                <w:sz w:val="28"/>
                <w:szCs w:val="28"/>
                <w:lang w:eastAsia="uk-UA"/>
              </w:rPr>
            </w:pPr>
            <w:r w:rsidRPr="002E6ECA">
              <w:rPr>
                <w:sz w:val="28"/>
                <w:szCs w:val="28"/>
                <w:lang w:eastAsia="uk-UA"/>
              </w:rPr>
              <w:t>7</w:t>
            </w:r>
            <w:r w:rsidRPr="002E6ECA">
              <w:rPr>
                <w:sz w:val="28"/>
                <w:szCs w:val="28"/>
                <w:lang w:val="uk-UA" w:eastAsia="uk-UA"/>
              </w:rPr>
              <w:t>-й</w:t>
            </w:r>
          </w:p>
        </w:tc>
        <w:tc>
          <w:tcPr>
            <w:tcW w:w="1330" w:type="dxa"/>
            <w:shd w:val="clear" w:color="auto" w:fill="auto"/>
            <w:noWrap/>
            <w:tcMar>
              <w:left w:w="28" w:type="dxa"/>
              <w:right w:w="28" w:type="dxa"/>
            </w:tcMar>
            <w:vAlign w:val="bottom"/>
            <w:hideMark/>
          </w:tcPr>
          <w:p w:rsidR="00430A05" w:rsidRPr="002E6ECA" w:rsidRDefault="00430A05" w:rsidP="00430A05">
            <w:pPr>
              <w:spacing w:line="360" w:lineRule="auto"/>
              <w:jc w:val="center"/>
              <w:rPr>
                <w:sz w:val="28"/>
                <w:szCs w:val="28"/>
                <w:lang w:eastAsia="uk-UA"/>
              </w:rPr>
            </w:pPr>
            <w:r w:rsidRPr="002E6ECA">
              <w:rPr>
                <w:sz w:val="28"/>
                <w:szCs w:val="28"/>
                <w:lang w:eastAsia="uk-UA"/>
              </w:rPr>
              <w:t>8</w:t>
            </w:r>
            <w:r w:rsidRPr="002E6ECA">
              <w:rPr>
                <w:sz w:val="28"/>
                <w:szCs w:val="28"/>
                <w:lang w:val="uk-UA" w:eastAsia="uk-UA"/>
              </w:rPr>
              <w:t>-й</w:t>
            </w:r>
          </w:p>
        </w:tc>
        <w:tc>
          <w:tcPr>
            <w:tcW w:w="1600" w:type="dxa"/>
            <w:shd w:val="clear" w:color="auto" w:fill="auto"/>
            <w:noWrap/>
            <w:tcMar>
              <w:left w:w="28" w:type="dxa"/>
              <w:right w:w="28" w:type="dxa"/>
            </w:tcMar>
            <w:vAlign w:val="bottom"/>
            <w:hideMark/>
          </w:tcPr>
          <w:p w:rsidR="00430A05" w:rsidRPr="002E6ECA" w:rsidRDefault="00430A05" w:rsidP="00430A05">
            <w:pPr>
              <w:spacing w:line="360" w:lineRule="auto"/>
              <w:jc w:val="center"/>
              <w:rPr>
                <w:sz w:val="28"/>
                <w:szCs w:val="28"/>
                <w:lang w:eastAsia="uk-UA"/>
              </w:rPr>
            </w:pPr>
            <w:r w:rsidRPr="002E6ECA">
              <w:rPr>
                <w:sz w:val="28"/>
                <w:szCs w:val="28"/>
                <w:lang w:eastAsia="uk-UA"/>
              </w:rPr>
              <w:t>9</w:t>
            </w:r>
            <w:r w:rsidRPr="002E6ECA">
              <w:rPr>
                <w:sz w:val="28"/>
                <w:szCs w:val="28"/>
                <w:lang w:val="uk-UA" w:eastAsia="uk-UA"/>
              </w:rPr>
              <w:t>-й</w:t>
            </w:r>
          </w:p>
        </w:tc>
      </w:tr>
      <w:tr w:rsidR="00430A05" w:rsidRPr="002E6ECA" w:rsidTr="00430A05">
        <w:trPr>
          <w:trHeight w:val="582"/>
        </w:trPr>
        <w:tc>
          <w:tcPr>
            <w:tcW w:w="2487" w:type="dxa"/>
            <w:shd w:val="clear" w:color="auto" w:fill="auto"/>
            <w:noWrap/>
            <w:tcMar>
              <w:left w:w="28" w:type="dxa"/>
              <w:right w:w="28" w:type="dxa"/>
            </w:tcMar>
            <w:vAlign w:val="center"/>
            <w:hideMark/>
          </w:tcPr>
          <w:p w:rsidR="00430A05" w:rsidRPr="002E6ECA" w:rsidRDefault="00430A05" w:rsidP="00430A05">
            <w:pPr>
              <w:spacing w:line="360" w:lineRule="auto"/>
              <w:rPr>
                <w:spacing w:val="-10"/>
                <w:sz w:val="28"/>
                <w:szCs w:val="28"/>
                <w:lang w:val="uk-UA" w:eastAsia="uk-UA"/>
              </w:rPr>
            </w:pPr>
            <w:r w:rsidRPr="002E6ECA">
              <w:rPr>
                <w:spacing w:val="-10"/>
                <w:sz w:val="28"/>
                <w:szCs w:val="28"/>
                <w:lang w:eastAsia="uk-UA"/>
              </w:rPr>
              <w:t>Відчуття болю</w:t>
            </w:r>
            <w:r w:rsidRPr="002E6ECA">
              <w:rPr>
                <w:spacing w:val="-10"/>
                <w:sz w:val="28"/>
                <w:szCs w:val="28"/>
                <w:lang w:val="uk-UA" w:eastAsia="uk-UA"/>
              </w:rPr>
              <w:t xml:space="preserve"> (ВБ)</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77,54±3,32</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74,31±3,55</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72,67±3,15</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74,07±3,87</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66,92±3,53</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Фізичне функціонування</w:t>
            </w:r>
            <w:r w:rsidRPr="002E6ECA">
              <w:rPr>
                <w:spacing w:val="-10"/>
                <w:sz w:val="28"/>
                <w:szCs w:val="28"/>
                <w:lang w:val="uk-UA" w:eastAsia="uk-UA"/>
              </w:rPr>
              <w:t xml:space="preserve"> (ФФ)</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96,28±0,82</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89,58±2,80</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91,50±2,58</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92,18±2,08</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85,80±3,50</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Рольове фізичне функціонування</w:t>
            </w:r>
            <w:r w:rsidRPr="002E6ECA">
              <w:rPr>
                <w:spacing w:val="-10"/>
                <w:sz w:val="28"/>
                <w:szCs w:val="28"/>
                <w:lang w:val="uk-UA" w:eastAsia="uk-UA"/>
              </w:rPr>
              <w:t xml:space="preserve"> (РФФ)</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91,88±1,80</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85,98±3,52</w:t>
            </w:r>
            <w:r w:rsidRPr="002E6ECA">
              <w:rPr>
                <w:spacing w:val="-10"/>
                <w:sz w:val="28"/>
                <w:szCs w:val="28"/>
                <w:vertAlign w:val="superscript"/>
              </w:rPr>
              <w:t>*</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78,36±4,68</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86,92±3,33</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82,64±3,13</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Загальне здоров’я</w:t>
            </w:r>
            <w:r w:rsidRPr="002E6ECA">
              <w:rPr>
                <w:spacing w:val="-10"/>
                <w:sz w:val="28"/>
                <w:szCs w:val="28"/>
                <w:lang w:val="uk-UA" w:eastAsia="uk-UA"/>
              </w:rPr>
              <w:t xml:space="preserve"> (ЗЗ)</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56,87±2,24</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51,89±3,03</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51,64±3,67</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48,17±3,19</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53,72±2,67</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360" w:lineRule="auto"/>
              <w:rPr>
                <w:spacing w:val="-10"/>
                <w:sz w:val="28"/>
                <w:szCs w:val="28"/>
                <w:lang w:val="uk-UA" w:eastAsia="uk-UA"/>
              </w:rPr>
            </w:pPr>
            <w:r w:rsidRPr="002E6ECA">
              <w:rPr>
                <w:spacing w:val="-10"/>
                <w:sz w:val="28"/>
                <w:szCs w:val="28"/>
                <w:lang w:eastAsia="uk-UA"/>
              </w:rPr>
              <w:t>Життєздатність</w:t>
            </w:r>
            <w:r w:rsidRPr="002E6ECA">
              <w:rPr>
                <w:spacing w:val="-10"/>
                <w:sz w:val="28"/>
                <w:szCs w:val="28"/>
                <w:lang w:val="uk-UA" w:eastAsia="uk-UA"/>
              </w:rPr>
              <w:t xml:space="preserve"> (ЖЗ)</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75,32±2,82</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70,56±3,22</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60,27±3,17</w:t>
            </w:r>
            <w:r w:rsidRPr="002E6ECA">
              <w:rPr>
                <w:spacing w:val="-10"/>
                <w:sz w:val="28"/>
                <w:szCs w:val="28"/>
                <w:vertAlign w:val="superscript"/>
              </w:rPr>
              <w:t>*</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60,82±2,67</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54,39±3,05</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Соціальне функціонування</w:t>
            </w:r>
            <w:r w:rsidRPr="002E6ECA">
              <w:rPr>
                <w:spacing w:val="-10"/>
                <w:sz w:val="28"/>
                <w:szCs w:val="28"/>
                <w:lang w:val="uk-UA" w:eastAsia="uk-UA"/>
              </w:rPr>
              <w:t xml:space="preserve"> (СФ)</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65,53±2,60</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71,94±2,56</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71,87±2,75</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70,99±2,65</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61,52±2,50</w:t>
            </w:r>
            <w:r w:rsidRPr="002E6ECA">
              <w:rPr>
                <w:spacing w:val="-10"/>
                <w:sz w:val="28"/>
                <w:szCs w:val="28"/>
                <w:vertAlign w:val="superscript"/>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Рольове емоційне функціонування</w:t>
            </w:r>
            <w:r w:rsidRPr="002E6ECA">
              <w:rPr>
                <w:spacing w:val="-10"/>
                <w:sz w:val="28"/>
                <w:szCs w:val="28"/>
                <w:lang w:val="uk-UA" w:eastAsia="uk-UA"/>
              </w:rPr>
              <w:t xml:space="preserve"> (РЕФ)</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87,23±2,17</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84,68±2,23</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79,29±2,86</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83,59±1,98</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77,67±2,90</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Психічне благополуччя</w:t>
            </w:r>
            <w:r w:rsidRPr="002E6ECA">
              <w:rPr>
                <w:spacing w:val="-10"/>
                <w:sz w:val="28"/>
                <w:szCs w:val="28"/>
                <w:lang w:val="uk-UA" w:eastAsia="uk-UA"/>
              </w:rPr>
              <w:t xml:space="preserve"> (ПБ)</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66,87±3,07</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65,28±2,96</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62,29±2,96</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60,99±2,45</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54,11±3,35</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Шкільне функціонування</w:t>
            </w:r>
            <w:r w:rsidRPr="002E6ECA">
              <w:rPr>
                <w:spacing w:val="-10"/>
                <w:sz w:val="28"/>
                <w:szCs w:val="28"/>
                <w:lang w:val="uk-UA" w:eastAsia="uk-UA"/>
              </w:rPr>
              <w:t xml:space="preserve"> (ШФ)</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88,03±2,17</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85,03±2,23</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79,50±2,57</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83,99±1,95</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75,14±2,87</w:t>
            </w:r>
            <w:r w:rsidRPr="002E6ECA">
              <w:rPr>
                <w:spacing w:val="-10"/>
                <w:sz w:val="28"/>
                <w:szCs w:val="28"/>
                <w:vertAlign w:val="superscript"/>
              </w:rPr>
              <w:t>*</w:t>
            </w:r>
            <w:r w:rsidRPr="002E6ECA">
              <w:rPr>
                <w:spacing w:val="-10"/>
                <w:sz w:val="28"/>
                <w:szCs w:val="28"/>
                <w:vertAlign w:val="superscript"/>
                <w:lang w:val="en-US"/>
              </w:rPr>
              <w:t>##</w:t>
            </w:r>
          </w:p>
        </w:tc>
      </w:tr>
      <w:tr w:rsidR="00430A05" w:rsidRPr="002E6ECA" w:rsidTr="00430A05">
        <w:trPr>
          <w:trHeight w:val="255"/>
        </w:trPr>
        <w:tc>
          <w:tcPr>
            <w:tcW w:w="2487" w:type="dxa"/>
            <w:shd w:val="clear" w:color="auto" w:fill="auto"/>
            <w:noWrap/>
            <w:tcMar>
              <w:left w:w="28" w:type="dxa"/>
              <w:right w:w="28" w:type="dxa"/>
            </w:tcMar>
            <w:vAlign w:val="bottom"/>
            <w:hideMark/>
          </w:tcPr>
          <w:p w:rsidR="00430A05" w:rsidRPr="002E6ECA" w:rsidRDefault="00430A05" w:rsidP="00430A05">
            <w:pPr>
              <w:spacing w:line="276" w:lineRule="auto"/>
              <w:rPr>
                <w:spacing w:val="-10"/>
                <w:sz w:val="28"/>
                <w:szCs w:val="28"/>
                <w:lang w:val="uk-UA" w:eastAsia="uk-UA"/>
              </w:rPr>
            </w:pPr>
            <w:r w:rsidRPr="002E6ECA">
              <w:rPr>
                <w:spacing w:val="-10"/>
                <w:sz w:val="28"/>
                <w:szCs w:val="28"/>
                <w:lang w:eastAsia="uk-UA"/>
              </w:rPr>
              <w:t>Родинне функціонування</w:t>
            </w:r>
            <w:r w:rsidRPr="002E6ECA">
              <w:rPr>
                <w:spacing w:val="-10"/>
                <w:sz w:val="28"/>
                <w:szCs w:val="28"/>
                <w:lang w:val="uk-UA" w:eastAsia="uk-UA"/>
              </w:rPr>
              <w:t xml:space="preserve"> (РФ)</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94,68±1,45</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86,04±3,18</w:t>
            </w:r>
            <w:r w:rsidRPr="002E6ECA">
              <w:rPr>
                <w:spacing w:val="-10"/>
                <w:sz w:val="28"/>
                <w:szCs w:val="28"/>
                <w:vertAlign w:val="superscript"/>
              </w:rPr>
              <w:t>*</w:t>
            </w:r>
          </w:p>
        </w:tc>
        <w:tc>
          <w:tcPr>
            <w:tcW w:w="142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89,80±2,40</w:t>
            </w:r>
          </w:p>
        </w:tc>
        <w:tc>
          <w:tcPr>
            <w:tcW w:w="133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89,12±2,17</w:t>
            </w:r>
          </w:p>
        </w:tc>
        <w:tc>
          <w:tcPr>
            <w:tcW w:w="1600" w:type="dxa"/>
            <w:shd w:val="clear" w:color="auto" w:fill="auto"/>
            <w:noWrap/>
            <w:tcMar>
              <w:left w:w="28" w:type="dxa"/>
              <w:right w:w="28" w:type="dxa"/>
            </w:tcMar>
            <w:vAlign w:val="center"/>
            <w:hideMark/>
          </w:tcPr>
          <w:p w:rsidR="00430A05" w:rsidRPr="002E6ECA" w:rsidRDefault="00430A05" w:rsidP="00430A05">
            <w:pPr>
              <w:spacing w:line="360" w:lineRule="auto"/>
              <w:jc w:val="center"/>
              <w:rPr>
                <w:spacing w:val="-10"/>
                <w:sz w:val="28"/>
                <w:szCs w:val="28"/>
                <w:lang w:eastAsia="uk-UA"/>
              </w:rPr>
            </w:pPr>
            <w:r w:rsidRPr="002E6ECA">
              <w:rPr>
                <w:spacing w:val="-10"/>
                <w:sz w:val="28"/>
                <w:szCs w:val="28"/>
                <w:lang w:eastAsia="uk-UA"/>
              </w:rPr>
              <w:t>78,64±3,37</w:t>
            </w:r>
            <w:r w:rsidRPr="002E6ECA">
              <w:rPr>
                <w:spacing w:val="-10"/>
                <w:sz w:val="28"/>
                <w:szCs w:val="28"/>
                <w:vertAlign w:val="superscript"/>
              </w:rPr>
              <w:t>*</w:t>
            </w:r>
            <w:r w:rsidRPr="002E6ECA">
              <w:rPr>
                <w:spacing w:val="-10"/>
                <w:sz w:val="28"/>
                <w:szCs w:val="28"/>
                <w:vertAlign w:val="superscript"/>
                <w:lang w:val="en-US"/>
              </w:rPr>
              <w:t>##</w:t>
            </w:r>
          </w:p>
        </w:tc>
      </w:tr>
    </w:tbl>
    <w:p w:rsidR="00430A05" w:rsidRPr="002E6ECA" w:rsidRDefault="00430A05" w:rsidP="00430A05">
      <w:pPr>
        <w:pStyle w:val="a3"/>
        <w:ind w:left="0"/>
        <w:rPr>
          <w:lang w:val="uk-UA"/>
        </w:rPr>
      </w:pPr>
      <w:r w:rsidRPr="002E6ECA">
        <w:rPr>
          <w:lang w:val="uk-UA"/>
        </w:rPr>
        <w:t xml:space="preserve">Примітка: істотна різниця </w:t>
      </w:r>
      <w:r w:rsidRPr="002E6ECA">
        <w:t>при порівнянні з попереднім роком навчання</w:t>
      </w:r>
      <w:r w:rsidRPr="002E6ECA">
        <w:rPr>
          <w:lang w:val="uk-UA"/>
        </w:rPr>
        <w:t xml:space="preserve"> (</w:t>
      </w:r>
      <w:r w:rsidRPr="002E6ECA">
        <w:rPr>
          <w:vertAlign w:val="superscript"/>
        </w:rPr>
        <w:t>*</w:t>
      </w:r>
      <w:r w:rsidRPr="002E6ECA">
        <w:t xml:space="preserve"> –</w:t>
      </w:r>
      <w:r w:rsidRPr="002E6ECA">
        <w:rPr>
          <w:lang w:val="uk-UA"/>
        </w:rPr>
        <w:t xml:space="preserve"> р</w:t>
      </w:r>
      <w:r w:rsidRPr="002E6ECA">
        <w:t>&lt;0,05</w:t>
      </w:r>
      <w:r w:rsidRPr="002E6ECA">
        <w:rPr>
          <w:lang w:val="uk-UA"/>
        </w:rPr>
        <w:t xml:space="preserve">); при </w:t>
      </w:r>
      <w:r w:rsidRPr="002E6ECA">
        <w:t>порівнянні з початком навчання у базовій школі</w:t>
      </w:r>
      <w:r w:rsidRPr="002E6ECA">
        <w:rPr>
          <w:lang w:val="uk-UA"/>
        </w:rPr>
        <w:t xml:space="preserve"> </w:t>
      </w:r>
      <w:r w:rsidRPr="002E6ECA">
        <w:t>(</w:t>
      </w:r>
      <w:r w:rsidRPr="002E6ECA">
        <w:rPr>
          <w:vertAlign w:val="superscript"/>
        </w:rPr>
        <w:t>#</w:t>
      </w:r>
      <w:r w:rsidRPr="002E6ECA">
        <w:t xml:space="preserve"> – р&lt;0,05</w:t>
      </w:r>
      <w:r w:rsidRPr="002E6ECA">
        <w:rPr>
          <w:lang w:val="uk-UA"/>
        </w:rPr>
        <w:t xml:space="preserve"> та </w:t>
      </w:r>
      <w:r w:rsidRPr="002E6ECA">
        <w:rPr>
          <w:vertAlign w:val="superscript"/>
        </w:rPr>
        <w:t xml:space="preserve">## </w:t>
      </w:r>
      <w:r w:rsidRPr="002E6ECA">
        <w:t>– р&lt;0,01)</w:t>
      </w:r>
    </w:p>
    <w:p w:rsidR="00430A05" w:rsidRPr="002E6ECA" w:rsidRDefault="00430A05" w:rsidP="00430A05">
      <w:pPr>
        <w:spacing w:line="360" w:lineRule="auto"/>
        <w:ind w:firstLine="709"/>
        <w:jc w:val="both"/>
        <w:rPr>
          <w:sz w:val="28"/>
          <w:szCs w:val="28"/>
          <w:lang w:val="uk-UA"/>
        </w:rPr>
      </w:pPr>
    </w:p>
    <w:p w:rsidR="00035C6C" w:rsidRPr="002E6ECA" w:rsidRDefault="00035C6C" w:rsidP="00035C6C">
      <w:pPr>
        <w:pStyle w:val="a5"/>
        <w:shd w:val="clear" w:color="auto" w:fill="FFFFFF"/>
        <w:spacing w:before="0" w:beforeAutospacing="0" w:after="0" w:afterAutospacing="0" w:line="360" w:lineRule="auto"/>
        <w:ind w:firstLine="709"/>
        <w:jc w:val="both"/>
        <w:rPr>
          <w:sz w:val="28"/>
          <w:szCs w:val="28"/>
          <w:lang w:val="uk-UA"/>
        </w:rPr>
      </w:pPr>
      <w:r w:rsidRPr="002E6ECA">
        <w:rPr>
          <w:rStyle w:val="shorttext"/>
          <w:rFonts w:eastAsia="Calibri"/>
          <w:sz w:val="28"/>
          <w:szCs w:val="28"/>
          <w:lang w:val="uk-UA"/>
        </w:rPr>
        <w:lastRenderedPageBreak/>
        <w:t xml:space="preserve">Слід зазначити і поступову дестабілізацію системи оцінки ЯЖПЗ, що визначалась за наявністю майже однакових за кількістю та силою кореляційних зв’язків (рис. 7.4), а також середнім кореляційним коефіцієнтом зі зниженням наприкінці навчання у базовій школі більш ніж удвічі. </w:t>
      </w:r>
      <w:r w:rsidRPr="002E6ECA">
        <w:rPr>
          <w:sz w:val="28"/>
          <w:szCs w:val="28"/>
          <w:lang w:val="uk-UA"/>
        </w:rPr>
        <w:t>Закладання цих процесів виявилося на 6-му році навчання, коли система ще утримувала свою синхронність, але за ПКР вже визнались її явні зміни на 52%.</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7"/>
        <w:gridCol w:w="3325"/>
        <w:gridCol w:w="3161"/>
      </w:tblGrid>
      <w:tr w:rsidR="00430A05" w:rsidRPr="002E6ECA" w:rsidTr="00035C6C">
        <w:tc>
          <w:tcPr>
            <w:tcW w:w="3207" w:type="dxa"/>
            <w:tcMar>
              <w:left w:w="28" w:type="dxa"/>
              <w:right w:w="28" w:type="dxa"/>
            </w:tcMar>
          </w:tcPr>
          <w:p w:rsidR="00430A05" w:rsidRPr="002E6ECA" w:rsidRDefault="00430A05" w:rsidP="00430A05">
            <w:pPr>
              <w:spacing w:line="360" w:lineRule="auto"/>
            </w:pPr>
            <w:r w:rsidRPr="002E6ECA">
              <w:rPr>
                <w:noProof/>
                <w:lang w:val="uk-UA" w:eastAsia="uk-UA"/>
              </w:rPr>
              <w:drawing>
                <wp:inline distT="0" distB="0" distL="0" distR="0" wp14:anchorId="31967C8D" wp14:editId="7534EFAE">
                  <wp:extent cx="2034937" cy="1654376"/>
                  <wp:effectExtent l="0" t="0" r="381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srcRect l="24040" t="17659" r="43823" b="35895"/>
                          <a:stretch/>
                        </pic:blipFill>
                        <pic:spPr bwMode="auto">
                          <a:xfrm>
                            <a:off x="0" y="0"/>
                            <a:ext cx="2035183" cy="1654576"/>
                          </a:xfrm>
                          <a:prstGeom prst="rect">
                            <a:avLst/>
                          </a:prstGeom>
                          <a:ln>
                            <a:noFill/>
                          </a:ln>
                          <a:extLst>
                            <a:ext uri="{53640926-AAD7-44D8-BBD7-CCE9431645EC}">
                              <a14:shadowObscured xmlns:a14="http://schemas.microsoft.com/office/drawing/2010/main"/>
                            </a:ext>
                          </a:extLst>
                        </pic:spPr>
                      </pic:pic>
                    </a:graphicData>
                  </a:graphic>
                </wp:inline>
              </w:drawing>
            </w:r>
          </w:p>
        </w:tc>
        <w:tc>
          <w:tcPr>
            <w:tcW w:w="3325" w:type="dxa"/>
            <w:tcMar>
              <w:left w:w="28" w:type="dxa"/>
              <w:right w:w="28" w:type="dxa"/>
            </w:tcMar>
          </w:tcPr>
          <w:p w:rsidR="00430A05" w:rsidRPr="002E6ECA" w:rsidRDefault="00430A05" w:rsidP="00430A05">
            <w:pPr>
              <w:spacing w:line="360" w:lineRule="auto"/>
            </w:pPr>
            <w:r w:rsidRPr="002E6ECA">
              <w:rPr>
                <w:noProof/>
                <w:lang w:val="uk-UA" w:eastAsia="uk-UA"/>
              </w:rPr>
              <w:drawing>
                <wp:inline distT="0" distB="0" distL="0" distR="0" wp14:anchorId="0ADBEAD6" wp14:editId="31CCDAB3">
                  <wp:extent cx="2114220" cy="1654376"/>
                  <wp:effectExtent l="0" t="0" r="635" b="31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24124" t="32943" r="42487" b="20611"/>
                          <a:stretch/>
                        </pic:blipFill>
                        <pic:spPr bwMode="auto">
                          <a:xfrm>
                            <a:off x="0" y="0"/>
                            <a:ext cx="2114476" cy="1654576"/>
                          </a:xfrm>
                          <a:prstGeom prst="rect">
                            <a:avLst/>
                          </a:prstGeom>
                          <a:ln>
                            <a:noFill/>
                          </a:ln>
                          <a:extLst>
                            <a:ext uri="{53640926-AAD7-44D8-BBD7-CCE9431645EC}">
                              <a14:shadowObscured xmlns:a14="http://schemas.microsoft.com/office/drawing/2010/main"/>
                            </a:ext>
                          </a:extLst>
                        </pic:spPr>
                      </pic:pic>
                    </a:graphicData>
                  </a:graphic>
                </wp:inline>
              </w:drawing>
            </w:r>
          </w:p>
        </w:tc>
        <w:tc>
          <w:tcPr>
            <w:tcW w:w="3161" w:type="dxa"/>
            <w:tcMar>
              <w:left w:w="28" w:type="dxa"/>
              <w:right w:w="28" w:type="dxa"/>
            </w:tcMar>
          </w:tcPr>
          <w:p w:rsidR="00430A05" w:rsidRPr="002E6ECA" w:rsidRDefault="00430A05" w:rsidP="00430A05">
            <w:pPr>
              <w:spacing w:line="360" w:lineRule="auto"/>
            </w:pPr>
            <w:r w:rsidRPr="002E6ECA">
              <w:rPr>
                <w:noProof/>
                <w:lang w:val="uk-UA" w:eastAsia="uk-UA"/>
              </w:rPr>
              <w:drawing>
                <wp:inline distT="0" distB="0" distL="0" distR="0" wp14:anchorId="1AEEDF65" wp14:editId="58FCDB6A">
                  <wp:extent cx="2008509" cy="169666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25459" t="32647" r="42822" b="19720"/>
                          <a:stretch/>
                        </pic:blipFill>
                        <pic:spPr bwMode="auto">
                          <a:xfrm>
                            <a:off x="0" y="0"/>
                            <a:ext cx="2008752" cy="1696866"/>
                          </a:xfrm>
                          <a:prstGeom prst="rect">
                            <a:avLst/>
                          </a:prstGeom>
                          <a:ln>
                            <a:noFill/>
                          </a:ln>
                          <a:extLst>
                            <a:ext uri="{53640926-AAD7-44D8-BBD7-CCE9431645EC}">
                              <a14:shadowObscured xmlns:a14="http://schemas.microsoft.com/office/drawing/2010/main"/>
                            </a:ext>
                          </a:extLst>
                        </pic:spPr>
                      </pic:pic>
                    </a:graphicData>
                  </a:graphic>
                </wp:inline>
              </w:drawing>
            </w:r>
          </w:p>
        </w:tc>
      </w:tr>
      <w:tr w:rsidR="00430A05" w:rsidRPr="002E6ECA" w:rsidTr="00035C6C">
        <w:tc>
          <w:tcPr>
            <w:tcW w:w="3207" w:type="dxa"/>
            <w:tcMar>
              <w:left w:w="28" w:type="dxa"/>
              <w:right w:w="28" w:type="dxa"/>
            </w:tcMar>
          </w:tcPr>
          <w:p w:rsidR="00430A05" w:rsidRPr="002E6ECA" w:rsidRDefault="00430A05" w:rsidP="00430A05">
            <w:pPr>
              <w:spacing w:line="360" w:lineRule="auto"/>
              <w:jc w:val="center"/>
            </w:pPr>
            <w:r w:rsidRPr="002E6ECA">
              <w:t>5-й рік навчання</w:t>
            </w:r>
          </w:p>
        </w:tc>
        <w:tc>
          <w:tcPr>
            <w:tcW w:w="3325" w:type="dxa"/>
            <w:tcMar>
              <w:left w:w="28" w:type="dxa"/>
              <w:right w:w="28" w:type="dxa"/>
            </w:tcMar>
          </w:tcPr>
          <w:p w:rsidR="00430A05" w:rsidRPr="002E6ECA" w:rsidRDefault="00430A05" w:rsidP="00430A05">
            <w:pPr>
              <w:spacing w:line="360" w:lineRule="auto"/>
              <w:jc w:val="center"/>
            </w:pPr>
            <w:r w:rsidRPr="002E6ECA">
              <w:t>6-й рік навчання</w:t>
            </w:r>
          </w:p>
        </w:tc>
        <w:tc>
          <w:tcPr>
            <w:tcW w:w="3161" w:type="dxa"/>
            <w:tcMar>
              <w:left w:w="28" w:type="dxa"/>
              <w:right w:w="28" w:type="dxa"/>
            </w:tcMar>
          </w:tcPr>
          <w:p w:rsidR="00430A05" w:rsidRPr="002E6ECA" w:rsidRDefault="00430A05" w:rsidP="00430A05">
            <w:pPr>
              <w:spacing w:line="360" w:lineRule="auto"/>
              <w:jc w:val="center"/>
            </w:pPr>
            <w:r w:rsidRPr="002E6ECA">
              <w:t>7-й рік навчання</w:t>
            </w:r>
          </w:p>
        </w:tc>
      </w:tr>
      <w:tr w:rsidR="00430A05" w:rsidRPr="002E6ECA" w:rsidTr="00035C6C">
        <w:tc>
          <w:tcPr>
            <w:tcW w:w="3207" w:type="dxa"/>
            <w:tcMar>
              <w:left w:w="28" w:type="dxa"/>
              <w:right w:w="28" w:type="dxa"/>
            </w:tcMar>
          </w:tcPr>
          <w:p w:rsidR="00430A05" w:rsidRPr="002E6ECA" w:rsidRDefault="00430A05" w:rsidP="00430A05">
            <w:pPr>
              <w:spacing w:line="360" w:lineRule="auto"/>
            </w:pPr>
            <w:r w:rsidRPr="002E6ECA">
              <w:rPr>
                <w:noProof/>
                <w:lang w:val="uk-UA" w:eastAsia="uk-UA"/>
              </w:rPr>
              <w:drawing>
                <wp:inline distT="0" distB="0" distL="0" distR="0" wp14:anchorId="777A5469" wp14:editId="2B05375B">
                  <wp:extent cx="2034937" cy="1668841"/>
                  <wp:effectExtent l="0" t="0" r="381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l="24374" t="23298" r="42988" b="29366"/>
                          <a:stretch/>
                        </pic:blipFill>
                        <pic:spPr bwMode="auto">
                          <a:xfrm>
                            <a:off x="0" y="0"/>
                            <a:ext cx="2035183" cy="1669043"/>
                          </a:xfrm>
                          <a:prstGeom prst="rect">
                            <a:avLst/>
                          </a:prstGeom>
                          <a:ln>
                            <a:noFill/>
                          </a:ln>
                          <a:extLst>
                            <a:ext uri="{53640926-AAD7-44D8-BBD7-CCE9431645EC}">
                              <a14:shadowObscured xmlns:a14="http://schemas.microsoft.com/office/drawing/2010/main"/>
                            </a:ext>
                          </a:extLst>
                        </pic:spPr>
                      </pic:pic>
                    </a:graphicData>
                  </a:graphic>
                </wp:inline>
              </w:drawing>
            </w:r>
          </w:p>
        </w:tc>
        <w:tc>
          <w:tcPr>
            <w:tcW w:w="3325" w:type="dxa"/>
            <w:tcMar>
              <w:left w:w="28" w:type="dxa"/>
              <w:right w:w="28" w:type="dxa"/>
            </w:tcMar>
          </w:tcPr>
          <w:p w:rsidR="00430A05" w:rsidRPr="002E6ECA" w:rsidRDefault="00430A05" w:rsidP="00430A05">
            <w:pPr>
              <w:spacing w:line="360" w:lineRule="auto"/>
            </w:pPr>
            <w:r w:rsidRPr="002E6ECA">
              <w:rPr>
                <w:noProof/>
                <w:lang w:val="uk-UA" w:eastAsia="uk-UA"/>
              </w:rPr>
              <w:drawing>
                <wp:inline distT="0" distB="0" distL="0" distR="0" wp14:anchorId="0229779A" wp14:editId="0BDE04BF">
                  <wp:extent cx="2040222" cy="1707232"/>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a:srcRect l="24708" t="30420" r="43072" b="21650"/>
                          <a:stretch/>
                        </pic:blipFill>
                        <pic:spPr bwMode="auto">
                          <a:xfrm>
                            <a:off x="0" y="0"/>
                            <a:ext cx="2040469" cy="1707439"/>
                          </a:xfrm>
                          <a:prstGeom prst="rect">
                            <a:avLst/>
                          </a:prstGeom>
                          <a:ln>
                            <a:noFill/>
                          </a:ln>
                          <a:extLst>
                            <a:ext uri="{53640926-AAD7-44D8-BBD7-CCE9431645EC}">
                              <a14:shadowObscured xmlns:a14="http://schemas.microsoft.com/office/drawing/2010/main"/>
                            </a:ext>
                          </a:extLst>
                        </pic:spPr>
                      </pic:pic>
                    </a:graphicData>
                  </a:graphic>
                </wp:inline>
              </w:drawing>
            </w:r>
          </w:p>
        </w:tc>
        <w:tc>
          <w:tcPr>
            <w:tcW w:w="3161" w:type="dxa"/>
            <w:vMerge w:val="restart"/>
            <w:tcMar>
              <w:left w:w="28" w:type="dxa"/>
              <w:right w:w="28" w:type="dxa"/>
            </w:tcMar>
          </w:tcPr>
          <w:p w:rsidR="00430A05" w:rsidRPr="002E6ECA" w:rsidRDefault="00430A05" w:rsidP="00430A05">
            <w:pPr>
              <w:spacing w:line="360" w:lineRule="auto"/>
              <w:ind w:left="1015"/>
              <w:rPr>
                <w:sz w:val="20"/>
                <w:szCs w:val="20"/>
              </w:rPr>
            </w:pPr>
          </w:p>
          <w:p w:rsidR="00430A05" w:rsidRPr="002E6ECA" w:rsidRDefault="00430A05" w:rsidP="00430A05">
            <w:pPr>
              <w:numPr>
                <w:ilvl w:val="0"/>
                <w:numId w:val="7"/>
              </w:numPr>
              <w:ind w:left="1015" w:hanging="357"/>
              <w:rPr>
                <w:lang w:val="uk-UA"/>
              </w:rPr>
            </w:pPr>
            <w:r w:rsidRPr="002E6ECA">
              <w:rPr>
                <w:noProof/>
                <w:lang w:val="uk-UA" w:eastAsia="uk-UA"/>
              </w:rPr>
              <mc:AlternateContent>
                <mc:Choice Requires="wps">
                  <w:drawing>
                    <wp:anchor distT="0" distB="0" distL="114300" distR="114300" simplePos="0" relativeHeight="251708928" behindDoc="0" locked="0" layoutInCell="1" allowOverlap="1" wp14:anchorId="5F68D6E6" wp14:editId="54091946">
                      <wp:simplePos x="0" y="0"/>
                      <wp:positionH relativeFrom="column">
                        <wp:posOffset>140335</wp:posOffset>
                      </wp:positionH>
                      <wp:positionV relativeFrom="paragraph">
                        <wp:posOffset>99695</wp:posOffset>
                      </wp:positionV>
                      <wp:extent cx="228600" cy="0"/>
                      <wp:effectExtent l="22860" t="19050" r="24765" b="1905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1C50AAF" id="Прямая соединительная линия 16" o:spid="_x0000_s1026" style="position:absolute;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5pt,7.85pt" to="29.0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" strokeweight="3pt"/>
                  </w:pict>
                </mc:Fallback>
              </mc:AlternateContent>
            </w:r>
            <w:r w:rsidRPr="002E6ECA">
              <w:rPr>
                <w:lang w:val="uk-UA"/>
              </w:rPr>
              <w:t>сильний кореляційний зв’язок (r=0,7-0,9)</w:t>
            </w:r>
          </w:p>
          <w:p w:rsidR="00430A05" w:rsidRPr="002E6ECA" w:rsidRDefault="00430A05" w:rsidP="00430A05">
            <w:pPr>
              <w:numPr>
                <w:ilvl w:val="0"/>
                <w:numId w:val="7"/>
              </w:numPr>
              <w:ind w:left="1015" w:hanging="357"/>
              <w:rPr>
                <w:lang w:val="uk-UA"/>
              </w:rPr>
            </w:pPr>
            <w:r w:rsidRPr="002E6ECA">
              <w:rPr>
                <w:noProof/>
                <w:lang w:val="uk-UA" w:eastAsia="uk-UA"/>
              </w:rPr>
              <mc:AlternateContent>
                <mc:Choice Requires="wps">
                  <w:drawing>
                    <wp:anchor distT="0" distB="0" distL="114300" distR="114300" simplePos="0" relativeHeight="251710976" behindDoc="0" locked="0" layoutInCell="1" allowOverlap="1" wp14:anchorId="7C1B7A47" wp14:editId="452EEC8E">
                      <wp:simplePos x="0" y="0"/>
                      <wp:positionH relativeFrom="column">
                        <wp:posOffset>114300</wp:posOffset>
                      </wp:positionH>
                      <wp:positionV relativeFrom="paragraph">
                        <wp:posOffset>45720</wp:posOffset>
                      </wp:positionV>
                      <wp:extent cx="228600" cy="0"/>
                      <wp:effectExtent l="13335" t="9525" r="15240" b="952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615D3DC" id="Прямая соединительная линия 17" o:spid="_x0000_s1026" style="position:absolute;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6pt" to="27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" strokeweight="1pt"/>
                  </w:pict>
                </mc:Fallback>
              </mc:AlternateContent>
            </w:r>
            <w:r w:rsidRPr="002E6ECA">
              <w:rPr>
                <w:lang w:val="uk-UA"/>
              </w:rPr>
              <w:t>середній кореляційний зв’язок (r=0,5-0,7)</w:t>
            </w:r>
          </w:p>
          <w:p w:rsidR="00430A05" w:rsidRPr="002E6ECA" w:rsidRDefault="00430A05" w:rsidP="00430A05">
            <w:pPr>
              <w:numPr>
                <w:ilvl w:val="0"/>
                <w:numId w:val="7"/>
              </w:numPr>
              <w:ind w:left="1015" w:hanging="357"/>
              <w:rPr>
                <w:lang w:val="uk-UA"/>
              </w:rPr>
            </w:pPr>
            <w:r w:rsidRPr="002E6ECA">
              <w:rPr>
                <w:noProof/>
                <w:lang w:val="uk-UA" w:eastAsia="uk-UA"/>
              </w:rPr>
              <mc:AlternateContent>
                <mc:Choice Requires="wps">
                  <w:drawing>
                    <wp:anchor distT="0" distB="0" distL="114300" distR="114300" simplePos="0" relativeHeight="251709952" behindDoc="0" locked="0" layoutInCell="1" allowOverlap="1" wp14:anchorId="3435D9AE" wp14:editId="10ECB6BD">
                      <wp:simplePos x="0" y="0"/>
                      <wp:positionH relativeFrom="column">
                        <wp:posOffset>114300</wp:posOffset>
                      </wp:positionH>
                      <wp:positionV relativeFrom="paragraph">
                        <wp:posOffset>83820</wp:posOffset>
                      </wp:positionV>
                      <wp:extent cx="228600" cy="0"/>
                      <wp:effectExtent l="13335" t="13335" r="5715" b="571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28600" cy="0"/>
                              </a:xfrm>
                              <a:prstGeom prst="line">
                                <a:avLst/>
                              </a:prstGeom>
                              <a:noFill/>
                              <a:ln w="9525">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2B912BC" id="Прямая соединительная линия 2" o:spid="_x0000_s1026" style="position:absolute;flip:x y;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6.6pt" to="27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">
                      <v:stroke dashstyle="dashDot"/>
                    </v:line>
                  </w:pict>
                </mc:Fallback>
              </mc:AlternateContent>
            </w:r>
            <w:r w:rsidRPr="002E6ECA">
              <w:rPr>
                <w:lang w:val="uk-UA"/>
              </w:rPr>
              <w:t>слабкий кореляційний зв’язок (r&lt;0,5)</w:t>
            </w:r>
          </w:p>
          <w:p w:rsidR="00430A05" w:rsidRPr="002E6ECA" w:rsidRDefault="00430A05" w:rsidP="00430A05">
            <w:pPr>
              <w:spacing w:line="360" w:lineRule="auto"/>
            </w:pPr>
          </w:p>
        </w:tc>
      </w:tr>
      <w:tr w:rsidR="00430A05" w:rsidRPr="002E6ECA" w:rsidTr="00035C6C">
        <w:tc>
          <w:tcPr>
            <w:tcW w:w="3207" w:type="dxa"/>
            <w:tcMar>
              <w:left w:w="28" w:type="dxa"/>
              <w:right w:w="28" w:type="dxa"/>
            </w:tcMar>
          </w:tcPr>
          <w:p w:rsidR="00430A05" w:rsidRPr="002E6ECA" w:rsidRDefault="00430A05" w:rsidP="00430A05">
            <w:pPr>
              <w:spacing w:line="360" w:lineRule="auto"/>
              <w:jc w:val="center"/>
            </w:pPr>
            <w:r w:rsidRPr="002E6ECA">
              <w:t>8-й рік навчання</w:t>
            </w:r>
          </w:p>
        </w:tc>
        <w:tc>
          <w:tcPr>
            <w:tcW w:w="3325" w:type="dxa"/>
            <w:tcMar>
              <w:left w:w="28" w:type="dxa"/>
              <w:right w:w="28" w:type="dxa"/>
            </w:tcMar>
          </w:tcPr>
          <w:p w:rsidR="00430A05" w:rsidRPr="002E6ECA" w:rsidRDefault="00430A05" w:rsidP="00430A05">
            <w:pPr>
              <w:spacing w:line="360" w:lineRule="auto"/>
              <w:jc w:val="center"/>
            </w:pPr>
            <w:r w:rsidRPr="002E6ECA">
              <w:t>9-й рік навчання</w:t>
            </w:r>
          </w:p>
        </w:tc>
        <w:tc>
          <w:tcPr>
            <w:tcW w:w="3161" w:type="dxa"/>
            <w:vMerge/>
            <w:tcMar>
              <w:left w:w="28" w:type="dxa"/>
              <w:right w:w="28" w:type="dxa"/>
            </w:tcMar>
          </w:tcPr>
          <w:p w:rsidR="00430A05" w:rsidRPr="002E6ECA" w:rsidRDefault="00430A05" w:rsidP="00430A05">
            <w:pPr>
              <w:spacing w:line="360" w:lineRule="auto"/>
              <w:jc w:val="center"/>
            </w:pPr>
          </w:p>
        </w:tc>
      </w:tr>
    </w:tbl>
    <w:p w:rsidR="00430A05" w:rsidRPr="002E6ECA" w:rsidRDefault="00430A05" w:rsidP="00430A05">
      <w:pPr>
        <w:spacing w:line="360" w:lineRule="auto"/>
        <w:rPr>
          <w:lang w:val="uk-UA"/>
        </w:rPr>
      </w:pPr>
      <w:r w:rsidRPr="002E6ECA">
        <w:rPr>
          <w:sz w:val="28"/>
          <w:szCs w:val="28"/>
        </w:rPr>
        <w:t xml:space="preserve">Рис. </w:t>
      </w:r>
      <w:r w:rsidRPr="002E6ECA">
        <w:rPr>
          <w:sz w:val="28"/>
          <w:szCs w:val="28"/>
          <w:lang w:val="uk-UA"/>
        </w:rPr>
        <w:t>7.4</w:t>
      </w:r>
      <w:r w:rsidRPr="002E6ECA">
        <w:rPr>
          <w:sz w:val="28"/>
          <w:szCs w:val="28"/>
        </w:rPr>
        <w:t>. Граф-моделі кореляційних структур системи самооцінки ЯЖПЗ учнів базової школи</w:t>
      </w:r>
      <w:r w:rsidRPr="002E6ECA">
        <w:rPr>
          <w:sz w:val="28"/>
          <w:szCs w:val="28"/>
          <w:lang w:val="uk-UA"/>
        </w:rPr>
        <w:t xml:space="preserve"> (р&lt;0,05).</w:t>
      </w:r>
    </w:p>
    <w:p w:rsidR="00430A05" w:rsidRPr="002E6ECA" w:rsidRDefault="00430A05" w:rsidP="00430A05">
      <w:pPr>
        <w:spacing w:line="360" w:lineRule="auto"/>
        <w:ind w:firstLine="709"/>
        <w:jc w:val="both"/>
        <w:rPr>
          <w:sz w:val="28"/>
          <w:szCs w:val="28"/>
          <w:lang w:val="uk-UA"/>
        </w:rPr>
      </w:pPr>
    </w:p>
    <w:p w:rsidR="00035C6C" w:rsidRPr="002E6ECA" w:rsidRDefault="00035C6C" w:rsidP="00035C6C">
      <w:pPr>
        <w:spacing w:line="360" w:lineRule="auto"/>
        <w:ind w:firstLine="709"/>
        <w:jc w:val="both"/>
        <w:rPr>
          <w:sz w:val="28"/>
          <w:szCs w:val="28"/>
          <w:lang w:val="uk-UA"/>
        </w:rPr>
      </w:pPr>
      <w:r w:rsidRPr="002E6ECA">
        <w:rPr>
          <w:sz w:val="28"/>
          <w:szCs w:val="28"/>
        </w:rPr>
        <w:t xml:space="preserve">Додатково для учнів основної групи спостереження, що навчались у базовій школі, опитування здійснювалося </w:t>
      </w:r>
      <w:r w:rsidRPr="002E6ECA">
        <w:rPr>
          <w:sz w:val="28"/>
          <w:szCs w:val="28"/>
          <w:lang w:val="uk-UA"/>
        </w:rPr>
        <w:t xml:space="preserve">в умовах перебування школярів на карантині, коли, по-перше, освітній процес відбувався за новим форматом (мається на увазі не нова форма навчання як така, а охоплення дистанційною освітою усіх школярів), по-друге – обмеження вільного пересування та соціальних контактів, неможливість реалізувати різні форми дозвілля, зокрема активні. </w:t>
      </w:r>
    </w:p>
    <w:p w:rsidR="00430A05" w:rsidRPr="002E6ECA" w:rsidRDefault="00FB7E22" w:rsidP="00430A05">
      <w:pPr>
        <w:spacing w:line="360" w:lineRule="auto"/>
        <w:ind w:firstLine="709"/>
        <w:jc w:val="both"/>
        <w:rPr>
          <w:sz w:val="28"/>
          <w:szCs w:val="28"/>
          <w:lang w:val="uk-UA"/>
        </w:rPr>
      </w:pPr>
      <w:r w:rsidRPr="002E6ECA">
        <w:rPr>
          <w:sz w:val="28"/>
          <w:szCs w:val="28"/>
          <w:lang w:val="uk-UA"/>
        </w:rPr>
        <w:lastRenderedPageBreak/>
        <w:t>Як показано на рис.</w:t>
      </w:r>
      <w:r w:rsidR="006725DD" w:rsidRPr="002E6ECA">
        <w:rPr>
          <w:sz w:val="28"/>
          <w:szCs w:val="28"/>
          <w:lang w:val="uk-UA"/>
        </w:rPr>
        <w:t xml:space="preserve"> </w:t>
      </w:r>
      <w:r w:rsidRPr="002E6ECA">
        <w:rPr>
          <w:sz w:val="28"/>
          <w:szCs w:val="28"/>
          <w:lang w:val="uk-UA"/>
        </w:rPr>
        <w:t>7.5 в</w:t>
      </w:r>
      <w:r w:rsidR="00430A05" w:rsidRPr="002E6ECA">
        <w:rPr>
          <w:sz w:val="28"/>
          <w:szCs w:val="28"/>
          <w:lang w:val="uk-UA"/>
        </w:rPr>
        <w:t xml:space="preserve"> цілому для дітей середнього шкільного віку, незалежно від статі,  рольове фізичне благополуччя мало  вищі показники (87,2±1,0 бал), ніж соціальне та психологічне (відповідно  66,8±0,9 та 64,0±1,0 бал). Для дівчат характерні більш високі показники ЯЖПЗ за шкалами рольового фізичного (89,2±1,1), соціального (68,2±1,3) та родинного функціонування (84,7±1,4 балу). </w:t>
      </w:r>
    </w:p>
    <w:p w:rsidR="0052009D" w:rsidRPr="002E6ECA" w:rsidRDefault="0052009D" w:rsidP="00FB7E22">
      <w:pPr>
        <w:autoSpaceDE w:val="0"/>
        <w:autoSpaceDN w:val="0"/>
        <w:adjustRightInd w:val="0"/>
        <w:spacing w:line="360" w:lineRule="auto"/>
        <w:ind w:firstLine="709"/>
        <w:jc w:val="both"/>
        <w:rPr>
          <w:sz w:val="28"/>
          <w:szCs w:val="28"/>
          <w:lang w:val="uk-UA"/>
        </w:rPr>
      </w:pPr>
      <w:r w:rsidRPr="002E6ECA">
        <w:rPr>
          <w:noProof/>
          <w:sz w:val="28"/>
          <w:szCs w:val="28"/>
          <w:lang w:val="uk-UA" w:eastAsia="uk-UA"/>
        </w:rPr>
        <w:drawing>
          <wp:inline distT="0" distB="0" distL="0" distR="0" wp14:anchorId="642B31EC" wp14:editId="68270C97">
            <wp:extent cx="5697435" cy="3669067"/>
            <wp:effectExtent l="0" t="0" r="0" b="762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02506" cy="3672333"/>
                    </a:xfrm>
                    <a:prstGeom prst="rect">
                      <a:avLst/>
                    </a:prstGeom>
                    <a:noFill/>
                  </pic:spPr>
                </pic:pic>
              </a:graphicData>
            </a:graphic>
          </wp:inline>
        </w:drawing>
      </w:r>
    </w:p>
    <w:p w:rsidR="00430A05" w:rsidRPr="002E6ECA" w:rsidRDefault="00430A05" w:rsidP="00FB7E22">
      <w:pPr>
        <w:autoSpaceDE w:val="0"/>
        <w:autoSpaceDN w:val="0"/>
        <w:adjustRightInd w:val="0"/>
        <w:spacing w:line="360" w:lineRule="auto"/>
        <w:ind w:firstLine="709"/>
        <w:jc w:val="both"/>
        <w:rPr>
          <w:sz w:val="28"/>
          <w:szCs w:val="28"/>
          <w:lang w:val="uk-UA"/>
        </w:rPr>
      </w:pPr>
      <w:r w:rsidRPr="002E6ECA">
        <w:rPr>
          <w:sz w:val="28"/>
          <w:szCs w:val="28"/>
          <w:lang w:val="uk-UA"/>
        </w:rPr>
        <w:t>Рис. 7.5. Показники якості життя, що пов’язана зі здоров’ям у залежності від статі.</w:t>
      </w:r>
    </w:p>
    <w:p w:rsidR="00430A05" w:rsidRPr="002E6ECA" w:rsidRDefault="00430A05" w:rsidP="00430A05">
      <w:pPr>
        <w:spacing w:line="360" w:lineRule="auto"/>
        <w:ind w:firstLine="709"/>
        <w:jc w:val="both"/>
        <w:rPr>
          <w:sz w:val="28"/>
          <w:szCs w:val="28"/>
          <w:lang w:val="uk-UA"/>
        </w:rPr>
      </w:pPr>
    </w:p>
    <w:p w:rsidR="00430A05" w:rsidRPr="002E6ECA" w:rsidRDefault="00430A05" w:rsidP="00430A05">
      <w:pPr>
        <w:spacing w:line="360" w:lineRule="auto"/>
        <w:ind w:firstLine="709"/>
        <w:jc w:val="both"/>
        <w:rPr>
          <w:sz w:val="28"/>
          <w:szCs w:val="28"/>
          <w:lang w:val="uk-UA"/>
        </w:rPr>
      </w:pPr>
      <w:r w:rsidRPr="002E6ECA">
        <w:rPr>
          <w:sz w:val="28"/>
          <w:szCs w:val="28"/>
          <w:lang w:val="uk-UA"/>
        </w:rPr>
        <w:t>Рік навчання та вік учнів мав суттєвий вплив на фізичне (F=4,00, р=0,003), шкільне (F=4,18, р=0,002) та родинне функціонування (F=2,83, р=0,024). Соціальне оточення, і, в першу чергу навчальний колектив, суттєво впливав на рівень фізичного (F=1,72, р=0,018) та шкільного функціонування (F=1,99, р=0,003), а також психічне благополуччя (F=2,34, р&lt;0,001) учнів базової школи.</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Так, у колективі, де навчаються творчо та спортивно здібні учні під час карантину були призупинені заняття в закладах позашкільної освіти. У той же </w:t>
      </w:r>
      <w:r w:rsidRPr="002E6ECA">
        <w:rPr>
          <w:sz w:val="28"/>
          <w:szCs w:val="28"/>
          <w:lang w:val="uk-UA"/>
        </w:rPr>
        <w:lastRenderedPageBreak/>
        <w:t xml:space="preserve">час батьки проявили активність по відношенню до дітей щодо надолуження ними прогалин в навчанні. Це, на жаль, не покращило рівень навчальних досягнень підлітків в цілому, проте додало конфліктності у стосунках між ними та батьками. І саме для цих дітей були характерні найнижчі показники майже за всіма шкалами та, в першу чергу </w:t>
      </w:r>
      <w:r w:rsidRPr="002E6ECA">
        <w:rPr>
          <w:spacing w:val="-2"/>
          <w:sz w:val="28"/>
          <w:szCs w:val="28"/>
          <w:lang w:val="uk-UA"/>
        </w:rPr>
        <w:t>РФФ (83,27±5,13 бали), ЗЗ (54,91±3,69 бали), ЖЗ (61,33±4,00 бали), СФ (62,40±3,73 бали) та ПБ (59,81±3,55 бали; р&lt;0,05-0,01).</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Відносно низькі показники РФ у іншому навчальному колективі (77,92±5,42 бали) пояснювались також посиленням спільного контролю педагогів та батьків в питаннях навчальної діяльності у зв’язку з низьким рівнем навчальних досягнень за підсумками І семестру. Це впливало на емоційний, а іноді й фізичний стан, відбивалось  на характері внутрішньосімейної атмосфери. </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Встановлено сильний прямий кореляційний зв’язок між показниками ФФ та РФ (r=0,755; p&lt;0,01), ЗЗ та ПБ (r=0,729; p&lt;0,01), РЕФ та ШФ (r=0,945; p&lt;0,01), а також прямий кореляційний зв’язок середньої сили між РФФ та РЕФ (r=0,567; p&lt;0,01) і ШФ (r=0,568; p&lt;0,01), ПБ та РЕФ (r=0,573; p&lt;0,01) і ШФ (r=0,531; p&lt;0,01). </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Паралельно було проаналізовано звертання учнів базової школи за он-лайн психологічною допомогою, організованою шкільним практичним психологом. Так, найбільша кількість звернень спостерігалась серед учнів старшого підліткового віку. Це пов’язано із зіткненням контролюючої функції батьків та потреб 15-річних школярів у автономії при наявності більшого рівня свободи у «докарантинний період», тож невипадковими є невисокі показники шкал РЕФ та РФ серед підлітків з цих класних колективів. У тих класах, де батьки не змінили виховну тактику, їх підхід до виховання розумно поєднував демократичний стиль спілкування з системним дозованим контролем таких критичних значень не визначалось. Поряд з цим якщо батьки у консенсусі з класним керівником надали більшу поведінкову автономію підліткам, це позитивно вплинуло на їх емоційний стан, але негативно на рівень навчальних досягнень. </w:t>
      </w:r>
    </w:p>
    <w:p w:rsidR="00430A05" w:rsidRPr="002E6ECA" w:rsidRDefault="00430A05" w:rsidP="00430A05">
      <w:pPr>
        <w:autoSpaceDE w:val="0"/>
        <w:autoSpaceDN w:val="0"/>
        <w:adjustRightInd w:val="0"/>
        <w:spacing w:line="360" w:lineRule="auto"/>
        <w:ind w:firstLine="709"/>
        <w:jc w:val="both"/>
        <w:rPr>
          <w:sz w:val="28"/>
          <w:szCs w:val="28"/>
          <w:lang w:val="uk-UA"/>
        </w:rPr>
      </w:pPr>
      <w:r w:rsidRPr="002E6ECA">
        <w:rPr>
          <w:sz w:val="28"/>
          <w:szCs w:val="28"/>
          <w:lang w:val="uk-UA"/>
        </w:rPr>
        <w:lastRenderedPageBreak/>
        <w:t xml:space="preserve">Разом з тим під час карантину більшість батьків навпаки посилили контроль за власними дітьми, особливо в питаннях навчання, що викликало протестну реакцію, особливо в учнів 8-9 класів. Так, погіршення емоційного стану, психологічного благополуччя, і, як наслідок інших показників в учнів цих класів пояснюється саме посиленням батьківського контролю за життєдіяльністю дітей, зокрема процесом здобуття ними освіти. </w:t>
      </w:r>
    </w:p>
    <w:p w:rsidR="00430A05" w:rsidRPr="002E6ECA" w:rsidRDefault="00430A05" w:rsidP="00430A05">
      <w:pPr>
        <w:spacing w:line="360" w:lineRule="auto"/>
        <w:ind w:firstLine="709"/>
        <w:jc w:val="both"/>
        <w:rPr>
          <w:sz w:val="28"/>
          <w:szCs w:val="28"/>
          <w:lang w:val="uk-UA"/>
        </w:rPr>
      </w:pPr>
      <w:r w:rsidRPr="002E6ECA">
        <w:rPr>
          <w:sz w:val="28"/>
          <w:szCs w:val="28"/>
          <w:lang w:val="uk-UA"/>
        </w:rPr>
        <w:t>Крім того з подачі деяких батьків школа асоціювалась із додатковим покаранням, особливо в учнів експериментальних класів 5-го та 8-го року навчання, що негативно позначалось на рівні ШФ (відповідно 76,14±5,25 бали та 68,42±6,93 бали), яке було найнижчим серед усіх колективів того ж року навчання.</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Найнижчі показники  ШФ спостерігались серед учнів зазначених класів, які характеризувались з одного боку низький рівнем їх освітньої самоорганізації, недостатнім рівнем внутрішньої мотивації, неготовністю до здійснення самоосвіти, а також відсутністю у більшості із підлітків навичок самоменеджменту, зокрема управління часом та емоціями. З іншого боку підбір такого кадрового складу викладання предметів у цих класах, що відрізняється завищеними педагогічними вимогами, в якійсь мірі нерозумінням відмінностей он-лайн та оф-лайн навчання, ролі вчителя в організації дистанційної форми освіти, а також здатністю класних керівників впливати на батьків в питаннях посилення ними контролю за навчанням дітей, призвело до підвищення рівня тривожності серед певної кількості підлітків. </w:t>
      </w:r>
    </w:p>
    <w:p w:rsidR="00430A05" w:rsidRPr="002E6ECA" w:rsidRDefault="00430A05" w:rsidP="00430A05">
      <w:pPr>
        <w:spacing w:line="360" w:lineRule="auto"/>
        <w:ind w:firstLine="709"/>
        <w:jc w:val="both"/>
        <w:rPr>
          <w:sz w:val="28"/>
          <w:szCs w:val="28"/>
          <w:shd w:val="clear" w:color="auto" w:fill="FFFFFF"/>
          <w:lang w:val="uk-UA"/>
        </w:rPr>
      </w:pPr>
      <w:r w:rsidRPr="002E6ECA">
        <w:rPr>
          <w:sz w:val="28"/>
          <w:szCs w:val="28"/>
          <w:lang w:val="uk-UA"/>
        </w:rPr>
        <w:t>Протягом карантину педагогічним колективом школи було організовано та проведено більше двадцяти он-лайн проектів, що сприяло підвищенню показника соціального функціонування в</w:t>
      </w:r>
      <w:r w:rsidRPr="002E6ECA">
        <w:rPr>
          <w:sz w:val="28"/>
          <w:szCs w:val="28"/>
          <w:shd w:val="clear" w:color="auto" w:fill="FFFFFF"/>
          <w:lang w:val="uk-UA"/>
        </w:rPr>
        <w:t xml:space="preserve"> тих навчальних колективах, де класні керівники проявили соціальну активність, залучили учнів та їх батьків до спільних проектів, підлітки більш активно спілкувалися, допомагали один одному.</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Не зважаючи на значне коригування навчального розкладу, зокрема перенесення початку начальних занять на 9.30, скорочення тривалості уроку до </w:t>
      </w:r>
      <w:r w:rsidRPr="002E6ECA">
        <w:rPr>
          <w:sz w:val="28"/>
          <w:szCs w:val="28"/>
          <w:lang w:val="uk-UA"/>
        </w:rPr>
        <w:lastRenderedPageBreak/>
        <w:t>35 хв., залучення учнів до динамічних перерв тривалістю не менше 15 хвилин, загальний час роботи учня з гаджетами та комп’ютером складав майже 3,5 годин, а з урахуванням часу на виконання домашніх завдань (від 1-2 годин), індивідуальних консультацій з педагогами – збільшувався до 6 годин на добу. Додатково до цього більшість із учнів 7-8 класів спілкувалися з однолітками в соціальних мережах до опівночі, а старші підлітки, навіть до 2-3-ої години ночі. Взагалі лише в межах 10-12</w:t>
      </w:r>
      <w:r w:rsidR="0080667E" w:rsidRPr="002E6ECA">
        <w:rPr>
          <w:sz w:val="28"/>
          <w:szCs w:val="28"/>
          <w:lang w:val="uk-UA"/>
        </w:rPr>
        <w:t>%</w:t>
      </w:r>
      <w:r w:rsidRPr="002E6ECA">
        <w:rPr>
          <w:sz w:val="28"/>
          <w:szCs w:val="28"/>
          <w:lang w:val="uk-UA"/>
        </w:rPr>
        <w:t xml:space="preserve"> учнів 5-9 класів продовжували дотримуватись режиму дня, встановленого в сім’ї до карантину, за виключенням перебування на свіжому повітрі. Отже, активні форми проведення вільного часу були майже повністю замінені статичними в квартирі. Невеликі площі житла й поряд з цим перебування в них декількох осіб майже унеможливило продовження заняттям спортом. Як зазначили учні, які до карантину відвідували спортивні секції, через три тижні перебування вдома стала збільшуватися вага, зокрема у зв’язку з надмірним вживанням солодощів. </w:t>
      </w:r>
    </w:p>
    <w:p w:rsidR="00430A05" w:rsidRPr="002E6ECA" w:rsidRDefault="00430A05" w:rsidP="00430A05">
      <w:pPr>
        <w:autoSpaceDE w:val="0"/>
        <w:autoSpaceDN w:val="0"/>
        <w:adjustRightInd w:val="0"/>
        <w:spacing w:line="360" w:lineRule="auto"/>
        <w:ind w:firstLine="709"/>
        <w:jc w:val="both"/>
        <w:rPr>
          <w:sz w:val="28"/>
          <w:szCs w:val="28"/>
          <w:shd w:val="clear" w:color="auto" w:fill="FFFFFF"/>
          <w:lang w:val="uk-UA"/>
        </w:rPr>
      </w:pPr>
      <w:r w:rsidRPr="002E6ECA">
        <w:rPr>
          <w:sz w:val="28"/>
          <w:szCs w:val="28"/>
          <w:lang w:val="uk-UA"/>
        </w:rPr>
        <w:t xml:space="preserve">Слід зауважити, що здорового стилю життя дотримувались лише ті підлітки, в сім’ях яких це є життєдіяльною концепцією, де батьки усвідомлюють власну роль і активну позицію в збереженні здоров’я членів сім’ї та, особливо, дітей. </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У навчальному колективі, де відмічались найвищі показники у паралелях за кількістю пропущених уроків через хворобу виявилися занизькими показники психічного благополуччя. За результатами дослідження найнижчий показник за шкалою ЗЗ виявили в учнів тих класів, де більше реєструвалось скарг на відчуття болю, а також були занизькими результати поглиблених медичних оглядів: понад 53% учнів мали тягар хронічної патології. </w:t>
      </w:r>
    </w:p>
    <w:p w:rsidR="00430A05" w:rsidRPr="002E6ECA" w:rsidRDefault="00430A05" w:rsidP="00430A05">
      <w:pPr>
        <w:pStyle w:val="a5"/>
        <w:shd w:val="clear" w:color="auto" w:fill="FFFFFF"/>
        <w:spacing w:before="0" w:beforeAutospacing="0" w:after="0" w:afterAutospacing="0" w:line="360" w:lineRule="auto"/>
        <w:ind w:firstLine="709"/>
        <w:jc w:val="both"/>
        <w:textAlignment w:val="baseline"/>
        <w:rPr>
          <w:spacing w:val="-4"/>
          <w:sz w:val="28"/>
          <w:szCs w:val="28"/>
          <w:lang w:val="uk-UA"/>
        </w:rPr>
      </w:pPr>
      <w:r w:rsidRPr="002E6ECA">
        <w:rPr>
          <w:spacing w:val="-4"/>
          <w:sz w:val="28"/>
          <w:szCs w:val="28"/>
          <w:lang w:val="uk-UA"/>
        </w:rPr>
        <w:t xml:space="preserve">Підлітки із навчальних колективів, які надали високу самооцінку загальному стану здоров’я та життєздатності, мали і найнижчий показник гострої захворюваності, що визначалась за кількістю навчальних занять, пропущених через хворобу та відрізнялись високими показниками РФФ, РЕФ та РФ. Фізичний стан зазначених класів дозволяв виконувати фізичні дії в умовах обмеженого </w:t>
      </w:r>
      <w:r w:rsidRPr="002E6ECA">
        <w:rPr>
          <w:spacing w:val="-4"/>
          <w:sz w:val="28"/>
          <w:szCs w:val="28"/>
          <w:lang w:val="uk-UA"/>
        </w:rPr>
        <w:lastRenderedPageBreak/>
        <w:t xml:space="preserve">переміщення (допомога по дому, виконання домашніх завдань, участь в онлайн акції «зарядка з батьками», виконувати помірні фізичні вправи тощо). </w:t>
      </w:r>
    </w:p>
    <w:p w:rsidR="00430A05" w:rsidRPr="002E6ECA" w:rsidRDefault="00430A05" w:rsidP="00430A05">
      <w:pPr>
        <w:pStyle w:val="a5"/>
        <w:shd w:val="clear" w:color="auto" w:fill="FFFFFF"/>
        <w:spacing w:before="0" w:beforeAutospacing="0" w:after="0" w:afterAutospacing="0" w:line="360" w:lineRule="auto"/>
        <w:ind w:firstLine="709"/>
        <w:jc w:val="both"/>
        <w:textAlignment w:val="baseline"/>
        <w:rPr>
          <w:sz w:val="28"/>
          <w:szCs w:val="28"/>
          <w:lang w:val="uk-UA"/>
        </w:rPr>
      </w:pPr>
      <w:r w:rsidRPr="002E6ECA">
        <w:rPr>
          <w:sz w:val="28"/>
          <w:szCs w:val="28"/>
          <w:lang w:val="uk-UA"/>
        </w:rPr>
        <w:t>Загальний аналіз результатів за шкалами ПБ, РЕФ свідчить, що незважаючи на загальний невисокий рівень емоційного стану підлітків під час карантину, вони справлялися з власними негативними емоціями під час дистанційного навчального процесу.</w:t>
      </w:r>
    </w:p>
    <w:p w:rsidR="00430A05" w:rsidRPr="002E6ECA" w:rsidRDefault="00430A05" w:rsidP="00430A05">
      <w:pPr>
        <w:spacing w:line="360" w:lineRule="auto"/>
        <w:ind w:firstLine="709"/>
        <w:jc w:val="both"/>
        <w:rPr>
          <w:rStyle w:val="shorttext"/>
          <w:sz w:val="28"/>
          <w:szCs w:val="28"/>
          <w:lang w:val="uk-UA"/>
        </w:rPr>
      </w:pPr>
      <w:r w:rsidRPr="002E6ECA">
        <w:rPr>
          <w:sz w:val="28"/>
          <w:szCs w:val="28"/>
          <w:lang w:val="uk-UA"/>
        </w:rPr>
        <w:t xml:space="preserve">При дослідженні дітей – учнів 5-9 класів було визначено, що за дитячою версією методики </w:t>
      </w:r>
      <w:r w:rsidRPr="002E6ECA">
        <w:rPr>
          <w:rStyle w:val="shorttext"/>
          <w:sz w:val="28"/>
          <w:szCs w:val="28"/>
          <w:lang w:val="uk-UA"/>
        </w:rPr>
        <w:t>Y-PSC дуже високий рівень (≥ 8 балів) порушення уваги мають 6,5</w:t>
      </w:r>
      <w:r w:rsidR="0080667E" w:rsidRPr="002E6ECA">
        <w:rPr>
          <w:rStyle w:val="shorttext"/>
          <w:sz w:val="28"/>
          <w:szCs w:val="28"/>
          <w:lang w:val="uk-UA"/>
        </w:rPr>
        <w:t>%</w:t>
      </w:r>
      <w:r w:rsidRPr="002E6ECA">
        <w:rPr>
          <w:rStyle w:val="shorttext"/>
          <w:sz w:val="28"/>
          <w:szCs w:val="28"/>
          <w:lang w:val="uk-UA"/>
        </w:rPr>
        <w:t xml:space="preserve"> і високий рівень (≥ 6 балів) розладу демонструють 17</w:t>
      </w:r>
      <w:r w:rsidR="0080667E" w:rsidRPr="002E6ECA">
        <w:rPr>
          <w:rStyle w:val="shorttext"/>
          <w:sz w:val="28"/>
          <w:szCs w:val="28"/>
          <w:lang w:val="uk-UA"/>
        </w:rPr>
        <w:t>%</w:t>
      </w:r>
      <w:r w:rsidRPr="002E6ECA">
        <w:rPr>
          <w:rStyle w:val="shorttext"/>
          <w:sz w:val="28"/>
          <w:szCs w:val="28"/>
          <w:lang w:val="uk-UA"/>
        </w:rPr>
        <w:t xml:space="preserve"> школярів. Кількість дуже високих і високих значень цього показнику за батьківською версією PSC суттєво не відрізнялася від дитячої самооцінки – 7,5</w:t>
      </w:r>
      <w:r w:rsidR="0080667E" w:rsidRPr="002E6ECA">
        <w:rPr>
          <w:rStyle w:val="shorttext"/>
          <w:sz w:val="28"/>
          <w:szCs w:val="28"/>
          <w:lang w:val="uk-UA"/>
        </w:rPr>
        <w:t>%</w:t>
      </w:r>
      <w:r w:rsidRPr="002E6ECA">
        <w:rPr>
          <w:rStyle w:val="shorttext"/>
          <w:sz w:val="28"/>
          <w:szCs w:val="28"/>
          <w:lang w:val="uk-UA"/>
        </w:rPr>
        <w:t xml:space="preserve"> та 14,5</w:t>
      </w:r>
      <w:r w:rsidR="0080667E" w:rsidRPr="002E6ECA">
        <w:rPr>
          <w:rStyle w:val="shorttext"/>
          <w:sz w:val="28"/>
          <w:szCs w:val="28"/>
          <w:lang w:val="uk-UA"/>
        </w:rPr>
        <w:t>%</w:t>
      </w:r>
      <w:r w:rsidRPr="002E6ECA">
        <w:rPr>
          <w:rStyle w:val="shorttext"/>
          <w:sz w:val="28"/>
          <w:szCs w:val="28"/>
          <w:lang w:val="uk-UA"/>
        </w:rPr>
        <w:t xml:space="preserve"> відповідно. </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Дуже високий рівень (≥ 6 балів) симптомів інтерналізації (пригніченість, неактивність, знижений настрій тощо) було виявлено у 14</w:t>
      </w:r>
      <w:r w:rsidR="0080667E" w:rsidRPr="002E6ECA">
        <w:rPr>
          <w:rStyle w:val="shorttext"/>
          <w:sz w:val="28"/>
          <w:szCs w:val="28"/>
          <w:lang w:val="uk-UA"/>
        </w:rPr>
        <w:t>%</w:t>
      </w:r>
      <w:r w:rsidRPr="002E6ECA">
        <w:rPr>
          <w:rStyle w:val="shorttext"/>
          <w:sz w:val="28"/>
          <w:szCs w:val="28"/>
          <w:lang w:val="uk-UA"/>
        </w:rPr>
        <w:t xml:space="preserve"> дітей, високий (≥ 4 балів) – у 38,5</w:t>
      </w:r>
      <w:r w:rsidR="0080667E" w:rsidRPr="002E6ECA">
        <w:rPr>
          <w:rStyle w:val="shorttext"/>
          <w:sz w:val="28"/>
          <w:szCs w:val="28"/>
          <w:lang w:val="uk-UA"/>
        </w:rPr>
        <w:t>%</w:t>
      </w:r>
      <w:r w:rsidRPr="002E6ECA">
        <w:rPr>
          <w:rStyle w:val="shorttext"/>
          <w:sz w:val="28"/>
          <w:szCs w:val="28"/>
          <w:lang w:val="uk-UA"/>
        </w:rPr>
        <w:t xml:space="preserve"> школярів за Y-PSC. Значно нижчою була кількість визначення цього показника з боку батьків за  PSC – 5,5</w:t>
      </w:r>
      <w:r w:rsidR="0080667E" w:rsidRPr="002E6ECA">
        <w:rPr>
          <w:rStyle w:val="shorttext"/>
          <w:sz w:val="28"/>
          <w:szCs w:val="28"/>
          <w:lang w:val="uk-UA"/>
        </w:rPr>
        <w:t>%</w:t>
      </w:r>
      <w:r w:rsidRPr="002E6ECA">
        <w:rPr>
          <w:rStyle w:val="shorttext"/>
          <w:sz w:val="28"/>
          <w:szCs w:val="28"/>
          <w:lang w:val="uk-UA"/>
        </w:rPr>
        <w:t xml:space="preserve"> та 23,5</w:t>
      </w:r>
      <w:r w:rsidR="0080667E" w:rsidRPr="002E6ECA">
        <w:rPr>
          <w:rStyle w:val="shorttext"/>
          <w:sz w:val="28"/>
          <w:szCs w:val="28"/>
          <w:lang w:val="uk-UA"/>
        </w:rPr>
        <w:t>%</w:t>
      </w:r>
      <w:r w:rsidRPr="002E6ECA">
        <w:rPr>
          <w:rStyle w:val="shorttext"/>
          <w:sz w:val="28"/>
          <w:szCs w:val="28"/>
          <w:lang w:val="uk-UA"/>
        </w:rPr>
        <w:t xml:space="preserve"> відповідно, що може відбивати різницю у сприйнятті психосоціальних проблем дітьми та дорослими (батьками дітей), а саме труднощі у розпізнаванні батьками симптомів інтерналізації їх дітей.</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Критично дуже високі значення (≥ 7 балів)  екстерналізуючих ознак було встановлено у 2,5</w:t>
      </w:r>
      <w:r w:rsidR="0080667E" w:rsidRPr="002E6ECA">
        <w:rPr>
          <w:rStyle w:val="shorttext"/>
          <w:sz w:val="28"/>
          <w:szCs w:val="28"/>
          <w:lang w:val="uk-UA"/>
        </w:rPr>
        <w:t>%</w:t>
      </w:r>
      <w:r w:rsidRPr="002E6ECA">
        <w:rPr>
          <w:rStyle w:val="shorttext"/>
          <w:sz w:val="28"/>
          <w:szCs w:val="28"/>
          <w:lang w:val="uk-UA"/>
        </w:rPr>
        <w:t xml:space="preserve"> дітей та високих (≥ 4 балів) – у 24,5</w:t>
      </w:r>
      <w:r w:rsidR="0080667E" w:rsidRPr="002E6ECA">
        <w:rPr>
          <w:rStyle w:val="shorttext"/>
          <w:sz w:val="28"/>
          <w:szCs w:val="28"/>
          <w:lang w:val="uk-UA"/>
        </w:rPr>
        <w:t>%</w:t>
      </w:r>
      <w:r w:rsidRPr="002E6ECA">
        <w:rPr>
          <w:rStyle w:val="shorttext"/>
          <w:sz w:val="28"/>
          <w:szCs w:val="28"/>
          <w:lang w:val="uk-UA"/>
        </w:rPr>
        <w:t xml:space="preserve">  учнів за Y-PSC. При цьому за PSC більш ніж втричі дуже високий рівень відмічався батьками 8,5</w:t>
      </w:r>
      <w:r w:rsidR="0080667E" w:rsidRPr="002E6ECA">
        <w:rPr>
          <w:rStyle w:val="shorttext"/>
          <w:sz w:val="28"/>
          <w:szCs w:val="28"/>
          <w:lang w:val="uk-UA"/>
        </w:rPr>
        <w:t>%</w:t>
      </w:r>
      <w:r w:rsidRPr="002E6ECA">
        <w:rPr>
          <w:rStyle w:val="shorttext"/>
          <w:sz w:val="28"/>
          <w:szCs w:val="28"/>
          <w:lang w:val="uk-UA"/>
        </w:rPr>
        <w:t>, а високий рівень незначно відрізнявся за частотою у порівнянні із дитячою самооцінкою – 26,5</w:t>
      </w:r>
      <w:r w:rsidR="0080667E" w:rsidRPr="002E6ECA">
        <w:rPr>
          <w:rStyle w:val="shorttext"/>
          <w:sz w:val="28"/>
          <w:szCs w:val="28"/>
          <w:lang w:val="uk-UA"/>
        </w:rPr>
        <w:t>%</w:t>
      </w:r>
      <w:r w:rsidRPr="002E6ECA">
        <w:rPr>
          <w:rStyle w:val="shorttext"/>
          <w:sz w:val="28"/>
          <w:szCs w:val="28"/>
          <w:lang w:val="uk-UA"/>
        </w:rPr>
        <w:t>. Розбіжності щодо екстерналізуючих симптомів можуть свідчити про те, що ознаки розладів поведінки, протестні, антидисциплінарні вчинки, дративлівість тощо більше звертають на себе увагу дорослих, є більш помітні.</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Загально високий рівень психосоціальної дисфункції у дітей був визначений у 79</w:t>
      </w:r>
      <w:r w:rsidR="0080667E" w:rsidRPr="002E6ECA">
        <w:rPr>
          <w:rStyle w:val="shorttext"/>
          <w:sz w:val="28"/>
          <w:szCs w:val="28"/>
          <w:lang w:val="uk-UA"/>
        </w:rPr>
        <w:t>%</w:t>
      </w:r>
      <w:r w:rsidRPr="002E6ECA">
        <w:rPr>
          <w:rStyle w:val="shorttext"/>
          <w:sz w:val="28"/>
          <w:szCs w:val="28"/>
          <w:lang w:val="uk-UA"/>
        </w:rPr>
        <w:t xml:space="preserve"> випадках за Y-PSC (від 17 до 44 балів, при середній нормі 16,7±7,6) та у 65</w:t>
      </w:r>
      <w:r w:rsidR="0080667E" w:rsidRPr="002E6ECA">
        <w:rPr>
          <w:rStyle w:val="shorttext"/>
          <w:sz w:val="28"/>
          <w:szCs w:val="28"/>
          <w:lang w:val="uk-UA"/>
        </w:rPr>
        <w:t>%</w:t>
      </w:r>
      <w:r w:rsidRPr="002E6ECA">
        <w:rPr>
          <w:rStyle w:val="shorttext"/>
          <w:sz w:val="28"/>
          <w:szCs w:val="28"/>
          <w:lang w:val="uk-UA"/>
        </w:rPr>
        <w:t xml:space="preserve"> за PSC (від 16 до 38 балів, при середній нормі 15,6±7,4).</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lastRenderedPageBreak/>
        <w:t xml:space="preserve">За адаптованою версією методики PSC було визначено, що загальний середній рівень психосоціального функціонування дітей 5-9 класів за </w:t>
      </w:r>
      <w:r w:rsidRPr="002E6ECA">
        <w:rPr>
          <w:rStyle w:val="shorttext"/>
          <w:bCs/>
          <w:sz w:val="28"/>
          <w:szCs w:val="28"/>
          <w:lang w:val="uk-UA"/>
        </w:rPr>
        <w:t>Y-PSC становив 19,35</w:t>
      </w:r>
      <w:r w:rsidRPr="002E6ECA">
        <w:rPr>
          <w:rStyle w:val="shorttext"/>
          <w:sz w:val="28"/>
          <w:szCs w:val="28"/>
          <w:lang w:val="uk-UA"/>
        </w:rPr>
        <w:t xml:space="preserve">±7,6 (від 18,31 до 20,38 балів), що перевищує встановлене нормативне значення 16,7±7,6 балів. За батьківською версією </w:t>
      </w:r>
      <w:r w:rsidRPr="002E6ECA">
        <w:rPr>
          <w:rStyle w:val="shorttext"/>
          <w:bCs/>
          <w:sz w:val="28"/>
          <w:szCs w:val="28"/>
          <w:lang w:val="uk-UA"/>
        </w:rPr>
        <w:t>PSC середній загальний рівень суттєво не відрізнявся від дитячих оцінок – 19,04</w:t>
      </w:r>
      <w:r w:rsidRPr="002E6ECA">
        <w:rPr>
          <w:rStyle w:val="shorttext"/>
          <w:sz w:val="28"/>
          <w:szCs w:val="28"/>
          <w:lang w:val="uk-UA"/>
        </w:rPr>
        <w:t xml:space="preserve">±8,43 балів і також перебільшував норму у 15,6±7,4. Несуттєво вищим загальний середній рівень був у школярів 5 року навчання у порівнянні з дев'ятикласниками: 19,92±7,81 та 18,55±7,08 відповідно за батьківською версією методики. Але </w:t>
      </w:r>
      <w:r w:rsidRPr="002E6ECA">
        <w:rPr>
          <w:rStyle w:val="shorttext"/>
          <w:bCs/>
          <w:sz w:val="28"/>
          <w:szCs w:val="28"/>
          <w:lang w:val="uk-UA"/>
        </w:rPr>
        <w:t>звертає на себе увагу те, що за дитячою версією розбіжності загального середнього значення більш суттєві:  18,00</w:t>
      </w:r>
      <w:r w:rsidRPr="002E6ECA">
        <w:rPr>
          <w:rStyle w:val="shorttext"/>
          <w:sz w:val="28"/>
          <w:szCs w:val="28"/>
          <w:lang w:val="uk-UA"/>
        </w:rPr>
        <w:t>±7,14 у п'ятикласників та 21,20±6,60 серед дев'ятикласників. Це може свідчити про зростання рівня психосоціальної дисфункції за самооцінкою дітей наприкінці цього етапу шкільного життя внаслідок напруження соціальних та академічних викликів.</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Критичні бали за методикою PSC показують, що дитина вже має певні психосоціальні порушення, які потребують більш детального аналізу та уваги фахівців психологічного і медичного профілів.</w:t>
      </w:r>
    </w:p>
    <w:p w:rsidR="00430A05" w:rsidRPr="002E6ECA" w:rsidRDefault="00430A05" w:rsidP="00430A05">
      <w:pPr>
        <w:spacing w:line="360" w:lineRule="auto"/>
        <w:ind w:firstLine="709"/>
        <w:jc w:val="both"/>
        <w:rPr>
          <w:rStyle w:val="shorttext"/>
          <w:sz w:val="28"/>
          <w:szCs w:val="28"/>
          <w:lang w:val="uk-UA"/>
        </w:rPr>
      </w:pPr>
      <w:r w:rsidRPr="002E6ECA">
        <w:rPr>
          <w:sz w:val="28"/>
          <w:szCs w:val="28"/>
          <w:lang w:val="uk-UA"/>
        </w:rPr>
        <w:t>За версією опитувальника, що заповнювався дітьми (</w:t>
      </w:r>
      <w:r w:rsidRPr="002E6ECA">
        <w:rPr>
          <w:rStyle w:val="shorttext"/>
          <w:bCs/>
          <w:sz w:val="28"/>
          <w:szCs w:val="28"/>
          <w:lang w:val="uk-UA"/>
        </w:rPr>
        <w:t xml:space="preserve">Y-PSC), загалом по всій досліджуваній групі був визначений середній рівень, що перебільшував нормативний показник за субшкалою уваги </w:t>
      </w:r>
      <w:r w:rsidRPr="002E6ECA">
        <w:rPr>
          <w:rStyle w:val="shorttext"/>
          <w:sz w:val="28"/>
          <w:szCs w:val="28"/>
          <w:lang w:val="uk-UA"/>
        </w:rPr>
        <w:t xml:space="preserve">(3,16), </w:t>
      </w:r>
      <w:r w:rsidRPr="002E6ECA">
        <w:rPr>
          <w:rStyle w:val="shorttext"/>
          <w:bCs/>
          <w:sz w:val="28"/>
          <w:szCs w:val="28"/>
          <w:lang w:val="uk-UA"/>
        </w:rPr>
        <w:t>він становив 3,71</w:t>
      </w:r>
      <w:r w:rsidRPr="002E6ECA">
        <w:rPr>
          <w:rStyle w:val="shorttext"/>
          <w:sz w:val="28"/>
          <w:szCs w:val="28"/>
          <w:lang w:val="uk-UA"/>
        </w:rPr>
        <w:t xml:space="preserve">±2,21. В учнів 5 року навчання цей рівень був дещо нижчим (3,47±2,21), ніж у дев'ятикласників (4,02±2,13). За батьківською версією </w:t>
      </w:r>
      <w:r w:rsidRPr="002E6ECA">
        <w:rPr>
          <w:rStyle w:val="shorttext"/>
          <w:bCs/>
          <w:sz w:val="28"/>
          <w:szCs w:val="28"/>
          <w:lang w:val="uk-UA"/>
        </w:rPr>
        <w:t>PSC загальний середній рівень за цим показником суттєво не відрізнявся від дитячих оцінок (3,91</w:t>
      </w:r>
      <w:r w:rsidRPr="002E6ECA">
        <w:rPr>
          <w:rStyle w:val="shorttext"/>
          <w:sz w:val="28"/>
          <w:szCs w:val="28"/>
          <w:lang w:val="uk-UA"/>
        </w:rPr>
        <w:t>±2,34), але мала місце зворотня тенденція в залежності від віку навчання: 4,20±2,16 серед батьків дітей п'ятикласників та 3,36±2,98 з точки зору батьків дев'ятикласників.</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 xml:space="preserve">За субшкалою інтерналізації </w:t>
      </w:r>
      <w:r w:rsidRPr="002E6ECA">
        <w:rPr>
          <w:rStyle w:val="shorttext"/>
          <w:bCs/>
          <w:sz w:val="28"/>
          <w:szCs w:val="28"/>
          <w:lang w:val="uk-UA"/>
        </w:rPr>
        <w:t>Y-PSC</w:t>
      </w:r>
      <w:r w:rsidRPr="002E6ECA">
        <w:rPr>
          <w:rStyle w:val="shorttext"/>
          <w:sz w:val="28"/>
          <w:szCs w:val="28"/>
          <w:lang w:val="uk-UA"/>
        </w:rPr>
        <w:t xml:space="preserve"> (нормативне значення 3,16) було визначено, що загальний середній показник та показник серед дев'ятикласників суттєво не перебільшують нормативний – 3,21±1,99 та 3,57±1,77, а серед п'ятикласників не виходить за межі норми – 3,08±1,79. За батьківською версією </w:t>
      </w:r>
      <w:r w:rsidRPr="002E6ECA">
        <w:rPr>
          <w:rStyle w:val="shorttext"/>
          <w:bCs/>
          <w:sz w:val="28"/>
          <w:szCs w:val="28"/>
          <w:lang w:val="uk-UA"/>
        </w:rPr>
        <w:t>PSC середній рівень інтерналізації не перевищує нормативні значення.</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lastRenderedPageBreak/>
        <w:t>За субшкалою екстерналізації</w:t>
      </w:r>
      <w:r w:rsidRPr="002E6ECA">
        <w:rPr>
          <w:rStyle w:val="shorttext"/>
          <w:bCs/>
          <w:sz w:val="28"/>
          <w:szCs w:val="28"/>
          <w:lang w:val="uk-UA"/>
        </w:rPr>
        <w:t xml:space="preserve"> Y-PSC</w:t>
      </w:r>
      <w:r w:rsidRPr="002E6ECA">
        <w:rPr>
          <w:rStyle w:val="shorttext"/>
          <w:sz w:val="28"/>
          <w:szCs w:val="28"/>
          <w:lang w:val="uk-UA"/>
        </w:rPr>
        <w:t xml:space="preserve"> (норма </w:t>
      </w:r>
      <w:r w:rsidRPr="002E6ECA">
        <w:rPr>
          <w:rStyle w:val="shorttext"/>
          <w:bCs/>
          <w:sz w:val="28"/>
          <w:szCs w:val="28"/>
          <w:lang w:val="uk-UA"/>
        </w:rPr>
        <w:t>2,37) визначено, що середній її рівень не відхилявся  від нормативних показників у досліджуваній групі школярів. Між тим, за батьківською версією PSC встановлено, що загальний середній рівень та в учнів 9 року навчання він перебільшує нормативні значення: 2,95</w:t>
      </w:r>
      <w:r w:rsidRPr="002E6ECA">
        <w:rPr>
          <w:rStyle w:val="shorttext"/>
          <w:sz w:val="28"/>
          <w:szCs w:val="28"/>
          <w:lang w:val="uk-UA"/>
        </w:rPr>
        <w:t>±2,19 та 2,73±2,15 відповідно.</w:t>
      </w:r>
    </w:p>
    <w:p w:rsidR="00430A05" w:rsidRPr="002E6ECA" w:rsidRDefault="00430A05" w:rsidP="00430A05">
      <w:pPr>
        <w:spacing w:line="360" w:lineRule="auto"/>
        <w:ind w:firstLine="709"/>
        <w:jc w:val="both"/>
        <w:rPr>
          <w:rStyle w:val="shorttext"/>
          <w:bCs/>
          <w:sz w:val="28"/>
          <w:szCs w:val="28"/>
          <w:lang w:val="uk-UA"/>
        </w:rPr>
      </w:pPr>
      <w:r w:rsidRPr="002E6ECA">
        <w:rPr>
          <w:rStyle w:val="shorttext"/>
          <w:sz w:val="28"/>
          <w:szCs w:val="28"/>
          <w:lang w:val="uk-UA"/>
        </w:rPr>
        <w:t xml:space="preserve">Проведення кореляційного аналізу дозволило встановити велику кількість зв'язків між окремими показниками двох методів дослідження, що було використано в роботі, а саме </w:t>
      </w:r>
      <w:r w:rsidR="00035C6C" w:rsidRPr="002E6ECA">
        <w:rPr>
          <w:rStyle w:val="shorttext"/>
          <w:sz w:val="28"/>
          <w:szCs w:val="28"/>
          <w:lang w:val="uk-UA"/>
        </w:rPr>
        <w:t>ЯЖПЗ</w:t>
      </w:r>
      <w:r w:rsidRPr="002E6ECA">
        <w:rPr>
          <w:sz w:val="28"/>
          <w:szCs w:val="28"/>
          <w:lang w:val="uk-UA"/>
        </w:rPr>
        <w:t xml:space="preserve"> та </w:t>
      </w:r>
      <w:r w:rsidRPr="002E6ECA">
        <w:rPr>
          <w:rStyle w:val="shorttext"/>
          <w:bCs/>
          <w:sz w:val="28"/>
          <w:szCs w:val="28"/>
          <w:lang w:val="uk-UA"/>
        </w:rPr>
        <w:t>PSC-Ukr.</w:t>
      </w:r>
    </w:p>
    <w:p w:rsidR="00430A05" w:rsidRPr="002E6ECA" w:rsidRDefault="00430A05" w:rsidP="00430A05">
      <w:pPr>
        <w:spacing w:line="360" w:lineRule="auto"/>
        <w:ind w:firstLine="709"/>
        <w:jc w:val="both"/>
        <w:rPr>
          <w:rStyle w:val="shorttext"/>
          <w:sz w:val="28"/>
          <w:szCs w:val="28"/>
          <w:lang w:val="uk-UA"/>
        </w:rPr>
      </w:pPr>
      <w:r w:rsidRPr="002E6ECA">
        <w:rPr>
          <w:sz w:val="28"/>
          <w:szCs w:val="28"/>
          <w:lang w:val="uk-UA"/>
        </w:rPr>
        <w:t xml:space="preserve">Таким чином, з’ясовано, що негативний внесок до складових якості життя школярів 5-9 років навчання мають ознаки інтерналізації, тобто їх внутрішньоособистісне напруження, тривожність, депресивність, при цьому внесок екстерналізованих відхилень – порушень поведінки, агресивності, гіперактивності був значущим для загального та психологічного здоров’я, соціального та емоційного функціонування. </w:t>
      </w:r>
    </w:p>
    <w:p w:rsidR="00430A05" w:rsidRPr="002E6ECA" w:rsidRDefault="00430A05" w:rsidP="00430A05">
      <w:pPr>
        <w:spacing w:line="360" w:lineRule="auto"/>
        <w:ind w:firstLine="709"/>
        <w:jc w:val="both"/>
        <w:rPr>
          <w:rStyle w:val="shorttext"/>
          <w:bCs/>
          <w:sz w:val="28"/>
          <w:szCs w:val="28"/>
          <w:lang w:val="uk-UA"/>
        </w:rPr>
      </w:pPr>
      <w:r w:rsidRPr="002E6ECA">
        <w:rPr>
          <w:rStyle w:val="shorttext"/>
          <w:sz w:val="28"/>
          <w:szCs w:val="28"/>
          <w:lang w:val="uk-UA"/>
        </w:rPr>
        <w:t xml:space="preserve">Отримані результати свідчать про те, що для учнів 5 і 6 років навчання за їх самооцінкою </w:t>
      </w:r>
      <w:r w:rsidRPr="002E6ECA">
        <w:rPr>
          <w:sz w:val="28"/>
          <w:szCs w:val="28"/>
          <w:lang w:val="uk-UA"/>
        </w:rPr>
        <w:t xml:space="preserve">негативний внесок до усіх складових якості життя мають ознаки інтерналізації, при цьому внесок екстерналізованих відхилень був значущим для фізичного функціонування, соціального та емоційного функціонування в учнів 5 року навчання. Суттєвих кореляційних зв’язків за батьківською версією опитувальника  </w:t>
      </w:r>
      <w:r w:rsidRPr="002E6ECA">
        <w:rPr>
          <w:rStyle w:val="shorttext"/>
          <w:bCs/>
          <w:sz w:val="28"/>
          <w:szCs w:val="28"/>
          <w:lang w:val="uk-UA"/>
        </w:rPr>
        <w:t>PSC Ukr отримано не було.</w:t>
      </w:r>
    </w:p>
    <w:p w:rsidR="00430A05" w:rsidRPr="002E6ECA" w:rsidRDefault="00430A05" w:rsidP="00430A05">
      <w:pPr>
        <w:spacing w:line="360" w:lineRule="auto"/>
        <w:ind w:firstLine="709"/>
        <w:jc w:val="both"/>
        <w:rPr>
          <w:sz w:val="28"/>
          <w:szCs w:val="28"/>
          <w:lang w:val="uk-UA"/>
        </w:rPr>
      </w:pPr>
      <w:r w:rsidRPr="002E6ECA">
        <w:rPr>
          <w:spacing w:val="-2"/>
          <w:sz w:val="28"/>
          <w:szCs w:val="28"/>
          <w:lang w:val="uk-UA"/>
        </w:rPr>
        <w:t>З’ясовано, що негативний внесок до усіх складових якості життя школярів 7 та 8 років навчання мають ознаки інтерналізації у сполученні із екстерналізованими відхиленнями, тобто їх внутрішньоособистісне напруження, тривожність, депресивність існують поруч із тенденцією до  порушень поведінки, агресивності, гіперактивності, дратівливості.</w:t>
      </w:r>
      <w:r w:rsidR="00BD4A69" w:rsidRPr="002E6ECA">
        <w:rPr>
          <w:spacing w:val="-2"/>
          <w:sz w:val="28"/>
          <w:szCs w:val="28"/>
          <w:lang w:val="uk-UA"/>
        </w:rPr>
        <w:t xml:space="preserve"> </w:t>
      </w:r>
      <w:r w:rsidRPr="002E6ECA">
        <w:rPr>
          <w:rStyle w:val="shorttext"/>
          <w:spacing w:val="-2"/>
          <w:sz w:val="28"/>
          <w:szCs w:val="28"/>
          <w:lang w:val="uk-UA"/>
        </w:rPr>
        <w:t xml:space="preserve">В дев'ятикласників було </w:t>
      </w:r>
      <w:r w:rsidRPr="002E6ECA">
        <w:rPr>
          <w:spacing w:val="-2"/>
          <w:sz w:val="28"/>
          <w:szCs w:val="28"/>
          <w:lang w:val="uk-UA"/>
        </w:rPr>
        <w:t>з’ясовано, що негативний внесок мають ознаки інтерналізації до таких складових якості життя, як фізичне функціонування, життєздатність та психологічне здоров’я. Будь яких інших кореляцій отримано не було.</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Встановлено, що кореляційний зв’язок між ознаками інтерналізації за результатами анкетування учнів та шкалами ЯЖПЗ відрізнявся на кожному </w:t>
      </w:r>
      <w:r w:rsidRPr="002E6ECA">
        <w:rPr>
          <w:sz w:val="28"/>
          <w:szCs w:val="28"/>
          <w:lang w:val="uk-UA"/>
        </w:rPr>
        <w:lastRenderedPageBreak/>
        <w:t>році навчання як кількісно, так і за якісною характеристикою</w:t>
      </w:r>
      <w:r w:rsidR="006725DD" w:rsidRPr="002E6ECA">
        <w:rPr>
          <w:sz w:val="28"/>
          <w:szCs w:val="28"/>
          <w:lang w:val="uk-UA"/>
        </w:rPr>
        <w:t xml:space="preserve"> (рис. 7.6)</w:t>
      </w:r>
      <w:r w:rsidRPr="002E6ECA">
        <w:rPr>
          <w:sz w:val="28"/>
          <w:szCs w:val="28"/>
          <w:lang w:val="uk-UA"/>
        </w:rPr>
        <w:t>. При цьому сильний кореляційний зв’язок визначався лише зі шкалою психічного благополуччя у 5, 6 та 8-му класах, шкільним функціонуванням – у 6, 7 та 8-му класах, соціальним функціонуванням – у 7 та 8-му класах. За іншими шкалами, відображеними на рисунку 7.6 встановлено кореляційні зв’язки середньої сили. Сила та кількість цих зв’язків знижувалась у 9-му класі.</w:t>
      </w:r>
    </w:p>
    <w:p w:rsidR="00430A05" w:rsidRPr="002E6ECA" w:rsidRDefault="00430A05" w:rsidP="00BD4A69">
      <w:pPr>
        <w:jc w:val="center"/>
        <w:rPr>
          <w:sz w:val="28"/>
          <w:szCs w:val="28"/>
          <w:lang w:val="uk-UA"/>
        </w:rPr>
      </w:pPr>
      <w:r w:rsidRPr="002E6ECA">
        <w:rPr>
          <w:noProof/>
          <w:lang w:val="uk-UA" w:eastAsia="uk-UA"/>
        </w:rPr>
        <w:drawing>
          <wp:inline distT="0" distB="0" distL="0" distR="0" wp14:anchorId="3D1ADF3D" wp14:editId="4AF2ED98">
            <wp:extent cx="4139660" cy="3397043"/>
            <wp:effectExtent l="0" t="0" r="0" b="0"/>
            <wp:docPr id="5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84">
                      <a:extLst>
                        <a:ext uri="{28A0092B-C50C-407E-A947-70E740481C1C}">
                          <a14:useLocalDpi xmlns:a14="http://schemas.microsoft.com/office/drawing/2010/main" val="0"/>
                        </a:ext>
                      </a:extLst>
                    </a:blip>
                    <a:srcRect l="63924" t="27765" r="16441" b="16061"/>
                    <a:stretch>
                      <a:fillRect/>
                    </a:stretch>
                  </pic:blipFill>
                  <pic:spPr bwMode="auto">
                    <a:xfrm>
                      <a:off x="0" y="0"/>
                      <a:ext cx="4140551" cy="3397774"/>
                    </a:xfrm>
                    <a:prstGeom prst="rect">
                      <a:avLst/>
                    </a:prstGeom>
                    <a:noFill/>
                    <a:ln>
                      <a:noFill/>
                    </a:ln>
                  </pic:spPr>
                </pic:pic>
              </a:graphicData>
            </a:graphic>
          </wp:inline>
        </w:drawing>
      </w:r>
    </w:p>
    <w:p w:rsidR="00430A05" w:rsidRPr="002E6ECA" w:rsidRDefault="00430A05" w:rsidP="00BD4A69">
      <w:pPr>
        <w:spacing w:line="360" w:lineRule="auto"/>
        <w:ind w:firstLine="709"/>
        <w:jc w:val="both"/>
        <w:rPr>
          <w:sz w:val="28"/>
          <w:szCs w:val="28"/>
          <w:lang w:val="uk-UA"/>
        </w:rPr>
      </w:pPr>
      <w:r w:rsidRPr="002E6ECA">
        <w:rPr>
          <w:sz w:val="28"/>
          <w:szCs w:val="28"/>
          <w:lang w:val="uk-UA"/>
        </w:rPr>
        <w:t>Рис. 7.6. Кореляції між показниками якості життя та шкалою інтерналізації     Y-PSC (дитяча версія)</w:t>
      </w:r>
    </w:p>
    <w:p w:rsidR="006725DD" w:rsidRPr="002E6ECA" w:rsidRDefault="006725DD" w:rsidP="006725DD">
      <w:pPr>
        <w:ind w:firstLine="709"/>
        <w:jc w:val="both"/>
        <w:rPr>
          <w:sz w:val="28"/>
          <w:szCs w:val="28"/>
          <w:lang w:val="uk-UA"/>
        </w:rPr>
      </w:pPr>
    </w:p>
    <w:p w:rsidR="00035C6C" w:rsidRPr="002E6ECA" w:rsidRDefault="00035C6C" w:rsidP="00035C6C">
      <w:pPr>
        <w:spacing w:line="360" w:lineRule="auto"/>
        <w:ind w:firstLine="709"/>
        <w:jc w:val="both"/>
        <w:rPr>
          <w:sz w:val="28"/>
          <w:szCs w:val="28"/>
          <w:lang w:val="uk-UA"/>
        </w:rPr>
      </w:pPr>
      <w:r w:rsidRPr="002E6ECA">
        <w:rPr>
          <w:sz w:val="28"/>
          <w:szCs w:val="28"/>
          <w:lang w:val="uk-UA"/>
        </w:rPr>
        <w:t>Кореляційні зв’язки між шкалою екстерналізації та якістю життя були менш поширеними, ніж із симптомами інтерналізації. Так, у 6-му та 9-му класах кореляції не було встановлено, а сильний кореляційний зв’язок визначався зі шкалою рольового емоційного функціонування у 5-му та 8-му класах і шкільним функціонуванням у 6, 7 та 8-му класах (рис. 7.7).</w:t>
      </w:r>
    </w:p>
    <w:p w:rsidR="006F124B" w:rsidRPr="002E6ECA" w:rsidRDefault="006F124B" w:rsidP="006F124B">
      <w:pPr>
        <w:spacing w:line="336" w:lineRule="auto"/>
        <w:ind w:firstLine="709"/>
        <w:jc w:val="both"/>
        <w:rPr>
          <w:sz w:val="28"/>
          <w:szCs w:val="28"/>
          <w:lang w:val="uk-UA"/>
        </w:rPr>
      </w:pPr>
      <w:r w:rsidRPr="002E6ECA">
        <w:rPr>
          <w:sz w:val="28"/>
          <w:szCs w:val="28"/>
          <w:lang w:val="uk-UA"/>
        </w:rPr>
        <w:t>Слід відмітити, що з відчуттям болю корелювали і ознаки інтерналізації, і екстерналізуючі прояви на 7-му та 8-му роках навчання.</w:t>
      </w:r>
    </w:p>
    <w:p w:rsidR="006F124B" w:rsidRPr="002E6ECA" w:rsidRDefault="006F124B" w:rsidP="006F124B">
      <w:pPr>
        <w:spacing w:line="360" w:lineRule="auto"/>
        <w:ind w:firstLine="709"/>
        <w:jc w:val="both"/>
        <w:rPr>
          <w:sz w:val="28"/>
          <w:szCs w:val="28"/>
          <w:lang w:val="uk-UA"/>
        </w:rPr>
      </w:pPr>
      <w:r w:rsidRPr="002E6ECA">
        <w:rPr>
          <w:sz w:val="28"/>
          <w:szCs w:val="28"/>
          <w:lang w:val="uk-UA"/>
        </w:rPr>
        <w:t xml:space="preserve">За результатами опитування батьків шкала, що відображала рівень інтерналізації їх дитини корелювала лише у 8-му класі з показниками шкільного, рольового фізичного та емоційного функціонування, а також </w:t>
      </w:r>
      <w:r w:rsidRPr="002E6ECA">
        <w:rPr>
          <w:sz w:val="28"/>
          <w:szCs w:val="28"/>
          <w:lang w:val="uk-UA"/>
        </w:rPr>
        <w:lastRenderedPageBreak/>
        <w:t>самооцінкою загального здоров’я. Даний факт може свідчити або про більшу обізнаність батьків про рівень тривожності, депресивності та внутрішньоособистісного напруження у дітей, або про їх більший ступінь проявлення із можливим усвідомленням батьками вагомості впливу емоційних відхилень у дітей на їх учнівську компетентність, академічну успішність та рівень самосприйняття (рис.  7.8).</w:t>
      </w:r>
    </w:p>
    <w:p w:rsidR="00BD4A69" w:rsidRPr="002E6ECA" w:rsidRDefault="00430A05" w:rsidP="00BD4A69">
      <w:pPr>
        <w:jc w:val="center"/>
        <w:rPr>
          <w:sz w:val="28"/>
          <w:szCs w:val="28"/>
          <w:lang w:val="uk-UA"/>
        </w:rPr>
      </w:pPr>
      <w:r w:rsidRPr="002E6ECA">
        <w:rPr>
          <w:noProof/>
          <w:lang w:val="uk-UA" w:eastAsia="uk-UA"/>
        </w:rPr>
        <w:drawing>
          <wp:inline distT="0" distB="0" distL="0" distR="0" wp14:anchorId="6491B02A" wp14:editId="44203431">
            <wp:extent cx="4219473" cy="3657600"/>
            <wp:effectExtent l="0" t="0" r="0" b="0"/>
            <wp:docPr id="5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85">
                      <a:extLst>
                        <a:ext uri="{28A0092B-C50C-407E-A947-70E740481C1C}">
                          <a14:useLocalDpi xmlns:a14="http://schemas.microsoft.com/office/drawing/2010/main" val="0"/>
                        </a:ext>
                      </a:extLst>
                    </a:blip>
                    <a:srcRect l="62718" t="20950" r="15350" b="19099"/>
                    <a:stretch>
                      <a:fillRect/>
                    </a:stretch>
                  </pic:blipFill>
                  <pic:spPr bwMode="auto">
                    <a:xfrm>
                      <a:off x="0" y="0"/>
                      <a:ext cx="4228577" cy="3665491"/>
                    </a:xfrm>
                    <a:prstGeom prst="rect">
                      <a:avLst/>
                    </a:prstGeom>
                    <a:noFill/>
                    <a:ln>
                      <a:noFill/>
                    </a:ln>
                  </pic:spPr>
                </pic:pic>
              </a:graphicData>
            </a:graphic>
          </wp:inline>
        </w:drawing>
      </w:r>
    </w:p>
    <w:p w:rsidR="00430A05" w:rsidRPr="002E6ECA" w:rsidRDefault="00430A05" w:rsidP="00BD4A69">
      <w:pPr>
        <w:spacing w:line="360" w:lineRule="auto"/>
        <w:ind w:firstLine="709"/>
        <w:jc w:val="both"/>
        <w:rPr>
          <w:sz w:val="28"/>
          <w:szCs w:val="28"/>
          <w:lang w:val="uk-UA"/>
        </w:rPr>
      </w:pPr>
      <w:r w:rsidRPr="002E6ECA">
        <w:rPr>
          <w:sz w:val="28"/>
          <w:szCs w:val="28"/>
          <w:lang w:val="uk-UA"/>
        </w:rPr>
        <w:t>Рис. 7.7. Кореляції між показниками якості життя та шкалою екстерналізації   Y-PSC (дитяча версія)</w:t>
      </w:r>
    </w:p>
    <w:p w:rsidR="00035C6C" w:rsidRPr="002E6ECA" w:rsidRDefault="00035C6C" w:rsidP="006725DD">
      <w:pPr>
        <w:ind w:firstLine="709"/>
        <w:jc w:val="both"/>
        <w:rPr>
          <w:sz w:val="28"/>
          <w:szCs w:val="28"/>
          <w:lang w:val="uk-UA"/>
        </w:rPr>
      </w:pPr>
    </w:p>
    <w:p w:rsidR="006725DD" w:rsidRPr="002E6ECA" w:rsidRDefault="00035C6C" w:rsidP="00035C6C">
      <w:pPr>
        <w:spacing w:line="360" w:lineRule="auto"/>
        <w:ind w:firstLine="709"/>
        <w:jc w:val="both"/>
        <w:rPr>
          <w:sz w:val="28"/>
          <w:szCs w:val="28"/>
          <w:lang w:val="uk-UA"/>
        </w:rPr>
      </w:pPr>
      <w:r w:rsidRPr="002E6ECA">
        <w:rPr>
          <w:sz w:val="28"/>
          <w:szCs w:val="28"/>
          <w:lang w:val="uk-UA"/>
        </w:rPr>
        <w:t xml:space="preserve">Тенденція до порушень поведінки та інших проявів екстерналізаціїї за думкою батьків слабо корелювала із відчуттям болю у школярів 5-го року навчання, з рольовим фізичним – у 6-му та рольовим емоційним функціонуванням – у 8-му класі (рис. 7.9). Взаємозв’язок з іншими шкалами якості життя та у інші періоди не зафіксований. </w:t>
      </w:r>
    </w:p>
    <w:p w:rsidR="00035C6C" w:rsidRPr="002E6ECA" w:rsidRDefault="006725DD" w:rsidP="006725DD">
      <w:pPr>
        <w:spacing w:line="360" w:lineRule="auto"/>
        <w:ind w:firstLine="709"/>
        <w:jc w:val="both"/>
        <w:rPr>
          <w:sz w:val="28"/>
          <w:szCs w:val="28"/>
          <w:lang w:val="uk-UA"/>
        </w:rPr>
      </w:pPr>
      <w:r w:rsidRPr="002E6ECA">
        <w:rPr>
          <w:rStyle w:val="shorttext"/>
          <w:bCs/>
          <w:sz w:val="28"/>
          <w:szCs w:val="28"/>
          <w:lang w:val="uk-UA"/>
        </w:rPr>
        <w:t xml:space="preserve">У хлопчиків досліджуваної групи (табл. 7.4) встановлено сильний зворотній </w:t>
      </w:r>
      <w:r w:rsidRPr="002E6ECA">
        <w:rPr>
          <w:sz w:val="28"/>
          <w:szCs w:val="28"/>
          <w:lang w:val="uk-UA"/>
        </w:rPr>
        <w:t xml:space="preserve">зв’язок між показниками відчуття болю та симптомами екстерналізації за </w:t>
      </w:r>
      <w:r w:rsidRPr="002E6ECA">
        <w:rPr>
          <w:rStyle w:val="shorttext"/>
          <w:bCs/>
          <w:sz w:val="28"/>
          <w:szCs w:val="28"/>
          <w:lang w:val="uk-UA"/>
        </w:rPr>
        <w:t xml:space="preserve">Y-PSC </w:t>
      </w:r>
      <w:r w:rsidRPr="002E6ECA">
        <w:rPr>
          <w:sz w:val="28"/>
          <w:szCs w:val="28"/>
          <w:lang w:val="uk-UA"/>
        </w:rPr>
        <w:t xml:space="preserve">(r=-0,336; p&lt;0,01), уваги (r=-0,306; p&lt;0,01) та загального рівня психосоціальної дисфункції (r=-0,338; p&lt;0,01), симптомами </w:t>
      </w:r>
      <w:r w:rsidRPr="002E6ECA">
        <w:rPr>
          <w:sz w:val="28"/>
          <w:szCs w:val="28"/>
          <w:lang w:val="uk-UA"/>
        </w:rPr>
        <w:lastRenderedPageBreak/>
        <w:t>інтерналізації, екстерналізації та загального рівня психосоціальної дисфункції за</w:t>
      </w:r>
      <w:r w:rsidRPr="002E6ECA">
        <w:rPr>
          <w:rStyle w:val="shorttext"/>
          <w:bCs/>
          <w:sz w:val="28"/>
          <w:szCs w:val="28"/>
          <w:lang w:val="uk-UA"/>
        </w:rPr>
        <w:t xml:space="preserve"> PSC </w:t>
      </w:r>
      <w:r w:rsidRPr="002E6ECA">
        <w:rPr>
          <w:sz w:val="28"/>
          <w:szCs w:val="28"/>
          <w:lang w:val="uk-UA"/>
        </w:rPr>
        <w:t>(r=-0,402; p&lt;0,01, r=-0,303; p&lt;0,01 та r=-0,389; p&lt;0,01 відповідно).</w:t>
      </w:r>
    </w:p>
    <w:p w:rsidR="00430A05" w:rsidRPr="002E6ECA" w:rsidRDefault="00430A05" w:rsidP="00430A05">
      <w:pPr>
        <w:spacing w:line="360" w:lineRule="auto"/>
        <w:jc w:val="center"/>
        <w:rPr>
          <w:sz w:val="28"/>
          <w:szCs w:val="28"/>
          <w:lang w:val="uk-UA"/>
        </w:rPr>
      </w:pPr>
      <w:r w:rsidRPr="002E6ECA">
        <w:rPr>
          <w:noProof/>
          <w:lang w:val="uk-UA" w:eastAsia="uk-UA"/>
        </w:rPr>
        <w:drawing>
          <wp:inline distT="0" distB="0" distL="0" distR="0" wp14:anchorId="227F1C16" wp14:editId="01653B22">
            <wp:extent cx="4260206" cy="3537407"/>
            <wp:effectExtent l="0" t="0" r="7620" b="6350"/>
            <wp:docPr id="5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86">
                      <a:extLst>
                        <a:ext uri="{28A0092B-C50C-407E-A947-70E740481C1C}">
                          <a14:useLocalDpi xmlns:a14="http://schemas.microsoft.com/office/drawing/2010/main" val="0"/>
                        </a:ext>
                      </a:extLst>
                    </a:blip>
                    <a:srcRect l="62573" t="19765" r="14903" b="20593"/>
                    <a:stretch>
                      <a:fillRect/>
                    </a:stretch>
                  </pic:blipFill>
                  <pic:spPr bwMode="auto">
                    <a:xfrm>
                      <a:off x="0" y="0"/>
                      <a:ext cx="4265741" cy="3542003"/>
                    </a:xfrm>
                    <a:prstGeom prst="rect">
                      <a:avLst/>
                    </a:prstGeom>
                    <a:noFill/>
                    <a:ln>
                      <a:noFill/>
                    </a:ln>
                  </pic:spPr>
                </pic:pic>
              </a:graphicData>
            </a:graphic>
          </wp:inline>
        </w:drawing>
      </w:r>
    </w:p>
    <w:p w:rsidR="00430A05" w:rsidRPr="002E6ECA" w:rsidRDefault="00430A05" w:rsidP="006725DD">
      <w:pPr>
        <w:spacing w:line="336" w:lineRule="auto"/>
        <w:ind w:firstLine="709"/>
        <w:jc w:val="both"/>
        <w:rPr>
          <w:sz w:val="28"/>
          <w:szCs w:val="28"/>
          <w:lang w:val="uk-UA"/>
        </w:rPr>
      </w:pPr>
      <w:r w:rsidRPr="002E6ECA">
        <w:rPr>
          <w:sz w:val="28"/>
          <w:szCs w:val="28"/>
          <w:lang w:val="uk-UA"/>
        </w:rPr>
        <w:t>Рис. 7.8. Кореляції між показниками якості життя та шкалою інтерналізації PSC (батьківська версія)</w:t>
      </w:r>
    </w:p>
    <w:p w:rsidR="006725DD" w:rsidRPr="002E6ECA" w:rsidRDefault="006725DD" w:rsidP="006725DD">
      <w:pPr>
        <w:spacing w:line="336" w:lineRule="auto"/>
        <w:ind w:firstLine="709"/>
        <w:jc w:val="both"/>
        <w:rPr>
          <w:sz w:val="28"/>
          <w:szCs w:val="28"/>
          <w:lang w:val="uk-UA"/>
        </w:rPr>
      </w:pPr>
    </w:p>
    <w:p w:rsidR="00430A05" w:rsidRPr="002E6ECA" w:rsidRDefault="00430A05" w:rsidP="006725DD">
      <w:pPr>
        <w:spacing w:line="360" w:lineRule="auto"/>
        <w:ind w:firstLine="709"/>
        <w:jc w:val="center"/>
        <w:rPr>
          <w:sz w:val="28"/>
          <w:szCs w:val="28"/>
          <w:lang w:val="uk-UA"/>
        </w:rPr>
      </w:pPr>
      <w:r w:rsidRPr="002E6ECA">
        <w:rPr>
          <w:noProof/>
          <w:lang w:val="uk-UA" w:eastAsia="uk-UA"/>
        </w:rPr>
        <w:drawing>
          <wp:inline distT="0" distB="0" distL="0" distR="0" wp14:anchorId="239A313D" wp14:editId="6D5FB93D">
            <wp:extent cx="3941360" cy="3222093"/>
            <wp:effectExtent l="0" t="0" r="2540" b="0"/>
            <wp:docPr id="5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87">
                      <a:extLst>
                        <a:ext uri="{28A0092B-C50C-407E-A947-70E740481C1C}">
                          <a14:useLocalDpi xmlns:a14="http://schemas.microsoft.com/office/drawing/2010/main" val="0"/>
                        </a:ext>
                      </a:extLst>
                    </a:blip>
                    <a:srcRect l="62694" t="19765" r="15663" b="20543"/>
                    <a:stretch>
                      <a:fillRect/>
                    </a:stretch>
                  </pic:blipFill>
                  <pic:spPr bwMode="auto">
                    <a:xfrm>
                      <a:off x="0" y="0"/>
                      <a:ext cx="3947291" cy="3226942"/>
                    </a:xfrm>
                    <a:prstGeom prst="rect">
                      <a:avLst/>
                    </a:prstGeom>
                    <a:noFill/>
                    <a:ln>
                      <a:noFill/>
                    </a:ln>
                  </pic:spPr>
                </pic:pic>
              </a:graphicData>
            </a:graphic>
          </wp:inline>
        </w:drawing>
      </w:r>
    </w:p>
    <w:p w:rsidR="00430A05" w:rsidRPr="002E6ECA" w:rsidRDefault="00430A05" w:rsidP="00035C6C">
      <w:pPr>
        <w:spacing w:line="360" w:lineRule="auto"/>
        <w:ind w:firstLine="709"/>
        <w:jc w:val="both"/>
        <w:rPr>
          <w:sz w:val="28"/>
          <w:szCs w:val="28"/>
          <w:lang w:val="uk-UA"/>
        </w:rPr>
      </w:pPr>
      <w:r w:rsidRPr="002E6ECA">
        <w:rPr>
          <w:sz w:val="28"/>
          <w:szCs w:val="28"/>
          <w:lang w:val="uk-UA"/>
        </w:rPr>
        <w:t>Рис. 7.9. Кореляції між показниками якості життя та шкалою екстерналізації PSC (батьківська версія)</w:t>
      </w:r>
    </w:p>
    <w:p w:rsidR="00035C6C" w:rsidRPr="002E6ECA" w:rsidRDefault="00035C6C" w:rsidP="00035C6C">
      <w:pPr>
        <w:spacing w:line="372" w:lineRule="auto"/>
        <w:ind w:firstLine="709"/>
        <w:jc w:val="both"/>
        <w:rPr>
          <w:sz w:val="28"/>
          <w:szCs w:val="28"/>
          <w:lang w:val="uk-UA"/>
        </w:rPr>
      </w:pPr>
      <w:r w:rsidRPr="002E6ECA">
        <w:rPr>
          <w:sz w:val="28"/>
          <w:szCs w:val="28"/>
          <w:lang w:val="uk-UA"/>
        </w:rPr>
        <w:lastRenderedPageBreak/>
        <w:t xml:space="preserve">У дівчаток відчуття болю мало </w:t>
      </w:r>
      <w:r w:rsidRPr="002E6ECA">
        <w:rPr>
          <w:rStyle w:val="shorttext"/>
          <w:bCs/>
          <w:sz w:val="28"/>
          <w:szCs w:val="28"/>
          <w:lang w:val="uk-UA"/>
        </w:rPr>
        <w:t xml:space="preserve">сильний зворотній </w:t>
      </w:r>
      <w:r w:rsidRPr="002E6ECA">
        <w:rPr>
          <w:sz w:val="28"/>
          <w:szCs w:val="28"/>
          <w:lang w:val="uk-UA"/>
        </w:rPr>
        <w:t xml:space="preserve">зв’язок із показниками інтерналізації, екстерналізації та середнього рівня із показником уваги за </w:t>
      </w:r>
      <w:r w:rsidRPr="002E6ECA">
        <w:rPr>
          <w:rStyle w:val="shorttext"/>
          <w:bCs/>
          <w:sz w:val="28"/>
          <w:szCs w:val="28"/>
          <w:lang w:val="uk-UA"/>
        </w:rPr>
        <w:t xml:space="preserve">Y-PSC </w:t>
      </w:r>
      <w:r w:rsidRPr="002E6ECA">
        <w:rPr>
          <w:sz w:val="28"/>
          <w:szCs w:val="28"/>
          <w:lang w:val="uk-UA"/>
        </w:rPr>
        <w:t>(r=-0,465; p&lt;0,01, r=-0,354; p&lt;0,01 та r=-0,232; p&lt;0,05 відповідно).</w:t>
      </w:r>
    </w:p>
    <w:p w:rsidR="00430A05" w:rsidRPr="002E6ECA" w:rsidRDefault="00430A05" w:rsidP="00BD4A69">
      <w:pPr>
        <w:spacing w:line="360" w:lineRule="auto"/>
        <w:ind w:firstLine="709"/>
        <w:jc w:val="right"/>
        <w:rPr>
          <w:i/>
          <w:sz w:val="28"/>
          <w:szCs w:val="28"/>
          <w:lang w:val="uk-UA"/>
        </w:rPr>
      </w:pPr>
      <w:r w:rsidRPr="002E6ECA">
        <w:rPr>
          <w:i/>
          <w:sz w:val="28"/>
          <w:szCs w:val="28"/>
          <w:lang w:val="uk-UA"/>
        </w:rPr>
        <w:t>Таблиця 7.4</w:t>
      </w:r>
    </w:p>
    <w:p w:rsidR="00430A05" w:rsidRPr="002E6ECA" w:rsidRDefault="00430A05" w:rsidP="00295E18">
      <w:pPr>
        <w:spacing w:line="360" w:lineRule="auto"/>
        <w:ind w:firstLine="709"/>
        <w:jc w:val="center"/>
        <w:rPr>
          <w:b/>
          <w:sz w:val="28"/>
          <w:szCs w:val="28"/>
          <w:lang w:val="uk-UA"/>
        </w:rPr>
      </w:pPr>
      <w:r w:rsidRPr="002E6ECA">
        <w:rPr>
          <w:b/>
          <w:sz w:val="28"/>
          <w:szCs w:val="28"/>
          <w:lang w:val="uk-UA"/>
        </w:rPr>
        <w:t xml:space="preserve">Кореляційні зв’язки між показниками ЯЖПЗ та </w:t>
      </w:r>
      <w:r w:rsidRPr="002E6ECA">
        <w:rPr>
          <w:rStyle w:val="shorttext"/>
          <w:b/>
          <w:bCs/>
          <w:sz w:val="28"/>
          <w:szCs w:val="28"/>
          <w:lang w:val="uk-UA"/>
        </w:rPr>
        <w:t>PSC за дитячою та батьківською версіями (r)</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1242"/>
        <w:gridCol w:w="1045"/>
        <w:gridCol w:w="1046"/>
        <w:gridCol w:w="1045"/>
        <w:gridCol w:w="1046"/>
        <w:gridCol w:w="1045"/>
        <w:gridCol w:w="1046"/>
        <w:gridCol w:w="1045"/>
        <w:gridCol w:w="1046"/>
      </w:tblGrid>
      <w:tr w:rsidR="00430A05" w:rsidRPr="002E6ECA" w:rsidTr="00430A05">
        <w:tc>
          <w:tcPr>
            <w:tcW w:w="1242" w:type="dxa"/>
            <w:vMerge w:val="restart"/>
            <w:shd w:val="clear" w:color="auto" w:fill="auto"/>
          </w:tcPr>
          <w:p w:rsidR="00430A05" w:rsidRPr="002E6ECA" w:rsidRDefault="00430A05" w:rsidP="00430A05">
            <w:pPr>
              <w:spacing w:line="360" w:lineRule="auto"/>
              <w:jc w:val="both"/>
              <w:rPr>
                <w:rStyle w:val="shorttext"/>
                <w:sz w:val="28"/>
                <w:szCs w:val="28"/>
                <w:lang w:val="uk-UA"/>
              </w:rPr>
            </w:pPr>
            <w:r w:rsidRPr="002E6ECA">
              <w:rPr>
                <w:sz w:val="28"/>
                <w:szCs w:val="28"/>
                <w:lang w:val="uk-UA"/>
              </w:rPr>
              <w:t>Шкала ЯЖПЗ</w:t>
            </w:r>
          </w:p>
        </w:tc>
        <w:tc>
          <w:tcPr>
            <w:tcW w:w="4182" w:type="dxa"/>
            <w:gridSpan w:val="4"/>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bCs/>
                <w:sz w:val="28"/>
                <w:szCs w:val="28"/>
                <w:lang w:val="uk-UA"/>
              </w:rPr>
              <w:t>Y-PSC Ukr (дитяча версія)</w:t>
            </w:r>
          </w:p>
        </w:tc>
        <w:tc>
          <w:tcPr>
            <w:tcW w:w="4182" w:type="dxa"/>
            <w:gridSpan w:val="4"/>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bCs/>
                <w:sz w:val="28"/>
                <w:szCs w:val="28"/>
                <w:lang w:val="uk-UA"/>
              </w:rPr>
              <w:t>PSC Ukr (батьківська версія)</w:t>
            </w:r>
          </w:p>
        </w:tc>
      </w:tr>
      <w:tr w:rsidR="00430A05" w:rsidRPr="002E6ECA" w:rsidTr="00430A05">
        <w:tc>
          <w:tcPr>
            <w:tcW w:w="1242" w:type="dxa"/>
            <w:vMerge/>
            <w:shd w:val="clear" w:color="auto" w:fill="auto"/>
          </w:tcPr>
          <w:p w:rsidR="00430A05" w:rsidRPr="002E6ECA" w:rsidRDefault="00430A05" w:rsidP="00430A05">
            <w:pPr>
              <w:spacing w:line="360" w:lineRule="auto"/>
              <w:jc w:val="both"/>
              <w:rPr>
                <w:rStyle w:val="shorttext"/>
                <w:sz w:val="28"/>
                <w:szCs w:val="28"/>
                <w:lang w:val="uk-UA"/>
              </w:rPr>
            </w:pPr>
          </w:p>
        </w:tc>
        <w:tc>
          <w:tcPr>
            <w:tcW w:w="2091" w:type="dxa"/>
            <w:gridSpan w:val="2"/>
            <w:shd w:val="clear" w:color="auto" w:fill="auto"/>
          </w:tcPr>
          <w:p w:rsidR="00430A05" w:rsidRPr="002E6ECA" w:rsidRDefault="00430A05" w:rsidP="00430A05">
            <w:pPr>
              <w:spacing w:line="360" w:lineRule="auto"/>
              <w:jc w:val="center"/>
              <w:rPr>
                <w:rStyle w:val="shorttext"/>
                <w:sz w:val="28"/>
                <w:szCs w:val="28"/>
                <w:lang w:val="uk-UA"/>
              </w:rPr>
            </w:pPr>
            <w:r w:rsidRPr="002E6ECA">
              <w:rPr>
                <w:sz w:val="28"/>
                <w:szCs w:val="28"/>
                <w:lang w:val="uk-UA"/>
              </w:rPr>
              <w:t>інтерналізація</w:t>
            </w:r>
          </w:p>
        </w:tc>
        <w:tc>
          <w:tcPr>
            <w:tcW w:w="2091" w:type="dxa"/>
            <w:gridSpan w:val="2"/>
            <w:shd w:val="clear" w:color="auto" w:fill="auto"/>
          </w:tcPr>
          <w:p w:rsidR="00430A05" w:rsidRPr="002E6ECA" w:rsidRDefault="00430A05" w:rsidP="00430A05">
            <w:pPr>
              <w:spacing w:line="360" w:lineRule="auto"/>
              <w:jc w:val="center"/>
              <w:rPr>
                <w:rStyle w:val="shorttext"/>
                <w:sz w:val="28"/>
                <w:szCs w:val="28"/>
                <w:lang w:val="uk-UA"/>
              </w:rPr>
            </w:pPr>
            <w:r w:rsidRPr="002E6ECA">
              <w:rPr>
                <w:sz w:val="28"/>
                <w:szCs w:val="28"/>
                <w:lang w:val="uk-UA"/>
              </w:rPr>
              <w:t>екстерналізація</w:t>
            </w:r>
          </w:p>
        </w:tc>
        <w:tc>
          <w:tcPr>
            <w:tcW w:w="2091" w:type="dxa"/>
            <w:gridSpan w:val="2"/>
            <w:shd w:val="clear" w:color="auto" w:fill="auto"/>
          </w:tcPr>
          <w:p w:rsidR="00430A05" w:rsidRPr="002E6ECA" w:rsidRDefault="00430A05" w:rsidP="00430A05">
            <w:pPr>
              <w:spacing w:line="360" w:lineRule="auto"/>
              <w:jc w:val="center"/>
              <w:rPr>
                <w:rStyle w:val="shorttext"/>
                <w:sz w:val="28"/>
                <w:szCs w:val="28"/>
                <w:lang w:val="uk-UA"/>
              </w:rPr>
            </w:pPr>
            <w:r w:rsidRPr="002E6ECA">
              <w:rPr>
                <w:sz w:val="28"/>
                <w:szCs w:val="28"/>
                <w:lang w:val="uk-UA"/>
              </w:rPr>
              <w:t>інтерналізація</w:t>
            </w:r>
          </w:p>
        </w:tc>
        <w:tc>
          <w:tcPr>
            <w:tcW w:w="2091" w:type="dxa"/>
            <w:gridSpan w:val="2"/>
            <w:shd w:val="clear" w:color="auto" w:fill="auto"/>
          </w:tcPr>
          <w:p w:rsidR="00430A05" w:rsidRPr="002E6ECA" w:rsidRDefault="00430A05" w:rsidP="00430A05">
            <w:pPr>
              <w:spacing w:line="360" w:lineRule="auto"/>
              <w:jc w:val="center"/>
              <w:rPr>
                <w:rStyle w:val="shorttext"/>
                <w:sz w:val="28"/>
                <w:szCs w:val="28"/>
                <w:lang w:val="uk-UA"/>
              </w:rPr>
            </w:pPr>
            <w:r w:rsidRPr="002E6ECA">
              <w:rPr>
                <w:sz w:val="28"/>
                <w:szCs w:val="28"/>
                <w:lang w:val="uk-UA"/>
              </w:rPr>
              <w:t>екстерналізація</w:t>
            </w:r>
          </w:p>
        </w:tc>
      </w:tr>
      <w:tr w:rsidR="00430A05" w:rsidRPr="002E6ECA" w:rsidTr="00430A05">
        <w:tc>
          <w:tcPr>
            <w:tcW w:w="1242" w:type="dxa"/>
            <w:vMerge/>
            <w:shd w:val="clear" w:color="auto" w:fill="auto"/>
          </w:tcPr>
          <w:p w:rsidR="00430A05" w:rsidRPr="002E6ECA" w:rsidRDefault="00430A05" w:rsidP="00430A05">
            <w:pPr>
              <w:spacing w:line="360" w:lineRule="auto"/>
              <w:jc w:val="both"/>
              <w:rPr>
                <w:rStyle w:val="shorttext"/>
                <w:sz w:val="28"/>
                <w:szCs w:val="28"/>
                <w:lang w:val="uk-UA"/>
              </w:rPr>
            </w:pP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хлопці</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дівчата</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хлопці</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дівчата</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хлопці</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дівчата</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хлопці</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дівчата</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ВБ</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E26678" w:rsidP="00E26678">
            <w:pPr>
              <w:spacing w:line="360" w:lineRule="auto"/>
              <w:jc w:val="center"/>
              <w:rPr>
                <w:rStyle w:val="shorttext"/>
                <w:sz w:val="28"/>
                <w:szCs w:val="28"/>
                <w:lang w:val="uk-UA"/>
              </w:rPr>
            </w:pPr>
            <w:r w:rsidRPr="002E6ECA">
              <w:rPr>
                <w:rStyle w:val="shorttext"/>
                <w:sz w:val="28"/>
                <w:szCs w:val="28"/>
                <w:lang w:val="uk-UA"/>
              </w:rPr>
              <w:t xml:space="preserve"> -</w:t>
            </w:r>
            <w:r w:rsidR="00430A05" w:rsidRPr="002E6ECA">
              <w:rPr>
                <w:rStyle w:val="shorttext"/>
                <w:sz w:val="28"/>
                <w:szCs w:val="28"/>
                <w:lang w:val="uk-UA"/>
              </w:rPr>
              <w:t>0,465</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 0,336</w:t>
            </w:r>
            <w:r w:rsidRPr="002E6ECA">
              <w:rPr>
                <w:sz w:val="28"/>
                <w:szCs w:val="28"/>
                <w:vertAlign w:val="superscript"/>
                <w:lang w:val="en-US"/>
              </w:rPr>
              <w:t>#</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 0,354</w:t>
            </w:r>
            <w:r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 0,402</w:t>
            </w:r>
            <w:r w:rsidRPr="002E6ECA">
              <w:rPr>
                <w:sz w:val="28"/>
                <w:szCs w:val="28"/>
                <w:vertAlign w:val="superscript"/>
                <w:lang w:val="en-US"/>
              </w:rPr>
              <w:t>#</w:t>
            </w:r>
          </w:p>
        </w:tc>
        <w:tc>
          <w:tcPr>
            <w:tcW w:w="1046" w:type="dxa"/>
            <w:shd w:val="clear" w:color="auto" w:fill="auto"/>
          </w:tcPr>
          <w:p w:rsidR="00430A05" w:rsidRPr="002E6ECA" w:rsidRDefault="00430A05" w:rsidP="00430A05">
            <w:pPr>
              <w:spacing w:line="360" w:lineRule="auto"/>
              <w:jc w:val="center"/>
            </w:pPr>
            <w:r w:rsidRPr="002E6ECA">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 0,303</w:t>
            </w:r>
            <w:r w:rsidRPr="002E6ECA">
              <w:rPr>
                <w:sz w:val="28"/>
                <w:szCs w:val="28"/>
                <w:vertAlign w:val="superscript"/>
                <w:lang w:val="en-US"/>
              </w:rPr>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ФФ</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lang w:val="uk-UA"/>
              </w:rPr>
              <w:t>-</w:t>
            </w:r>
            <w:r w:rsidR="00430A05" w:rsidRPr="002E6ECA">
              <w:rPr>
                <w:rStyle w:val="shorttext"/>
                <w:sz w:val="28"/>
                <w:szCs w:val="28"/>
                <w:lang w:val="uk-UA"/>
              </w:rPr>
              <w:t>0,265</w:t>
            </w:r>
            <w:r w:rsidR="00430A05" w:rsidRPr="002E6ECA">
              <w:rPr>
                <w:sz w:val="28"/>
                <w:szCs w:val="28"/>
                <w:vertAlign w:val="superscript"/>
                <w:lang w:val="en-US"/>
              </w:rPr>
              <w:t>#</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rPr>
                <w:rStyle w:val="shorttext"/>
                <w:sz w:val="28"/>
                <w:szCs w:val="28"/>
                <w:lang w:val="uk-UA"/>
              </w:rPr>
              <w:t>– 0,373</w:t>
            </w:r>
            <w:r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ЗЗ</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0,338</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0,457</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0,371</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0,246</w:t>
            </w:r>
            <w:r w:rsidR="00430A05" w:rsidRPr="002E6ECA">
              <w:rPr>
                <w:rStyle w:val="shorttext"/>
                <w:sz w:val="28"/>
                <w:szCs w:val="28"/>
                <w:vertAlign w:val="superscript"/>
                <w:lang w:val="uk-UA"/>
              </w:rPr>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ЖЗ</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0,442</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0,567</w:t>
            </w:r>
            <w:r w:rsidR="00430A05" w:rsidRPr="002E6ECA">
              <w:rPr>
                <w:sz w:val="28"/>
                <w:szCs w:val="28"/>
                <w:vertAlign w:val="superscript"/>
                <w:lang w:val="en-US"/>
              </w:rPr>
              <w:t>#</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0,200</w:t>
            </w:r>
            <w:r w:rsidR="00430A05" w:rsidRPr="002E6ECA">
              <w:rPr>
                <w:rStyle w:val="shorttext"/>
                <w:sz w:val="28"/>
                <w:szCs w:val="28"/>
                <w:vertAlign w:val="superscript"/>
                <w:lang w:val="uk-UA"/>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0,227</w:t>
            </w:r>
            <w:r w:rsidR="00430A05" w:rsidRPr="002E6ECA">
              <w:rPr>
                <w:rStyle w:val="shorttext"/>
                <w:sz w:val="28"/>
                <w:szCs w:val="28"/>
                <w:vertAlign w:val="superscript"/>
                <w:lang w:val="uk-UA"/>
              </w:rPr>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0,256</w:t>
            </w:r>
            <w:r w:rsidR="00430A05" w:rsidRPr="002E6ECA">
              <w:rPr>
                <w:rStyle w:val="shorttext"/>
                <w:sz w:val="28"/>
                <w:szCs w:val="28"/>
                <w:vertAlign w:val="superscript"/>
                <w:lang w:val="uk-UA"/>
              </w:rPr>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СФ</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0,275</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0,514</w:t>
            </w:r>
            <w:r w:rsidR="00430A05" w:rsidRPr="002E6ECA">
              <w:rPr>
                <w:sz w:val="28"/>
                <w:szCs w:val="28"/>
                <w:vertAlign w:val="superscript"/>
                <w:lang w:val="en-US"/>
              </w:rPr>
              <w:t>#</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0,242</w:t>
            </w:r>
            <w:r w:rsidR="00430A05" w:rsidRPr="002E6ECA">
              <w:rPr>
                <w:rStyle w:val="shorttext"/>
                <w:sz w:val="28"/>
                <w:szCs w:val="28"/>
                <w:vertAlign w:val="superscript"/>
                <w:lang w:val="uk-UA"/>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0,398</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rPr>
                <w:rStyle w:val="shorttext"/>
                <w:sz w:val="28"/>
                <w:szCs w:val="28"/>
                <w:lang w:val="uk-UA"/>
              </w:rPr>
            </w:pP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РЕФ</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0,377</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0,431</w:t>
            </w:r>
            <w:r w:rsidR="00430A05" w:rsidRPr="002E6ECA">
              <w:rPr>
                <w:sz w:val="28"/>
                <w:szCs w:val="28"/>
                <w:vertAlign w:val="superscript"/>
                <w:lang w:val="en-US"/>
              </w:rPr>
              <w:t>#</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0,332</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0,399</w:t>
            </w:r>
            <w:r w:rsidR="00430A05" w:rsidRPr="002E6ECA">
              <w:rPr>
                <w:sz w:val="28"/>
                <w:szCs w:val="28"/>
                <w:vertAlign w:val="superscript"/>
                <w:lang w:val="en-US"/>
              </w:rPr>
              <w:t>#</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0,286</w:t>
            </w:r>
            <w:r w:rsidR="00430A05" w:rsidRPr="002E6ECA">
              <w:rPr>
                <w:rStyle w:val="shorttext"/>
                <w:sz w:val="28"/>
                <w:szCs w:val="28"/>
                <w:vertAlign w:val="superscript"/>
                <w:lang w:val="uk-UA"/>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0,309</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0,259</w:t>
            </w:r>
            <w:r w:rsidR="00430A05" w:rsidRPr="002E6ECA">
              <w:rPr>
                <w:rStyle w:val="shorttext"/>
                <w:sz w:val="28"/>
                <w:szCs w:val="28"/>
                <w:vertAlign w:val="superscript"/>
                <w:lang w:val="uk-UA"/>
              </w:rPr>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ПБ</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0,505</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0,557</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0,253</w:t>
            </w:r>
            <w:r w:rsidR="00430A05" w:rsidRPr="002E6ECA">
              <w:rPr>
                <w:rStyle w:val="shorttext"/>
                <w:sz w:val="28"/>
                <w:szCs w:val="28"/>
                <w:vertAlign w:val="superscript"/>
                <w:lang w:val="uk-UA"/>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ШФ</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0,360</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0,436</w:t>
            </w:r>
            <w:r w:rsidR="00430A05" w:rsidRPr="002E6ECA">
              <w:rPr>
                <w:sz w:val="28"/>
                <w:szCs w:val="28"/>
                <w:vertAlign w:val="superscript"/>
                <w:lang w:val="en-US"/>
              </w:rPr>
              <w:t>#</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0,295</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0,446</w:t>
            </w:r>
            <w:r w:rsidR="00430A05" w:rsidRPr="002E6ECA">
              <w:rPr>
                <w:sz w:val="28"/>
                <w:szCs w:val="28"/>
                <w:vertAlign w:val="superscript"/>
                <w:lang w:val="en-US"/>
              </w:rPr>
              <w:t>#</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0,301</w:t>
            </w:r>
            <w:r w:rsidR="00430A05" w:rsidRPr="002E6ECA">
              <w:rPr>
                <w:rStyle w:val="shorttext"/>
                <w:sz w:val="28"/>
                <w:szCs w:val="28"/>
                <w:vertAlign w:val="superscript"/>
                <w:lang w:val="uk-UA"/>
              </w:rPr>
              <w:t>*</w:t>
            </w:r>
          </w:p>
        </w:tc>
        <w:tc>
          <w:tcPr>
            <w:tcW w:w="1046" w:type="dxa"/>
            <w:shd w:val="clear" w:color="auto" w:fill="auto"/>
          </w:tcPr>
          <w:p w:rsidR="00430A05" w:rsidRPr="002E6ECA" w:rsidRDefault="00430A05" w:rsidP="00430A05">
            <w:pPr>
              <w:spacing w:line="360" w:lineRule="auto"/>
              <w:jc w:val="center"/>
            </w:pPr>
            <w:r w:rsidRPr="002E6ECA">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r w:rsidR="00430A05" w:rsidRPr="002E6ECA" w:rsidTr="00430A05">
        <w:tc>
          <w:tcPr>
            <w:tcW w:w="1242" w:type="dxa"/>
            <w:shd w:val="clear" w:color="auto" w:fill="auto"/>
          </w:tcPr>
          <w:p w:rsidR="00430A05" w:rsidRPr="002E6ECA" w:rsidRDefault="00430A05" w:rsidP="00430A05">
            <w:pPr>
              <w:spacing w:line="360" w:lineRule="auto"/>
              <w:jc w:val="both"/>
              <w:rPr>
                <w:rStyle w:val="shorttext"/>
                <w:sz w:val="28"/>
                <w:szCs w:val="28"/>
                <w:lang w:val="uk-UA"/>
              </w:rPr>
            </w:pPr>
            <w:r w:rsidRPr="002E6ECA">
              <w:rPr>
                <w:rStyle w:val="shorttext"/>
                <w:sz w:val="28"/>
                <w:szCs w:val="28"/>
                <w:lang w:val="uk-UA"/>
              </w:rPr>
              <w:t>РФ</w:t>
            </w:r>
          </w:p>
        </w:tc>
        <w:tc>
          <w:tcPr>
            <w:tcW w:w="1045"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0,330</w:t>
            </w:r>
            <w:r w:rsidR="00430A05" w:rsidRPr="002E6ECA">
              <w:rPr>
                <w:sz w:val="28"/>
                <w:szCs w:val="28"/>
                <w:vertAlign w:val="superscript"/>
                <w:lang w:val="en-US"/>
              </w:rPr>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0,528</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E26678" w:rsidP="00430A05">
            <w:pPr>
              <w:spacing w:line="360" w:lineRule="auto"/>
              <w:jc w:val="center"/>
              <w:rPr>
                <w:rStyle w:val="shorttext"/>
                <w:sz w:val="28"/>
                <w:szCs w:val="28"/>
                <w:lang w:val="uk-UA"/>
              </w:rPr>
            </w:pPr>
            <w:r w:rsidRPr="002E6ECA">
              <w:rPr>
                <w:rStyle w:val="shorttext"/>
                <w:sz w:val="28"/>
                <w:szCs w:val="28"/>
                <w:lang w:val="uk-UA"/>
              </w:rPr>
              <w:t>-</w:t>
            </w:r>
            <w:r w:rsidR="00430A05" w:rsidRPr="002E6ECA">
              <w:rPr>
                <w:rStyle w:val="shorttext"/>
                <w:sz w:val="28"/>
                <w:szCs w:val="28"/>
                <w:lang w:val="uk-UA"/>
              </w:rPr>
              <w:t>0,370</w:t>
            </w:r>
            <w:r w:rsidR="00430A05" w:rsidRPr="002E6ECA">
              <w:rPr>
                <w:sz w:val="28"/>
                <w:szCs w:val="28"/>
                <w:vertAlign w:val="superscript"/>
                <w:lang w:val="en-US"/>
              </w:rPr>
              <w:t>#</w:t>
            </w:r>
          </w:p>
        </w:tc>
        <w:tc>
          <w:tcPr>
            <w:tcW w:w="1045" w:type="dxa"/>
            <w:shd w:val="clear" w:color="auto" w:fill="auto"/>
          </w:tcPr>
          <w:p w:rsidR="00430A05" w:rsidRPr="002E6ECA" w:rsidRDefault="00430A05" w:rsidP="00430A05">
            <w:pPr>
              <w:spacing w:line="360" w:lineRule="auto"/>
              <w:jc w:val="center"/>
              <w:rPr>
                <w:rStyle w:val="shorttext"/>
                <w:sz w:val="28"/>
                <w:szCs w:val="28"/>
                <w:lang w:val="uk-UA"/>
              </w:rP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c>
          <w:tcPr>
            <w:tcW w:w="1045" w:type="dxa"/>
            <w:shd w:val="clear" w:color="auto" w:fill="auto"/>
          </w:tcPr>
          <w:p w:rsidR="00430A05" w:rsidRPr="002E6ECA" w:rsidRDefault="00430A05" w:rsidP="00430A05">
            <w:pPr>
              <w:spacing w:line="360" w:lineRule="auto"/>
              <w:jc w:val="center"/>
            </w:pPr>
            <w:r w:rsidRPr="002E6ECA">
              <w:t>–</w:t>
            </w:r>
          </w:p>
        </w:tc>
        <w:tc>
          <w:tcPr>
            <w:tcW w:w="1046" w:type="dxa"/>
            <w:shd w:val="clear" w:color="auto" w:fill="auto"/>
          </w:tcPr>
          <w:p w:rsidR="00430A05" w:rsidRPr="002E6ECA" w:rsidRDefault="00430A05" w:rsidP="00430A05">
            <w:pPr>
              <w:spacing w:line="360" w:lineRule="auto"/>
              <w:jc w:val="center"/>
            </w:pPr>
            <w:r w:rsidRPr="002E6ECA">
              <w:t>–</w:t>
            </w:r>
          </w:p>
        </w:tc>
      </w:tr>
    </w:tbl>
    <w:p w:rsidR="00430A05" w:rsidRPr="002E6ECA" w:rsidRDefault="007D3F0B" w:rsidP="00430A05">
      <w:pPr>
        <w:spacing w:line="360" w:lineRule="auto"/>
        <w:ind w:firstLine="709"/>
      </w:pPr>
      <w:r w:rsidRPr="002E6ECA">
        <w:rPr>
          <w:lang w:val="uk-UA"/>
        </w:rPr>
        <w:t>Примітка: рівень значущості коефіцієнта кореляції (</w:t>
      </w:r>
      <w:r w:rsidR="00430A05" w:rsidRPr="002E6ECA">
        <w:rPr>
          <w:vertAlign w:val="superscript"/>
          <w:lang w:val="uk-UA"/>
        </w:rPr>
        <w:t>*</w:t>
      </w:r>
      <w:r w:rsidR="00430A05" w:rsidRPr="002E6ECA">
        <w:rPr>
          <w:lang w:val="uk-UA"/>
        </w:rPr>
        <w:t xml:space="preserve"> </w:t>
      </w:r>
      <w:r w:rsidR="00430A05" w:rsidRPr="002E6ECA">
        <w:t>–</w:t>
      </w:r>
      <w:r w:rsidR="00BD4A69" w:rsidRPr="002E6ECA">
        <w:rPr>
          <w:lang w:val="uk-UA"/>
        </w:rPr>
        <w:t>р</w:t>
      </w:r>
      <w:r w:rsidR="00BD4A69" w:rsidRPr="002E6ECA">
        <w:t>&lt;</w:t>
      </w:r>
      <w:r w:rsidR="00430A05" w:rsidRPr="002E6ECA">
        <w:rPr>
          <w:lang w:val="uk-UA"/>
        </w:rPr>
        <w:t xml:space="preserve">0,05; </w:t>
      </w:r>
      <w:r w:rsidR="00430A05" w:rsidRPr="002E6ECA">
        <w:rPr>
          <w:vertAlign w:val="superscript"/>
        </w:rPr>
        <w:t>#</w:t>
      </w:r>
      <w:r w:rsidR="00430A05" w:rsidRPr="002E6ECA">
        <w:rPr>
          <w:lang w:val="uk-UA"/>
        </w:rPr>
        <w:t xml:space="preserve"> </w:t>
      </w:r>
      <w:r w:rsidR="00E26678" w:rsidRPr="002E6ECA">
        <w:t>-</w:t>
      </w:r>
      <w:r w:rsidR="00BD4A69" w:rsidRPr="002E6ECA">
        <w:rPr>
          <w:lang w:val="uk-UA"/>
        </w:rPr>
        <w:t>р</w:t>
      </w:r>
      <w:r w:rsidR="00BD4A69" w:rsidRPr="002E6ECA">
        <w:t>&lt;</w:t>
      </w:r>
      <w:r w:rsidR="00430A05" w:rsidRPr="002E6ECA">
        <w:rPr>
          <w:lang w:val="uk-UA"/>
        </w:rPr>
        <w:t>0,01</w:t>
      </w:r>
      <w:r w:rsidRPr="002E6ECA">
        <w:rPr>
          <w:lang w:val="uk-UA"/>
        </w:rPr>
        <w:t>).</w:t>
      </w:r>
    </w:p>
    <w:p w:rsidR="00035C6C" w:rsidRPr="002E6ECA" w:rsidRDefault="00035C6C" w:rsidP="00430A05">
      <w:pPr>
        <w:spacing w:line="360" w:lineRule="auto"/>
        <w:ind w:firstLine="709"/>
        <w:jc w:val="both"/>
        <w:rPr>
          <w:rStyle w:val="shorttext"/>
          <w:bCs/>
          <w:sz w:val="28"/>
          <w:szCs w:val="28"/>
          <w:lang w:val="uk-UA"/>
        </w:rPr>
      </w:pPr>
    </w:p>
    <w:p w:rsidR="00035C6C" w:rsidRPr="002E6ECA" w:rsidRDefault="00035C6C" w:rsidP="00035C6C">
      <w:pPr>
        <w:spacing w:line="360" w:lineRule="auto"/>
        <w:ind w:firstLine="709"/>
        <w:jc w:val="both"/>
        <w:rPr>
          <w:rStyle w:val="shorttext"/>
          <w:bCs/>
          <w:sz w:val="28"/>
          <w:szCs w:val="28"/>
          <w:lang w:val="uk-UA"/>
        </w:rPr>
      </w:pPr>
      <w:r w:rsidRPr="002E6ECA">
        <w:rPr>
          <w:bCs/>
          <w:sz w:val="28"/>
          <w:szCs w:val="28"/>
          <w:lang w:val="uk-UA"/>
        </w:rPr>
        <w:t xml:space="preserve">Таким чином, результати кореляційного аналізу, що був проведений, свідчать про зв’язок між показниками двох методик. При цьому можна вважати, що </w:t>
      </w:r>
      <w:r w:rsidRPr="002E6ECA">
        <w:rPr>
          <w:sz w:val="28"/>
          <w:szCs w:val="28"/>
          <w:lang w:val="uk-UA"/>
        </w:rPr>
        <w:t xml:space="preserve">показники якості життя відбивають наявність широкого кола відхилень функціонування дитини, а </w:t>
      </w:r>
      <w:r w:rsidRPr="002E6ECA">
        <w:rPr>
          <w:rStyle w:val="shorttext"/>
          <w:bCs/>
          <w:sz w:val="28"/>
          <w:szCs w:val="28"/>
          <w:lang w:val="uk-UA"/>
        </w:rPr>
        <w:t xml:space="preserve">PSC надає можливість з’ясування напрямків, якості проявів порушень </w:t>
      </w:r>
      <w:r w:rsidR="00E26678" w:rsidRPr="002E6ECA">
        <w:rPr>
          <w:rStyle w:val="shorttext"/>
          <w:bCs/>
          <w:sz w:val="28"/>
          <w:szCs w:val="28"/>
          <w:lang w:val="uk-UA"/>
        </w:rPr>
        <w:t>-</w:t>
      </w:r>
      <w:r w:rsidRPr="002E6ECA">
        <w:rPr>
          <w:rStyle w:val="shorttext"/>
          <w:bCs/>
          <w:sz w:val="28"/>
          <w:szCs w:val="28"/>
          <w:lang w:val="uk-UA"/>
        </w:rPr>
        <w:t xml:space="preserve">інтерналізуючих або екстерналізуючих. </w:t>
      </w:r>
    </w:p>
    <w:p w:rsidR="00430A05" w:rsidRPr="002E6ECA" w:rsidRDefault="00430A05" w:rsidP="00430A05">
      <w:pPr>
        <w:spacing w:line="360" w:lineRule="auto"/>
        <w:ind w:firstLine="709"/>
        <w:jc w:val="both"/>
        <w:rPr>
          <w:bCs/>
          <w:sz w:val="28"/>
          <w:szCs w:val="28"/>
          <w:lang w:val="uk-UA"/>
        </w:rPr>
      </w:pPr>
      <w:r w:rsidRPr="002E6ECA">
        <w:rPr>
          <w:rStyle w:val="shorttext"/>
          <w:bCs/>
          <w:sz w:val="28"/>
          <w:szCs w:val="28"/>
          <w:lang w:val="uk-UA"/>
        </w:rPr>
        <w:t>Отримані результати також свідчать про існування вікових та гендерних особливостей, що надає можливість диференційованого психолого-педагогічного супроводу дітей із ознаками психосоціальної дисфункції.</w:t>
      </w:r>
    </w:p>
    <w:p w:rsidR="00430A05" w:rsidRPr="002E6ECA" w:rsidRDefault="00430A05" w:rsidP="00430A05">
      <w:pPr>
        <w:spacing w:line="360" w:lineRule="auto"/>
        <w:ind w:firstLine="709"/>
        <w:rPr>
          <w:sz w:val="28"/>
          <w:szCs w:val="28"/>
          <w:lang w:val="uk-UA"/>
        </w:rPr>
      </w:pPr>
    </w:p>
    <w:p w:rsidR="00430A05" w:rsidRPr="002E6ECA" w:rsidRDefault="00430A05" w:rsidP="00BD4A69">
      <w:pPr>
        <w:spacing w:line="360" w:lineRule="auto"/>
        <w:ind w:firstLine="709"/>
        <w:jc w:val="both"/>
        <w:rPr>
          <w:b/>
          <w:sz w:val="28"/>
          <w:szCs w:val="28"/>
          <w:lang w:val="uk-UA"/>
        </w:rPr>
      </w:pPr>
      <w:r w:rsidRPr="002E6ECA">
        <w:rPr>
          <w:b/>
          <w:sz w:val="28"/>
          <w:szCs w:val="28"/>
          <w:lang w:val="uk-UA"/>
        </w:rPr>
        <w:lastRenderedPageBreak/>
        <w:t>7.3. Порівняльна характеристика соціального та шкільного функціонування учнів в процесі адаптації до навчання у старшій (профільній) школі.</w:t>
      </w:r>
    </w:p>
    <w:p w:rsidR="00430A05" w:rsidRPr="002E6ECA" w:rsidRDefault="00430A05" w:rsidP="00430A05">
      <w:pPr>
        <w:spacing w:line="360" w:lineRule="auto"/>
        <w:ind w:firstLine="709"/>
        <w:jc w:val="both"/>
        <w:rPr>
          <w:sz w:val="28"/>
          <w:szCs w:val="28"/>
          <w:lang w:val="uk-UA"/>
        </w:rPr>
      </w:pPr>
      <w:r w:rsidRPr="002E6ECA">
        <w:rPr>
          <w:sz w:val="28"/>
          <w:szCs w:val="28"/>
          <w:lang w:val="uk-UA"/>
        </w:rPr>
        <w:t>В світлі впровадження профільного трирічного навчання, що набуває чинності з 2027 року в рамках реформи Нової Української Школи, нагальним постає завдання щодо визначення вихідного рівня психосоціальної адаптації школярів, що мають намір отримувати повну загальну середню освіту у відповідних ЗЗСО, а також визначення найбільш уразливих груп з позицій формування дезадаптивних станів за фізичною, психологічною та соціальною складовою. Саме тому було проведено оцінку ЯЖПЗ у поєднанні з PSC упродовж навчання у ще нереформованій старшій школі.</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Аналіз показників ЯЖПЗ старшокласників встановив найвищий рівень за шкалою фізичного функціонування (PF; 93,1±1,7 балу) незалежно від статі, року навчання та віку учнів, а найнижчий </w:t>
      </w:r>
      <w:r w:rsidR="00E26678" w:rsidRPr="002E6ECA">
        <w:rPr>
          <w:sz w:val="28"/>
          <w:szCs w:val="28"/>
          <w:lang w:val="uk-UA"/>
        </w:rPr>
        <w:t>-</w:t>
      </w:r>
      <w:r w:rsidRPr="002E6ECA">
        <w:rPr>
          <w:sz w:val="28"/>
          <w:szCs w:val="28"/>
          <w:lang w:val="uk-UA"/>
        </w:rPr>
        <w:t xml:space="preserve">життєздатності (VT; 58,8±1,6 балу). Нижчим за достатній (меншим за 70 балів) був рівень якості життя за всіма шкалами, що характеризують психологічну компоненту: життєздатність (58,8±2,6 балів), психологічне здоров’я (63,9±2,4 балів), рольове емоційне (69,4±4,1 балів) та соціальне функціонування (69,7±3,5 балів). </w:t>
      </w: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Однією з вікових особливостей якості життя (рис. 7.10) був найвищий рівень фізичного функціонування у 17-річних учнів на тлі мінімального рівня життєздатності та психічного здоров’я (р&lt;0,05). У той же час 15-річні підлітки характеризувались значно вищим у порівнянні з іншими віковими групами рівнем рольового фізичного функціонування та найнижчим рівнем життєздатності і психологічного здоров’я (істотно </w:t>
      </w:r>
      <w:r w:rsidR="00E26678" w:rsidRPr="002E6ECA">
        <w:rPr>
          <w:sz w:val="28"/>
          <w:szCs w:val="28"/>
          <w:lang w:val="uk-UA"/>
        </w:rPr>
        <w:t>-</w:t>
      </w:r>
      <w:r w:rsidRPr="002E6ECA">
        <w:rPr>
          <w:sz w:val="28"/>
          <w:szCs w:val="28"/>
          <w:lang w:val="uk-UA"/>
        </w:rPr>
        <w:t>з 16-річними, р&lt;0,05-0,01).</w:t>
      </w:r>
    </w:p>
    <w:p w:rsidR="006725DD" w:rsidRPr="002E6ECA" w:rsidRDefault="006725DD" w:rsidP="006725DD">
      <w:pPr>
        <w:spacing w:line="360" w:lineRule="auto"/>
        <w:ind w:firstLine="709"/>
        <w:jc w:val="both"/>
        <w:rPr>
          <w:sz w:val="28"/>
          <w:szCs w:val="28"/>
          <w:lang w:val="uk-UA"/>
        </w:rPr>
      </w:pPr>
      <w:r w:rsidRPr="002E6ECA">
        <w:rPr>
          <w:sz w:val="28"/>
          <w:szCs w:val="28"/>
          <w:lang w:val="uk-UA"/>
        </w:rPr>
        <w:t xml:space="preserve">За результатами системного аналізу системи оцінювання ЯЖПЗ у підлітків різних років навчання було визначено однакові за рівнем загальні коефіцієнти лабілізації (КЛз) у обох вікових групах, що свідчить про формування порівнюваних за напруженістю систем. Високий рівень КЛ психологічної компоненти свідчив про більш напружений взаємозв’язок між </w:t>
      </w:r>
      <w:r w:rsidRPr="002E6ECA">
        <w:rPr>
          <w:sz w:val="28"/>
          <w:szCs w:val="28"/>
          <w:lang w:val="uk-UA"/>
        </w:rPr>
        <w:lastRenderedPageBreak/>
        <w:t>показниками психологічного здоров’я учнів і, відповідно, вищий рівень інтеграції його оцінювання.</w:t>
      </w:r>
    </w:p>
    <w:p w:rsidR="0052009D" w:rsidRPr="002E6ECA" w:rsidRDefault="0052009D" w:rsidP="00430A05">
      <w:pPr>
        <w:spacing w:line="360" w:lineRule="auto"/>
        <w:ind w:firstLine="709"/>
        <w:jc w:val="both"/>
        <w:rPr>
          <w:sz w:val="28"/>
          <w:szCs w:val="28"/>
          <w:lang w:val="uk-UA"/>
        </w:rPr>
      </w:pPr>
      <w:r w:rsidRPr="002E6ECA">
        <w:rPr>
          <w:noProof/>
          <w:sz w:val="28"/>
          <w:szCs w:val="28"/>
          <w:lang w:val="uk-UA" w:eastAsia="uk-UA"/>
        </w:rPr>
        <w:drawing>
          <wp:inline distT="0" distB="0" distL="0" distR="0" wp14:anchorId="0C525AD4" wp14:editId="4E73240C">
            <wp:extent cx="5224780" cy="3535680"/>
            <wp:effectExtent l="0" t="0" r="0" b="762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224780" cy="3535680"/>
                    </a:xfrm>
                    <a:prstGeom prst="rect">
                      <a:avLst/>
                    </a:prstGeom>
                    <a:noFill/>
                  </pic:spPr>
                </pic:pic>
              </a:graphicData>
            </a:graphic>
          </wp:inline>
        </w:drawing>
      </w:r>
    </w:p>
    <w:p w:rsidR="00430A05" w:rsidRPr="002E6ECA" w:rsidRDefault="00430A05" w:rsidP="00430A05">
      <w:pPr>
        <w:spacing w:line="360" w:lineRule="auto"/>
        <w:ind w:firstLine="709"/>
        <w:jc w:val="both"/>
        <w:rPr>
          <w:sz w:val="28"/>
          <w:szCs w:val="28"/>
          <w:lang w:val="uk-UA"/>
        </w:rPr>
      </w:pPr>
      <w:r w:rsidRPr="002E6ECA">
        <w:rPr>
          <w:sz w:val="28"/>
          <w:szCs w:val="28"/>
          <w:lang w:val="uk-UA"/>
        </w:rPr>
        <w:t>Рис. 7.10. Показники якості життя, що пов’язана зі здоров’ям у підлітків різного віку</w:t>
      </w:r>
    </w:p>
    <w:p w:rsidR="00430A05" w:rsidRPr="002E6ECA" w:rsidRDefault="00430A05" w:rsidP="00430A05">
      <w:pPr>
        <w:spacing w:line="360" w:lineRule="auto"/>
        <w:ind w:firstLine="709"/>
        <w:jc w:val="both"/>
        <w:rPr>
          <w:sz w:val="28"/>
          <w:szCs w:val="28"/>
          <w:lang w:val="uk-UA"/>
        </w:rPr>
      </w:pPr>
    </w:p>
    <w:p w:rsidR="00430A05" w:rsidRPr="002E6ECA" w:rsidRDefault="00430A05" w:rsidP="00430A05">
      <w:pPr>
        <w:spacing w:line="360" w:lineRule="auto"/>
        <w:ind w:firstLine="709"/>
        <w:jc w:val="both"/>
        <w:rPr>
          <w:sz w:val="28"/>
          <w:szCs w:val="28"/>
          <w:lang w:val="uk-UA"/>
        </w:rPr>
      </w:pPr>
      <w:r w:rsidRPr="002E6ECA">
        <w:rPr>
          <w:sz w:val="28"/>
          <w:szCs w:val="28"/>
          <w:lang w:val="uk-UA"/>
        </w:rPr>
        <w:t xml:space="preserve">Встановлено підвищення загальноструктурної синхронізації показників ЯЖПЗ при переході з десятого до одинадцятого класу (рис. 7.11). </w:t>
      </w:r>
    </w:p>
    <w:p w:rsidR="00035C6C" w:rsidRPr="002E6ECA" w:rsidRDefault="00035C6C" w:rsidP="00035C6C">
      <w:pPr>
        <w:spacing w:line="360" w:lineRule="auto"/>
        <w:ind w:firstLine="709"/>
        <w:jc w:val="both"/>
        <w:rPr>
          <w:sz w:val="28"/>
          <w:szCs w:val="28"/>
          <w:lang w:val="uk-UA"/>
        </w:rPr>
      </w:pPr>
      <w:r w:rsidRPr="002E6ECA">
        <w:rPr>
          <w:sz w:val="28"/>
          <w:szCs w:val="28"/>
          <w:lang w:val="uk-UA"/>
        </w:rPr>
        <w:t xml:space="preserve">Підвищення КЛ фізичної компоненти у 11-тикласників більш ніж у двічі (з 41,7% до 91,7%) свідчило про зростання автономності цієї підсистеми і, відповідно, сприятливий фізичний стан за даними самооцінювання. </w:t>
      </w:r>
    </w:p>
    <w:p w:rsidR="00035C6C" w:rsidRPr="002E6ECA" w:rsidRDefault="00035C6C" w:rsidP="00035C6C">
      <w:pPr>
        <w:spacing w:line="360" w:lineRule="auto"/>
        <w:ind w:firstLine="709"/>
        <w:jc w:val="both"/>
        <w:rPr>
          <w:sz w:val="28"/>
          <w:szCs w:val="28"/>
          <w:lang w:val="uk-UA"/>
        </w:rPr>
      </w:pPr>
      <w:r w:rsidRPr="002E6ECA">
        <w:rPr>
          <w:sz w:val="28"/>
          <w:szCs w:val="28"/>
          <w:lang w:val="uk-UA"/>
        </w:rPr>
        <w:t>Високі рівні КЛф та КЛпс у 11-класників на тлі помірно вираженого ПКР (45,5%) свідчать про відносну компенсованість та сприятливий стан функціонування системи оцінювання фізичного, психологічного та соціального благополуччя.</w:t>
      </w:r>
      <w:r w:rsidR="006725DD" w:rsidRPr="002E6ECA">
        <w:rPr>
          <w:sz w:val="28"/>
          <w:szCs w:val="28"/>
          <w:lang w:val="uk-UA"/>
        </w:rPr>
        <w:t xml:space="preserve"> </w:t>
      </w:r>
    </w:p>
    <w:p w:rsidR="006725DD" w:rsidRPr="002E6ECA" w:rsidRDefault="006725DD" w:rsidP="006725DD">
      <w:pPr>
        <w:spacing w:line="360" w:lineRule="auto"/>
        <w:ind w:firstLine="709"/>
        <w:jc w:val="both"/>
        <w:rPr>
          <w:sz w:val="28"/>
          <w:szCs w:val="28"/>
          <w:lang w:val="uk-UA"/>
        </w:rPr>
      </w:pPr>
      <w:r w:rsidRPr="002E6ECA">
        <w:rPr>
          <w:sz w:val="28"/>
          <w:szCs w:val="28"/>
          <w:lang w:val="uk-UA"/>
        </w:rPr>
        <w:t xml:space="preserve">Подібний аналіз було проведено і у різних статевих групах. Встановлено, що для хлопців системоутворюючим показником було психологічне здоров’я (МН), а для дівчат </w:t>
      </w:r>
      <w:r w:rsidR="00E26678" w:rsidRPr="002E6ECA">
        <w:rPr>
          <w:sz w:val="28"/>
          <w:szCs w:val="28"/>
          <w:lang w:val="uk-UA"/>
        </w:rPr>
        <w:t>-</w:t>
      </w:r>
      <w:r w:rsidRPr="002E6ECA">
        <w:rPr>
          <w:sz w:val="28"/>
          <w:szCs w:val="28"/>
          <w:lang w:val="uk-UA"/>
        </w:rPr>
        <w:t xml:space="preserve">соціальне функціонування (SF). </w:t>
      </w:r>
    </w:p>
    <w:p w:rsidR="006725DD" w:rsidRPr="002E6ECA" w:rsidRDefault="006725DD" w:rsidP="00035C6C">
      <w:pPr>
        <w:spacing w:line="360" w:lineRule="auto"/>
        <w:ind w:firstLine="709"/>
        <w:jc w:val="both"/>
        <w:rPr>
          <w:sz w:val="28"/>
          <w:szCs w:val="28"/>
          <w:lang w:val="uk-UA"/>
        </w:rPr>
      </w:pPr>
    </w:p>
    <w:p w:rsidR="00430A05" w:rsidRPr="002E6ECA" w:rsidRDefault="00430A05" w:rsidP="00430A05">
      <w:pPr>
        <w:spacing w:line="360" w:lineRule="auto"/>
        <w:ind w:firstLine="709"/>
        <w:jc w:val="both"/>
        <w:rPr>
          <w:sz w:val="28"/>
          <w:szCs w:val="28"/>
          <w:lang w:val="uk-UA"/>
        </w:rPr>
      </w:pPr>
      <w:r w:rsidRPr="002E6ECA">
        <w:rPr>
          <w:noProof/>
          <w:sz w:val="28"/>
          <w:szCs w:val="28"/>
          <w:lang w:val="uk-UA" w:eastAsia="uk-UA"/>
        </w:rPr>
        <w:lastRenderedPageBreak/>
        <w:drawing>
          <wp:inline distT="0" distB="0" distL="0" distR="0" wp14:anchorId="323AC092" wp14:editId="12FA5D36">
            <wp:extent cx="5337810" cy="2102485"/>
            <wp:effectExtent l="0" t="0" r="0" b="0"/>
            <wp:docPr id="5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337810" cy="2102485"/>
                    </a:xfrm>
                    <a:prstGeom prst="rect">
                      <a:avLst/>
                    </a:prstGeom>
                    <a:noFill/>
                    <a:ln>
                      <a:noFill/>
                    </a:ln>
                  </pic:spPr>
                </pic:pic>
              </a:graphicData>
            </a:graphic>
          </wp:inline>
        </w:drawing>
      </w:r>
    </w:p>
    <w:p w:rsidR="00430A05" w:rsidRPr="002E6ECA" w:rsidRDefault="00430A05" w:rsidP="00430A05">
      <w:pPr>
        <w:spacing w:line="360" w:lineRule="auto"/>
        <w:ind w:left="708" w:firstLine="709"/>
        <w:rPr>
          <w:sz w:val="28"/>
          <w:szCs w:val="28"/>
          <w:lang w:val="uk-UA"/>
        </w:rPr>
      </w:pPr>
      <w:r w:rsidRPr="002E6ECA">
        <w:rPr>
          <w:sz w:val="28"/>
          <w:szCs w:val="28"/>
          <w:lang w:val="uk-UA"/>
        </w:rPr>
        <w:t>Учні 10 класів</w:t>
      </w:r>
      <w:r w:rsidRPr="002E6ECA">
        <w:rPr>
          <w:sz w:val="28"/>
          <w:szCs w:val="28"/>
          <w:lang w:val="uk-UA"/>
        </w:rPr>
        <w:tab/>
      </w:r>
      <w:r w:rsidRPr="002E6ECA">
        <w:rPr>
          <w:sz w:val="28"/>
          <w:szCs w:val="28"/>
          <w:lang w:val="uk-UA"/>
        </w:rPr>
        <w:tab/>
      </w:r>
      <w:r w:rsidRPr="002E6ECA">
        <w:rPr>
          <w:sz w:val="28"/>
          <w:szCs w:val="28"/>
          <w:lang w:val="uk-UA"/>
        </w:rPr>
        <w:tab/>
      </w:r>
      <w:r w:rsidRPr="002E6ECA">
        <w:rPr>
          <w:sz w:val="28"/>
          <w:szCs w:val="28"/>
          <w:lang w:val="uk-UA"/>
        </w:rPr>
        <w:tab/>
        <w:t>Учні 11 класів</w:t>
      </w:r>
      <w:r w:rsidRPr="002E6ECA">
        <w:rPr>
          <w:sz w:val="28"/>
          <w:szCs w:val="28"/>
          <w:lang w:val="uk-UA"/>
        </w:rPr>
        <w:tab/>
      </w:r>
    </w:p>
    <w:p w:rsidR="00430A05" w:rsidRPr="002E6ECA" w:rsidRDefault="00430A05" w:rsidP="00430A05">
      <w:pPr>
        <w:spacing w:line="360" w:lineRule="auto"/>
        <w:ind w:firstLine="709"/>
        <w:jc w:val="both"/>
        <w:rPr>
          <w:sz w:val="28"/>
          <w:szCs w:val="28"/>
          <w:lang w:val="uk-UA"/>
        </w:rPr>
      </w:pPr>
      <w:r w:rsidRPr="002E6ECA">
        <w:rPr>
          <w:sz w:val="28"/>
          <w:szCs w:val="28"/>
          <w:lang w:val="uk-UA"/>
        </w:rPr>
        <w:t>Рис. 7.11. Граф-моделі кореляційних структур оцінки якості життя у залежності від року навчання</w:t>
      </w:r>
    </w:p>
    <w:p w:rsidR="00430A05" w:rsidRPr="002E6ECA" w:rsidRDefault="00430A05" w:rsidP="00430A05">
      <w:pPr>
        <w:spacing w:line="360" w:lineRule="auto"/>
        <w:ind w:firstLine="709"/>
        <w:jc w:val="both"/>
        <w:rPr>
          <w:lang w:val="uk-UA"/>
        </w:rPr>
      </w:pPr>
      <w:r w:rsidRPr="002E6ECA">
        <w:rPr>
          <w:lang w:val="uk-UA"/>
        </w:rPr>
        <w:t>Примітка</w:t>
      </w:r>
      <w:r w:rsidR="007D3F0B" w:rsidRPr="002E6ECA">
        <w:rPr>
          <w:lang w:val="uk-UA"/>
        </w:rPr>
        <w:t>:</w:t>
      </w:r>
      <w:r w:rsidRPr="002E6ECA">
        <w:rPr>
          <w:lang w:val="uk-UA"/>
        </w:rPr>
        <w:t xml:space="preserve"> </w:t>
      </w:r>
    </w:p>
    <w:p w:rsidR="00430A05" w:rsidRPr="002E6ECA" w:rsidRDefault="00430A05" w:rsidP="007D3F0B">
      <w:pPr>
        <w:numPr>
          <w:ilvl w:val="0"/>
          <w:numId w:val="7"/>
        </w:numPr>
        <w:spacing w:line="312" w:lineRule="auto"/>
        <w:ind w:left="1021" w:firstLine="709"/>
        <w:rPr>
          <w:lang w:val="uk-UA"/>
        </w:rPr>
      </w:pPr>
      <w:r w:rsidRPr="002E6ECA">
        <w:rPr>
          <w:noProof/>
          <w:lang w:val="uk-UA" w:eastAsia="uk-UA"/>
        </w:rPr>
        <mc:AlternateContent>
          <mc:Choice Requires="wps">
            <w:drawing>
              <wp:anchor distT="4294967291" distB="4294967291" distL="114300" distR="114300" simplePos="0" relativeHeight="251703808" behindDoc="0" locked="0" layoutInCell="1" allowOverlap="1" wp14:anchorId="29D68EA0" wp14:editId="272A57D5">
                <wp:simplePos x="0" y="0"/>
                <wp:positionH relativeFrom="column">
                  <wp:posOffset>114300</wp:posOffset>
                </wp:positionH>
                <wp:positionV relativeFrom="paragraph">
                  <wp:posOffset>106679</wp:posOffset>
                </wp:positionV>
                <wp:extent cx="228600" cy="0"/>
                <wp:effectExtent l="0" t="19050" r="0" b="19050"/>
                <wp:wrapNone/>
                <wp:docPr id="226" name="Прямая соединительная линия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3345D50" id="Прямая соединительная линия 226" o:spid="_x0000_s1026" style="position:absolute;z-index:2517038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9pt,8.4pt" to="27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" strokeweight="3pt"/>
            </w:pict>
          </mc:Fallback>
        </mc:AlternateContent>
      </w:r>
      <w:r w:rsidRPr="002E6ECA">
        <w:rPr>
          <w:lang w:val="uk-UA"/>
        </w:rPr>
        <w:t>сильний кореляційний зв’язок (r=0,7-0,9; p&lt;0,05)</w:t>
      </w:r>
    </w:p>
    <w:p w:rsidR="00430A05" w:rsidRPr="002E6ECA" w:rsidRDefault="00430A05" w:rsidP="007D3F0B">
      <w:pPr>
        <w:numPr>
          <w:ilvl w:val="0"/>
          <w:numId w:val="7"/>
        </w:numPr>
        <w:spacing w:line="312" w:lineRule="auto"/>
        <w:ind w:left="1021" w:firstLine="709"/>
        <w:rPr>
          <w:lang w:val="uk-UA"/>
        </w:rPr>
      </w:pPr>
      <w:r w:rsidRPr="002E6ECA">
        <w:rPr>
          <w:noProof/>
          <w:lang w:val="uk-UA" w:eastAsia="uk-UA"/>
        </w:rPr>
        <mc:AlternateContent>
          <mc:Choice Requires="wps">
            <w:drawing>
              <wp:anchor distT="4294967291" distB="4294967291" distL="114300" distR="114300" simplePos="0" relativeHeight="251705856" behindDoc="0" locked="0" layoutInCell="1" allowOverlap="1" wp14:anchorId="1E7859B4" wp14:editId="0A160145">
                <wp:simplePos x="0" y="0"/>
                <wp:positionH relativeFrom="column">
                  <wp:posOffset>114300</wp:posOffset>
                </wp:positionH>
                <wp:positionV relativeFrom="paragraph">
                  <wp:posOffset>45719</wp:posOffset>
                </wp:positionV>
                <wp:extent cx="228600" cy="0"/>
                <wp:effectExtent l="0" t="0" r="19050" b="19050"/>
                <wp:wrapNone/>
                <wp:docPr id="227" name="Прямая соединительная линия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D8049E0" id="Прямая соединительная линия 227" o:spid="_x0000_s1026" style="position:absolute;z-index:2517058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9pt,3.6pt" to="27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" strokeweight="1pt"/>
            </w:pict>
          </mc:Fallback>
        </mc:AlternateContent>
      </w:r>
      <w:r w:rsidRPr="002E6ECA">
        <w:rPr>
          <w:lang w:val="uk-UA"/>
        </w:rPr>
        <w:t>середній кореляційний зв’язок (r=0,5-0,7; p&lt;0,05)</w:t>
      </w:r>
    </w:p>
    <w:p w:rsidR="00430A05" w:rsidRPr="002E6ECA" w:rsidRDefault="00430A05" w:rsidP="007D3F0B">
      <w:pPr>
        <w:numPr>
          <w:ilvl w:val="0"/>
          <w:numId w:val="7"/>
        </w:numPr>
        <w:spacing w:line="312" w:lineRule="auto"/>
        <w:ind w:left="1021" w:firstLine="709"/>
        <w:rPr>
          <w:lang w:val="uk-UA"/>
        </w:rPr>
      </w:pPr>
      <w:r w:rsidRPr="002E6ECA">
        <w:rPr>
          <w:noProof/>
          <w:lang w:val="uk-UA" w:eastAsia="uk-UA"/>
        </w:rPr>
        <mc:AlternateContent>
          <mc:Choice Requires="wps">
            <w:drawing>
              <wp:anchor distT="4294967291" distB="4294967291" distL="114300" distR="114300" simplePos="0" relativeHeight="251704832" behindDoc="0" locked="0" layoutInCell="1" allowOverlap="1" wp14:anchorId="093B745C" wp14:editId="48EB9B0E">
                <wp:simplePos x="0" y="0"/>
                <wp:positionH relativeFrom="column">
                  <wp:posOffset>114300</wp:posOffset>
                </wp:positionH>
                <wp:positionV relativeFrom="paragraph">
                  <wp:posOffset>83819</wp:posOffset>
                </wp:positionV>
                <wp:extent cx="228600" cy="0"/>
                <wp:effectExtent l="0" t="0" r="19050" b="19050"/>
                <wp:wrapNone/>
                <wp:docPr id="228" name="Прямая соединительная линия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28600" cy="0"/>
                        </a:xfrm>
                        <a:prstGeom prst="line">
                          <a:avLst/>
                        </a:prstGeom>
                        <a:noFill/>
                        <a:ln w="9525">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E61AB02" id="Прямая соединительная линия 228" o:spid="_x0000_s1026" style="position:absolute;flip:x y;z-index:2517048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9pt,6.6pt" to="27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">
                <v:stroke dashstyle="dashDot"/>
              </v:line>
            </w:pict>
          </mc:Fallback>
        </mc:AlternateContent>
      </w:r>
      <w:r w:rsidRPr="002E6ECA">
        <w:rPr>
          <w:lang w:val="uk-UA"/>
        </w:rPr>
        <w:t>слабкий кореляційний зв’язок (r&lt;0,5; p&lt;0,05)</w:t>
      </w:r>
    </w:p>
    <w:p w:rsidR="00430A05" w:rsidRPr="002E6ECA" w:rsidRDefault="00430A05" w:rsidP="00430A05">
      <w:pPr>
        <w:spacing w:line="360" w:lineRule="auto"/>
        <w:ind w:firstLine="709"/>
        <w:jc w:val="both"/>
        <w:rPr>
          <w:sz w:val="28"/>
          <w:szCs w:val="28"/>
          <w:lang w:val="uk-UA"/>
        </w:rPr>
      </w:pPr>
    </w:p>
    <w:p w:rsidR="00430A05" w:rsidRPr="002E6ECA" w:rsidRDefault="00430A05" w:rsidP="00430A05">
      <w:pPr>
        <w:spacing w:line="360" w:lineRule="auto"/>
        <w:ind w:firstLine="709"/>
        <w:jc w:val="both"/>
        <w:rPr>
          <w:sz w:val="28"/>
          <w:szCs w:val="28"/>
          <w:lang w:val="uk-UA"/>
        </w:rPr>
      </w:pPr>
      <w:r w:rsidRPr="002E6ECA">
        <w:rPr>
          <w:sz w:val="28"/>
          <w:szCs w:val="28"/>
          <w:lang w:val="uk-UA"/>
        </w:rPr>
        <w:t>Крім того, КЛ загальний, а також фізичної та психологічної компоненти був вищим серед дівчат, що свідчило про більш високий рівень інтеграції у системі суб’єктивної оцінки власного здоров’я за всіма компонентами у цій статевій групі. Щодо кореляційних «портретів»: незначні якісні відмінності кореляційних структур, що визначались за показником ПКР були встановлені між учнями різних років навчання, а у різних статевих групах вони були майже однаковими.</w:t>
      </w:r>
    </w:p>
    <w:p w:rsidR="00430A05" w:rsidRPr="002E6ECA" w:rsidRDefault="00430A05" w:rsidP="00430A05">
      <w:pPr>
        <w:spacing w:line="360" w:lineRule="auto"/>
        <w:ind w:firstLine="709"/>
        <w:jc w:val="both"/>
        <w:rPr>
          <w:sz w:val="28"/>
          <w:szCs w:val="28"/>
          <w:lang w:val="uk-UA"/>
        </w:rPr>
      </w:pPr>
      <w:r w:rsidRPr="002E6ECA">
        <w:rPr>
          <w:sz w:val="28"/>
          <w:szCs w:val="28"/>
          <w:lang w:val="uk-UA"/>
        </w:rPr>
        <w:t>Для всіх учнів встановлено домінування внутрішньосистемних інтеграцій (у більшій мірі за психологічною компонентою) над міжсистемною, що свідчило про відносну стабільність системи оцінювання ЯЖПЗ та компенсований стан її фізичної та психологічної складових. Перехід до випускного класу супроводжується компенсованим напруженням системи оцінювання власного здоров’я за фізичною компонентою при незмінному високому рівні інтеграції психологічної складової.</w:t>
      </w:r>
    </w:p>
    <w:p w:rsidR="00430A05" w:rsidRPr="002E6ECA" w:rsidRDefault="00430A05" w:rsidP="00430A05">
      <w:pPr>
        <w:spacing w:line="360" w:lineRule="auto"/>
        <w:ind w:firstLine="709"/>
        <w:jc w:val="both"/>
        <w:rPr>
          <w:sz w:val="28"/>
          <w:szCs w:val="28"/>
          <w:lang w:val="uk-UA"/>
        </w:rPr>
      </w:pPr>
      <w:r w:rsidRPr="002E6ECA">
        <w:rPr>
          <w:sz w:val="28"/>
          <w:szCs w:val="28"/>
          <w:lang w:val="uk-UA"/>
        </w:rPr>
        <w:lastRenderedPageBreak/>
        <w:t xml:space="preserve">Задля з’ясування механізмів формування інтегрованої системи оцінювання психологічного здоров’я та напрямків (екстерналізованих або інтерналізованих) порушень психосоціального функціонування було використано результати за методикою оцінки психосоціального функціонування/дисфункції </w:t>
      </w:r>
      <w:r w:rsidRPr="002E6ECA">
        <w:rPr>
          <w:rStyle w:val="shorttext"/>
          <w:sz w:val="28"/>
          <w:szCs w:val="28"/>
          <w:lang w:val="uk-UA"/>
        </w:rPr>
        <w:t>PSC-Ukr</w:t>
      </w:r>
      <w:r w:rsidRPr="002E6ECA">
        <w:rPr>
          <w:sz w:val="28"/>
          <w:szCs w:val="28"/>
          <w:lang w:val="uk-UA"/>
        </w:rPr>
        <w:t>.</w:t>
      </w:r>
    </w:p>
    <w:p w:rsidR="00430A05" w:rsidRPr="002E6ECA" w:rsidRDefault="00430A05" w:rsidP="00430A05">
      <w:pPr>
        <w:spacing w:line="360" w:lineRule="auto"/>
        <w:ind w:firstLine="709"/>
        <w:jc w:val="both"/>
        <w:rPr>
          <w:rStyle w:val="shorttext"/>
          <w:sz w:val="28"/>
          <w:szCs w:val="28"/>
          <w:lang w:val="uk-UA"/>
        </w:rPr>
      </w:pPr>
      <w:r w:rsidRPr="002E6ECA">
        <w:rPr>
          <w:rStyle w:val="ref-title"/>
          <w:sz w:val="28"/>
          <w:szCs w:val="28"/>
          <w:lang w:val="uk-UA"/>
        </w:rPr>
        <w:t>Дослідження, що було проведене, свідчить про наявність відхилень від середніх нормативних значень за дитячою (</w:t>
      </w:r>
      <w:r w:rsidRPr="002E6ECA">
        <w:rPr>
          <w:rStyle w:val="shorttext"/>
          <w:sz w:val="28"/>
          <w:szCs w:val="28"/>
          <w:lang w:val="uk-UA"/>
        </w:rPr>
        <w:t>Y-PSC-Ukr) та батьківською версіями  (PSC-Ukr) методики. Так, за субшкалою інтерналізації середній рівень серед досліджуваних становив  10,77 балів (від 9,62 до 11, 93 балів) при нормі у 6,3±</w:t>
      </w:r>
      <w:r w:rsidRPr="002E6ECA">
        <w:rPr>
          <w:sz w:val="28"/>
          <w:szCs w:val="28"/>
          <w:lang w:val="uk-UA"/>
        </w:rPr>
        <w:t xml:space="preserve">3,7 </w:t>
      </w:r>
      <w:r w:rsidRPr="002E6ECA">
        <w:rPr>
          <w:rStyle w:val="shorttext"/>
          <w:sz w:val="28"/>
          <w:szCs w:val="28"/>
          <w:lang w:val="uk-UA"/>
        </w:rPr>
        <w:t xml:space="preserve">бали, рівень екстерналізації </w:t>
      </w:r>
      <w:r w:rsidR="00E26678" w:rsidRPr="002E6ECA">
        <w:rPr>
          <w:rStyle w:val="shorttext"/>
          <w:sz w:val="28"/>
          <w:szCs w:val="28"/>
          <w:lang w:val="uk-UA"/>
        </w:rPr>
        <w:t>-</w:t>
      </w:r>
      <w:r w:rsidRPr="002E6ECA">
        <w:rPr>
          <w:rStyle w:val="shorttext"/>
          <w:sz w:val="28"/>
          <w:szCs w:val="28"/>
          <w:lang w:val="uk-UA"/>
        </w:rPr>
        <w:t>11,36 балів (від 10,35 до 12,37 балів) при нормі 9,3±4,9 балів. Такі результати можуть бути пов</w:t>
      </w:r>
      <w:r w:rsidRPr="002E6ECA">
        <w:rPr>
          <w:rStyle w:val="tlid-translationtranslation"/>
          <w:rFonts w:eastAsia="Calibri"/>
          <w:sz w:val="28"/>
          <w:szCs w:val="28"/>
          <w:lang w:val="uk-UA"/>
        </w:rPr>
        <w:t>'язаними із напруженням перехідної соціальної ролі / відповідальності, стосунків з однолітками та проблемами, пов'язаними зі здоров'ям, що сприяють розвитку психосоціальної дисфункції  в школярів підліткового віку.</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Скринінгових критично високих значень для методики PSC-Ukr та для Y-PSC-Ukr 22 балів та 21 балів відповідно отримано не було. Між тим, ми вважали за доцільне, з практичної точки зору, брати до уваги значення від 15 балів. Таким чином, діти, які мали такі показники формували групу ризику за проявами інтерналізації та екстерналізації: 12</w:t>
      </w:r>
      <w:r w:rsidR="0080667E" w:rsidRPr="002E6ECA">
        <w:rPr>
          <w:rStyle w:val="shorttext"/>
          <w:sz w:val="28"/>
          <w:szCs w:val="28"/>
          <w:lang w:val="uk-UA"/>
        </w:rPr>
        <w:t>%</w:t>
      </w:r>
      <w:r w:rsidRPr="002E6ECA">
        <w:rPr>
          <w:rStyle w:val="shorttext"/>
          <w:sz w:val="28"/>
          <w:szCs w:val="28"/>
          <w:lang w:val="uk-UA"/>
        </w:rPr>
        <w:t xml:space="preserve"> та 14</w:t>
      </w:r>
      <w:r w:rsidR="0080667E" w:rsidRPr="002E6ECA">
        <w:rPr>
          <w:rStyle w:val="shorttext"/>
          <w:sz w:val="28"/>
          <w:szCs w:val="28"/>
          <w:lang w:val="uk-UA"/>
        </w:rPr>
        <w:t>%</w:t>
      </w:r>
      <w:r w:rsidRPr="002E6ECA">
        <w:rPr>
          <w:rStyle w:val="shorttext"/>
          <w:sz w:val="28"/>
          <w:szCs w:val="28"/>
          <w:lang w:val="uk-UA"/>
        </w:rPr>
        <w:t xml:space="preserve"> відповідно.</w:t>
      </w:r>
    </w:p>
    <w:p w:rsidR="00430A05" w:rsidRPr="002E6ECA" w:rsidRDefault="00430A05" w:rsidP="00430A05">
      <w:pPr>
        <w:spacing w:line="360" w:lineRule="auto"/>
        <w:ind w:firstLine="709"/>
        <w:jc w:val="both"/>
        <w:rPr>
          <w:rStyle w:val="shorttext"/>
          <w:sz w:val="28"/>
          <w:szCs w:val="28"/>
          <w:lang w:val="uk-UA"/>
        </w:rPr>
      </w:pPr>
      <w:r w:rsidRPr="002E6ECA">
        <w:rPr>
          <w:rStyle w:val="shorttext"/>
          <w:sz w:val="28"/>
          <w:szCs w:val="28"/>
          <w:lang w:val="uk-UA"/>
        </w:rPr>
        <w:t>Було виявлено сильні кореляційні зв</w:t>
      </w:r>
      <w:r w:rsidRPr="002E6ECA">
        <w:rPr>
          <w:rStyle w:val="tlid-translationtranslation"/>
          <w:rFonts w:eastAsia="Calibri"/>
          <w:sz w:val="28"/>
          <w:szCs w:val="28"/>
          <w:lang w:val="uk-UA"/>
        </w:rPr>
        <w:t>'язки між ознаками інтерналізації з багатьма структурними компонентами методики оцінки якості життя досліджуваних школярів. Так,  за дитячою версією (</w:t>
      </w:r>
      <w:r w:rsidRPr="002E6ECA">
        <w:rPr>
          <w:rStyle w:val="shorttext"/>
          <w:sz w:val="28"/>
          <w:szCs w:val="28"/>
          <w:lang w:val="uk-UA"/>
        </w:rPr>
        <w:t>Y-PSC-Ukr) інтерналізація корелювала з соціальним функціонуванням (</w:t>
      </w:r>
      <w:r w:rsidRPr="002E6ECA">
        <w:rPr>
          <w:sz w:val="28"/>
          <w:szCs w:val="28"/>
          <w:lang w:val="uk-UA"/>
        </w:rPr>
        <w:t xml:space="preserve">r= -0,449; p&lt;0,01), відчуттям болю </w:t>
      </w:r>
      <w:r w:rsidRPr="002E6ECA">
        <w:rPr>
          <w:rStyle w:val="shorttext"/>
          <w:sz w:val="28"/>
          <w:szCs w:val="28"/>
          <w:lang w:val="uk-UA"/>
        </w:rPr>
        <w:t xml:space="preserve"> (</w:t>
      </w:r>
      <w:r w:rsidRPr="002E6ECA">
        <w:rPr>
          <w:sz w:val="28"/>
          <w:szCs w:val="28"/>
          <w:lang w:val="uk-UA"/>
        </w:rPr>
        <w:t xml:space="preserve">r= -0,347; p&lt;0,01), життєздатністю </w:t>
      </w:r>
      <w:r w:rsidRPr="002E6ECA">
        <w:rPr>
          <w:rStyle w:val="shorttext"/>
          <w:sz w:val="28"/>
          <w:szCs w:val="28"/>
          <w:lang w:val="uk-UA"/>
        </w:rPr>
        <w:t>(</w:t>
      </w:r>
      <w:r w:rsidRPr="002E6ECA">
        <w:rPr>
          <w:sz w:val="28"/>
          <w:szCs w:val="28"/>
          <w:lang w:val="uk-UA"/>
        </w:rPr>
        <w:t xml:space="preserve">r= -0,476; p&lt;0,01), психологічним </w:t>
      </w:r>
      <w:r w:rsidRPr="002E6ECA">
        <w:rPr>
          <w:rStyle w:val="shorttext"/>
          <w:sz w:val="28"/>
          <w:szCs w:val="28"/>
          <w:lang w:val="uk-UA"/>
        </w:rPr>
        <w:t>(</w:t>
      </w:r>
      <w:r w:rsidRPr="002E6ECA">
        <w:rPr>
          <w:sz w:val="28"/>
          <w:szCs w:val="28"/>
          <w:lang w:val="uk-UA"/>
        </w:rPr>
        <w:t xml:space="preserve">r= -0,465; p&lt;0,01) та загальним </w:t>
      </w:r>
      <w:r w:rsidRPr="002E6ECA">
        <w:rPr>
          <w:rStyle w:val="tlid-translationtranslation"/>
          <w:rFonts w:eastAsia="Calibri"/>
          <w:sz w:val="28"/>
          <w:szCs w:val="28"/>
          <w:lang w:val="uk-UA"/>
        </w:rPr>
        <w:t xml:space="preserve">здоров'ям </w:t>
      </w:r>
      <w:r w:rsidRPr="002E6ECA">
        <w:rPr>
          <w:rStyle w:val="shorttext"/>
          <w:sz w:val="28"/>
          <w:szCs w:val="28"/>
          <w:lang w:val="uk-UA"/>
        </w:rPr>
        <w:t>(</w:t>
      </w:r>
      <w:r w:rsidRPr="002E6ECA">
        <w:rPr>
          <w:sz w:val="28"/>
          <w:szCs w:val="28"/>
          <w:lang w:val="uk-UA"/>
        </w:rPr>
        <w:t xml:space="preserve">r= -0,464; p&lt;0,01). При цьому середні значення за екстерналізацією корелювали виключно з психологічним </w:t>
      </w:r>
      <w:r w:rsidRPr="002E6ECA">
        <w:rPr>
          <w:rStyle w:val="tlid-translationtranslation"/>
          <w:rFonts w:eastAsia="Calibri"/>
          <w:sz w:val="28"/>
          <w:szCs w:val="28"/>
          <w:lang w:val="uk-UA"/>
        </w:rPr>
        <w:t xml:space="preserve"> </w:t>
      </w:r>
      <w:r w:rsidRPr="002E6ECA">
        <w:rPr>
          <w:rStyle w:val="shorttext"/>
          <w:sz w:val="28"/>
          <w:szCs w:val="28"/>
          <w:lang w:val="uk-UA"/>
        </w:rPr>
        <w:t>(</w:t>
      </w:r>
      <w:r w:rsidRPr="002E6ECA">
        <w:rPr>
          <w:sz w:val="28"/>
          <w:szCs w:val="28"/>
          <w:lang w:val="uk-UA"/>
        </w:rPr>
        <w:t xml:space="preserve">r= -0,277; p&lt;0,05) та загальним </w:t>
      </w:r>
      <w:r w:rsidRPr="002E6ECA">
        <w:rPr>
          <w:rStyle w:val="tlid-translationtranslation"/>
          <w:rFonts w:eastAsia="Calibri"/>
          <w:sz w:val="28"/>
          <w:szCs w:val="28"/>
          <w:lang w:val="uk-UA"/>
        </w:rPr>
        <w:t xml:space="preserve">здоров'ям </w:t>
      </w:r>
      <w:r w:rsidRPr="002E6ECA">
        <w:rPr>
          <w:rStyle w:val="shorttext"/>
          <w:sz w:val="28"/>
          <w:szCs w:val="28"/>
          <w:lang w:val="uk-UA"/>
        </w:rPr>
        <w:t>(</w:t>
      </w:r>
      <w:r w:rsidRPr="002E6ECA">
        <w:rPr>
          <w:sz w:val="28"/>
          <w:szCs w:val="28"/>
          <w:lang w:val="uk-UA"/>
        </w:rPr>
        <w:t>r= -0,305; p&lt;0,01). Таким чином, з</w:t>
      </w:r>
      <w:r w:rsidRPr="002E6ECA">
        <w:rPr>
          <w:rStyle w:val="tlid-translationtranslation"/>
          <w:rFonts w:eastAsia="Calibri"/>
          <w:sz w:val="28"/>
          <w:szCs w:val="28"/>
          <w:lang w:val="uk-UA"/>
        </w:rPr>
        <w:t xml:space="preserve">'ясовано, що негативний внесок до усіх складових якості життя підлітків мають ознаки інтерналізації, тобто їх внутрішньоособистісне напруження, тривожність, депресивність, при цьому внесок екстерналізованих відхилень </w:t>
      </w:r>
      <w:r w:rsidR="00E26678" w:rsidRPr="002E6ECA">
        <w:rPr>
          <w:rStyle w:val="tlid-translationtranslation"/>
          <w:rFonts w:eastAsia="Calibri"/>
          <w:sz w:val="28"/>
          <w:szCs w:val="28"/>
          <w:lang w:val="uk-UA"/>
        </w:rPr>
        <w:t>-</w:t>
      </w:r>
      <w:r w:rsidRPr="002E6ECA">
        <w:rPr>
          <w:rStyle w:val="tlid-translationtranslation"/>
          <w:rFonts w:eastAsia="Calibri"/>
          <w:sz w:val="28"/>
          <w:szCs w:val="28"/>
          <w:lang w:val="uk-UA"/>
        </w:rPr>
        <w:lastRenderedPageBreak/>
        <w:t>порушень поведінки, агресивності, гіперактивності був значущим для загального та психологічного здоров'я.</w:t>
      </w:r>
    </w:p>
    <w:p w:rsidR="00430A05" w:rsidRPr="002E6ECA" w:rsidRDefault="00430A05" w:rsidP="00430A05">
      <w:pPr>
        <w:spacing w:line="360" w:lineRule="auto"/>
        <w:ind w:firstLine="709"/>
        <w:jc w:val="both"/>
        <w:rPr>
          <w:rStyle w:val="tlid-translationtranslation"/>
          <w:rFonts w:eastAsia="Calibri"/>
          <w:sz w:val="28"/>
          <w:szCs w:val="28"/>
          <w:lang w:val="uk-UA"/>
        </w:rPr>
      </w:pPr>
      <w:r w:rsidRPr="002E6ECA">
        <w:rPr>
          <w:spacing w:val="-4"/>
          <w:sz w:val="28"/>
          <w:szCs w:val="28"/>
          <w:lang w:val="uk-UA"/>
        </w:rPr>
        <w:t xml:space="preserve">За батьківською версією </w:t>
      </w:r>
      <w:r w:rsidRPr="002E6ECA">
        <w:rPr>
          <w:rStyle w:val="shorttext"/>
          <w:spacing w:val="-4"/>
          <w:sz w:val="28"/>
          <w:szCs w:val="28"/>
          <w:lang w:val="uk-UA"/>
        </w:rPr>
        <w:t>PSC-Ukr рівень інтерналізації корелював із показником соціального функціонування (</w:t>
      </w:r>
      <w:r w:rsidRPr="002E6ECA">
        <w:rPr>
          <w:spacing w:val="-4"/>
          <w:sz w:val="28"/>
          <w:szCs w:val="28"/>
          <w:lang w:val="uk-UA"/>
        </w:rPr>
        <w:t xml:space="preserve">r= -0, 323; p&lt;0,01), відчуттям болю </w:t>
      </w:r>
      <w:r w:rsidRPr="002E6ECA">
        <w:rPr>
          <w:rStyle w:val="shorttext"/>
          <w:spacing w:val="-4"/>
          <w:sz w:val="28"/>
          <w:szCs w:val="28"/>
          <w:lang w:val="uk-UA"/>
        </w:rPr>
        <w:t>(</w:t>
      </w:r>
      <w:r w:rsidRPr="002E6ECA">
        <w:rPr>
          <w:spacing w:val="-4"/>
          <w:sz w:val="28"/>
          <w:szCs w:val="28"/>
          <w:lang w:val="uk-UA"/>
        </w:rPr>
        <w:t xml:space="preserve">r= -0, 279; p&lt;0,05), життєздатністю </w:t>
      </w:r>
      <w:r w:rsidRPr="002E6ECA">
        <w:rPr>
          <w:rStyle w:val="shorttext"/>
          <w:spacing w:val="-4"/>
          <w:sz w:val="28"/>
          <w:szCs w:val="28"/>
          <w:lang w:val="uk-UA"/>
        </w:rPr>
        <w:t>(</w:t>
      </w:r>
      <w:r w:rsidRPr="002E6ECA">
        <w:rPr>
          <w:spacing w:val="-4"/>
          <w:sz w:val="28"/>
          <w:szCs w:val="28"/>
          <w:lang w:val="uk-UA"/>
        </w:rPr>
        <w:t xml:space="preserve">r= -0, 502; p&lt;0,01), психологічним </w:t>
      </w:r>
      <w:r w:rsidRPr="002E6ECA">
        <w:rPr>
          <w:rStyle w:val="shorttext"/>
          <w:spacing w:val="-4"/>
          <w:sz w:val="28"/>
          <w:szCs w:val="28"/>
          <w:lang w:val="uk-UA"/>
        </w:rPr>
        <w:t>(</w:t>
      </w:r>
      <w:r w:rsidRPr="002E6ECA">
        <w:rPr>
          <w:spacing w:val="-4"/>
          <w:sz w:val="28"/>
          <w:szCs w:val="28"/>
          <w:lang w:val="uk-UA"/>
        </w:rPr>
        <w:t xml:space="preserve">r= -0,444; p&lt;0,01) та загальним </w:t>
      </w:r>
      <w:r w:rsidRPr="002E6ECA">
        <w:rPr>
          <w:rStyle w:val="tlid-translationtranslation"/>
          <w:rFonts w:eastAsia="Calibri"/>
          <w:spacing w:val="-4"/>
          <w:sz w:val="28"/>
          <w:szCs w:val="28"/>
          <w:lang w:val="uk-UA"/>
        </w:rPr>
        <w:t xml:space="preserve">здоров'ям </w:t>
      </w:r>
      <w:r w:rsidRPr="002E6ECA">
        <w:rPr>
          <w:rStyle w:val="shorttext"/>
          <w:spacing w:val="-4"/>
          <w:sz w:val="28"/>
          <w:szCs w:val="28"/>
          <w:lang w:val="uk-UA"/>
        </w:rPr>
        <w:t>(</w:t>
      </w:r>
      <w:r w:rsidRPr="002E6ECA">
        <w:rPr>
          <w:spacing w:val="-4"/>
          <w:sz w:val="28"/>
          <w:szCs w:val="28"/>
          <w:lang w:val="uk-UA"/>
        </w:rPr>
        <w:t>r= -0,462; p&lt;0,01). Кореляційних з</w:t>
      </w:r>
      <w:r w:rsidRPr="002E6ECA">
        <w:rPr>
          <w:rStyle w:val="tlid-translationtranslation"/>
          <w:rFonts w:eastAsia="Calibri"/>
          <w:spacing w:val="-4"/>
          <w:sz w:val="28"/>
          <w:szCs w:val="28"/>
          <w:lang w:val="uk-UA"/>
        </w:rPr>
        <w:t>в'язків між середнім рівнем екстерналізації та показниками щодо якості  життя отримано не було</w:t>
      </w:r>
      <w:r w:rsidRPr="002E6ECA">
        <w:rPr>
          <w:rStyle w:val="tlid-translationtranslation"/>
          <w:rFonts w:eastAsia="Calibri"/>
          <w:sz w:val="28"/>
          <w:szCs w:val="28"/>
          <w:lang w:val="uk-UA"/>
        </w:rPr>
        <w:t>.</w:t>
      </w:r>
    </w:p>
    <w:p w:rsidR="00430A05" w:rsidRPr="002E6ECA" w:rsidRDefault="00430A05" w:rsidP="00430A05">
      <w:pPr>
        <w:spacing w:line="360" w:lineRule="auto"/>
        <w:ind w:firstLine="709"/>
        <w:rPr>
          <w:rStyle w:val="fontstyle21"/>
          <w:b w:val="0"/>
          <w:color w:val="auto"/>
          <w:sz w:val="28"/>
          <w:szCs w:val="28"/>
          <w:lang w:val="uk-UA"/>
        </w:rPr>
      </w:pPr>
    </w:p>
    <w:p w:rsidR="00430A05" w:rsidRPr="002E6ECA" w:rsidRDefault="00430A05" w:rsidP="00430A05">
      <w:pPr>
        <w:spacing w:line="360" w:lineRule="auto"/>
        <w:ind w:firstLine="709"/>
        <w:jc w:val="center"/>
        <w:rPr>
          <w:b/>
          <w:sz w:val="28"/>
          <w:szCs w:val="28"/>
          <w:lang w:val="uk-UA"/>
        </w:rPr>
      </w:pPr>
      <w:r w:rsidRPr="002E6ECA">
        <w:rPr>
          <w:b/>
          <w:sz w:val="28"/>
          <w:szCs w:val="28"/>
          <w:lang w:val="uk-UA"/>
        </w:rPr>
        <w:t>Висновки до розділу 7</w:t>
      </w:r>
    </w:p>
    <w:p w:rsidR="00430A05" w:rsidRPr="002E6ECA" w:rsidRDefault="00430A05" w:rsidP="00430A05">
      <w:pPr>
        <w:numPr>
          <w:ilvl w:val="0"/>
          <w:numId w:val="6"/>
        </w:numPr>
        <w:tabs>
          <w:tab w:val="clear" w:pos="1718"/>
          <w:tab w:val="num" w:pos="993"/>
        </w:tabs>
        <w:spacing w:line="360" w:lineRule="auto"/>
        <w:ind w:left="0" w:firstLine="709"/>
        <w:jc w:val="both"/>
        <w:rPr>
          <w:rStyle w:val="shorttext"/>
          <w:sz w:val="28"/>
          <w:szCs w:val="28"/>
          <w:lang w:val="uk-UA"/>
        </w:rPr>
      </w:pPr>
      <w:r w:rsidRPr="002E6ECA">
        <w:rPr>
          <w:sz w:val="28"/>
          <w:szCs w:val="28"/>
          <w:lang w:val="uk-UA"/>
        </w:rPr>
        <w:t xml:space="preserve">Скринінгова методика </w:t>
      </w:r>
      <w:r w:rsidRPr="002E6ECA">
        <w:rPr>
          <w:rStyle w:val="shorttext"/>
          <w:sz w:val="28"/>
          <w:szCs w:val="28"/>
          <w:lang w:val="uk-UA"/>
        </w:rPr>
        <w:t>PSC із її дитячим та батьківським варіантами є ефективною для виявлення психосоціальної дисфункції у дітей молодшого шкільного віку.</w:t>
      </w:r>
    </w:p>
    <w:p w:rsidR="00430A05" w:rsidRPr="002E6ECA" w:rsidRDefault="00430A05" w:rsidP="00430A05">
      <w:pPr>
        <w:numPr>
          <w:ilvl w:val="0"/>
          <w:numId w:val="6"/>
        </w:numPr>
        <w:tabs>
          <w:tab w:val="clear" w:pos="1718"/>
          <w:tab w:val="num" w:pos="993"/>
        </w:tabs>
        <w:spacing w:line="360" w:lineRule="auto"/>
        <w:ind w:left="0" w:firstLine="709"/>
        <w:jc w:val="both"/>
        <w:rPr>
          <w:rStyle w:val="shorttext"/>
          <w:sz w:val="28"/>
          <w:szCs w:val="28"/>
          <w:lang w:val="uk-UA"/>
        </w:rPr>
      </w:pPr>
      <w:r w:rsidRPr="002E6ECA">
        <w:rPr>
          <w:rStyle w:val="shorttext"/>
          <w:sz w:val="28"/>
          <w:szCs w:val="28"/>
          <w:lang w:val="uk-UA"/>
        </w:rPr>
        <w:t xml:space="preserve">Використання визначених критичних балів за методикою PSC дозволяє виділити групу дітей з групи ризику, що  вже мають певні психосоціальні порушення, які потребують більш детального аналізу та уваги фахівців психологічного і медичного профілів. </w:t>
      </w:r>
    </w:p>
    <w:p w:rsidR="00430A05" w:rsidRPr="002E6ECA" w:rsidRDefault="00430A05" w:rsidP="00430A05">
      <w:pPr>
        <w:numPr>
          <w:ilvl w:val="0"/>
          <w:numId w:val="6"/>
        </w:numPr>
        <w:tabs>
          <w:tab w:val="clear" w:pos="1718"/>
          <w:tab w:val="num" w:pos="993"/>
        </w:tabs>
        <w:spacing w:line="360" w:lineRule="auto"/>
        <w:ind w:left="0" w:firstLine="709"/>
        <w:jc w:val="both"/>
        <w:rPr>
          <w:sz w:val="28"/>
          <w:szCs w:val="28"/>
          <w:lang w:val="uk-UA"/>
        </w:rPr>
      </w:pPr>
      <w:r w:rsidRPr="002E6ECA">
        <w:rPr>
          <w:sz w:val="28"/>
          <w:szCs w:val="28"/>
          <w:lang w:val="uk-UA"/>
        </w:rPr>
        <w:t xml:space="preserve">За даними вивчення якості життя, що пов’язана зі здоров’ям у 4-річній динаміці навчання у початковій школі, визначено найбільш критичні періоди </w:t>
      </w:r>
      <w:r w:rsidR="00E26678" w:rsidRPr="002E6ECA">
        <w:rPr>
          <w:sz w:val="28"/>
          <w:szCs w:val="28"/>
          <w:lang w:val="uk-UA"/>
        </w:rPr>
        <w:t>-</w:t>
      </w:r>
      <w:r w:rsidRPr="002E6ECA">
        <w:rPr>
          <w:sz w:val="28"/>
          <w:szCs w:val="28"/>
          <w:lang w:val="uk-UA"/>
        </w:rPr>
        <w:t>перехід з другого до третього класу із збереженням синхронізованої системи самооцінювання свого стану.</w:t>
      </w:r>
    </w:p>
    <w:p w:rsidR="00430A05" w:rsidRPr="002E6ECA" w:rsidRDefault="00430A05" w:rsidP="00430A05">
      <w:pPr>
        <w:numPr>
          <w:ilvl w:val="0"/>
          <w:numId w:val="6"/>
        </w:numPr>
        <w:tabs>
          <w:tab w:val="clear" w:pos="1718"/>
          <w:tab w:val="num" w:pos="993"/>
        </w:tabs>
        <w:spacing w:line="360" w:lineRule="auto"/>
        <w:ind w:left="0" w:firstLine="709"/>
        <w:jc w:val="both"/>
        <w:rPr>
          <w:sz w:val="28"/>
          <w:szCs w:val="28"/>
          <w:lang w:val="uk-UA"/>
        </w:rPr>
      </w:pPr>
      <w:r w:rsidRPr="002E6ECA">
        <w:rPr>
          <w:sz w:val="28"/>
          <w:szCs w:val="28"/>
          <w:lang w:val="uk-UA"/>
        </w:rPr>
        <w:t>Рівень фізичного, емоційного та соціального функціонування мав певні статеві та вікові особливості і у більшій мірі залежав від періоду навчального процесу. Особливого впливу зазнавали шкали шкільної діяльності та соціалізації у своїй віковій групі.</w:t>
      </w:r>
    </w:p>
    <w:p w:rsidR="00430A05" w:rsidRPr="002E6ECA" w:rsidRDefault="00430A05" w:rsidP="00430A05">
      <w:pPr>
        <w:numPr>
          <w:ilvl w:val="0"/>
          <w:numId w:val="6"/>
        </w:numPr>
        <w:tabs>
          <w:tab w:val="clear" w:pos="1718"/>
          <w:tab w:val="num" w:pos="993"/>
        </w:tabs>
        <w:spacing w:line="360" w:lineRule="auto"/>
        <w:ind w:left="0" w:firstLine="709"/>
        <w:jc w:val="both"/>
        <w:rPr>
          <w:sz w:val="28"/>
          <w:szCs w:val="28"/>
          <w:lang w:val="uk-UA"/>
        </w:rPr>
      </w:pPr>
      <w:r w:rsidRPr="002E6ECA">
        <w:rPr>
          <w:sz w:val="28"/>
          <w:szCs w:val="28"/>
          <w:lang w:val="uk-UA"/>
        </w:rPr>
        <w:t xml:space="preserve">Дослідженням встановлено неконгруентність сприйняття шкільного життя та задоволеності від спілкування між дітьми та дорослими. </w:t>
      </w:r>
    </w:p>
    <w:p w:rsidR="00430A05" w:rsidRPr="002E6ECA" w:rsidRDefault="00430A05" w:rsidP="00430A05">
      <w:pPr>
        <w:numPr>
          <w:ilvl w:val="0"/>
          <w:numId w:val="6"/>
        </w:numPr>
        <w:tabs>
          <w:tab w:val="clear" w:pos="1718"/>
          <w:tab w:val="num" w:pos="993"/>
        </w:tabs>
        <w:spacing w:line="360" w:lineRule="auto"/>
        <w:ind w:left="0" w:firstLine="709"/>
        <w:jc w:val="both"/>
        <w:rPr>
          <w:sz w:val="28"/>
          <w:szCs w:val="28"/>
          <w:lang w:val="uk-UA"/>
        </w:rPr>
      </w:pPr>
      <w:r w:rsidRPr="002E6ECA">
        <w:rPr>
          <w:bCs/>
          <w:sz w:val="28"/>
          <w:szCs w:val="28"/>
          <w:lang w:val="uk-UA"/>
        </w:rPr>
        <w:t xml:space="preserve">Сполучене використання двох методів дослідження, а саме </w:t>
      </w:r>
      <w:r w:rsidRPr="002E6ECA">
        <w:rPr>
          <w:sz w:val="28"/>
          <w:szCs w:val="28"/>
          <w:lang w:val="uk-UA"/>
        </w:rPr>
        <w:t xml:space="preserve">української адаптованої версії опитувальника SF-36 та скринінгової методики «Перелік </w:t>
      </w:r>
      <w:r w:rsidRPr="002E6ECA">
        <w:rPr>
          <w:sz w:val="28"/>
          <w:szCs w:val="28"/>
          <w:lang w:val="uk-UA"/>
        </w:rPr>
        <w:lastRenderedPageBreak/>
        <w:t xml:space="preserve">дитячих симптомів» PSC-Ukr є ефективним та взаємодоповнюючим дослідженням підлітків шкільного віку. </w:t>
      </w:r>
    </w:p>
    <w:p w:rsidR="00430A05" w:rsidRPr="002E6ECA" w:rsidRDefault="00430A05" w:rsidP="00430A05">
      <w:pPr>
        <w:numPr>
          <w:ilvl w:val="0"/>
          <w:numId w:val="6"/>
        </w:numPr>
        <w:tabs>
          <w:tab w:val="clear" w:pos="1718"/>
          <w:tab w:val="num" w:pos="993"/>
        </w:tabs>
        <w:spacing w:line="360" w:lineRule="auto"/>
        <w:ind w:left="0" w:firstLine="709"/>
        <w:jc w:val="both"/>
        <w:rPr>
          <w:bCs/>
          <w:sz w:val="28"/>
          <w:szCs w:val="28"/>
          <w:lang w:val="uk-UA"/>
        </w:rPr>
      </w:pPr>
      <w:r w:rsidRPr="002E6ECA">
        <w:rPr>
          <w:bCs/>
          <w:sz w:val="28"/>
          <w:szCs w:val="28"/>
          <w:lang w:val="uk-UA"/>
        </w:rPr>
        <w:t xml:space="preserve">Результати дослідження свідчать про те, що переважно симптоми інтерналізації поєднані із показниками якості життя старших школярів. </w:t>
      </w:r>
    </w:p>
    <w:p w:rsidR="00430A05" w:rsidRPr="002E6ECA" w:rsidRDefault="00430A05" w:rsidP="00430A05">
      <w:pPr>
        <w:numPr>
          <w:ilvl w:val="0"/>
          <w:numId w:val="6"/>
        </w:numPr>
        <w:tabs>
          <w:tab w:val="clear" w:pos="1718"/>
          <w:tab w:val="num" w:pos="993"/>
        </w:tabs>
        <w:spacing w:line="360" w:lineRule="auto"/>
        <w:ind w:left="0" w:firstLine="709"/>
        <w:jc w:val="both"/>
        <w:rPr>
          <w:bCs/>
          <w:sz w:val="28"/>
          <w:szCs w:val="28"/>
          <w:lang w:val="uk-UA"/>
        </w:rPr>
      </w:pPr>
      <w:r w:rsidRPr="002E6ECA">
        <w:rPr>
          <w:bCs/>
          <w:sz w:val="28"/>
          <w:szCs w:val="28"/>
          <w:lang w:val="uk-UA"/>
        </w:rPr>
        <w:t>Найбільшу актуальність мають показники якості життя, пов’язаної зі здоров’ям, що стосуються психологічного, емоційного, соціального функціонування, а їх відображення лежить у площині інтерналізуючих ознак тривожності, депресії, внутрішньоособистісних проблем у підлітків.</w:t>
      </w:r>
    </w:p>
    <w:p w:rsidR="00430A05" w:rsidRPr="002E6ECA" w:rsidRDefault="00430A05" w:rsidP="00430A05">
      <w:pPr>
        <w:numPr>
          <w:ilvl w:val="0"/>
          <w:numId w:val="6"/>
        </w:numPr>
        <w:tabs>
          <w:tab w:val="clear" w:pos="1718"/>
          <w:tab w:val="num" w:pos="993"/>
        </w:tabs>
        <w:spacing w:line="360" w:lineRule="auto"/>
        <w:ind w:left="0" w:firstLine="709"/>
        <w:jc w:val="both"/>
        <w:rPr>
          <w:bCs/>
          <w:sz w:val="28"/>
          <w:szCs w:val="28"/>
          <w:lang w:val="uk-UA"/>
        </w:rPr>
      </w:pPr>
      <w:r w:rsidRPr="002E6ECA">
        <w:rPr>
          <w:bCs/>
          <w:sz w:val="28"/>
          <w:szCs w:val="28"/>
          <w:lang w:val="uk-UA"/>
        </w:rPr>
        <w:t>Результати, що отримано, слід вважати важливими для створення диференційованих програм психологічного втручання для подолання доклінічних проявів психосоціальної дисфункції з метою превенції розвитку дезадаптуючих порушень емоцій і поведінки у майбутньому.</w:t>
      </w:r>
    </w:p>
    <w:p w:rsidR="00430A05" w:rsidRPr="002E6ECA" w:rsidRDefault="00430A05" w:rsidP="00430A05">
      <w:pPr>
        <w:spacing w:line="360" w:lineRule="auto"/>
        <w:ind w:firstLine="709"/>
        <w:jc w:val="center"/>
        <w:rPr>
          <w:b/>
          <w:sz w:val="28"/>
          <w:szCs w:val="28"/>
          <w:lang w:val="uk-UA"/>
        </w:rPr>
      </w:pPr>
    </w:p>
    <w:p w:rsidR="00C64C42" w:rsidRPr="002E6ECA" w:rsidRDefault="004341ED" w:rsidP="00430A05">
      <w:pPr>
        <w:spacing w:line="360" w:lineRule="auto"/>
        <w:ind w:firstLine="709"/>
        <w:jc w:val="both"/>
        <w:rPr>
          <w:rFonts w:eastAsia="TimesNewRomanPSMT"/>
          <w:sz w:val="28"/>
          <w:szCs w:val="28"/>
          <w:lang w:val="uk-UA" w:eastAsia="uk-UA"/>
        </w:rPr>
      </w:pPr>
      <w:r w:rsidRPr="002E6ECA">
        <w:rPr>
          <w:bCs/>
          <w:sz w:val="28"/>
          <w:szCs w:val="28"/>
          <w:lang w:val="uk-UA"/>
        </w:rPr>
        <w:t>Матеріали розділу викладено у наступних публікаціях:</w:t>
      </w:r>
      <w:r w:rsidR="00430A05" w:rsidRPr="002E6ECA">
        <w:rPr>
          <w:bCs/>
          <w:sz w:val="28"/>
          <w:szCs w:val="28"/>
          <w:lang w:val="uk-UA"/>
        </w:rPr>
        <w:t xml:space="preserve"> 67, 70, 74, 76, 122, 127, </w:t>
      </w:r>
      <w:r w:rsidR="005014AD" w:rsidRPr="002E6ECA">
        <w:rPr>
          <w:bCs/>
          <w:sz w:val="28"/>
          <w:szCs w:val="28"/>
          <w:lang w:val="uk-UA"/>
        </w:rPr>
        <w:t>230,</w:t>
      </w:r>
      <w:r w:rsidR="00430A05" w:rsidRPr="002E6ECA">
        <w:rPr>
          <w:bCs/>
          <w:sz w:val="28"/>
          <w:szCs w:val="28"/>
          <w:lang w:val="uk-UA"/>
        </w:rPr>
        <w:t xml:space="preserve"> 231, 232, 233, 31</w:t>
      </w:r>
      <w:r w:rsidR="005014AD" w:rsidRPr="002E6ECA">
        <w:rPr>
          <w:bCs/>
          <w:sz w:val="28"/>
          <w:szCs w:val="28"/>
          <w:lang w:val="uk-UA"/>
        </w:rPr>
        <w:t>7.</w:t>
      </w:r>
      <w:r w:rsidR="00917BD4" w:rsidRPr="002E6ECA">
        <w:rPr>
          <w:sz w:val="28"/>
          <w:szCs w:val="28"/>
          <w:lang w:val="uk-UA"/>
        </w:rPr>
        <w:br w:type="page"/>
      </w:r>
    </w:p>
    <w:p w:rsidR="008009FB" w:rsidRPr="002E6ECA" w:rsidRDefault="008009FB" w:rsidP="008009FB">
      <w:pPr>
        <w:spacing w:line="360" w:lineRule="auto"/>
        <w:ind w:firstLine="709"/>
        <w:jc w:val="center"/>
        <w:rPr>
          <w:sz w:val="28"/>
          <w:szCs w:val="28"/>
          <w:lang w:val="uk-UA" w:eastAsia="uk-UA"/>
        </w:rPr>
      </w:pPr>
      <w:r w:rsidRPr="002E6ECA">
        <w:rPr>
          <w:sz w:val="28"/>
          <w:szCs w:val="28"/>
          <w:lang w:val="uk-UA" w:eastAsia="uk-UA"/>
        </w:rPr>
        <w:lastRenderedPageBreak/>
        <w:t>РОЗДІЛ 8</w:t>
      </w:r>
    </w:p>
    <w:p w:rsidR="008009FB" w:rsidRPr="002E6ECA" w:rsidRDefault="008009FB" w:rsidP="008009FB">
      <w:pPr>
        <w:spacing w:line="360" w:lineRule="auto"/>
        <w:ind w:firstLine="709"/>
        <w:jc w:val="center"/>
        <w:rPr>
          <w:sz w:val="28"/>
          <w:szCs w:val="28"/>
          <w:lang w:val="uk-UA" w:eastAsia="uk-UA"/>
        </w:rPr>
      </w:pPr>
      <w:r w:rsidRPr="002E6ECA">
        <w:rPr>
          <w:sz w:val="28"/>
          <w:szCs w:val="28"/>
          <w:lang w:val="uk-UA" w:eastAsia="uk-UA"/>
        </w:rPr>
        <w:t>МЕТОДОЛОГІЯ МОНІТОРИНГУ ЗДОРОВ’Я ШКОЛЯРІВ</w:t>
      </w:r>
    </w:p>
    <w:p w:rsidR="008009FB" w:rsidRPr="002E6ECA" w:rsidRDefault="008009FB" w:rsidP="008009FB">
      <w:pPr>
        <w:spacing w:line="360" w:lineRule="auto"/>
        <w:ind w:firstLine="709"/>
        <w:rPr>
          <w:sz w:val="28"/>
          <w:szCs w:val="28"/>
          <w:lang w:val="uk-UA" w:eastAsia="uk-UA"/>
        </w:rPr>
      </w:pPr>
    </w:p>
    <w:p w:rsidR="008009FB" w:rsidRPr="002E6ECA" w:rsidRDefault="008009FB" w:rsidP="008009FB">
      <w:pPr>
        <w:spacing w:line="360" w:lineRule="auto"/>
        <w:ind w:firstLine="709"/>
        <w:jc w:val="both"/>
        <w:rPr>
          <w:sz w:val="28"/>
          <w:szCs w:val="28"/>
          <w:lang w:val="uk-UA"/>
        </w:rPr>
      </w:pPr>
      <w:r w:rsidRPr="002E6ECA">
        <w:rPr>
          <w:sz w:val="28"/>
          <w:szCs w:val="28"/>
          <w:lang w:val="uk-UA"/>
        </w:rPr>
        <w:t>Організація державного соціально-гігієнічного моніторингу здоров’я обумовлена Постановою Кабінету Міністрів України № 182 від 22.02.2006 р., відповідно з якою було започатковано його проведення як системи спостереження, аналізу, оцінки і прогнозування стану здоров'я населення та середовища життєдіяльності людини, а також виявлення причинно-наслідкових зв'язків між станом здоров'я населення та впливом на нього факторів середовища [</w:t>
      </w:r>
      <w:r w:rsidR="00E53B5C" w:rsidRPr="002E6ECA">
        <w:rPr>
          <w:bCs/>
          <w:sz w:val="28"/>
          <w:szCs w:val="28"/>
          <w:lang w:val="uk-UA"/>
        </w:rPr>
        <w:t>189</w:t>
      </w:r>
      <w:r w:rsidRPr="002E6ECA">
        <w:rPr>
          <w:sz w:val="28"/>
          <w:szCs w:val="28"/>
          <w:lang w:val="uk-UA"/>
        </w:rPr>
        <w:t xml:space="preserve">]. </w:t>
      </w:r>
    </w:p>
    <w:p w:rsidR="008009FB" w:rsidRPr="002E6ECA" w:rsidRDefault="008009FB" w:rsidP="008009FB">
      <w:pPr>
        <w:spacing w:line="360" w:lineRule="auto"/>
        <w:ind w:firstLine="709"/>
        <w:jc w:val="both"/>
        <w:rPr>
          <w:sz w:val="28"/>
          <w:szCs w:val="28"/>
          <w:lang w:val="uk-UA"/>
        </w:rPr>
      </w:pPr>
      <w:r w:rsidRPr="002E6ECA">
        <w:rPr>
          <w:sz w:val="28"/>
          <w:szCs w:val="28"/>
          <w:lang w:val="uk-UA" w:eastAsia="uk-UA"/>
        </w:rPr>
        <w:t xml:space="preserve">Якщо екстраполювати основні положення загального соціально-гігієнічного моніторинг на окрему галузь </w:t>
      </w:r>
      <w:r w:rsidR="00E26678" w:rsidRPr="002E6ECA">
        <w:rPr>
          <w:sz w:val="28"/>
          <w:szCs w:val="28"/>
          <w:lang w:val="uk-UA" w:eastAsia="uk-UA"/>
        </w:rPr>
        <w:t>-</w:t>
      </w:r>
      <w:r w:rsidRPr="002E6ECA">
        <w:rPr>
          <w:sz w:val="28"/>
          <w:szCs w:val="28"/>
          <w:lang w:val="uk-UA" w:eastAsia="uk-UA"/>
        </w:rPr>
        <w:t xml:space="preserve">гігієну дітей та підлітків, то їх можна викласти у наступному вигляді. </w:t>
      </w:r>
      <w:r w:rsidRPr="002E6ECA">
        <w:rPr>
          <w:sz w:val="28"/>
          <w:szCs w:val="28"/>
          <w:lang w:val="uk-UA"/>
        </w:rPr>
        <w:t>Гігієнічний моніторинг стану здоров’я дитячого населення ставить за мету:</w:t>
      </w:r>
    </w:p>
    <w:p w:rsidR="008009FB" w:rsidRPr="002E6ECA" w:rsidRDefault="008009FB" w:rsidP="008009FB">
      <w:pPr>
        <w:pStyle w:val="a3"/>
        <w:numPr>
          <w:ilvl w:val="0"/>
          <w:numId w:val="34"/>
        </w:numPr>
        <w:spacing w:line="360" w:lineRule="auto"/>
        <w:ind w:left="0" w:firstLine="709"/>
        <w:jc w:val="both"/>
        <w:rPr>
          <w:sz w:val="28"/>
          <w:szCs w:val="28"/>
          <w:lang w:val="uk-UA"/>
        </w:rPr>
      </w:pPr>
      <w:r w:rsidRPr="002E6ECA">
        <w:rPr>
          <w:sz w:val="28"/>
          <w:szCs w:val="28"/>
          <w:lang w:val="uk-UA"/>
        </w:rPr>
        <w:t>забезпечення санітарно-епідемічного благополуччя дітей шкільного віку, що передбачено чинним законодавством [</w:t>
      </w:r>
      <w:r w:rsidR="00E53B5C" w:rsidRPr="002E6ECA">
        <w:rPr>
          <w:bCs/>
          <w:sz w:val="28"/>
          <w:szCs w:val="28"/>
          <w:lang w:val="uk-UA"/>
        </w:rPr>
        <w:t>79</w:t>
      </w:r>
      <w:r w:rsidRPr="002E6ECA">
        <w:rPr>
          <w:sz w:val="28"/>
          <w:szCs w:val="28"/>
          <w:lang w:val="uk-UA"/>
        </w:rPr>
        <w:t>];</w:t>
      </w:r>
    </w:p>
    <w:p w:rsidR="008009FB" w:rsidRPr="002E6ECA" w:rsidRDefault="008009FB" w:rsidP="008009FB">
      <w:pPr>
        <w:pStyle w:val="a3"/>
        <w:numPr>
          <w:ilvl w:val="0"/>
          <w:numId w:val="34"/>
        </w:numPr>
        <w:spacing w:line="360" w:lineRule="auto"/>
        <w:ind w:left="0" w:firstLine="709"/>
        <w:jc w:val="both"/>
        <w:rPr>
          <w:sz w:val="28"/>
          <w:szCs w:val="28"/>
          <w:lang w:val="uk-UA"/>
        </w:rPr>
      </w:pPr>
      <w:r w:rsidRPr="002E6ECA">
        <w:rPr>
          <w:sz w:val="28"/>
          <w:szCs w:val="28"/>
          <w:lang w:val="uk-UA"/>
        </w:rPr>
        <w:t>збереження та зміцнення здоров’я школярів;</w:t>
      </w:r>
    </w:p>
    <w:p w:rsidR="008009FB" w:rsidRPr="002E6ECA" w:rsidRDefault="008009FB" w:rsidP="008009FB">
      <w:pPr>
        <w:pStyle w:val="a3"/>
        <w:numPr>
          <w:ilvl w:val="0"/>
          <w:numId w:val="34"/>
        </w:numPr>
        <w:spacing w:line="360" w:lineRule="auto"/>
        <w:ind w:left="0" w:firstLine="709"/>
        <w:jc w:val="both"/>
        <w:rPr>
          <w:sz w:val="28"/>
          <w:szCs w:val="28"/>
          <w:lang w:val="uk-UA"/>
        </w:rPr>
      </w:pPr>
      <w:r w:rsidRPr="002E6ECA">
        <w:rPr>
          <w:sz w:val="28"/>
          <w:szCs w:val="28"/>
          <w:lang w:val="uk-UA"/>
        </w:rPr>
        <w:t>соціально-економічне прогнозування.</w:t>
      </w:r>
    </w:p>
    <w:p w:rsidR="008009FB" w:rsidRPr="002E6ECA" w:rsidRDefault="008009FB" w:rsidP="008009FB">
      <w:pPr>
        <w:spacing w:line="360" w:lineRule="auto"/>
        <w:ind w:firstLine="709"/>
        <w:jc w:val="both"/>
        <w:rPr>
          <w:sz w:val="28"/>
          <w:szCs w:val="28"/>
          <w:lang w:val="uk-UA"/>
        </w:rPr>
      </w:pPr>
      <w:r w:rsidRPr="002E6ECA">
        <w:rPr>
          <w:sz w:val="28"/>
          <w:szCs w:val="28"/>
          <w:lang w:val="uk-UA"/>
        </w:rPr>
        <w:t xml:space="preserve">Існуюча в наші дні система соціально-гігієнічного моніторингу у галузі гігієни дітей та підлітків базується на таких принципах: </w:t>
      </w:r>
    </w:p>
    <w:p w:rsidR="008009FB" w:rsidRPr="002E6ECA" w:rsidRDefault="008009FB" w:rsidP="008009FB">
      <w:pPr>
        <w:pStyle w:val="a3"/>
        <w:numPr>
          <w:ilvl w:val="0"/>
          <w:numId w:val="37"/>
        </w:numPr>
        <w:spacing w:line="360" w:lineRule="auto"/>
        <w:ind w:left="0" w:firstLine="709"/>
        <w:jc w:val="both"/>
        <w:rPr>
          <w:sz w:val="28"/>
          <w:szCs w:val="28"/>
          <w:lang w:val="uk-UA"/>
        </w:rPr>
      </w:pPr>
      <w:r w:rsidRPr="002E6ECA">
        <w:rPr>
          <w:sz w:val="28"/>
          <w:szCs w:val="28"/>
          <w:lang w:val="uk-UA"/>
        </w:rPr>
        <w:t xml:space="preserve">пріоритетність і систематизація факторів ризику, </w:t>
      </w:r>
    </w:p>
    <w:p w:rsidR="008009FB" w:rsidRPr="002E6ECA" w:rsidRDefault="008009FB" w:rsidP="008009FB">
      <w:pPr>
        <w:pStyle w:val="a3"/>
        <w:numPr>
          <w:ilvl w:val="0"/>
          <w:numId w:val="37"/>
        </w:numPr>
        <w:spacing w:line="360" w:lineRule="auto"/>
        <w:ind w:left="0" w:firstLine="709"/>
        <w:jc w:val="both"/>
        <w:rPr>
          <w:sz w:val="28"/>
          <w:szCs w:val="28"/>
          <w:lang w:val="uk-UA"/>
        </w:rPr>
      </w:pPr>
      <w:r w:rsidRPr="002E6ECA">
        <w:rPr>
          <w:sz w:val="28"/>
          <w:szCs w:val="28"/>
          <w:lang w:val="uk-UA"/>
        </w:rPr>
        <w:t xml:space="preserve">оцінка і прогноз їх для здоров'я дитини, </w:t>
      </w:r>
    </w:p>
    <w:p w:rsidR="008009FB" w:rsidRPr="002E6ECA" w:rsidRDefault="008009FB" w:rsidP="008009FB">
      <w:pPr>
        <w:pStyle w:val="a3"/>
        <w:numPr>
          <w:ilvl w:val="0"/>
          <w:numId w:val="37"/>
        </w:numPr>
        <w:spacing w:line="360" w:lineRule="auto"/>
        <w:ind w:left="0" w:firstLine="709"/>
        <w:jc w:val="both"/>
        <w:rPr>
          <w:sz w:val="28"/>
          <w:szCs w:val="28"/>
          <w:lang w:val="uk-UA"/>
        </w:rPr>
      </w:pPr>
      <w:r w:rsidRPr="002E6ECA">
        <w:rPr>
          <w:sz w:val="28"/>
          <w:szCs w:val="28"/>
          <w:lang w:val="uk-UA"/>
        </w:rPr>
        <w:t xml:space="preserve">планування і контроль виконання діяльності </w:t>
      </w:r>
      <w:r w:rsidRPr="002E6ECA">
        <w:rPr>
          <w:bCs/>
          <w:sz w:val="28"/>
          <w:szCs w:val="28"/>
          <w:lang w:val="uk-UA"/>
        </w:rPr>
        <w:t>Управління державного нагляду за дотриманням санітарного законодавства</w:t>
      </w:r>
      <w:r w:rsidRPr="002E6ECA">
        <w:rPr>
          <w:sz w:val="28"/>
          <w:szCs w:val="28"/>
          <w:lang w:val="uk-UA"/>
        </w:rPr>
        <w:t xml:space="preserve"> з впровадженням ризик-орієнтованого підходу в їх практику [</w:t>
      </w:r>
      <w:r w:rsidR="00E53B5C" w:rsidRPr="002E6ECA">
        <w:rPr>
          <w:iCs/>
          <w:sz w:val="28"/>
          <w:szCs w:val="28"/>
          <w:lang w:val="uk-UA"/>
        </w:rPr>
        <w:t>83,</w:t>
      </w:r>
      <w:r w:rsidR="00E53B5C" w:rsidRPr="002E6ECA">
        <w:rPr>
          <w:sz w:val="28"/>
          <w:szCs w:val="28"/>
          <w:lang w:val="uk-UA"/>
        </w:rPr>
        <w:t xml:space="preserve"> 84, 94</w:t>
      </w:r>
      <w:r w:rsidRPr="002E6ECA">
        <w:rPr>
          <w:sz w:val="28"/>
          <w:szCs w:val="28"/>
          <w:lang w:val="uk-UA"/>
        </w:rPr>
        <w:t xml:space="preserve">]. </w:t>
      </w:r>
    </w:p>
    <w:p w:rsidR="008009FB" w:rsidRPr="002E6ECA" w:rsidRDefault="008009FB" w:rsidP="008009FB">
      <w:pPr>
        <w:spacing w:line="360" w:lineRule="auto"/>
        <w:ind w:firstLine="709"/>
        <w:jc w:val="both"/>
        <w:rPr>
          <w:sz w:val="28"/>
          <w:szCs w:val="28"/>
          <w:lang w:val="uk-UA"/>
        </w:rPr>
      </w:pPr>
      <w:r w:rsidRPr="002E6ECA">
        <w:rPr>
          <w:sz w:val="28"/>
          <w:szCs w:val="28"/>
          <w:lang w:val="uk-UA"/>
        </w:rPr>
        <w:t>Для упорядкування інформаційної бази, що формується під час проведення моніторингу постають дані:</w:t>
      </w:r>
    </w:p>
    <w:p w:rsidR="008009FB" w:rsidRPr="002E6ECA" w:rsidRDefault="008009FB" w:rsidP="008009FB">
      <w:pPr>
        <w:pStyle w:val="a3"/>
        <w:numPr>
          <w:ilvl w:val="0"/>
          <w:numId w:val="35"/>
        </w:numPr>
        <w:spacing w:line="360" w:lineRule="auto"/>
        <w:ind w:left="0" w:firstLine="709"/>
        <w:jc w:val="both"/>
        <w:rPr>
          <w:sz w:val="28"/>
          <w:szCs w:val="28"/>
          <w:lang w:val="uk-UA"/>
        </w:rPr>
      </w:pPr>
      <w:r w:rsidRPr="002E6ECA">
        <w:rPr>
          <w:sz w:val="28"/>
          <w:szCs w:val="28"/>
          <w:lang w:val="uk-UA"/>
        </w:rPr>
        <w:t>про стан здоров’я дітей шкільного віку;</w:t>
      </w:r>
    </w:p>
    <w:p w:rsidR="008009FB" w:rsidRPr="002E6ECA" w:rsidRDefault="008009FB" w:rsidP="008009FB">
      <w:pPr>
        <w:pStyle w:val="a3"/>
        <w:numPr>
          <w:ilvl w:val="0"/>
          <w:numId w:val="35"/>
        </w:numPr>
        <w:spacing w:line="360" w:lineRule="auto"/>
        <w:ind w:left="0" w:firstLine="709"/>
        <w:jc w:val="both"/>
        <w:rPr>
          <w:sz w:val="28"/>
          <w:szCs w:val="28"/>
          <w:lang w:val="uk-UA"/>
        </w:rPr>
      </w:pPr>
      <w:r w:rsidRPr="002E6ECA">
        <w:rPr>
          <w:sz w:val="28"/>
          <w:szCs w:val="28"/>
          <w:lang w:val="uk-UA"/>
        </w:rPr>
        <w:lastRenderedPageBreak/>
        <w:t xml:space="preserve">про наявність та ступінь впливу чинників навколишнього середовища на організм дитини під час освітнього процесу </w:t>
      </w:r>
      <w:r w:rsidR="00E26678" w:rsidRPr="002E6ECA">
        <w:rPr>
          <w:sz w:val="28"/>
          <w:szCs w:val="28"/>
          <w:lang w:val="uk-UA"/>
        </w:rPr>
        <w:t>-</w:t>
      </w:r>
      <w:r w:rsidRPr="002E6ECA">
        <w:rPr>
          <w:sz w:val="28"/>
          <w:szCs w:val="28"/>
          <w:lang w:val="uk-UA"/>
        </w:rPr>
        <w:t>хімічного, фізичного, біологічного та соціального походження;</w:t>
      </w:r>
    </w:p>
    <w:p w:rsidR="008009FB" w:rsidRPr="002E6ECA" w:rsidRDefault="008009FB" w:rsidP="008009FB">
      <w:pPr>
        <w:pStyle w:val="a3"/>
        <w:numPr>
          <w:ilvl w:val="0"/>
          <w:numId w:val="35"/>
        </w:numPr>
        <w:spacing w:line="360" w:lineRule="auto"/>
        <w:ind w:left="0" w:firstLine="709"/>
        <w:jc w:val="both"/>
        <w:rPr>
          <w:sz w:val="28"/>
          <w:szCs w:val="28"/>
          <w:lang w:val="uk-UA"/>
        </w:rPr>
      </w:pPr>
      <w:r w:rsidRPr="002E6ECA">
        <w:rPr>
          <w:sz w:val="28"/>
          <w:szCs w:val="28"/>
          <w:lang w:val="uk-UA"/>
        </w:rPr>
        <w:t>про соціальне середовище, що оточує дитину у закладі загальної середньої освіти та у позашкільній діяльності;</w:t>
      </w:r>
    </w:p>
    <w:p w:rsidR="008009FB" w:rsidRPr="002E6ECA" w:rsidRDefault="008009FB" w:rsidP="008009FB">
      <w:pPr>
        <w:pStyle w:val="a3"/>
        <w:numPr>
          <w:ilvl w:val="0"/>
          <w:numId w:val="35"/>
        </w:numPr>
        <w:spacing w:line="360" w:lineRule="auto"/>
        <w:ind w:left="0" w:firstLine="709"/>
        <w:jc w:val="both"/>
        <w:rPr>
          <w:sz w:val="28"/>
          <w:szCs w:val="28"/>
          <w:lang w:val="uk-UA"/>
        </w:rPr>
      </w:pPr>
      <w:r w:rsidRPr="002E6ECA">
        <w:rPr>
          <w:sz w:val="28"/>
          <w:szCs w:val="28"/>
          <w:lang w:val="uk-UA"/>
        </w:rPr>
        <w:t>про умови навчання, зокрема: рівень та обсяг навчального навантаження.</w:t>
      </w:r>
    </w:p>
    <w:p w:rsidR="008009FB" w:rsidRPr="002E6ECA" w:rsidRDefault="008009FB" w:rsidP="008009FB">
      <w:pPr>
        <w:spacing w:line="360" w:lineRule="auto"/>
        <w:ind w:firstLine="709"/>
        <w:jc w:val="both"/>
        <w:rPr>
          <w:sz w:val="28"/>
          <w:szCs w:val="28"/>
          <w:lang w:val="uk-UA"/>
        </w:rPr>
      </w:pPr>
      <w:r w:rsidRPr="002E6ECA">
        <w:rPr>
          <w:sz w:val="28"/>
          <w:szCs w:val="28"/>
          <w:lang w:val="uk-UA"/>
        </w:rPr>
        <w:t>Основними завданнями моніторингу є:</w:t>
      </w:r>
    </w:p>
    <w:p w:rsidR="00407A65" w:rsidRPr="002E6ECA" w:rsidRDefault="00407A65" w:rsidP="00407A65">
      <w:pPr>
        <w:numPr>
          <w:ilvl w:val="0"/>
          <w:numId w:val="22"/>
        </w:numPr>
        <w:tabs>
          <w:tab w:val="clear" w:pos="360"/>
          <w:tab w:val="num" w:pos="0"/>
        </w:tabs>
        <w:spacing w:line="360" w:lineRule="auto"/>
        <w:ind w:left="0" w:firstLine="709"/>
        <w:jc w:val="both"/>
        <w:rPr>
          <w:sz w:val="28"/>
          <w:szCs w:val="28"/>
          <w:lang w:val="uk-UA"/>
        </w:rPr>
      </w:pPr>
      <w:r w:rsidRPr="002E6ECA">
        <w:rPr>
          <w:sz w:val="28"/>
          <w:szCs w:val="28"/>
          <w:lang w:val="uk-UA"/>
        </w:rPr>
        <w:t xml:space="preserve">збирання та формування </w:t>
      </w:r>
      <w:r w:rsidRPr="002E6ECA">
        <w:rPr>
          <w:sz w:val="28"/>
          <w:szCs w:val="28"/>
        </w:rPr>
        <w:t xml:space="preserve">загального </w:t>
      </w:r>
      <w:r w:rsidRPr="002E6ECA">
        <w:rPr>
          <w:sz w:val="28"/>
          <w:szCs w:val="28"/>
          <w:lang w:val="uk-UA"/>
        </w:rPr>
        <w:t>фонду даних, що надає інформацію про загальну динамічну ситуацію;</w:t>
      </w:r>
    </w:p>
    <w:p w:rsidR="008009FB" w:rsidRPr="002E6ECA" w:rsidRDefault="008009FB" w:rsidP="008009FB">
      <w:pPr>
        <w:numPr>
          <w:ilvl w:val="0"/>
          <w:numId w:val="22"/>
        </w:numPr>
        <w:tabs>
          <w:tab w:val="clear" w:pos="360"/>
          <w:tab w:val="num" w:pos="0"/>
        </w:tabs>
        <w:spacing w:line="360" w:lineRule="auto"/>
        <w:ind w:left="0" w:firstLine="709"/>
        <w:jc w:val="both"/>
        <w:rPr>
          <w:sz w:val="28"/>
          <w:szCs w:val="28"/>
          <w:lang w:val="uk-UA"/>
        </w:rPr>
      </w:pPr>
      <w:r w:rsidRPr="002E6ECA">
        <w:rPr>
          <w:sz w:val="28"/>
          <w:szCs w:val="28"/>
          <w:lang w:val="uk-UA"/>
        </w:rPr>
        <w:t>виявлення причинно-наслідкових зв'язків між станом здоров'я дитячого населення та впливом на нього факторів середовища життєдіяльності на основі їх системного аналізу і оцінки ризику для здоров'я дітей та підлітків;</w:t>
      </w:r>
    </w:p>
    <w:p w:rsidR="008009FB" w:rsidRPr="002E6ECA" w:rsidRDefault="008009FB" w:rsidP="008009FB">
      <w:pPr>
        <w:numPr>
          <w:ilvl w:val="0"/>
          <w:numId w:val="22"/>
        </w:numPr>
        <w:tabs>
          <w:tab w:val="clear" w:pos="360"/>
          <w:tab w:val="num" w:pos="0"/>
        </w:tabs>
        <w:spacing w:line="360" w:lineRule="auto"/>
        <w:ind w:left="0" w:firstLine="709"/>
        <w:jc w:val="both"/>
        <w:rPr>
          <w:sz w:val="28"/>
          <w:szCs w:val="28"/>
          <w:lang w:val="uk-UA"/>
        </w:rPr>
      </w:pPr>
      <w:r w:rsidRPr="002E6ECA">
        <w:rPr>
          <w:sz w:val="28"/>
          <w:szCs w:val="28"/>
          <w:lang w:val="uk-UA"/>
        </w:rPr>
        <w:t>підготовка пропозицій щодо поліпшення діяльності органів виконавчої влади та органів місцевого самоврядування з питань забезпечення санітарного та епідемічного благополуччя населення.</w:t>
      </w:r>
    </w:p>
    <w:p w:rsidR="008009FB" w:rsidRPr="002E6ECA" w:rsidRDefault="008009FB" w:rsidP="008009FB">
      <w:pPr>
        <w:spacing w:line="360" w:lineRule="auto"/>
        <w:ind w:firstLine="709"/>
        <w:jc w:val="both"/>
        <w:rPr>
          <w:sz w:val="28"/>
          <w:szCs w:val="28"/>
          <w:lang w:val="uk-UA"/>
        </w:rPr>
      </w:pPr>
      <w:r w:rsidRPr="002E6ECA">
        <w:rPr>
          <w:sz w:val="28"/>
          <w:szCs w:val="28"/>
          <w:lang w:val="uk-UA"/>
        </w:rPr>
        <w:t>Головними шляхами проведення  соціально-гігієнічного моніторингу постають:</w:t>
      </w:r>
    </w:p>
    <w:p w:rsidR="008009FB" w:rsidRPr="002E6ECA" w:rsidRDefault="008009FB" w:rsidP="008009FB">
      <w:pPr>
        <w:pStyle w:val="a3"/>
        <w:numPr>
          <w:ilvl w:val="0"/>
          <w:numId w:val="36"/>
        </w:numPr>
        <w:spacing w:line="360" w:lineRule="auto"/>
        <w:ind w:left="0" w:firstLine="709"/>
        <w:jc w:val="both"/>
        <w:rPr>
          <w:sz w:val="28"/>
          <w:szCs w:val="28"/>
          <w:lang w:val="uk-UA"/>
        </w:rPr>
      </w:pPr>
      <w:r w:rsidRPr="002E6ECA">
        <w:rPr>
          <w:sz w:val="28"/>
          <w:szCs w:val="28"/>
          <w:lang w:val="uk-UA"/>
        </w:rPr>
        <w:t>оцінка стану здоров’я дитячого населення на підставі вивчення показників, що характеризують його фізичну, психічну та соціальну складову;</w:t>
      </w:r>
    </w:p>
    <w:p w:rsidR="008009FB" w:rsidRPr="002E6ECA" w:rsidRDefault="008009FB" w:rsidP="008009FB">
      <w:pPr>
        <w:pStyle w:val="a3"/>
        <w:numPr>
          <w:ilvl w:val="0"/>
          <w:numId w:val="36"/>
        </w:numPr>
        <w:spacing w:line="360" w:lineRule="auto"/>
        <w:ind w:left="0" w:firstLine="709"/>
        <w:jc w:val="both"/>
        <w:rPr>
          <w:sz w:val="28"/>
          <w:szCs w:val="28"/>
          <w:lang w:val="uk-UA"/>
        </w:rPr>
      </w:pPr>
      <w:r w:rsidRPr="002E6ECA">
        <w:rPr>
          <w:sz w:val="28"/>
          <w:szCs w:val="28"/>
          <w:lang w:val="uk-UA"/>
        </w:rPr>
        <w:t>визначення стану оточуючого (внутрішньошкільного) середовища і чинників, що впливають на здоров’я школярів у позашкільній діяльності;</w:t>
      </w:r>
    </w:p>
    <w:p w:rsidR="008009FB" w:rsidRPr="002E6ECA" w:rsidRDefault="008009FB" w:rsidP="008009FB">
      <w:pPr>
        <w:pStyle w:val="a3"/>
        <w:numPr>
          <w:ilvl w:val="0"/>
          <w:numId w:val="36"/>
        </w:numPr>
        <w:spacing w:line="360" w:lineRule="auto"/>
        <w:ind w:left="0" w:firstLine="709"/>
        <w:jc w:val="both"/>
        <w:rPr>
          <w:sz w:val="28"/>
          <w:szCs w:val="28"/>
          <w:lang w:val="uk-UA"/>
        </w:rPr>
      </w:pPr>
      <w:r w:rsidRPr="002E6ECA">
        <w:rPr>
          <w:sz w:val="28"/>
          <w:szCs w:val="28"/>
          <w:lang w:val="uk-UA"/>
        </w:rPr>
        <w:t>збирання результатів спостереження, формування інформаційного фонду для їх зберігання, подальша обробка та систематизація.</w:t>
      </w:r>
    </w:p>
    <w:p w:rsidR="008009FB" w:rsidRPr="002E6ECA" w:rsidRDefault="008009FB" w:rsidP="008009FB">
      <w:pPr>
        <w:spacing w:line="360" w:lineRule="auto"/>
        <w:ind w:firstLine="709"/>
        <w:jc w:val="both"/>
        <w:rPr>
          <w:sz w:val="28"/>
          <w:szCs w:val="28"/>
          <w:lang w:val="uk-UA"/>
        </w:rPr>
      </w:pPr>
      <w:r w:rsidRPr="002E6ECA">
        <w:rPr>
          <w:sz w:val="28"/>
          <w:szCs w:val="28"/>
          <w:lang w:val="uk-UA"/>
        </w:rPr>
        <w:t>Результати моніторингу використовуються для:</w:t>
      </w:r>
    </w:p>
    <w:p w:rsidR="008009FB" w:rsidRPr="002E6ECA" w:rsidRDefault="008009FB" w:rsidP="008009FB">
      <w:pPr>
        <w:numPr>
          <w:ilvl w:val="0"/>
          <w:numId w:val="21"/>
        </w:numPr>
        <w:tabs>
          <w:tab w:val="clear" w:pos="1440"/>
          <w:tab w:val="num" w:pos="0"/>
        </w:tabs>
        <w:spacing w:line="360" w:lineRule="auto"/>
        <w:ind w:left="0" w:firstLine="709"/>
        <w:jc w:val="both"/>
        <w:rPr>
          <w:sz w:val="28"/>
          <w:szCs w:val="28"/>
          <w:lang w:val="uk-UA"/>
        </w:rPr>
      </w:pPr>
      <w:r w:rsidRPr="002E6ECA">
        <w:rPr>
          <w:sz w:val="28"/>
          <w:szCs w:val="28"/>
          <w:lang w:val="uk-UA"/>
        </w:rPr>
        <w:t>виявлення та оцінки факторів, що спричиняють негативного впливу на здоров'я дитячого населення;</w:t>
      </w:r>
    </w:p>
    <w:p w:rsidR="008009FB" w:rsidRPr="002E6ECA" w:rsidRDefault="008009FB" w:rsidP="008009FB">
      <w:pPr>
        <w:numPr>
          <w:ilvl w:val="0"/>
          <w:numId w:val="21"/>
        </w:numPr>
        <w:tabs>
          <w:tab w:val="clear" w:pos="1440"/>
          <w:tab w:val="num" w:pos="0"/>
        </w:tabs>
        <w:spacing w:line="360" w:lineRule="auto"/>
        <w:ind w:left="0" w:firstLine="709"/>
        <w:jc w:val="both"/>
        <w:rPr>
          <w:sz w:val="28"/>
          <w:szCs w:val="28"/>
          <w:lang w:val="uk-UA"/>
        </w:rPr>
      </w:pPr>
      <w:r w:rsidRPr="002E6ECA">
        <w:rPr>
          <w:sz w:val="28"/>
          <w:szCs w:val="28"/>
          <w:lang w:val="uk-UA"/>
        </w:rPr>
        <w:t>прогнозування стану здоров'я школярів і внутрішньошкільного середовища;</w:t>
      </w:r>
    </w:p>
    <w:p w:rsidR="008009FB" w:rsidRPr="002E6ECA" w:rsidRDefault="008009FB" w:rsidP="008009FB">
      <w:pPr>
        <w:numPr>
          <w:ilvl w:val="0"/>
          <w:numId w:val="21"/>
        </w:numPr>
        <w:tabs>
          <w:tab w:val="clear" w:pos="1440"/>
          <w:tab w:val="num" w:pos="0"/>
        </w:tabs>
        <w:spacing w:line="360" w:lineRule="auto"/>
        <w:ind w:left="0" w:firstLine="709"/>
        <w:jc w:val="both"/>
        <w:rPr>
          <w:sz w:val="28"/>
          <w:szCs w:val="28"/>
          <w:lang w:val="uk-UA"/>
        </w:rPr>
      </w:pPr>
      <w:r w:rsidRPr="002E6ECA">
        <w:rPr>
          <w:sz w:val="28"/>
          <w:szCs w:val="28"/>
          <w:lang w:val="uk-UA"/>
        </w:rPr>
        <w:lastRenderedPageBreak/>
        <w:t>розроблення невідкладних і довгострокових профілактичних заходів, що сприятимуть попередженню та усуненню шкідливого впливу чинників середовища життєдіяльності учнівської молоді.</w:t>
      </w:r>
    </w:p>
    <w:p w:rsidR="008009FB" w:rsidRPr="002E6ECA" w:rsidRDefault="008009FB" w:rsidP="008009FB">
      <w:pPr>
        <w:spacing w:line="360" w:lineRule="auto"/>
        <w:ind w:firstLine="709"/>
        <w:jc w:val="both"/>
        <w:rPr>
          <w:sz w:val="28"/>
          <w:szCs w:val="28"/>
          <w:lang w:val="uk-UA"/>
        </w:rPr>
      </w:pPr>
      <w:r w:rsidRPr="002E6ECA">
        <w:rPr>
          <w:sz w:val="28"/>
          <w:szCs w:val="28"/>
          <w:lang w:val="uk-UA"/>
        </w:rPr>
        <w:t>До організаційних принципів, на яких побудовано моніторинг</w:t>
      </w:r>
      <w:r w:rsidR="008F332D" w:rsidRPr="002E6ECA">
        <w:rPr>
          <w:sz w:val="28"/>
          <w:szCs w:val="28"/>
          <w:lang w:val="uk-UA"/>
        </w:rPr>
        <w:t>,</w:t>
      </w:r>
      <w:r w:rsidRPr="002E6ECA">
        <w:rPr>
          <w:sz w:val="28"/>
          <w:szCs w:val="28"/>
          <w:lang w:val="uk-UA"/>
        </w:rPr>
        <w:t xml:space="preserve"> відносяться державний характер, системний підхід, урахування вікових особливостей, максимальна уніфікованість методик та критеріїв оцінки, міжгалузевий підхід, поєднання використання офіційних статистичних даних із індивідуальним спостереженням, контрольована ефективність профілактичних заходів.</w:t>
      </w:r>
    </w:p>
    <w:p w:rsidR="008009FB" w:rsidRPr="002E6ECA" w:rsidRDefault="008009FB" w:rsidP="008009FB">
      <w:pPr>
        <w:spacing w:line="360" w:lineRule="auto"/>
        <w:ind w:firstLine="709"/>
        <w:jc w:val="both"/>
        <w:rPr>
          <w:sz w:val="28"/>
          <w:szCs w:val="28"/>
          <w:lang w:val="uk-UA"/>
        </w:rPr>
      </w:pPr>
      <w:r w:rsidRPr="002E6ECA">
        <w:rPr>
          <w:sz w:val="28"/>
          <w:szCs w:val="28"/>
          <w:lang w:val="uk-UA"/>
        </w:rPr>
        <w:t>Головними суб’єктами державного соціально-гігієнічного моніторингу постають МОЗ та Держсанепідслужба. Згідно з Постановами КМ України № 575 від 5.05.2015 р. та № 348 від 29.03.2017 р. функції з реалізації державної політики у сфері санітарно-епідемічного благополуччя та дотримання санітарного законодавства покладено на Державну службу з питань безпечності харчових продуктів та захисту споживачів (окрім сфер гігієни праці, дозиметричного контролю та епідеміологічного спостереження, серед яких не вказано про санітарний нагляд за умовами навчання у закладах освіти) [</w:t>
      </w:r>
      <w:r w:rsidR="005014AD" w:rsidRPr="002E6ECA">
        <w:rPr>
          <w:sz w:val="28"/>
          <w:szCs w:val="28"/>
          <w:lang w:val="uk-UA"/>
        </w:rPr>
        <w:t>190</w:t>
      </w:r>
      <w:r w:rsidRPr="002E6ECA">
        <w:rPr>
          <w:sz w:val="28"/>
          <w:szCs w:val="28"/>
          <w:lang w:val="uk-UA"/>
        </w:rPr>
        <w:t>], а функції соціально-гігієнічного моніторингу з 2015 р. закріплені за МОЗ України та обласними лабораторними центрами [</w:t>
      </w:r>
      <w:r w:rsidR="005014AD" w:rsidRPr="002E6ECA">
        <w:rPr>
          <w:sz w:val="28"/>
          <w:szCs w:val="28"/>
          <w:lang w:val="uk-UA"/>
        </w:rPr>
        <w:t>191</w:t>
      </w:r>
      <w:r w:rsidRPr="002E6ECA">
        <w:rPr>
          <w:sz w:val="28"/>
          <w:szCs w:val="28"/>
          <w:lang w:val="uk-UA"/>
        </w:rPr>
        <w:t>].</w:t>
      </w:r>
    </w:p>
    <w:p w:rsidR="008009FB" w:rsidRPr="002E6ECA" w:rsidRDefault="008009FB" w:rsidP="008009FB">
      <w:pPr>
        <w:spacing w:line="360" w:lineRule="auto"/>
        <w:ind w:firstLine="709"/>
        <w:jc w:val="both"/>
        <w:rPr>
          <w:spacing w:val="-2"/>
          <w:sz w:val="28"/>
          <w:szCs w:val="28"/>
          <w:lang w:val="uk-UA"/>
        </w:rPr>
      </w:pPr>
      <w:r w:rsidRPr="002E6ECA">
        <w:rPr>
          <w:sz w:val="28"/>
          <w:szCs w:val="28"/>
          <w:lang w:val="uk-UA"/>
        </w:rPr>
        <w:t xml:space="preserve">Стосовно виключно гігієнічного напрямку, що забезпечує оцінку умов навчання, </w:t>
      </w:r>
      <w:r w:rsidRPr="002E6ECA">
        <w:rPr>
          <w:spacing w:val="-2"/>
          <w:sz w:val="28"/>
          <w:szCs w:val="28"/>
          <w:lang w:val="uk-UA"/>
        </w:rPr>
        <w:t xml:space="preserve">визначення чинників ризику щодо формування шкільної патології, встановлення причинно-наслідкових зв’язків </w:t>
      </w:r>
      <w:r w:rsidR="00E26678" w:rsidRPr="002E6ECA">
        <w:rPr>
          <w:spacing w:val="-2"/>
          <w:sz w:val="28"/>
          <w:szCs w:val="28"/>
          <w:lang w:val="uk-UA"/>
        </w:rPr>
        <w:t>-</w:t>
      </w:r>
      <w:r w:rsidRPr="002E6ECA">
        <w:rPr>
          <w:spacing w:val="-2"/>
          <w:sz w:val="28"/>
          <w:szCs w:val="28"/>
          <w:lang w:val="uk-UA"/>
        </w:rPr>
        <w:t>його реалізацію у повному обсязі не вирішено, оскільки окрім кадрового «голоду» (вкрай недостатня кількість фахівців з гігієни дітей та підлітків), законодавчо не окреслене питання з контролю факторів внутрішньошкільного середовища. І лише введений в дію Санітарний регламент</w:t>
      </w:r>
      <w:r w:rsidRPr="002E6ECA">
        <w:rPr>
          <w:spacing w:val="-2"/>
          <w:lang w:val="uk-UA"/>
        </w:rPr>
        <w:t xml:space="preserve"> </w:t>
      </w:r>
      <w:r w:rsidRPr="002E6ECA">
        <w:rPr>
          <w:spacing w:val="-2"/>
          <w:sz w:val="28"/>
          <w:szCs w:val="28"/>
          <w:lang w:val="uk-UA"/>
        </w:rPr>
        <w:t>для закладів загальної середньої освіти з 01.01.2021 р., затверджений Наказом МОЗ України № 2205 від 25.09.2020 р., зобов’язує засновників закладу освіти забезпечити організацію лабораторного контролю параметрів мікроклімату, рівню забруднення повітря, освітленості [</w:t>
      </w:r>
      <w:r w:rsidR="005014AD" w:rsidRPr="002E6ECA">
        <w:rPr>
          <w:sz w:val="28"/>
          <w:szCs w:val="28"/>
          <w:lang w:val="uk-UA"/>
        </w:rPr>
        <w:t>137</w:t>
      </w:r>
      <w:r w:rsidRPr="002E6ECA">
        <w:rPr>
          <w:spacing w:val="-2"/>
          <w:sz w:val="28"/>
          <w:szCs w:val="28"/>
          <w:lang w:val="uk-UA"/>
        </w:rPr>
        <w:t xml:space="preserve">]. </w:t>
      </w:r>
    </w:p>
    <w:p w:rsidR="008009FB" w:rsidRPr="002E6ECA" w:rsidRDefault="008009FB" w:rsidP="008009FB">
      <w:pPr>
        <w:spacing w:line="360" w:lineRule="auto"/>
        <w:ind w:firstLine="709"/>
        <w:jc w:val="both"/>
        <w:rPr>
          <w:sz w:val="28"/>
          <w:szCs w:val="28"/>
          <w:lang w:val="uk-UA"/>
        </w:rPr>
      </w:pPr>
      <w:r w:rsidRPr="002E6ECA">
        <w:rPr>
          <w:sz w:val="28"/>
          <w:szCs w:val="28"/>
          <w:lang w:val="uk-UA"/>
        </w:rPr>
        <w:lastRenderedPageBreak/>
        <w:t>Таким чином реорганізація державної санепідслужби призвела до випадіння із системи соціально-гігієнічного моніторингу провідної ланки, яка передбачала виконання майже усіх його етапів. Це унеможливлює виконання основних завдань соціально-гігієнічного моніторингу, а також протирічить реалізації вказаних організаційних принципів. Так, до функціональних обов’язків державної санітарно-епідеміологічної служби входила не тільки роль у збиранні, зберіганні, первинній обробці і оцінюванні інформації із подальшою передачею її до Міністерства охорони здоров’я України, а й інформаційна та організаційно-захисна функція, що забезпечувала санітарне та епідемічне благополуччя усіх верств населення [</w:t>
      </w:r>
      <w:r w:rsidR="005014AD" w:rsidRPr="002E6ECA">
        <w:rPr>
          <w:sz w:val="28"/>
          <w:szCs w:val="28"/>
          <w:lang w:val="uk-UA"/>
        </w:rPr>
        <w:t>57, 172</w:t>
      </w:r>
      <w:r w:rsidRPr="002E6ECA">
        <w:rPr>
          <w:sz w:val="28"/>
          <w:szCs w:val="28"/>
          <w:lang w:val="uk-UA"/>
        </w:rPr>
        <w:t xml:space="preserve">]. На сьогодні існують лише обласні лабораторні центри із фахівцями медико-профілактичного профілю (у тому числі з гігієни дітей та підлітків), які входять до штату відділу епідеміологічного нагляду (спостереження) та профілактики неінфекційних захворювань, що здійснюють функції лабораторних досліджень без повноважень обмежувати порушення санітарного законодавства. </w:t>
      </w:r>
    </w:p>
    <w:p w:rsidR="008009FB" w:rsidRPr="002E6ECA" w:rsidRDefault="008009FB" w:rsidP="008009FB">
      <w:pPr>
        <w:spacing w:line="360" w:lineRule="auto"/>
        <w:ind w:firstLine="709"/>
        <w:jc w:val="both"/>
        <w:rPr>
          <w:sz w:val="28"/>
          <w:szCs w:val="28"/>
          <w:lang w:val="uk-UA"/>
        </w:rPr>
      </w:pPr>
      <w:r w:rsidRPr="002E6ECA">
        <w:rPr>
          <w:sz w:val="28"/>
          <w:szCs w:val="28"/>
          <w:lang w:val="uk-UA"/>
        </w:rPr>
        <w:t xml:space="preserve">Згідно із загальноприйнятою концепцією гігієнічний моніторинг групового здоров’я школярів передбачав виконання наступних етапів: </w:t>
      </w:r>
    </w:p>
    <w:p w:rsidR="008009FB" w:rsidRPr="002E6ECA" w:rsidRDefault="008009FB" w:rsidP="008009FB">
      <w:pPr>
        <w:numPr>
          <w:ilvl w:val="0"/>
          <w:numId w:val="69"/>
        </w:numPr>
        <w:tabs>
          <w:tab w:val="left" w:pos="993"/>
        </w:tabs>
        <w:spacing w:line="360" w:lineRule="auto"/>
        <w:ind w:left="0" w:firstLine="709"/>
        <w:jc w:val="both"/>
        <w:rPr>
          <w:sz w:val="28"/>
          <w:szCs w:val="28"/>
          <w:lang w:val="uk-UA"/>
        </w:rPr>
      </w:pPr>
      <w:r w:rsidRPr="002E6ECA">
        <w:rPr>
          <w:sz w:val="28"/>
          <w:szCs w:val="28"/>
          <w:lang w:val="uk-UA"/>
        </w:rPr>
        <w:t>проведення обов’язкових медичних оглядів на базі закладів загальної середньої освіти;</w:t>
      </w:r>
    </w:p>
    <w:p w:rsidR="008009FB" w:rsidRPr="002E6ECA" w:rsidRDefault="008009FB" w:rsidP="008009FB">
      <w:pPr>
        <w:numPr>
          <w:ilvl w:val="0"/>
          <w:numId w:val="69"/>
        </w:numPr>
        <w:tabs>
          <w:tab w:val="left" w:pos="993"/>
        </w:tabs>
        <w:spacing w:line="360" w:lineRule="auto"/>
        <w:ind w:left="0" w:firstLine="709"/>
        <w:jc w:val="both"/>
        <w:rPr>
          <w:sz w:val="28"/>
          <w:szCs w:val="28"/>
          <w:lang w:val="uk-UA"/>
        </w:rPr>
      </w:pPr>
      <w:r w:rsidRPr="002E6ECA">
        <w:rPr>
          <w:sz w:val="28"/>
          <w:szCs w:val="28"/>
          <w:lang w:val="uk-UA"/>
        </w:rPr>
        <w:t>згрупування та наступний аналіз результатів цих медоглядів у дитячих поліклініках та інших лікувально-профілактичних закладах;</w:t>
      </w:r>
    </w:p>
    <w:p w:rsidR="008009FB" w:rsidRPr="002E6ECA" w:rsidRDefault="008009FB" w:rsidP="008009FB">
      <w:pPr>
        <w:numPr>
          <w:ilvl w:val="0"/>
          <w:numId w:val="69"/>
        </w:numPr>
        <w:tabs>
          <w:tab w:val="left" w:pos="993"/>
        </w:tabs>
        <w:spacing w:line="360" w:lineRule="auto"/>
        <w:ind w:left="0" w:firstLine="709"/>
        <w:jc w:val="both"/>
        <w:rPr>
          <w:sz w:val="28"/>
          <w:szCs w:val="28"/>
          <w:lang w:val="uk-UA"/>
        </w:rPr>
      </w:pPr>
      <w:r w:rsidRPr="002E6ECA">
        <w:rPr>
          <w:sz w:val="28"/>
          <w:szCs w:val="28"/>
          <w:lang w:val="uk-UA"/>
        </w:rPr>
        <w:t>виявлення шкідливих чинників, прогнозування стану здоров'я, розроблення невідкладних і довгострокових заходів, що здійснювалось у відділеннях гігієни дітей та підлітків санітарно-епідеміологічної служби.</w:t>
      </w:r>
    </w:p>
    <w:p w:rsidR="008009FB" w:rsidRPr="002E6ECA" w:rsidRDefault="008009FB" w:rsidP="008009FB">
      <w:pPr>
        <w:spacing w:line="360" w:lineRule="auto"/>
        <w:ind w:firstLine="709"/>
        <w:jc w:val="both"/>
        <w:rPr>
          <w:sz w:val="28"/>
          <w:szCs w:val="28"/>
          <w:lang w:val="uk-UA"/>
        </w:rPr>
      </w:pPr>
      <w:r w:rsidRPr="002E6ECA">
        <w:rPr>
          <w:sz w:val="28"/>
          <w:szCs w:val="28"/>
          <w:lang w:val="uk-UA"/>
        </w:rPr>
        <w:t xml:space="preserve">Наразі утворився з одного боку кадровий «голод», а з іншого </w:t>
      </w:r>
      <w:r w:rsidR="008F332D" w:rsidRPr="002E6ECA">
        <w:rPr>
          <w:sz w:val="28"/>
          <w:szCs w:val="28"/>
          <w:lang w:val="uk-UA"/>
        </w:rPr>
        <w:t>–</w:t>
      </w:r>
      <w:r w:rsidRPr="002E6ECA">
        <w:rPr>
          <w:sz w:val="28"/>
          <w:szCs w:val="28"/>
          <w:lang w:val="uk-UA"/>
        </w:rPr>
        <w:t xml:space="preserve"> інформаційний «вакуум» не тільки за питанням впровадження моніторингу [</w:t>
      </w:r>
      <w:r w:rsidR="005014AD" w:rsidRPr="002E6ECA">
        <w:rPr>
          <w:sz w:val="28"/>
          <w:szCs w:val="28"/>
          <w:lang w:val="uk-UA"/>
        </w:rPr>
        <w:t>57</w:t>
      </w:r>
      <w:r w:rsidRPr="002E6ECA">
        <w:rPr>
          <w:sz w:val="28"/>
          <w:szCs w:val="28"/>
          <w:lang w:val="uk-UA"/>
        </w:rPr>
        <w:t xml:space="preserve">], а й загалом: профілактичні медичні огляди школярів вже не проводяться виїзними бригадами висококваліфікованих лікарів на базі навчальних закладів. Цю функцію передано до районних поліклінік, що призвело до поєднання першого та другого рівнів функціонування системи моніторингу в галузі гігієни </w:t>
      </w:r>
      <w:r w:rsidRPr="002E6ECA">
        <w:rPr>
          <w:sz w:val="28"/>
          <w:szCs w:val="28"/>
          <w:lang w:val="uk-UA"/>
        </w:rPr>
        <w:lastRenderedPageBreak/>
        <w:t xml:space="preserve">дітей та підлітків. Відповідно стало неможливим отримання достовірної інформації щодо стану здоров’я дітей шкільного віку у необхідному обсязі. Повноцінне та дієве впровадження профілактичних програм, обмеження порушень санітарного законодавства у сфері гігієни дітей та підлітків (здебільшого у шкільному віці) також утруднено у зв’язку із передаванням цих повноважень «непрофільній» установі (Державній службі з питань безпечності харчових продуктів та захисту споживачів).   </w:t>
      </w:r>
    </w:p>
    <w:p w:rsidR="008009FB" w:rsidRPr="002E6ECA" w:rsidRDefault="008009FB" w:rsidP="008009FB">
      <w:pPr>
        <w:spacing w:line="360" w:lineRule="auto"/>
        <w:ind w:firstLine="709"/>
        <w:jc w:val="both"/>
        <w:rPr>
          <w:sz w:val="32"/>
          <w:szCs w:val="28"/>
          <w:lang w:val="uk-UA"/>
        </w:rPr>
      </w:pPr>
      <w:r w:rsidRPr="002E6ECA">
        <w:rPr>
          <w:sz w:val="28"/>
          <w:szCs w:val="28"/>
          <w:lang w:val="uk-UA"/>
        </w:rPr>
        <w:t xml:space="preserve">Виконання принципу системного підходу припускає дослідження здоров’я на індивідуальному, колективному та популяційному рівнях, встановлення зв’язків в системі «довкілля </w:t>
      </w:r>
      <w:r w:rsidR="00E26678" w:rsidRPr="002E6ECA">
        <w:rPr>
          <w:sz w:val="28"/>
          <w:szCs w:val="28"/>
          <w:lang w:val="uk-UA"/>
        </w:rPr>
        <w:t>-</w:t>
      </w:r>
      <w:r w:rsidRPr="002E6ECA">
        <w:rPr>
          <w:sz w:val="28"/>
          <w:szCs w:val="28"/>
          <w:lang w:val="uk-UA"/>
        </w:rPr>
        <w:t>здоров’я», з’ясування впливів та залежностей між чинниками навколишнього середовища та здоров’ям людини [</w:t>
      </w:r>
      <w:r w:rsidR="005014AD" w:rsidRPr="002E6ECA">
        <w:rPr>
          <w:sz w:val="28"/>
          <w:szCs w:val="28"/>
          <w:lang w:val="uk-UA"/>
        </w:rPr>
        <w:t>172</w:t>
      </w:r>
      <w:r w:rsidRPr="002E6ECA">
        <w:rPr>
          <w:sz w:val="28"/>
          <w:szCs w:val="28"/>
          <w:lang w:val="uk-UA"/>
        </w:rPr>
        <w:t>]. На сьогодні дослідження реалізовані лише на індивідуальному та популяційному рівнях. Так, здійснюється оцінка стану здоров’я конкретної дитини сімейним лікарем-педіатром під час проходження медичного огляду без оцінки впливу чинників і, відповідно, встановлення причинно-наслідкових зв’язків. На популяційному рівні також можлива загальна оцінка стану здоров’я учнівської молоді та окремо визначення чинників ризику без зіставлення цих даних, а моніторинг факторів внутрішньошкільного середовища тільки починає відновлюватись без гарантії відповідного аналізу та встановлення причинно-наслідкових зв’язків</w:t>
      </w:r>
      <w:r w:rsidRPr="002E6ECA">
        <w:rPr>
          <w:sz w:val="32"/>
          <w:szCs w:val="28"/>
          <w:lang w:val="uk-UA"/>
        </w:rPr>
        <w:t>.</w:t>
      </w:r>
    </w:p>
    <w:p w:rsidR="008009FB" w:rsidRPr="002E6ECA" w:rsidRDefault="008009FB" w:rsidP="008009FB">
      <w:pPr>
        <w:spacing w:line="360" w:lineRule="auto"/>
        <w:ind w:firstLine="709"/>
        <w:jc w:val="both"/>
        <w:rPr>
          <w:sz w:val="28"/>
          <w:szCs w:val="28"/>
          <w:lang w:val="uk-UA" w:eastAsia="uk-UA"/>
        </w:rPr>
      </w:pPr>
      <w:r w:rsidRPr="002E6ECA">
        <w:rPr>
          <w:sz w:val="28"/>
          <w:szCs w:val="28"/>
          <w:lang w:val="uk-UA" w:eastAsia="uk-UA"/>
        </w:rPr>
        <w:t>Алгоритм моніторингу, що існує, включає декілька етапів, а саме [</w:t>
      </w:r>
      <w:r w:rsidR="005014AD" w:rsidRPr="002E6ECA">
        <w:rPr>
          <w:sz w:val="28"/>
          <w:szCs w:val="28"/>
          <w:lang w:val="uk-UA"/>
        </w:rPr>
        <w:t>172</w:t>
      </w:r>
      <w:r w:rsidRPr="002E6ECA">
        <w:rPr>
          <w:sz w:val="28"/>
          <w:szCs w:val="28"/>
          <w:lang w:val="uk-UA"/>
        </w:rPr>
        <w:t>]</w:t>
      </w:r>
      <w:r w:rsidRPr="002E6ECA">
        <w:rPr>
          <w:sz w:val="28"/>
          <w:szCs w:val="28"/>
          <w:lang w:val="uk-UA" w:eastAsia="uk-UA"/>
        </w:rPr>
        <w:t>:</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t xml:space="preserve">Збирання інформації про стан здоров’я і навколишнього середовища. Його реалізація можлива завдяки використанню джерел статистичної звітності та медичної документації, що ведеться у лікувально-профілактичних закладах. На цьому етапі доцільно використання методів опитування, інтерв’ювання та скринінгу. </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t>Статистична обробка і аналіз отриманої інформації з метою визначення взаємозалежності зрушень у стані здоров’я та факторів середовища, вірогідність впливу та його ступінь, розрахунку прогнозу.</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t>Виявлення критичних змін з боку здоров’я та довкілля</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lastRenderedPageBreak/>
        <w:t>Формування робочої гіпотези про причинно-наслідкові зв’язки між станом здоров’ям і чинниками навколишнього середовища.</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t>Пошук і обґрунтування біологічних, соціально-гігієнічних та екологічних факторів ризику, що призводять до порушень стану здоров’я, а також зв’язку між окремими факторами ризику. Їх визначення дозволяє створювати базу для подальшого прогнозу захворювань на індивідуальному, груповому та популяційному рівнях.</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t xml:space="preserve">Розробка цільової профілактичної програми, спрямованої на зменшення або </w:t>
      </w:r>
      <w:r w:rsidRPr="002E6ECA">
        <w:rPr>
          <w:spacing w:val="-2"/>
          <w:sz w:val="28"/>
          <w:szCs w:val="28"/>
          <w:lang w:val="uk-UA"/>
        </w:rPr>
        <w:t>усунення негативного впливу виявлених факторів ризику на стан здоров’я дитячого населення. Ця програма повинна відповідати принципам цільової спрямованості, специфічності, комплексності, етапності [</w:t>
      </w:r>
      <w:r w:rsidR="005014AD" w:rsidRPr="002E6ECA">
        <w:rPr>
          <w:spacing w:val="-2"/>
          <w:sz w:val="28"/>
          <w:szCs w:val="28"/>
          <w:lang w:val="uk-UA"/>
        </w:rPr>
        <w:t>129</w:t>
      </w:r>
      <w:r w:rsidRPr="002E6ECA">
        <w:rPr>
          <w:spacing w:val="-2"/>
          <w:sz w:val="28"/>
          <w:szCs w:val="28"/>
          <w:lang w:val="uk-UA"/>
        </w:rPr>
        <w:t>]</w:t>
      </w:r>
      <w:r w:rsidRPr="002E6ECA">
        <w:rPr>
          <w:sz w:val="28"/>
          <w:szCs w:val="28"/>
          <w:lang w:val="uk-UA"/>
        </w:rPr>
        <w:t>.</w:t>
      </w:r>
    </w:p>
    <w:p w:rsidR="008009FB" w:rsidRPr="002E6ECA" w:rsidRDefault="008009FB" w:rsidP="008009FB">
      <w:pPr>
        <w:pStyle w:val="a3"/>
        <w:numPr>
          <w:ilvl w:val="0"/>
          <w:numId w:val="40"/>
        </w:numPr>
        <w:spacing w:line="360" w:lineRule="auto"/>
        <w:ind w:left="0" w:firstLine="709"/>
        <w:jc w:val="both"/>
        <w:rPr>
          <w:sz w:val="28"/>
          <w:szCs w:val="28"/>
          <w:lang w:val="uk-UA"/>
        </w:rPr>
      </w:pPr>
      <w:r w:rsidRPr="002E6ECA">
        <w:rPr>
          <w:sz w:val="28"/>
          <w:szCs w:val="28"/>
          <w:lang w:val="uk-UA"/>
        </w:rPr>
        <w:t>Оцінка ефективності проведення профілактичних заходів (зворотній зв’язок).</w:t>
      </w:r>
    </w:p>
    <w:p w:rsidR="008009FB" w:rsidRPr="002E6ECA" w:rsidRDefault="008009FB" w:rsidP="008009FB">
      <w:pPr>
        <w:spacing w:line="360" w:lineRule="auto"/>
        <w:ind w:left="1069"/>
        <w:jc w:val="both"/>
        <w:rPr>
          <w:sz w:val="28"/>
          <w:szCs w:val="28"/>
          <w:lang w:val="uk-UA" w:eastAsia="uk-UA"/>
        </w:rPr>
      </w:pPr>
    </w:p>
    <w:p w:rsidR="008009FB" w:rsidRPr="002E6ECA" w:rsidRDefault="008009FB" w:rsidP="008009FB">
      <w:pPr>
        <w:spacing w:line="360" w:lineRule="auto"/>
        <w:ind w:firstLine="851"/>
        <w:jc w:val="both"/>
        <w:rPr>
          <w:sz w:val="28"/>
          <w:szCs w:val="28"/>
          <w:lang w:val="uk-UA"/>
        </w:rPr>
      </w:pPr>
      <w:r w:rsidRPr="002E6ECA">
        <w:rPr>
          <w:sz w:val="28"/>
          <w:szCs w:val="28"/>
          <w:lang w:val="uk-UA" w:eastAsia="uk-UA"/>
        </w:rPr>
        <w:t xml:space="preserve">У якості теоретико-методологічної бази розробки концепції гігієнічного моніторингу групового здоров’я школярів було обрано системний підхід, що дозоляє узагальнювати, аналізувати та прогнозувати </w:t>
      </w:r>
      <w:r w:rsidRPr="002E6ECA">
        <w:rPr>
          <w:sz w:val="28"/>
          <w:szCs w:val="28"/>
          <w:lang w:val="uk-UA"/>
        </w:rPr>
        <w:t>основні закономірності управління процесами, виділити провідні чинники, вплив на які надає змогу суттєво оптимізувати наявну ситуацію [</w:t>
      </w:r>
      <w:r w:rsidR="005014AD" w:rsidRPr="002E6ECA">
        <w:rPr>
          <w:sz w:val="28"/>
          <w:szCs w:val="28"/>
          <w:lang w:val="uk-UA"/>
        </w:rPr>
        <w:t>101</w:t>
      </w:r>
      <w:r w:rsidRPr="002E6ECA">
        <w:rPr>
          <w:sz w:val="28"/>
          <w:szCs w:val="28"/>
          <w:lang w:val="uk-UA"/>
        </w:rPr>
        <w:t>]. Необхідною  та достатньою умовою реалізації системного підходу постає сумісне використання системно-структурного і системно-функціонального аспектів, що забезпечує цілісне та комплексне вирішення поставленої проблеми.</w:t>
      </w:r>
    </w:p>
    <w:p w:rsidR="008009FB" w:rsidRPr="002E6ECA" w:rsidRDefault="008009FB" w:rsidP="008009FB">
      <w:pPr>
        <w:spacing w:line="360" w:lineRule="auto"/>
        <w:ind w:firstLine="851"/>
        <w:jc w:val="both"/>
        <w:rPr>
          <w:sz w:val="28"/>
          <w:szCs w:val="28"/>
          <w:lang w:val="uk-UA" w:eastAsia="uk-UA"/>
        </w:rPr>
      </w:pPr>
      <w:r w:rsidRPr="002E6ECA">
        <w:rPr>
          <w:sz w:val="28"/>
          <w:szCs w:val="28"/>
          <w:lang w:val="uk-UA"/>
        </w:rPr>
        <w:t>Формування концептуальної моделі гігієнічного моніторингу групового здоров’я як явище та процес базується на дефініції концепції як комплексу ключових положень, які достатньо повно і всебічно розкривають сутність, зміст, особливості досліджуваного явища, його існування в дійсності або практичній діяльності людини [</w:t>
      </w:r>
      <w:r w:rsidR="005014AD" w:rsidRPr="002E6ECA">
        <w:rPr>
          <w:sz w:val="28"/>
          <w:szCs w:val="28"/>
          <w:lang w:val="uk-UA"/>
        </w:rPr>
        <w:t>39</w:t>
      </w:r>
      <w:r w:rsidRPr="002E6ECA">
        <w:rPr>
          <w:sz w:val="28"/>
          <w:szCs w:val="28"/>
          <w:lang w:val="uk-UA"/>
        </w:rPr>
        <w:t xml:space="preserve">, </w:t>
      </w:r>
      <w:r w:rsidR="005014AD" w:rsidRPr="002E6ECA">
        <w:rPr>
          <w:sz w:val="28"/>
          <w:szCs w:val="28"/>
          <w:lang w:val="uk-UA"/>
        </w:rPr>
        <w:t>327</w:t>
      </w:r>
      <w:r w:rsidRPr="002E6ECA">
        <w:rPr>
          <w:sz w:val="28"/>
          <w:szCs w:val="28"/>
          <w:lang w:val="uk-UA"/>
        </w:rPr>
        <w:t xml:space="preserve">]. Відповідно до наявних теоретико-методологічних підходів концепція повинна представляти собою систему організаційно-управлінських, інформаційно-методичних та наукових блоків, що </w:t>
      </w:r>
      <w:r w:rsidRPr="002E6ECA">
        <w:rPr>
          <w:sz w:val="28"/>
          <w:szCs w:val="28"/>
          <w:lang w:val="uk-UA"/>
        </w:rPr>
        <w:lastRenderedPageBreak/>
        <w:t>ставлять за мету сприяння не тільки здійснення моніторингу здоров’я, а й забезпечення оптимального керування цією системою.</w:t>
      </w:r>
    </w:p>
    <w:p w:rsidR="008009FB" w:rsidRPr="002E6ECA" w:rsidRDefault="008009FB" w:rsidP="008009FB">
      <w:pPr>
        <w:spacing w:line="360" w:lineRule="auto"/>
        <w:ind w:firstLine="709"/>
        <w:jc w:val="both"/>
        <w:rPr>
          <w:sz w:val="28"/>
          <w:szCs w:val="28"/>
          <w:lang w:val="uk-UA" w:eastAsia="uk-UA"/>
        </w:rPr>
      </w:pPr>
      <w:r w:rsidRPr="002E6ECA">
        <w:rPr>
          <w:sz w:val="28"/>
          <w:szCs w:val="28"/>
          <w:lang w:val="uk-UA" w:eastAsia="uk-UA"/>
        </w:rPr>
        <w:t>Будь-яка відкрита система, що передбачає наявність взаємодії з навколишнім середовищем (а саме такою треба вважати систему гігієнічного моніторингу групового здоров’я школярів, що передбачає не тільки оцінку стану здоров’я учнів, а й вплив чинників середовища життєдіяльності), повинна оцінюватись з позицій наявності та ступеню прояву характерних властивостей, а саме:</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eastAsia="uk-UA"/>
        </w:rPr>
        <w:t>цілісності (як результат динамічної взаємодії системних елементів, а не окремих ефектів цих компонентів);</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eastAsia="uk-UA"/>
        </w:rPr>
        <w:t xml:space="preserve">сумації результатів (підсумковий результат складається з суми результатів за окремими підсистемами); </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eastAsia="uk-UA"/>
        </w:rPr>
        <w:t>диференціації, що підтверджується відсутністю повністю взаємозамінних частин системи та дублювання дій окремими елементами і, відповідно постає важливим соціально-економічним аспектом. Саме ця властивість вважається системоформуючим показником і більшою мірою забезпечує отримання необхідного результату);</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eastAsia="uk-UA"/>
        </w:rPr>
        <w:t>відсутністю централізації, оскільки домінування одного з компонентів системи порушує зворотній зв’язок та ставить під сумнів необхідність інших компонентів та системи загалом;</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eastAsia="uk-UA"/>
        </w:rPr>
        <w:t xml:space="preserve">інформаційного характеру, що забезпечується реалізацією принципу зворотного зв’язку, яка віддзеркалює </w:t>
      </w:r>
      <w:r w:rsidRPr="002E6ECA">
        <w:rPr>
          <w:sz w:val="28"/>
          <w:szCs w:val="28"/>
          <w:lang w:val="uk-UA"/>
        </w:rPr>
        <w:t>дотримання основних принципів моніторингу та теорії систем. Функціонування системи досягається за рахунок інформаційних сигналів, які циркулюють між її складовими частинами. Якщо такий інформаційний потік переривається, то зникають відповідні зв’язки, межі системи  і вона руйнується;</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rPr>
        <w:t>формування динамічної рівноваги під час реалізації розробленої концепції є аргументом на користь здатності системи до існування та удосконалення;</w:t>
      </w:r>
    </w:p>
    <w:p w:rsidR="008009FB" w:rsidRPr="002E6ECA" w:rsidRDefault="008009FB" w:rsidP="008009FB">
      <w:pPr>
        <w:pStyle w:val="a3"/>
        <w:numPr>
          <w:ilvl w:val="0"/>
          <w:numId w:val="62"/>
        </w:numPr>
        <w:spacing w:line="360" w:lineRule="auto"/>
        <w:ind w:left="0" w:firstLine="709"/>
        <w:jc w:val="both"/>
        <w:rPr>
          <w:sz w:val="28"/>
          <w:szCs w:val="28"/>
          <w:lang w:val="uk-UA" w:eastAsia="uk-UA"/>
        </w:rPr>
      </w:pPr>
      <w:r w:rsidRPr="002E6ECA">
        <w:rPr>
          <w:sz w:val="28"/>
          <w:szCs w:val="28"/>
          <w:lang w:val="uk-UA"/>
        </w:rPr>
        <w:lastRenderedPageBreak/>
        <w:t xml:space="preserve">динамічної завершеності </w:t>
      </w:r>
      <w:r w:rsidR="00E26678" w:rsidRPr="002E6ECA">
        <w:rPr>
          <w:sz w:val="28"/>
          <w:szCs w:val="28"/>
          <w:lang w:val="uk-UA"/>
        </w:rPr>
        <w:t>-</w:t>
      </w:r>
      <w:r w:rsidRPr="002E6ECA">
        <w:rPr>
          <w:sz w:val="28"/>
          <w:szCs w:val="28"/>
          <w:lang w:val="uk-UA"/>
        </w:rPr>
        <w:t>спрямованості процесів, що базується на структурі системи, яка орієнтує на досягнення певного результату;</w:t>
      </w:r>
    </w:p>
    <w:p w:rsidR="008009FB" w:rsidRPr="002E6ECA" w:rsidRDefault="008009FB" w:rsidP="008009FB">
      <w:pPr>
        <w:pStyle w:val="a3"/>
        <w:numPr>
          <w:ilvl w:val="0"/>
          <w:numId w:val="62"/>
        </w:numPr>
        <w:spacing w:line="360" w:lineRule="auto"/>
        <w:ind w:left="0" w:firstLine="709"/>
        <w:jc w:val="both"/>
        <w:rPr>
          <w:sz w:val="28"/>
          <w:szCs w:val="28"/>
          <w:lang w:val="uk-UA"/>
        </w:rPr>
      </w:pPr>
      <w:r w:rsidRPr="002E6ECA">
        <w:rPr>
          <w:sz w:val="28"/>
          <w:szCs w:val="28"/>
          <w:lang w:val="uk-UA"/>
        </w:rPr>
        <w:t xml:space="preserve">еквіфінальності </w:t>
      </w:r>
      <w:r w:rsidR="00E26678" w:rsidRPr="002E6ECA">
        <w:rPr>
          <w:sz w:val="28"/>
          <w:szCs w:val="28"/>
          <w:lang w:val="uk-UA"/>
        </w:rPr>
        <w:t>-</w:t>
      </w:r>
      <w:r w:rsidRPr="002E6ECA">
        <w:rPr>
          <w:sz w:val="28"/>
          <w:szCs w:val="28"/>
          <w:lang w:val="uk-UA"/>
        </w:rPr>
        <w:t>досягнення системою поставленої мети різними шляхами та за різних «стартових» умов. В межах реалізації концепції розробляється і здійснюється досить об’ємний комплекс організаційних, теоретичних і практичних заходів, а зміни навколишнього середовища зумовлюють суттєві коливання їх ефективності. Тому можливі значущі зміни умов реалізації концепції.</w:t>
      </w:r>
    </w:p>
    <w:p w:rsidR="008009FB" w:rsidRPr="002E6ECA" w:rsidRDefault="008009FB" w:rsidP="008009FB">
      <w:pPr>
        <w:tabs>
          <w:tab w:val="left" w:pos="993"/>
        </w:tabs>
        <w:spacing w:line="360" w:lineRule="auto"/>
        <w:ind w:firstLine="709"/>
        <w:jc w:val="both"/>
        <w:rPr>
          <w:sz w:val="28"/>
          <w:szCs w:val="28"/>
          <w:lang w:val="uk-UA" w:eastAsia="uk-UA"/>
        </w:rPr>
      </w:pPr>
      <w:r w:rsidRPr="002E6ECA">
        <w:rPr>
          <w:sz w:val="28"/>
          <w:szCs w:val="28"/>
          <w:lang w:val="uk-UA" w:eastAsia="uk-UA"/>
        </w:rPr>
        <w:t>Взагалі система знаходиться під впливом передбачення мети, що гарантує її цілеспрямованість.</w:t>
      </w:r>
    </w:p>
    <w:p w:rsidR="008009FB" w:rsidRPr="002E6ECA" w:rsidRDefault="008009FB" w:rsidP="008009FB">
      <w:pPr>
        <w:tabs>
          <w:tab w:val="left" w:pos="993"/>
        </w:tabs>
        <w:spacing w:line="360" w:lineRule="auto"/>
        <w:ind w:firstLine="709"/>
        <w:jc w:val="both"/>
        <w:rPr>
          <w:sz w:val="28"/>
          <w:szCs w:val="28"/>
          <w:lang w:val="uk-UA" w:eastAsia="uk-UA"/>
        </w:rPr>
      </w:pPr>
      <w:r w:rsidRPr="002E6ECA">
        <w:rPr>
          <w:sz w:val="28"/>
          <w:szCs w:val="28"/>
          <w:lang w:val="uk-UA" w:eastAsia="uk-UA"/>
        </w:rPr>
        <w:t xml:space="preserve">Аналіз концепції гігієнічного моніторингу групового здоров’я школярів за вищевказаними ознаками дозволяє дійти висновку про її відповідність </w:t>
      </w:r>
      <w:r w:rsidRPr="002E6ECA">
        <w:rPr>
          <w:sz w:val="28"/>
          <w:szCs w:val="28"/>
          <w:lang w:val="uk-UA"/>
        </w:rPr>
        <w:t>основним вимогам та теоретико-методичним особливостям загальної теорії систем. Проведений аналіз концепції з позицій зазначеної теорії довів принципову можливість її впровадження та практичної реалізації. Інструментом такої реалізації повинна бути визнана відповідна концептуальна модель.</w:t>
      </w:r>
    </w:p>
    <w:p w:rsidR="008009FB" w:rsidRPr="002E6ECA" w:rsidRDefault="008009FB" w:rsidP="008009FB">
      <w:pPr>
        <w:tabs>
          <w:tab w:val="left" w:pos="993"/>
        </w:tabs>
        <w:spacing w:line="360" w:lineRule="auto"/>
        <w:ind w:firstLine="709"/>
        <w:contextualSpacing/>
        <w:jc w:val="both"/>
        <w:rPr>
          <w:sz w:val="28"/>
          <w:szCs w:val="28"/>
          <w:lang w:val="uk-UA"/>
        </w:rPr>
      </w:pPr>
      <w:r w:rsidRPr="002E6ECA">
        <w:rPr>
          <w:sz w:val="28"/>
          <w:szCs w:val="28"/>
          <w:lang w:val="uk-UA"/>
        </w:rPr>
        <w:t xml:space="preserve">Розроблена концепція </w:t>
      </w:r>
      <w:r w:rsidRPr="002E6ECA">
        <w:rPr>
          <w:sz w:val="28"/>
          <w:szCs w:val="28"/>
          <w:lang w:val="uk-UA" w:eastAsia="uk-UA"/>
        </w:rPr>
        <w:t>гігієнічного моніторингу групового здоров’я школярів</w:t>
      </w:r>
      <w:r w:rsidRPr="002E6ECA">
        <w:rPr>
          <w:sz w:val="28"/>
          <w:szCs w:val="28"/>
          <w:lang w:val="uk-UA"/>
        </w:rPr>
        <w:t xml:space="preserve"> дозволяє визначити наступні організаційно-методичні засади:</w:t>
      </w:r>
    </w:p>
    <w:p w:rsidR="008009FB" w:rsidRPr="002E6ECA" w:rsidRDefault="008009FB" w:rsidP="008009FB">
      <w:pPr>
        <w:numPr>
          <w:ilvl w:val="0"/>
          <w:numId w:val="63"/>
        </w:numPr>
        <w:tabs>
          <w:tab w:val="left" w:pos="993"/>
        </w:tabs>
        <w:autoSpaceDE w:val="0"/>
        <w:autoSpaceDN w:val="0"/>
        <w:adjustRightInd w:val="0"/>
        <w:spacing w:line="360" w:lineRule="auto"/>
        <w:ind w:left="0" w:firstLine="709"/>
        <w:contextualSpacing/>
        <w:jc w:val="both"/>
        <w:rPr>
          <w:sz w:val="28"/>
          <w:szCs w:val="28"/>
          <w:lang w:val="uk-UA"/>
        </w:rPr>
      </w:pPr>
      <w:r w:rsidRPr="002E6ECA">
        <w:rPr>
          <w:sz w:val="28"/>
          <w:szCs w:val="28"/>
          <w:lang w:val="uk-UA"/>
        </w:rPr>
        <w:t>удосконалення системи та структури управління гігієнічним моніторингом на регіональному та державному рівнях;</w:t>
      </w:r>
    </w:p>
    <w:p w:rsidR="008009FB" w:rsidRPr="002E6ECA" w:rsidRDefault="008009FB" w:rsidP="008009FB">
      <w:pPr>
        <w:numPr>
          <w:ilvl w:val="0"/>
          <w:numId w:val="63"/>
        </w:numPr>
        <w:tabs>
          <w:tab w:val="left" w:pos="993"/>
        </w:tabs>
        <w:autoSpaceDE w:val="0"/>
        <w:autoSpaceDN w:val="0"/>
        <w:adjustRightInd w:val="0"/>
        <w:spacing w:line="360" w:lineRule="auto"/>
        <w:ind w:left="0" w:firstLine="709"/>
        <w:contextualSpacing/>
        <w:jc w:val="both"/>
        <w:rPr>
          <w:sz w:val="28"/>
          <w:szCs w:val="28"/>
          <w:lang w:val="uk-UA"/>
        </w:rPr>
      </w:pPr>
      <w:r w:rsidRPr="002E6ECA">
        <w:rPr>
          <w:sz w:val="28"/>
          <w:szCs w:val="28"/>
          <w:lang w:val="uk-UA"/>
        </w:rPr>
        <w:t>удосконалення та подальший розвиток нормативно-правової та методологічної бази;</w:t>
      </w:r>
    </w:p>
    <w:p w:rsidR="008009FB" w:rsidRPr="002E6ECA" w:rsidRDefault="008009FB" w:rsidP="008009FB">
      <w:pPr>
        <w:numPr>
          <w:ilvl w:val="0"/>
          <w:numId w:val="63"/>
        </w:numPr>
        <w:tabs>
          <w:tab w:val="left" w:pos="993"/>
        </w:tabs>
        <w:autoSpaceDE w:val="0"/>
        <w:autoSpaceDN w:val="0"/>
        <w:adjustRightInd w:val="0"/>
        <w:spacing w:line="360" w:lineRule="auto"/>
        <w:ind w:left="0" w:firstLine="709"/>
        <w:contextualSpacing/>
        <w:jc w:val="both"/>
        <w:rPr>
          <w:sz w:val="28"/>
          <w:szCs w:val="28"/>
          <w:lang w:val="uk-UA"/>
        </w:rPr>
      </w:pPr>
      <w:r w:rsidRPr="002E6ECA">
        <w:rPr>
          <w:sz w:val="28"/>
          <w:szCs w:val="28"/>
          <w:lang w:val="uk-UA"/>
        </w:rPr>
        <w:t>запровадження інноваційних підходів до наукового, методичного, інформаційного забезпечення гігієнічного моніторингу;</w:t>
      </w:r>
    </w:p>
    <w:p w:rsidR="008009FB" w:rsidRPr="002E6ECA" w:rsidRDefault="008009FB" w:rsidP="008009FB">
      <w:pPr>
        <w:numPr>
          <w:ilvl w:val="0"/>
          <w:numId w:val="63"/>
        </w:numPr>
        <w:tabs>
          <w:tab w:val="left" w:pos="993"/>
        </w:tabs>
        <w:autoSpaceDE w:val="0"/>
        <w:autoSpaceDN w:val="0"/>
        <w:adjustRightInd w:val="0"/>
        <w:spacing w:line="360" w:lineRule="auto"/>
        <w:ind w:left="0" w:firstLine="709"/>
        <w:contextualSpacing/>
        <w:jc w:val="both"/>
        <w:rPr>
          <w:sz w:val="28"/>
          <w:szCs w:val="28"/>
          <w:lang w:val="uk-UA"/>
        </w:rPr>
      </w:pPr>
      <w:r w:rsidRPr="002E6ECA">
        <w:rPr>
          <w:sz w:val="28"/>
          <w:szCs w:val="28"/>
          <w:lang w:val="uk-UA"/>
        </w:rPr>
        <w:t>підвищення рівня популяризації здорового способу життя у школярів на базі закладів загальної середньої освіти, а також за допомогою мас-медіа (преса, телебачення, радіо, інтернет);</w:t>
      </w:r>
    </w:p>
    <w:p w:rsidR="008009FB" w:rsidRPr="002E6ECA" w:rsidRDefault="008009FB" w:rsidP="008009FB">
      <w:pPr>
        <w:numPr>
          <w:ilvl w:val="0"/>
          <w:numId w:val="63"/>
        </w:numPr>
        <w:tabs>
          <w:tab w:val="left" w:pos="993"/>
        </w:tabs>
        <w:autoSpaceDE w:val="0"/>
        <w:autoSpaceDN w:val="0"/>
        <w:adjustRightInd w:val="0"/>
        <w:spacing w:line="360" w:lineRule="auto"/>
        <w:ind w:left="0" w:firstLine="709"/>
        <w:contextualSpacing/>
        <w:jc w:val="both"/>
        <w:rPr>
          <w:sz w:val="28"/>
          <w:szCs w:val="28"/>
          <w:lang w:val="uk-UA"/>
        </w:rPr>
      </w:pPr>
      <w:r w:rsidRPr="002E6ECA">
        <w:rPr>
          <w:sz w:val="28"/>
          <w:szCs w:val="28"/>
          <w:lang w:val="uk-UA"/>
        </w:rPr>
        <w:t>формування ефективної системи підготовки та перепідготовки відповідних фахівців.</w:t>
      </w:r>
    </w:p>
    <w:p w:rsidR="008009FB" w:rsidRPr="002E6ECA" w:rsidRDefault="008009FB" w:rsidP="008009FB">
      <w:pPr>
        <w:tabs>
          <w:tab w:val="left" w:pos="993"/>
        </w:tabs>
        <w:autoSpaceDE w:val="0"/>
        <w:autoSpaceDN w:val="0"/>
        <w:adjustRightInd w:val="0"/>
        <w:spacing w:line="360" w:lineRule="auto"/>
        <w:ind w:firstLine="709"/>
        <w:contextualSpacing/>
        <w:jc w:val="both"/>
        <w:rPr>
          <w:sz w:val="28"/>
          <w:szCs w:val="28"/>
          <w:lang w:val="uk-UA"/>
        </w:rPr>
      </w:pPr>
      <w:r w:rsidRPr="002E6ECA">
        <w:rPr>
          <w:sz w:val="28"/>
          <w:szCs w:val="28"/>
          <w:lang w:val="uk-UA"/>
        </w:rPr>
        <w:lastRenderedPageBreak/>
        <w:t xml:space="preserve">Інструментом практичної реалізації зазначених засад виступає концептуальна модель </w:t>
      </w:r>
      <w:r w:rsidRPr="002E6ECA">
        <w:rPr>
          <w:sz w:val="28"/>
          <w:szCs w:val="28"/>
          <w:lang w:val="uk-UA" w:eastAsia="uk-UA"/>
        </w:rPr>
        <w:t>гігієнічного моніторингу групового здоров’я школярів</w:t>
      </w:r>
      <w:r w:rsidRPr="002E6ECA">
        <w:rPr>
          <w:sz w:val="28"/>
          <w:szCs w:val="28"/>
          <w:lang w:val="uk-UA"/>
        </w:rPr>
        <w:t>, обґрунтування, розробка і аналіз якої відповідно до теорії керування склали завдання наступного етапу узагальнення результатів дослідження.</w:t>
      </w:r>
    </w:p>
    <w:p w:rsidR="008009FB" w:rsidRPr="002E6ECA" w:rsidRDefault="008009FB" w:rsidP="008009FB">
      <w:pPr>
        <w:tabs>
          <w:tab w:val="left" w:pos="993"/>
        </w:tabs>
        <w:spacing w:line="360" w:lineRule="auto"/>
        <w:ind w:firstLine="709"/>
        <w:jc w:val="both"/>
        <w:rPr>
          <w:sz w:val="28"/>
          <w:szCs w:val="28"/>
          <w:lang w:val="uk-UA" w:eastAsia="uk-UA"/>
        </w:rPr>
      </w:pPr>
      <w:r w:rsidRPr="002E6ECA">
        <w:rPr>
          <w:sz w:val="28"/>
          <w:szCs w:val="28"/>
          <w:lang w:val="uk-UA"/>
        </w:rPr>
        <w:t>Концепція керування гігієнічним моніторингом групового здоров’я школярів характеризується високою проблематикою, оскільки вона спрямована на розв’язання важливого управлінського завдання, реалізація якого досягається за рахунок послідовного вирішення низки допоміжних завдань.</w:t>
      </w:r>
    </w:p>
    <w:p w:rsidR="008009FB" w:rsidRPr="002E6ECA" w:rsidRDefault="008009FB" w:rsidP="008009FB">
      <w:pPr>
        <w:tabs>
          <w:tab w:val="left" w:pos="993"/>
        </w:tabs>
        <w:autoSpaceDE w:val="0"/>
        <w:autoSpaceDN w:val="0"/>
        <w:adjustRightInd w:val="0"/>
        <w:spacing w:line="360" w:lineRule="auto"/>
        <w:ind w:firstLine="709"/>
        <w:contextualSpacing/>
        <w:jc w:val="both"/>
        <w:rPr>
          <w:sz w:val="28"/>
          <w:szCs w:val="28"/>
          <w:lang w:val="uk-UA"/>
        </w:rPr>
      </w:pPr>
      <w:r w:rsidRPr="002E6ECA">
        <w:rPr>
          <w:sz w:val="28"/>
          <w:szCs w:val="28"/>
          <w:lang w:val="uk-UA"/>
        </w:rPr>
        <w:t>За результатами аналізу наукових джерел та наявної ситуації щодо реалізації соціально-гігієнічного моніторингу в Україні згідно із Наказом  [</w:t>
      </w:r>
      <w:r w:rsidR="005014AD" w:rsidRPr="002E6ECA">
        <w:rPr>
          <w:sz w:val="28"/>
          <w:szCs w:val="28"/>
          <w:lang w:val="uk-UA"/>
        </w:rPr>
        <w:t>189</w:t>
      </w:r>
      <w:r w:rsidRPr="002E6ECA">
        <w:rPr>
          <w:sz w:val="28"/>
          <w:szCs w:val="28"/>
          <w:lang w:val="uk-UA"/>
        </w:rPr>
        <w:t xml:space="preserve">] треба констатувати, що наразі відсутня цілісна система управління цим процесом, що і обумовило необхідність розробки концептуальної моделі </w:t>
      </w:r>
      <w:r w:rsidRPr="002E6ECA">
        <w:rPr>
          <w:sz w:val="28"/>
          <w:szCs w:val="28"/>
          <w:lang w:val="uk-UA" w:eastAsia="uk-UA"/>
        </w:rPr>
        <w:t>гігієнічного моніторингу групового здоров’я школярів.</w:t>
      </w:r>
    </w:p>
    <w:p w:rsidR="00F60BF8" w:rsidRPr="002E6ECA" w:rsidRDefault="008009FB" w:rsidP="00F60BF8">
      <w:pPr>
        <w:spacing w:line="360" w:lineRule="auto"/>
        <w:ind w:firstLine="709"/>
        <w:contextualSpacing/>
        <w:jc w:val="both"/>
        <w:rPr>
          <w:sz w:val="28"/>
          <w:szCs w:val="28"/>
          <w:lang w:val="uk-UA"/>
        </w:rPr>
      </w:pPr>
      <w:r w:rsidRPr="002E6ECA">
        <w:rPr>
          <w:sz w:val="28"/>
          <w:szCs w:val="28"/>
          <w:lang w:val="uk-UA" w:eastAsia="uk-UA"/>
        </w:rPr>
        <w:t xml:space="preserve">Враховуючи інформаційний характер концепції було побудовано її інформаційну структуру, що наведена на рис. 8.1. </w:t>
      </w:r>
      <w:r w:rsidR="00F60BF8" w:rsidRPr="002E6ECA">
        <w:rPr>
          <w:sz w:val="28"/>
          <w:szCs w:val="28"/>
          <w:lang w:val="uk-UA"/>
        </w:rPr>
        <w:t xml:space="preserve">Виходячи зі змісту концепції </w:t>
      </w:r>
      <w:r w:rsidR="00F60BF8" w:rsidRPr="002E6ECA">
        <w:rPr>
          <w:sz w:val="28"/>
          <w:szCs w:val="28"/>
          <w:lang w:val="uk-UA" w:eastAsia="uk-UA"/>
        </w:rPr>
        <w:t>гігієнічного моніторингу групового здоров’я школярів</w:t>
      </w:r>
      <w:r w:rsidR="00F60BF8" w:rsidRPr="002E6ECA">
        <w:rPr>
          <w:sz w:val="28"/>
          <w:szCs w:val="28"/>
          <w:lang w:val="uk-UA"/>
        </w:rPr>
        <w:t>, у якості основних блоків виділено:</w:t>
      </w:r>
    </w:p>
    <w:p w:rsidR="00F60BF8" w:rsidRPr="002E6ECA" w:rsidRDefault="00F60BF8" w:rsidP="00F60BF8">
      <w:pPr>
        <w:numPr>
          <w:ilvl w:val="0"/>
          <w:numId w:val="64"/>
        </w:numPr>
        <w:tabs>
          <w:tab w:val="clear" w:pos="1429"/>
          <w:tab w:val="num" w:pos="0"/>
        </w:tabs>
        <w:spacing w:line="360" w:lineRule="auto"/>
        <w:ind w:left="360"/>
        <w:contextualSpacing/>
        <w:jc w:val="both"/>
        <w:rPr>
          <w:sz w:val="28"/>
          <w:szCs w:val="28"/>
          <w:lang w:val="uk-UA"/>
        </w:rPr>
      </w:pPr>
      <w:r w:rsidRPr="002E6ECA">
        <w:rPr>
          <w:sz w:val="28"/>
          <w:szCs w:val="28"/>
          <w:lang w:val="uk-UA"/>
        </w:rPr>
        <w:t>організаційний, який передбачає безпосередньо організаційні, правові та методичні види діял</w:t>
      </w:r>
      <w:r w:rsidR="008F332D" w:rsidRPr="002E6ECA">
        <w:rPr>
          <w:sz w:val="28"/>
          <w:szCs w:val="28"/>
          <w:lang w:val="uk-UA"/>
        </w:rPr>
        <w:t>ьності, спрямовані на реалізацію</w:t>
      </w:r>
      <w:r w:rsidRPr="002E6ECA">
        <w:rPr>
          <w:sz w:val="28"/>
          <w:szCs w:val="28"/>
          <w:lang w:val="uk-UA"/>
        </w:rPr>
        <w:t xml:space="preserve"> гігієнічного моніторингу;</w:t>
      </w:r>
    </w:p>
    <w:p w:rsidR="00F60BF8" w:rsidRPr="002E6ECA" w:rsidRDefault="00F60BF8" w:rsidP="00F60BF8">
      <w:pPr>
        <w:numPr>
          <w:ilvl w:val="0"/>
          <w:numId w:val="64"/>
        </w:numPr>
        <w:tabs>
          <w:tab w:val="clear" w:pos="1429"/>
          <w:tab w:val="num" w:pos="0"/>
        </w:tabs>
        <w:spacing w:line="360" w:lineRule="auto"/>
        <w:ind w:left="360"/>
        <w:contextualSpacing/>
        <w:jc w:val="both"/>
        <w:rPr>
          <w:sz w:val="28"/>
          <w:szCs w:val="28"/>
          <w:lang w:val="uk-UA"/>
        </w:rPr>
      </w:pPr>
      <w:r w:rsidRPr="002E6ECA">
        <w:rPr>
          <w:sz w:val="28"/>
          <w:szCs w:val="28"/>
          <w:lang w:val="uk-UA"/>
        </w:rPr>
        <w:t>інформаційний блок, спрямований на створення відповідного інформаційного поля, змістом якого є інформація щодо стану здоров’я дитячого населення та наявності чинників негативного впливу середовища життєдіяльності школярів;</w:t>
      </w:r>
    </w:p>
    <w:p w:rsidR="00F60BF8" w:rsidRPr="002E6ECA" w:rsidRDefault="00F60BF8" w:rsidP="00F60BF8">
      <w:pPr>
        <w:numPr>
          <w:ilvl w:val="0"/>
          <w:numId w:val="64"/>
        </w:numPr>
        <w:tabs>
          <w:tab w:val="clear" w:pos="1429"/>
          <w:tab w:val="num" w:pos="0"/>
        </w:tabs>
        <w:spacing w:line="360" w:lineRule="auto"/>
        <w:ind w:left="360"/>
        <w:contextualSpacing/>
        <w:jc w:val="both"/>
        <w:rPr>
          <w:sz w:val="28"/>
          <w:szCs w:val="28"/>
          <w:lang w:val="uk-UA"/>
        </w:rPr>
      </w:pPr>
      <w:r w:rsidRPr="002E6ECA">
        <w:rPr>
          <w:sz w:val="28"/>
          <w:szCs w:val="28"/>
          <w:lang w:val="uk-UA"/>
        </w:rPr>
        <w:t>профілактичний, змістом якого є оздоровчі та превентивні заходи щодо попередження неінфекційних захворювань, шкільної дезадаптації та шкільної патології;</w:t>
      </w:r>
    </w:p>
    <w:p w:rsidR="00F60BF8" w:rsidRPr="002E6ECA" w:rsidRDefault="00F60BF8" w:rsidP="00F60BF8">
      <w:pPr>
        <w:numPr>
          <w:ilvl w:val="0"/>
          <w:numId w:val="64"/>
        </w:numPr>
        <w:tabs>
          <w:tab w:val="clear" w:pos="1429"/>
          <w:tab w:val="num" w:pos="0"/>
        </w:tabs>
        <w:spacing w:line="360" w:lineRule="auto"/>
        <w:ind w:left="360"/>
        <w:contextualSpacing/>
        <w:jc w:val="both"/>
        <w:rPr>
          <w:sz w:val="28"/>
          <w:szCs w:val="28"/>
          <w:lang w:val="uk-UA"/>
        </w:rPr>
      </w:pPr>
      <w:r w:rsidRPr="002E6ECA">
        <w:rPr>
          <w:sz w:val="28"/>
          <w:szCs w:val="28"/>
          <w:lang w:val="uk-UA"/>
        </w:rPr>
        <w:t>науковий, що передбачає проведення досліджень, спрямованих на вивчення впливу чинників навколишнього (у т.ч. внутрішньошкільного) середовища, за умов модернізації, інтенсифікації та реформування системи освіти.</w:t>
      </w:r>
    </w:p>
    <w:p w:rsidR="008009FB" w:rsidRPr="002E6ECA" w:rsidRDefault="008009FB" w:rsidP="008009FB">
      <w:pPr>
        <w:spacing w:line="360" w:lineRule="auto"/>
        <w:ind w:firstLine="426"/>
        <w:jc w:val="both"/>
        <w:rPr>
          <w:sz w:val="28"/>
          <w:szCs w:val="28"/>
          <w:lang w:val="uk-UA" w:eastAsia="uk-UA"/>
        </w:rPr>
      </w:pPr>
      <w:r w:rsidRPr="002E6ECA">
        <w:rPr>
          <w:noProof/>
          <w:lang w:val="uk-UA" w:eastAsia="uk-UA"/>
        </w:rPr>
        <w:lastRenderedPageBreak/>
        <w:drawing>
          <wp:inline distT="0" distB="0" distL="0" distR="0" wp14:anchorId="11A83351" wp14:editId="7CC56BFC">
            <wp:extent cx="5650230" cy="5200015"/>
            <wp:effectExtent l="0" t="0" r="762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0">
                      <a:extLst>
                        <a:ext uri="{28A0092B-C50C-407E-A947-70E740481C1C}">
                          <a14:useLocalDpi xmlns:a14="http://schemas.microsoft.com/office/drawing/2010/main" val="0"/>
                        </a:ext>
                      </a:extLst>
                    </a:blip>
                    <a:srcRect l="48769" t="24062" r="29625" b="20087"/>
                    <a:stretch>
                      <a:fillRect/>
                    </a:stretch>
                  </pic:blipFill>
                  <pic:spPr bwMode="auto">
                    <a:xfrm>
                      <a:off x="0" y="0"/>
                      <a:ext cx="5650230" cy="5200015"/>
                    </a:xfrm>
                    <a:prstGeom prst="rect">
                      <a:avLst/>
                    </a:prstGeom>
                    <a:noFill/>
                    <a:ln>
                      <a:noFill/>
                    </a:ln>
                  </pic:spPr>
                </pic:pic>
              </a:graphicData>
            </a:graphic>
          </wp:inline>
        </w:drawing>
      </w:r>
    </w:p>
    <w:p w:rsidR="008009FB" w:rsidRPr="002E6ECA" w:rsidRDefault="008009FB" w:rsidP="008009FB">
      <w:pPr>
        <w:spacing w:line="360" w:lineRule="auto"/>
        <w:ind w:firstLine="709"/>
        <w:jc w:val="both"/>
        <w:rPr>
          <w:sz w:val="28"/>
          <w:szCs w:val="28"/>
          <w:lang w:val="uk-UA" w:eastAsia="uk-UA"/>
        </w:rPr>
      </w:pPr>
      <w:r w:rsidRPr="002E6ECA">
        <w:rPr>
          <w:sz w:val="28"/>
          <w:szCs w:val="28"/>
          <w:lang w:val="uk-UA" w:eastAsia="uk-UA"/>
        </w:rPr>
        <w:t>Рис. 8.1. Інформаційна структура концептуальної моделі гігієнічного моніторингу групового здоров’я школярів</w:t>
      </w:r>
    </w:p>
    <w:p w:rsidR="008009FB" w:rsidRPr="002E6ECA" w:rsidRDefault="008009FB" w:rsidP="008009FB">
      <w:pPr>
        <w:spacing w:line="276" w:lineRule="auto"/>
        <w:ind w:firstLine="709"/>
        <w:jc w:val="both"/>
        <w:rPr>
          <w:lang w:val="uk-UA" w:eastAsia="uk-UA"/>
        </w:rPr>
      </w:pPr>
      <w:r w:rsidRPr="002E6ECA">
        <w:rPr>
          <w:lang w:val="uk-UA" w:eastAsia="uk-UA"/>
        </w:rPr>
        <w:t xml:space="preserve">Примітка: 1, 2, 3, 4, ЗВ, ВЗ, І </w:t>
      </w:r>
      <w:r w:rsidR="00E26678" w:rsidRPr="002E6ECA">
        <w:rPr>
          <w:lang w:val="uk-UA" w:eastAsia="uk-UA"/>
        </w:rPr>
        <w:t>-</w:t>
      </w:r>
      <w:r w:rsidRPr="002E6ECA">
        <w:rPr>
          <w:lang w:val="uk-UA"/>
        </w:rPr>
        <w:t xml:space="preserve">канали інформаційно-комунікаційного забезпечення </w:t>
      </w:r>
      <w:r w:rsidRPr="002E6ECA">
        <w:rPr>
          <w:lang w:val="uk-UA" w:eastAsia="uk-UA"/>
        </w:rPr>
        <w:t xml:space="preserve">гігієнічного моніторингу групового здоров’я школярів всередині системи, а також інформаційне сполучення між системи та зовнішніми факторами (ззовні в систему </w:t>
      </w:r>
      <w:r w:rsidR="00E26678" w:rsidRPr="002E6ECA">
        <w:rPr>
          <w:lang w:val="uk-UA" w:eastAsia="uk-UA"/>
        </w:rPr>
        <w:t>-</w:t>
      </w:r>
      <w:r w:rsidRPr="002E6ECA">
        <w:rPr>
          <w:lang w:val="uk-UA" w:eastAsia="uk-UA"/>
        </w:rPr>
        <w:t xml:space="preserve">ЗВ, внутрішній потік назовні </w:t>
      </w:r>
      <w:r w:rsidR="00E26678" w:rsidRPr="002E6ECA">
        <w:rPr>
          <w:lang w:val="uk-UA" w:eastAsia="uk-UA"/>
        </w:rPr>
        <w:t>-</w:t>
      </w:r>
      <w:r w:rsidRPr="002E6ECA">
        <w:rPr>
          <w:lang w:val="uk-UA" w:eastAsia="uk-UA"/>
        </w:rPr>
        <w:t>ВЗ).</w:t>
      </w:r>
    </w:p>
    <w:p w:rsidR="008009FB" w:rsidRPr="002E6ECA" w:rsidRDefault="008009FB" w:rsidP="008009FB">
      <w:pPr>
        <w:spacing w:line="360" w:lineRule="auto"/>
        <w:ind w:firstLine="709"/>
        <w:jc w:val="both"/>
        <w:rPr>
          <w:sz w:val="28"/>
          <w:szCs w:val="28"/>
          <w:lang w:val="uk-UA" w:eastAsia="uk-UA"/>
        </w:rPr>
      </w:pPr>
    </w:p>
    <w:p w:rsidR="008009FB" w:rsidRPr="002E6ECA" w:rsidRDefault="008009FB" w:rsidP="008009FB">
      <w:pPr>
        <w:spacing w:line="360" w:lineRule="auto"/>
        <w:ind w:firstLine="709"/>
        <w:jc w:val="both"/>
        <w:rPr>
          <w:sz w:val="28"/>
          <w:szCs w:val="28"/>
          <w:lang w:val="uk-UA" w:eastAsia="uk-UA"/>
        </w:rPr>
      </w:pPr>
      <w:r w:rsidRPr="002E6ECA">
        <w:rPr>
          <w:sz w:val="28"/>
          <w:szCs w:val="28"/>
          <w:lang w:val="uk-UA"/>
        </w:rPr>
        <w:t>Запропонована модель має інформаційну структуру за рахунок інформаційних зв’язків між складовими частинами, що забезпечує обмін інформацією.</w:t>
      </w:r>
    </w:p>
    <w:p w:rsidR="008009FB" w:rsidRPr="002E6ECA" w:rsidRDefault="008009FB" w:rsidP="008009FB">
      <w:pPr>
        <w:spacing w:line="360" w:lineRule="auto"/>
        <w:ind w:firstLine="709"/>
        <w:jc w:val="both"/>
        <w:rPr>
          <w:sz w:val="28"/>
          <w:szCs w:val="28"/>
          <w:lang w:val="uk-UA"/>
        </w:rPr>
      </w:pPr>
      <w:r w:rsidRPr="002E6ECA">
        <w:rPr>
          <w:sz w:val="28"/>
          <w:szCs w:val="28"/>
          <w:lang w:val="uk-UA" w:eastAsia="uk-UA"/>
        </w:rPr>
        <w:t>Джерелами зовнішнього інформаційного потоку (ЗВ) виступають наукові, методичні, статистичні та інші інформаційні джерела, тематикою яких постає стан здоров’я дитячого населення, довкілля, чинники внутрішньошкільного середовища та освітнього процесу. Н</w:t>
      </w:r>
      <w:r w:rsidRPr="002E6ECA">
        <w:rPr>
          <w:sz w:val="28"/>
          <w:szCs w:val="28"/>
          <w:lang w:val="uk-UA"/>
        </w:rPr>
        <w:t xml:space="preserve">едостатність інформації з цих проблемних </w:t>
      </w:r>
      <w:r w:rsidRPr="002E6ECA">
        <w:rPr>
          <w:sz w:val="28"/>
          <w:szCs w:val="28"/>
          <w:lang w:val="uk-UA"/>
        </w:rPr>
        <w:lastRenderedPageBreak/>
        <w:t>питань  актуалізує необхідність виконання цільових наукових досліджень, чим вводиться у дію відповідний науковий блок моделі. При цьому інформації ззовні здійснює загальний вплив на мету концепції, що трансформується у специфічні сигнальні потоки, які за допомогою інформаційно-комунікаційніх каналів взаємозв’язків блоків та мети моделі (І) сприяють адаптації відповідних блоків до змін ситуації. При зворотному зв’язку керування системою здійснюється двома шляхами: внутрішньою трансформацією системи та змінами оточуючого середовища, що відповідає і активному, і пасивному способу керування моделлю.</w:t>
      </w:r>
    </w:p>
    <w:p w:rsidR="008009FB" w:rsidRPr="002E6ECA" w:rsidRDefault="008009FB" w:rsidP="008009FB">
      <w:pPr>
        <w:pStyle w:val="Normal1"/>
        <w:tabs>
          <w:tab w:val="left" w:pos="1620"/>
        </w:tabs>
        <w:spacing w:line="360" w:lineRule="auto"/>
        <w:ind w:left="0" w:firstLine="709"/>
        <w:contextualSpacing/>
        <w:rPr>
          <w:szCs w:val="28"/>
          <w:lang w:val="uk-UA"/>
        </w:rPr>
      </w:pPr>
      <w:r w:rsidRPr="002E6ECA">
        <w:rPr>
          <w:szCs w:val="28"/>
          <w:lang w:val="uk-UA"/>
        </w:rPr>
        <w:t xml:space="preserve">Внутрішній інформаційний </w:t>
      </w:r>
      <w:r w:rsidRPr="002E6ECA">
        <w:rPr>
          <w:szCs w:val="28"/>
          <w:lang w:val="uk-UA" w:eastAsia="uk-UA"/>
        </w:rPr>
        <w:t>потік назовні</w:t>
      </w:r>
      <w:r w:rsidRPr="002E6ECA">
        <w:rPr>
          <w:szCs w:val="28"/>
          <w:lang w:val="uk-UA"/>
        </w:rPr>
        <w:t xml:space="preserve"> (ВЗ) </w:t>
      </w:r>
      <w:r w:rsidR="00E26678" w:rsidRPr="002E6ECA">
        <w:rPr>
          <w:szCs w:val="28"/>
          <w:lang w:val="uk-UA"/>
        </w:rPr>
        <w:t>-</w:t>
      </w:r>
      <w:r w:rsidRPr="002E6ECA">
        <w:rPr>
          <w:szCs w:val="28"/>
          <w:lang w:val="uk-UA"/>
        </w:rPr>
        <w:t xml:space="preserve">це інформація, що внаслідок реалізації спрямована самою концептуальною моделлю </w:t>
      </w:r>
      <w:r w:rsidRPr="002E6ECA">
        <w:rPr>
          <w:szCs w:val="28"/>
          <w:lang w:val="uk-UA" w:eastAsia="uk-UA"/>
        </w:rPr>
        <w:t>гігієнічного моніторингу групового здоров’я школярів</w:t>
      </w:r>
      <w:r w:rsidRPr="002E6ECA">
        <w:rPr>
          <w:szCs w:val="28"/>
          <w:lang w:val="uk-UA"/>
        </w:rPr>
        <w:t xml:space="preserve"> у навколишнє середовище. У контексті, що розглядається, під ним розуміється суспільство. Цей потік спрямований на підвищення обізнаності дітей, їх батьків про чинники, що формують здоров’я, здоровий спосіб життя, основи безпечної навчальної діяльності, а його кінцева мета </w:t>
      </w:r>
      <w:r w:rsidR="00E26678" w:rsidRPr="002E6ECA">
        <w:rPr>
          <w:szCs w:val="28"/>
          <w:lang w:val="uk-UA"/>
        </w:rPr>
        <w:t>-</w:t>
      </w:r>
      <w:r w:rsidRPr="002E6ECA">
        <w:rPr>
          <w:szCs w:val="28"/>
          <w:lang w:val="uk-UA"/>
        </w:rPr>
        <w:t>збереження та зміцнення здоров’я дітей та підлітків.</w:t>
      </w:r>
    </w:p>
    <w:p w:rsidR="008009FB" w:rsidRPr="002E6ECA" w:rsidRDefault="008009FB" w:rsidP="008009FB">
      <w:pPr>
        <w:pStyle w:val="Normal1"/>
        <w:spacing w:line="360" w:lineRule="auto"/>
        <w:ind w:left="0" w:firstLine="709"/>
        <w:contextualSpacing/>
        <w:rPr>
          <w:szCs w:val="28"/>
          <w:lang w:val="uk-UA"/>
        </w:rPr>
      </w:pPr>
      <w:r w:rsidRPr="002E6ECA">
        <w:rPr>
          <w:szCs w:val="28"/>
          <w:lang w:val="uk-UA"/>
        </w:rPr>
        <w:t xml:space="preserve">Організаційний блок представляє собою реалізацію організаційно-правових засад соціально-гігієнічного моніторингу, а його безпосередньою метою постає реалізація певних організаційних та нормативних аспектів. Важливою умовою функціонування цього блоку постає надходження інформації від інших блоків для її аналізу та створення необхідних директивних рішень і, в першу чергу </w:t>
      </w:r>
      <w:r w:rsidR="00E26678" w:rsidRPr="002E6ECA">
        <w:rPr>
          <w:szCs w:val="28"/>
          <w:lang w:val="uk-UA"/>
        </w:rPr>
        <w:t>-</w:t>
      </w:r>
      <w:r w:rsidRPr="002E6ECA">
        <w:rPr>
          <w:szCs w:val="28"/>
          <w:lang w:val="uk-UA"/>
        </w:rPr>
        <w:t xml:space="preserve">інформаційно-комунікаційні з інформаційним (демонструє створення передумов для здійснення гігієнічного моніторингу) та науковим блоком моделі (реалізує практично орієнтовані та значущі результати наукових пошуків). </w:t>
      </w:r>
    </w:p>
    <w:p w:rsidR="008009FB" w:rsidRPr="002E6ECA" w:rsidRDefault="008009FB" w:rsidP="008009FB">
      <w:pPr>
        <w:pStyle w:val="Normal1"/>
        <w:tabs>
          <w:tab w:val="left" w:pos="1620"/>
        </w:tabs>
        <w:spacing w:line="360" w:lineRule="auto"/>
        <w:ind w:left="0" w:firstLine="709"/>
        <w:contextualSpacing/>
        <w:rPr>
          <w:szCs w:val="28"/>
          <w:lang w:val="uk-UA"/>
        </w:rPr>
      </w:pPr>
      <w:r w:rsidRPr="002E6ECA">
        <w:rPr>
          <w:szCs w:val="28"/>
          <w:lang w:val="uk-UA"/>
        </w:rPr>
        <w:t xml:space="preserve">Формування складного інформаційного каналу «профілактичний блок- організаційний блок» дозволяє з одного боку констатувати важливе значення формування здоров’язбережувального освітнього середовища для дітей шкільного віку, а з іншого </w:t>
      </w:r>
      <w:r w:rsidR="00E26678" w:rsidRPr="002E6ECA">
        <w:rPr>
          <w:szCs w:val="28"/>
          <w:lang w:val="uk-UA"/>
        </w:rPr>
        <w:t>-</w:t>
      </w:r>
      <w:r w:rsidRPr="002E6ECA">
        <w:rPr>
          <w:szCs w:val="28"/>
          <w:lang w:val="uk-UA"/>
        </w:rPr>
        <w:t xml:space="preserve">доводить принципову можливість розробки та </w:t>
      </w:r>
      <w:r w:rsidRPr="002E6ECA">
        <w:rPr>
          <w:szCs w:val="28"/>
          <w:lang w:val="uk-UA"/>
        </w:rPr>
        <w:lastRenderedPageBreak/>
        <w:t xml:space="preserve">прийняття відповідних управлінських рішень для реалізації </w:t>
      </w:r>
      <w:r w:rsidRPr="002E6ECA">
        <w:rPr>
          <w:szCs w:val="28"/>
          <w:lang w:val="uk-UA" w:eastAsia="uk-UA"/>
        </w:rPr>
        <w:t>гігієнічного моніторингу групового здоров’я школярів</w:t>
      </w:r>
      <w:r w:rsidRPr="002E6ECA">
        <w:rPr>
          <w:szCs w:val="28"/>
          <w:lang w:val="uk-UA"/>
        </w:rPr>
        <w:t>. Крім того двобічність цього каналу підтверджує можливість впливу як суб’єктів управління на державні служби, так і реалізацію зворотного зв’язку.</w:t>
      </w:r>
    </w:p>
    <w:p w:rsidR="008009FB" w:rsidRPr="002E6ECA" w:rsidRDefault="008009FB" w:rsidP="008009FB">
      <w:pPr>
        <w:pStyle w:val="Normal1"/>
        <w:spacing w:line="360" w:lineRule="auto"/>
        <w:ind w:left="0" w:firstLine="709"/>
        <w:contextualSpacing/>
        <w:rPr>
          <w:szCs w:val="28"/>
          <w:lang w:val="uk-UA"/>
        </w:rPr>
      </w:pPr>
      <w:r w:rsidRPr="002E6ECA">
        <w:rPr>
          <w:szCs w:val="28"/>
          <w:lang w:val="uk-UA"/>
        </w:rPr>
        <w:t>За результатами аналітичного огляду наявних літературних джерел зроблено висновок щодо недостатнього вихідного наповнення інформаційних каналів, особливо організаційного забезпечення та відсутність цілісної концепції гігієнічного моніторингу групового здоров’я школярів, відсутність належної практичної реалізації теоретико-методичних здобутків.</w:t>
      </w:r>
    </w:p>
    <w:p w:rsidR="008009FB" w:rsidRPr="002E6ECA" w:rsidRDefault="008009FB" w:rsidP="008009FB">
      <w:pPr>
        <w:pStyle w:val="Normal1"/>
        <w:tabs>
          <w:tab w:val="left" w:pos="1620"/>
        </w:tabs>
        <w:spacing w:line="360" w:lineRule="auto"/>
        <w:ind w:left="0" w:firstLine="709"/>
        <w:contextualSpacing/>
        <w:rPr>
          <w:szCs w:val="28"/>
          <w:lang w:val="uk-UA"/>
        </w:rPr>
      </w:pPr>
      <w:r w:rsidRPr="002E6ECA">
        <w:rPr>
          <w:szCs w:val="28"/>
          <w:lang w:val="uk-UA"/>
        </w:rPr>
        <w:t xml:space="preserve">Профілактичний блок є найбільш важливим компонентом, що обумовлено його призначенням для практичної реалізації мети моделі </w:t>
      </w:r>
      <w:r w:rsidR="00E26678" w:rsidRPr="002E6ECA">
        <w:rPr>
          <w:szCs w:val="28"/>
          <w:lang w:val="uk-UA"/>
        </w:rPr>
        <w:t>-</w:t>
      </w:r>
      <w:r w:rsidRPr="002E6ECA">
        <w:rPr>
          <w:szCs w:val="28"/>
          <w:lang w:val="uk-UA"/>
        </w:rPr>
        <w:t xml:space="preserve">удосконалення профілактичних заходів щодо попередження неінфекційних захворювань </w:t>
      </w:r>
      <w:r w:rsidR="00297EC4" w:rsidRPr="002E6ECA">
        <w:rPr>
          <w:szCs w:val="28"/>
          <w:lang w:val="uk-UA"/>
        </w:rPr>
        <w:t>т</w:t>
      </w:r>
      <w:r w:rsidRPr="002E6ECA">
        <w:rPr>
          <w:szCs w:val="28"/>
          <w:lang w:val="uk-UA"/>
        </w:rPr>
        <w:t xml:space="preserve">а шкільної дезадаптації серед дітей та підлітків. Головною особливістю цього блоку постає наявність двобічних каналів зв’язку з інформаційним та науковим блоками, а також із загальною метою моделі, що відображує взаємний вплив компонентів моделі. </w:t>
      </w:r>
    </w:p>
    <w:p w:rsidR="008009FB" w:rsidRPr="002E6ECA" w:rsidRDefault="008009FB" w:rsidP="008009FB">
      <w:pPr>
        <w:pStyle w:val="Normal1"/>
        <w:tabs>
          <w:tab w:val="left" w:pos="1620"/>
        </w:tabs>
        <w:spacing w:line="360" w:lineRule="auto"/>
        <w:ind w:left="0" w:firstLine="709"/>
        <w:contextualSpacing/>
        <w:rPr>
          <w:szCs w:val="28"/>
          <w:lang w:val="uk-UA"/>
        </w:rPr>
      </w:pPr>
      <w:r w:rsidRPr="002E6ECA">
        <w:rPr>
          <w:szCs w:val="28"/>
          <w:lang w:val="uk-UA"/>
        </w:rPr>
        <w:t xml:space="preserve">Існування наукового блоку логічно доповнює існуючі компоненти та забезпечує успішне функціонування концептуальної моделі, а його подальший розвиток шляхом проведення досліджень є найбільш перспективним шляхом як для реалізації концепції, так і для удосконалення моделі. Отримані наукові дані дозволяють шляхом впровадження в практичну діяльність оптимізувати недосконале інформаційне поле, що дозволяє і одного боку забезпечити розробку і впровадження певних директивних, управлінських рішень, а з іншого </w:t>
      </w:r>
      <w:r w:rsidR="00E26678" w:rsidRPr="002E6ECA">
        <w:rPr>
          <w:szCs w:val="28"/>
          <w:lang w:val="uk-UA"/>
        </w:rPr>
        <w:t>-</w:t>
      </w:r>
      <w:r w:rsidRPr="002E6ECA">
        <w:rPr>
          <w:szCs w:val="28"/>
          <w:lang w:val="uk-UA"/>
        </w:rPr>
        <w:t>підвищити ефективність профілактичних заходів. Формується ще один складний двобічний  інформаційний канал «профілактичний блок-науковий блок»: представлення результатів наукових досліджень не тільки у наукових джерелах інформації, але й в масових ЗМІ сприятиме оптимізації інформаційного поля, а зростання інформаційного потоку щодо гігієнічного моніторингу і його складових обумовить зацікавленість науковців у проведенні досліджень в цій галузі.</w:t>
      </w:r>
    </w:p>
    <w:p w:rsidR="008009FB" w:rsidRPr="002E6ECA" w:rsidRDefault="008009FB" w:rsidP="008009FB">
      <w:pPr>
        <w:pStyle w:val="Normal1"/>
        <w:spacing w:line="360" w:lineRule="auto"/>
        <w:ind w:left="0" w:firstLine="709"/>
        <w:contextualSpacing/>
        <w:rPr>
          <w:szCs w:val="28"/>
          <w:lang w:val="uk-UA"/>
        </w:rPr>
      </w:pPr>
      <w:r w:rsidRPr="002E6ECA">
        <w:rPr>
          <w:szCs w:val="28"/>
          <w:lang w:val="uk-UA"/>
        </w:rPr>
        <w:lastRenderedPageBreak/>
        <w:t>Загальний аналіз моделі дозволяє виділити в ній низку послідовних та паралельних зв’язків), за допомогою яких здійснюється керування системою. Наявність дублювання та опосередкованих зв’язків, у контексті, що розглядається, розглядається як свідоцтво надійності системи, її здатності до функціонування у складних умовах існування сучасного суспільства.</w:t>
      </w:r>
    </w:p>
    <w:p w:rsidR="008009FB" w:rsidRPr="002E6ECA" w:rsidRDefault="008009FB" w:rsidP="008009FB">
      <w:pPr>
        <w:pStyle w:val="Normal1"/>
        <w:spacing w:line="360" w:lineRule="auto"/>
        <w:ind w:left="0" w:firstLine="709"/>
        <w:contextualSpacing/>
        <w:rPr>
          <w:szCs w:val="28"/>
          <w:lang w:val="uk-UA"/>
        </w:rPr>
      </w:pPr>
      <w:r w:rsidRPr="002E6ECA">
        <w:rPr>
          <w:szCs w:val="28"/>
          <w:lang w:val="uk-UA"/>
        </w:rPr>
        <w:t>Відповідно до основних положень теорії керування [</w:t>
      </w:r>
      <w:r w:rsidR="005014AD" w:rsidRPr="002E6ECA">
        <w:rPr>
          <w:szCs w:val="28"/>
          <w:lang w:val="uk-UA"/>
        </w:rPr>
        <w:t>101</w:t>
      </w:r>
      <w:r w:rsidRPr="002E6ECA">
        <w:rPr>
          <w:szCs w:val="28"/>
          <w:lang w:val="uk-UA"/>
        </w:rPr>
        <w:t xml:space="preserve">] концептуальна модель, що пропонується має низку особливостей (цілісність, синергічність, сумісність тощо), серед яких найвагомішим і впливовішим постає наявність зворотних зв’язків. </w:t>
      </w:r>
    </w:p>
    <w:p w:rsidR="008009FB" w:rsidRPr="002E6ECA" w:rsidRDefault="008009FB" w:rsidP="008009FB">
      <w:pPr>
        <w:pStyle w:val="Normal1"/>
        <w:spacing w:line="360" w:lineRule="auto"/>
        <w:ind w:left="0" w:firstLine="709"/>
        <w:contextualSpacing/>
        <w:rPr>
          <w:szCs w:val="28"/>
          <w:lang w:val="uk-UA"/>
        </w:rPr>
      </w:pPr>
      <w:r w:rsidRPr="002E6ECA">
        <w:rPr>
          <w:szCs w:val="28"/>
          <w:lang w:val="uk-UA"/>
        </w:rPr>
        <w:t xml:space="preserve">Таким чином, на підставі виконаних досліджень та аналізу результатів вперше обґрунтовано і створено концептуальну модель </w:t>
      </w:r>
      <w:r w:rsidRPr="002E6ECA">
        <w:rPr>
          <w:szCs w:val="28"/>
          <w:lang w:val="uk-UA" w:eastAsia="uk-UA"/>
        </w:rPr>
        <w:t>гігієнічного моніторингу групового здоров’я школярів</w:t>
      </w:r>
      <w:r w:rsidRPr="002E6ECA">
        <w:rPr>
          <w:szCs w:val="28"/>
          <w:lang w:val="uk-UA"/>
        </w:rPr>
        <w:t xml:space="preserve">, яка має інформаційну структуру, що підтверджується переважанням сигнальних зв’язків. З позицій теорії керування надано оцінку основних властивостей моделі, що пропонується; доведено можливість її використання. </w:t>
      </w:r>
    </w:p>
    <w:p w:rsidR="00F60BF8" w:rsidRPr="002E6ECA" w:rsidRDefault="00F60BF8" w:rsidP="008009FB">
      <w:pPr>
        <w:spacing w:line="360" w:lineRule="auto"/>
        <w:ind w:firstLine="709"/>
        <w:jc w:val="both"/>
        <w:rPr>
          <w:b/>
          <w:sz w:val="28"/>
          <w:szCs w:val="28"/>
          <w:lang w:val="uk-UA" w:eastAsia="uk-UA"/>
        </w:rPr>
      </w:pPr>
    </w:p>
    <w:p w:rsidR="008009FB" w:rsidRPr="002E6ECA" w:rsidRDefault="008009FB" w:rsidP="008009FB">
      <w:pPr>
        <w:spacing w:line="360" w:lineRule="auto"/>
        <w:ind w:firstLine="709"/>
        <w:jc w:val="both"/>
        <w:rPr>
          <w:b/>
          <w:sz w:val="28"/>
          <w:szCs w:val="28"/>
          <w:lang w:val="uk-UA" w:eastAsia="uk-UA"/>
        </w:rPr>
      </w:pPr>
      <w:r w:rsidRPr="002E6ECA">
        <w:rPr>
          <w:b/>
          <w:sz w:val="28"/>
          <w:szCs w:val="28"/>
          <w:lang w:val="uk-UA" w:eastAsia="uk-UA"/>
        </w:rPr>
        <w:t>8.1. Базовий скринінг стану здоров’я школярів з метою визначення груп ризику щодо формування неінфекційних захворювань (на прикладі учнів середнього шкільного віку)</w:t>
      </w:r>
    </w:p>
    <w:p w:rsidR="008009FB" w:rsidRPr="002E6ECA" w:rsidRDefault="008009FB" w:rsidP="008009FB">
      <w:pPr>
        <w:spacing w:line="360" w:lineRule="auto"/>
        <w:ind w:firstLine="709"/>
        <w:jc w:val="both"/>
        <w:rPr>
          <w:sz w:val="28"/>
          <w:szCs w:val="28"/>
          <w:lang w:val="uk-UA"/>
        </w:rPr>
      </w:pPr>
      <w:r w:rsidRPr="002E6ECA">
        <w:rPr>
          <w:sz w:val="28"/>
          <w:szCs w:val="28"/>
          <w:lang w:val="uk-UA"/>
        </w:rPr>
        <w:t>Отримані результати та проведений теоретико-методологічний аналіз дозволяють сформулювати нагальну проблему гігієнічного моніторингу у сфері гігієни дітей шкільного віку та запропонувати її вирішення за рахунок впровадження концептуальної моделі гігієнічного моніторингу групового здоров’я школярів (рис. 8.2).</w:t>
      </w:r>
    </w:p>
    <w:p w:rsidR="008009FB" w:rsidRPr="002E6ECA" w:rsidRDefault="008009FB" w:rsidP="008009FB">
      <w:pPr>
        <w:spacing w:line="360" w:lineRule="auto"/>
        <w:ind w:firstLine="709"/>
        <w:jc w:val="both"/>
        <w:rPr>
          <w:sz w:val="28"/>
          <w:szCs w:val="28"/>
          <w:lang w:val="uk-UA" w:eastAsia="uk-UA"/>
        </w:rPr>
      </w:pPr>
      <w:r w:rsidRPr="002E6ECA">
        <w:rPr>
          <w:sz w:val="28"/>
          <w:szCs w:val="28"/>
          <w:lang w:val="uk-UA"/>
        </w:rPr>
        <w:t xml:space="preserve">Виходячи із наявних літературних джерел, та, враховуючи результати, наведені у попередніх розділах, завданням цього етапу роботи стало обґрунтування та розробка технології </w:t>
      </w:r>
      <w:r w:rsidRPr="002E6ECA">
        <w:rPr>
          <w:sz w:val="28"/>
          <w:szCs w:val="28"/>
          <w:lang w:val="uk-UA" w:eastAsia="uk-UA"/>
        </w:rPr>
        <w:t xml:space="preserve">базового скринінгу стану здоров’я школярів з метою визначення груп ризику щодо формування неінфекційних захворювань (на прикладі учнів середнього шкільного віку). Цей етап ґрунтується на використанні діагностичного інструментарію, що надає змогу </w:t>
      </w:r>
      <w:r w:rsidRPr="002E6ECA">
        <w:rPr>
          <w:sz w:val="28"/>
          <w:szCs w:val="28"/>
          <w:lang w:val="uk-UA" w:eastAsia="uk-UA"/>
        </w:rPr>
        <w:lastRenderedPageBreak/>
        <w:t xml:space="preserve">визначити групу ризику щодо порушень здоров’я, не вдаючись до поглиблених медичних оглядів. </w:t>
      </w:r>
    </w:p>
    <w:p w:rsidR="008009FB" w:rsidRPr="002E6ECA" w:rsidRDefault="0052009D" w:rsidP="00F60BF8">
      <w:pPr>
        <w:spacing w:line="360" w:lineRule="auto"/>
        <w:jc w:val="center"/>
        <w:rPr>
          <w:sz w:val="28"/>
          <w:szCs w:val="28"/>
          <w:lang w:val="uk-UA" w:eastAsia="uk-UA"/>
        </w:rPr>
      </w:pPr>
      <w:r w:rsidRPr="002E6ECA">
        <w:rPr>
          <w:noProof/>
          <w:lang w:val="uk-UA" w:eastAsia="uk-UA"/>
        </w:rPr>
        <w:drawing>
          <wp:inline distT="0" distB="0" distL="0" distR="0" wp14:anchorId="3CCCA047" wp14:editId="112D95D8">
            <wp:extent cx="5466108" cy="7731457"/>
            <wp:effectExtent l="0" t="0" r="1270" b="3175"/>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91">
                      <a:extLst>
                        <a:ext uri="{28A0092B-C50C-407E-A947-70E740481C1C}">
                          <a14:useLocalDpi xmlns:a14="http://schemas.microsoft.com/office/drawing/2010/main" val="0"/>
                        </a:ext>
                      </a:extLst>
                    </a:blip>
                    <a:srcRect l="54385" t="9288" r="26608" b="6054"/>
                    <a:stretch/>
                  </pic:blipFill>
                  <pic:spPr bwMode="auto">
                    <a:xfrm>
                      <a:off x="0" y="0"/>
                      <a:ext cx="5469467" cy="7736208"/>
                    </a:xfrm>
                    <a:prstGeom prst="rect">
                      <a:avLst/>
                    </a:prstGeom>
                    <a:noFill/>
                    <a:ln>
                      <a:noFill/>
                    </a:ln>
                    <a:extLst>
                      <a:ext uri="{53640926-AAD7-44D8-BBD7-CCE9431645EC}">
                        <a14:shadowObscured xmlns:a14="http://schemas.microsoft.com/office/drawing/2010/main"/>
                      </a:ext>
                    </a:extLst>
                  </pic:spPr>
                </pic:pic>
              </a:graphicData>
            </a:graphic>
          </wp:inline>
        </w:drawing>
      </w:r>
    </w:p>
    <w:p w:rsidR="008009FB" w:rsidRPr="002E6ECA" w:rsidRDefault="008009FB" w:rsidP="00F60BF8">
      <w:pPr>
        <w:spacing w:line="360" w:lineRule="auto"/>
        <w:ind w:firstLine="709"/>
        <w:rPr>
          <w:sz w:val="28"/>
          <w:szCs w:val="28"/>
          <w:lang w:val="uk-UA" w:eastAsia="uk-UA"/>
        </w:rPr>
      </w:pPr>
      <w:r w:rsidRPr="002E6ECA">
        <w:rPr>
          <w:sz w:val="28"/>
          <w:szCs w:val="28"/>
          <w:lang w:val="uk-UA" w:eastAsia="uk-UA"/>
        </w:rPr>
        <w:t>Рис. 8.2. Концептуальна модель гігієнічного моніторингу стану здоров’я школярів</w:t>
      </w:r>
    </w:p>
    <w:p w:rsidR="00F60BF8" w:rsidRPr="002E6ECA" w:rsidRDefault="00F60BF8" w:rsidP="00F60BF8">
      <w:pPr>
        <w:spacing w:line="360" w:lineRule="auto"/>
        <w:ind w:firstLine="709"/>
        <w:jc w:val="both"/>
        <w:rPr>
          <w:sz w:val="28"/>
          <w:szCs w:val="28"/>
          <w:lang w:val="uk-UA"/>
        </w:rPr>
      </w:pPr>
      <w:r w:rsidRPr="002E6ECA">
        <w:rPr>
          <w:sz w:val="28"/>
          <w:szCs w:val="28"/>
          <w:lang w:val="uk-UA" w:eastAsia="uk-UA"/>
        </w:rPr>
        <w:lastRenderedPageBreak/>
        <w:t xml:space="preserve">Доцільно застосування підходів і методів донозологічної діагностики під час здійснення гігієнічного моніторингу, оскільки це надає змогу виявляти та оцінювати порушення здоров’я, що виникають ще на початковому етапі, тобто преморбідній стадії. Одним з таких способів постає скринінг, що ставить за мету попередню ідентифікацію ще не встановленого захворювання, а також </w:t>
      </w:r>
      <w:r w:rsidRPr="002E6ECA">
        <w:rPr>
          <w:sz w:val="28"/>
          <w:szCs w:val="28"/>
          <w:lang w:val="uk-UA"/>
        </w:rPr>
        <w:t>виявлення факторів ризику, які можуть сприяти поглиблювати ці порушення здоров'я із наступним формуванням стійкої патології. За результатами таких досліджень можна виділити групу дітей, у яких вірогідна наявність певної групи патологічних станів</w:t>
      </w:r>
      <w:r w:rsidRPr="002E6ECA">
        <w:rPr>
          <w:spacing w:val="-8"/>
          <w:sz w:val="28"/>
          <w:szCs w:val="28"/>
          <w:lang w:val="uk-UA"/>
        </w:rPr>
        <w:t>. Саме такі задачі вирішує «</w:t>
      </w:r>
      <w:r w:rsidRPr="002E6ECA">
        <w:rPr>
          <w:sz w:val="28"/>
          <w:szCs w:val="28"/>
          <w:lang w:val="uk-UA"/>
        </w:rPr>
        <w:t>Комплексна скринінг-оцінка стану здоров'я школярів та чинників, що на нього впливають в умовах загальноосвітнього навчального закладу», що була розроблена колективом авторів [</w:t>
      </w:r>
      <w:r w:rsidR="005014AD" w:rsidRPr="002E6ECA">
        <w:rPr>
          <w:sz w:val="28"/>
          <w:szCs w:val="28"/>
          <w:lang w:val="uk-UA"/>
        </w:rPr>
        <w:t>61, 172</w:t>
      </w:r>
      <w:r w:rsidRPr="002E6ECA">
        <w:rPr>
          <w:sz w:val="28"/>
          <w:szCs w:val="28"/>
          <w:lang w:val="uk-UA"/>
        </w:rPr>
        <w:t>].</w:t>
      </w:r>
    </w:p>
    <w:p w:rsidR="00F60BF8" w:rsidRPr="002E6ECA" w:rsidRDefault="00F60BF8" w:rsidP="00F60BF8">
      <w:pPr>
        <w:spacing w:line="360" w:lineRule="auto"/>
        <w:ind w:firstLine="709"/>
        <w:jc w:val="both"/>
        <w:rPr>
          <w:sz w:val="28"/>
          <w:szCs w:val="28"/>
          <w:lang w:val="uk-UA" w:eastAsia="uk-UA"/>
        </w:rPr>
      </w:pPr>
      <w:r w:rsidRPr="002E6ECA">
        <w:rPr>
          <w:sz w:val="28"/>
          <w:szCs w:val="28"/>
          <w:lang w:val="uk-UA" w:eastAsia="uk-UA"/>
        </w:rPr>
        <w:t>Згідно із концепцією ВООЗ пропонується використання методик, що ґрунтуються на самооцінці всіх складових здоров’я, а саме: фізичного, психологічного та соціального благополуччя.</w:t>
      </w:r>
    </w:p>
    <w:p w:rsidR="008009FB" w:rsidRPr="002E6ECA" w:rsidRDefault="008009FB" w:rsidP="008009FB">
      <w:pPr>
        <w:spacing w:line="360" w:lineRule="auto"/>
        <w:ind w:firstLine="709"/>
        <w:jc w:val="both"/>
        <w:rPr>
          <w:sz w:val="28"/>
          <w:szCs w:val="28"/>
          <w:lang w:val="uk-UA" w:eastAsia="uk-UA"/>
        </w:rPr>
      </w:pPr>
      <w:r w:rsidRPr="002E6ECA">
        <w:rPr>
          <w:i/>
          <w:sz w:val="28"/>
          <w:szCs w:val="28"/>
          <w:lang w:val="uk-UA"/>
        </w:rPr>
        <w:t>Фізичне благополуччя.</w:t>
      </w:r>
      <w:r w:rsidRPr="002E6ECA">
        <w:rPr>
          <w:sz w:val="28"/>
          <w:szCs w:val="28"/>
          <w:lang w:val="uk-UA" w:eastAsia="uk-UA"/>
        </w:rPr>
        <w:t xml:space="preserve"> Передбачено скринінг-опитування щодо стану здоров’я школярів, метою якого постає визначення поширеності патологічних станів серед учнів. Ця методика  включає 113 запитань, що характеризують певні симптоми патологічних станів. Результати відповідей розподіляються за 13 групами захворювань, у т.ч. кардіоревматологічні, гастроентерологічні, ендокринологічні, психоневрологічні тощо [</w:t>
      </w:r>
      <w:r w:rsidR="005014AD" w:rsidRPr="002E6ECA">
        <w:rPr>
          <w:rFonts w:eastAsia="TimesNewRomanPSMT"/>
          <w:sz w:val="28"/>
          <w:szCs w:val="28"/>
          <w:lang w:val="uk-UA" w:eastAsia="uk-UA"/>
        </w:rPr>
        <w:t>238</w:t>
      </w:r>
      <w:r w:rsidRPr="002E6ECA">
        <w:rPr>
          <w:sz w:val="28"/>
          <w:szCs w:val="28"/>
          <w:lang w:val="uk-UA" w:eastAsia="uk-UA"/>
        </w:rPr>
        <w:t xml:space="preserve">]. Подальший аналіз передбачав розрахунок рівня неблагополуччя здоров’я (РНЗ) за окремими групами патологічних станів, а також загальний РНЗ </w:t>
      </w:r>
      <w:r w:rsidR="00E26678" w:rsidRPr="002E6ECA">
        <w:rPr>
          <w:sz w:val="28"/>
          <w:szCs w:val="28"/>
          <w:lang w:val="uk-UA" w:eastAsia="uk-UA"/>
        </w:rPr>
        <w:t>-</w:t>
      </w:r>
      <w:r w:rsidRPr="002E6ECA">
        <w:rPr>
          <w:sz w:val="28"/>
          <w:szCs w:val="28"/>
          <w:lang w:val="uk-UA" w:eastAsia="uk-UA"/>
        </w:rPr>
        <w:t>як показник рівню суб’єктивної оцінки стану здоров’я.</w:t>
      </w:r>
      <w:r w:rsidR="00606DE0" w:rsidRPr="002E6ECA">
        <w:rPr>
          <w:sz w:val="28"/>
          <w:szCs w:val="28"/>
          <w:lang w:val="uk-UA" w:eastAsia="uk-UA"/>
        </w:rPr>
        <w:t xml:space="preserve"> </w:t>
      </w:r>
      <w:r w:rsidRPr="002E6ECA">
        <w:rPr>
          <w:sz w:val="28"/>
          <w:szCs w:val="28"/>
          <w:lang w:val="uk-UA" w:eastAsia="uk-UA"/>
        </w:rPr>
        <w:t>Після перерахунку формується таблиця з РНЗ за кожним типом патологічних станів (табл. 8.1)</w:t>
      </w:r>
      <w:r w:rsidR="00606DE0" w:rsidRPr="002E6ECA">
        <w:rPr>
          <w:sz w:val="28"/>
          <w:szCs w:val="28"/>
          <w:lang w:val="uk-UA" w:eastAsia="uk-UA"/>
        </w:rPr>
        <w:t>.</w:t>
      </w:r>
    </w:p>
    <w:p w:rsidR="00606DE0" w:rsidRPr="002E6ECA" w:rsidRDefault="00606DE0" w:rsidP="00606DE0">
      <w:pPr>
        <w:spacing w:line="360" w:lineRule="auto"/>
        <w:ind w:firstLine="709"/>
        <w:jc w:val="both"/>
        <w:rPr>
          <w:sz w:val="28"/>
          <w:szCs w:val="28"/>
          <w:lang w:val="uk-UA" w:eastAsia="uk-UA"/>
        </w:rPr>
      </w:pPr>
      <w:r w:rsidRPr="002E6ECA">
        <w:rPr>
          <w:sz w:val="28"/>
          <w:szCs w:val="28"/>
          <w:lang w:val="uk-UA" w:eastAsia="uk-UA"/>
        </w:rPr>
        <w:t>Другою методикою, що використовувалась для вивчення рівня фізичного благополуччя була оцінка фізичної компоненти за допомогою розробленої колективом авторів методики визначення якості життя, що пов’язана зі здоров’ям учнів середнього шкільного віку</w:t>
      </w:r>
      <w:r w:rsidR="00EE4A94" w:rsidRPr="002E6ECA">
        <w:rPr>
          <w:sz w:val="28"/>
          <w:szCs w:val="28"/>
          <w:lang w:val="uk-UA" w:eastAsia="uk-UA"/>
        </w:rPr>
        <w:t xml:space="preserve"> </w:t>
      </w:r>
      <w:r w:rsidR="00EE4A94" w:rsidRPr="002E6ECA">
        <w:rPr>
          <w:sz w:val="28"/>
          <w:szCs w:val="28"/>
          <w:lang w:val="en-US" w:eastAsia="uk-UA"/>
        </w:rPr>
        <w:t>[</w:t>
      </w:r>
      <w:r w:rsidR="00EE4A94" w:rsidRPr="002E6ECA">
        <w:rPr>
          <w:rFonts w:eastAsia="TimesNewRomanPSMT"/>
          <w:sz w:val="28"/>
          <w:szCs w:val="28"/>
          <w:lang w:val="uk-UA" w:eastAsia="uk-UA"/>
        </w:rPr>
        <w:t>122</w:t>
      </w:r>
      <w:r w:rsidR="00EE4A94" w:rsidRPr="002E6ECA">
        <w:rPr>
          <w:rFonts w:eastAsia="TimesNewRomanPSMT"/>
          <w:sz w:val="28"/>
          <w:szCs w:val="28"/>
          <w:lang w:val="en-US" w:eastAsia="uk-UA"/>
        </w:rPr>
        <w:t>]</w:t>
      </w:r>
      <w:r w:rsidRPr="002E6ECA">
        <w:rPr>
          <w:sz w:val="28"/>
          <w:szCs w:val="28"/>
          <w:lang w:val="uk-UA" w:eastAsia="uk-UA"/>
        </w:rPr>
        <w:t xml:space="preserve">. Зокрема, питання стосувались частоти обмеження виконання фізичних навантажень різного рівня (від </w:t>
      </w:r>
      <w:r w:rsidRPr="002E6ECA">
        <w:rPr>
          <w:sz w:val="28"/>
          <w:szCs w:val="28"/>
          <w:lang w:val="uk-UA" w:eastAsia="uk-UA"/>
        </w:rPr>
        <w:lastRenderedPageBreak/>
        <w:t>можливості до самообслуговування і до активних, у т.ч. спортивних занять). Також передбачалась самооцінка стану здоров’я як за п’ятибальною шкалою, так і у порівнянні з минулим роком та іншими учнями.</w:t>
      </w:r>
    </w:p>
    <w:p w:rsidR="008009FB" w:rsidRPr="002E6ECA" w:rsidRDefault="008009FB" w:rsidP="008009FB">
      <w:pPr>
        <w:spacing w:line="360" w:lineRule="auto"/>
        <w:ind w:firstLine="709"/>
        <w:jc w:val="right"/>
        <w:rPr>
          <w:i/>
          <w:sz w:val="28"/>
          <w:szCs w:val="28"/>
          <w:lang w:val="uk-UA" w:eastAsia="uk-UA"/>
        </w:rPr>
      </w:pPr>
      <w:r w:rsidRPr="002E6ECA">
        <w:rPr>
          <w:i/>
          <w:sz w:val="28"/>
          <w:szCs w:val="28"/>
          <w:lang w:val="uk-UA" w:eastAsia="uk-UA"/>
        </w:rPr>
        <w:t>Таблиця 8.1</w:t>
      </w:r>
    </w:p>
    <w:p w:rsidR="008009FB" w:rsidRPr="002E6ECA" w:rsidRDefault="008009FB" w:rsidP="008009FB">
      <w:pPr>
        <w:spacing w:line="360" w:lineRule="auto"/>
        <w:ind w:firstLine="709"/>
        <w:jc w:val="center"/>
        <w:rPr>
          <w:b/>
          <w:sz w:val="28"/>
          <w:szCs w:val="28"/>
          <w:lang w:val="uk-UA" w:eastAsia="uk-UA"/>
        </w:rPr>
      </w:pPr>
      <w:r w:rsidRPr="002E6ECA">
        <w:rPr>
          <w:b/>
          <w:sz w:val="28"/>
          <w:szCs w:val="28"/>
          <w:lang w:val="uk-UA" w:eastAsia="uk-UA"/>
        </w:rPr>
        <w:t>Визначення індивідуального рівня неблагополуччя здоров’я у навчальному колективі</w:t>
      </w:r>
    </w:p>
    <w:tbl>
      <w:tblPr>
        <w:tblW w:w="959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2"/>
        <w:gridCol w:w="1134"/>
        <w:gridCol w:w="571"/>
        <w:gridCol w:w="571"/>
        <w:gridCol w:w="572"/>
        <w:gridCol w:w="571"/>
        <w:gridCol w:w="572"/>
        <w:gridCol w:w="571"/>
        <w:gridCol w:w="572"/>
        <w:gridCol w:w="571"/>
        <w:gridCol w:w="571"/>
        <w:gridCol w:w="528"/>
        <w:gridCol w:w="571"/>
        <w:gridCol w:w="572"/>
        <w:gridCol w:w="571"/>
        <w:gridCol w:w="572"/>
      </w:tblGrid>
      <w:tr w:rsidR="008009FB" w:rsidRPr="002E6ECA" w:rsidTr="008009FB">
        <w:trPr>
          <w:trHeight w:val="3158"/>
        </w:trPr>
        <w:tc>
          <w:tcPr>
            <w:tcW w:w="502" w:type="dxa"/>
            <w:shd w:val="clear" w:color="000000" w:fill="CCFFCC"/>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w:t>
            </w:r>
          </w:p>
        </w:tc>
        <w:tc>
          <w:tcPr>
            <w:tcW w:w="1134" w:type="dxa"/>
            <w:shd w:val="clear" w:color="000000" w:fill="CCFFCC"/>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Шифр дитини</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гастроенте-рологічні</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нефрологічні</w:t>
            </w:r>
          </w:p>
        </w:tc>
        <w:tc>
          <w:tcPr>
            <w:tcW w:w="572"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гіповітаміноз</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кардіорев-матологічні</w:t>
            </w:r>
          </w:p>
        </w:tc>
        <w:tc>
          <w:tcPr>
            <w:tcW w:w="572"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ендокринологічні</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пульмонологічні</w:t>
            </w:r>
          </w:p>
        </w:tc>
        <w:tc>
          <w:tcPr>
            <w:tcW w:w="572"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ЛОР-захворювання</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стоматологічні</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психоневрологічні</w:t>
            </w:r>
          </w:p>
        </w:tc>
        <w:tc>
          <w:tcPr>
            <w:tcW w:w="528"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гінекологічні</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офтальмологічні</w:t>
            </w:r>
          </w:p>
        </w:tc>
        <w:tc>
          <w:tcPr>
            <w:tcW w:w="572"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гематологічні</w:t>
            </w:r>
          </w:p>
        </w:tc>
        <w:tc>
          <w:tcPr>
            <w:tcW w:w="571"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астенізація</w:t>
            </w:r>
          </w:p>
        </w:tc>
        <w:tc>
          <w:tcPr>
            <w:tcW w:w="572" w:type="dxa"/>
            <w:shd w:val="clear" w:color="000000" w:fill="CCFFCC"/>
            <w:tcMar>
              <w:left w:w="28" w:type="dxa"/>
              <w:right w:w="28" w:type="dxa"/>
            </w:tcMar>
            <w:textDirection w:val="btL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алергія</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9015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3,4</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8,3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9016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22,2</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7,1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18,2</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10,3</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9017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22,2</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32,1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45,5</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28,6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48,3</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22,2</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9018</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7,1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17,2</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8,3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9019</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3,4</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9020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55,6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22,2</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21,4</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54,5</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28,6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13,8</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55,6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297EC4">
            <w:pPr>
              <w:spacing w:line="360" w:lineRule="auto"/>
              <w:jc w:val="both"/>
              <w:rPr>
                <w:sz w:val="28"/>
                <w:szCs w:val="28"/>
                <w:lang w:val="uk-UA" w:eastAsia="uk-UA"/>
              </w:rPr>
            </w:pPr>
            <w:r w:rsidRPr="002E6ECA">
              <w:rPr>
                <w:sz w:val="28"/>
                <w:szCs w:val="28"/>
                <w:lang w:val="uk-UA" w:eastAsia="uk-UA"/>
              </w:rPr>
              <w:t>902</w:t>
            </w:r>
            <w:r w:rsidR="00297EC4" w:rsidRPr="002E6ECA">
              <w:rPr>
                <w:sz w:val="28"/>
                <w:szCs w:val="28"/>
                <w:lang w:val="uk-UA" w:eastAsia="uk-UA"/>
              </w:rPr>
              <w:t>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36,4</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14,3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10,3</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9022</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18,2</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6,9</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9023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14,3</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13,8</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8,3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9027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10,7</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7,1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6,9</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8,3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5,6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9030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27,8</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22,2</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27,8</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17,9</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18,2</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28,6</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34,5</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33,3</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27,8</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22,2</w:t>
            </w:r>
          </w:p>
        </w:tc>
      </w:tr>
      <w:tr w:rsidR="008009FB" w:rsidRPr="002E6ECA" w:rsidTr="008009FB">
        <w:trPr>
          <w:trHeight w:val="336"/>
        </w:trPr>
        <w:tc>
          <w:tcPr>
            <w:tcW w:w="502" w:type="dxa"/>
            <w:noWrap/>
            <w:tcMar>
              <w:left w:w="28" w:type="dxa"/>
              <w:right w:w="28" w:type="dxa"/>
            </w:tcMar>
            <w:vAlign w:val="bottom"/>
          </w:tcPr>
          <w:p w:rsidR="008009FB" w:rsidRPr="002E6ECA" w:rsidRDefault="008009FB" w:rsidP="008009FB">
            <w:pPr>
              <w:pStyle w:val="a3"/>
              <w:numPr>
                <w:ilvl w:val="0"/>
                <w:numId w:val="8"/>
              </w:numPr>
              <w:spacing w:line="360" w:lineRule="auto"/>
              <w:ind w:left="0" w:firstLine="0"/>
              <w:jc w:val="both"/>
              <w:rPr>
                <w:sz w:val="28"/>
                <w:szCs w:val="28"/>
                <w:lang w:val="uk-UA" w:eastAsia="uk-UA"/>
              </w:rPr>
            </w:pPr>
          </w:p>
        </w:tc>
        <w:tc>
          <w:tcPr>
            <w:tcW w:w="1134" w:type="dxa"/>
            <w:noWrap/>
            <w:tcMar>
              <w:left w:w="28" w:type="dxa"/>
              <w:right w:w="28" w:type="dxa"/>
            </w:tcMa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9031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3,6</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9,1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25</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28"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16,7</w:t>
            </w:r>
          </w:p>
        </w:tc>
        <w:tc>
          <w:tcPr>
            <w:tcW w:w="571"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11,1</w:t>
            </w:r>
          </w:p>
        </w:tc>
        <w:tc>
          <w:tcPr>
            <w:tcW w:w="572" w:type="dxa"/>
            <w:noWrap/>
            <w:tcMar>
              <w:left w:w="28" w:type="dxa"/>
              <w:right w:w="28" w:type="dxa"/>
            </w:tcMar>
            <w:vAlign w:val="center"/>
          </w:tcPr>
          <w:p w:rsidR="008009FB" w:rsidRPr="002E6ECA" w:rsidRDefault="008009FB" w:rsidP="008009FB">
            <w:pPr>
              <w:spacing w:line="360" w:lineRule="auto"/>
              <w:jc w:val="both"/>
              <w:rPr>
                <w:sz w:val="28"/>
                <w:szCs w:val="28"/>
                <w:lang w:val="uk-UA" w:eastAsia="uk-UA"/>
              </w:rPr>
            </w:pPr>
            <w:r w:rsidRPr="002E6ECA">
              <w:rPr>
                <w:sz w:val="28"/>
                <w:szCs w:val="28"/>
                <w:lang w:val="uk-UA" w:eastAsia="uk-UA"/>
              </w:rPr>
              <w:t>0</w:t>
            </w:r>
          </w:p>
        </w:tc>
      </w:tr>
    </w:tbl>
    <w:p w:rsidR="00F60BF8" w:rsidRPr="002E6ECA" w:rsidRDefault="00F60BF8" w:rsidP="008009FB">
      <w:pPr>
        <w:spacing w:line="360" w:lineRule="auto"/>
        <w:ind w:firstLine="709"/>
        <w:jc w:val="both"/>
        <w:rPr>
          <w:i/>
          <w:sz w:val="28"/>
          <w:szCs w:val="28"/>
          <w:lang w:val="uk-UA"/>
        </w:rPr>
      </w:pPr>
    </w:p>
    <w:p w:rsidR="00F60BF8" w:rsidRPr="002E6ECA" w:rsidRDefault="00F60BF8" w:rsidP="002E6ECA">
      <w:pPr>
        <w:spacing w:line="372" w:lineRule="auto"/>
        <w:ind w:firstLine="709"/>
        <w:jc w:val="both"/>
        <w:rPr>
          <w:b/>
          <w:bCs/>
          <w:sz w:val="28"/>
          <w:szCs w:val="28"/>
          <w:lang w:val="uk-UA"/>
        </w:rPr>
      </w:pPr>
      <w:r w:rsidRPr="002E6ECA">
        <w:rPr>
          <w:sz w:val="28"/>
          <w:szCs w:val="28"/>
          <w:lang w:val="uk-UA"/>
        </w:rPr>
        <w:t xml:space="preserve">Крім фізичної активності значущим для комплексної оцінки здоров'я підлітків є аспект, пов'язаний з соціальними відносинами, що знаходить вираз у поведінкових проявах, обумовлених перш за все психосоціальними факторами. З точки зору фінського дослідника Ahonen A., психосоціальне благополуччя як </w:t>
      </w:r>
      <w:r w:rsidRPr="002E6ECA">
        <w:rPr>
          <w:sz w:val="28"/>
          <w:szCs w:val="28"/>
          <w:lang w:val="uk-UA"/>
        </w:rPr>
        <w:lastRenderedPageBreak/>
        <w:t>концепт включає в себе сукупність соціальних і психологічних чинників, що відбивають у тому числі рівень емоційного і когнітивного розвитку. Психосоціальне благополуччя в концепції вченого пов'язано з такими навичками як здатність до навчання, розуміння, запам'ятовування, асоціювання себе з іншими людьми через ряд соціальних і культурних кодів [</w:t>
      </w:r>
      <w:r w:rsidR="00EE4A94" w:rsidRPr="002E6ECA">
        <w:rPr>
          <w:sz w:val="28"/>
          <w:szCs w:val="28"/>
          <w:lang w:val="uk-UA"/>
        </w:rPr>
        <w:t>280</w:t>
      </w:r>
      <w:r w:rsidRPr="002E6ECA">
        <w:rPr>
          <w:sz w:val="28"/>
          <w:szCs w:val="28"/>
          <w:lang w:val="uk-UA"/>
        </w:rPr>
        <w:t xml:space="preserve">]. </w:t>
      </w:r>
    </w:p>
    <w:p w:rsidR="00F60BF8" w:rsidRPr="002E6ECA" w:rsidRDefault="00F60BF8" w:rsidP="002E6ECA">
      <w:pPr>
        <w:spacing w:line="372" w:lineRule="auto"/>
        <w:ind w:firstLine="709"/>
        <w:jc w:val="both"/>
        <w:rPr>
          <w:sz w:val="28"/>
          <w:szCs w:val="28"/>
          <w:lang w:val="uk-UA"/>
        </w:rPr>
      </w:pPr>
      <w:r w:rsidRPr="002E6ECA">
        <w:rPr>
          <w:rFonts w:ascii="TimesNewRomanPS-ItalicMT" w:eastAsia="TimesNewRoman" w:hAnsi="TimesNewRomanPS-ItalicMT"/>
          <w:iCs/>
          <w:sz w:val="28"/>
          <w:szCs w:val="28"/>
          <w:lang w:val="uk-UA"/>
        </w:rPr>
        <w:t>Samdal, O.</w:t>
      </w:r>
      <w:r w:rsidRPr="002E6ECA">
        <w:rPr>
          <w:sz w:val="28"/>
          <w:szCs w:val="28"/>
          <w:lang w:val="uk-UA"/>
        </w:rPr>
        <w:t>, аналізуючи феномен психосоціального благополуччя школярів, відзначають наявність тісного взаємозв'язку між відчуттям у школярів задоволеності від відвідування школи і їх оцінкою власного благополуччя. Школярі, які отримують задоволення від відвідування школи, високо оцінюють рівень власного добробуту [</w:t>
      </w:r>
      <w:r w:rsidR="00EE4A94" w:rsidRPr="002E6ECA">
        <w:rPr>
          <w:rFonts w:eastAsia="TimesNewRoman"/>
          <w:iCs/>
          <w:sz w:val="28"/>
          <w:szCs w:val="28"/>
          <w:lang w:val="uk-UA"/>
        </w:rPr>
        <w:t>452</w:t>
      </w:r>
      <w:r w:rsidRPr="002E6ECA">
        <w:rPr>
          <w:sz w:val="28"/>
          <w:szCs w:val="28"/>
          <w:lang w:val="uk-UA"/>
        </w:rPr>
        <w:t>].</w:t>
      </w:r>
    </w:p>
    <w:p w:rsidR="008009FB" w:rsidRPr="002E6ECA" w:rsidRDefault="008009FB" w:rsidP="002E6ECA">
      <w:pPr>
        <w:spacing w:line="372" w:lineRule="auto"/>
        <w:ind w:firstLine="709"/>
        <w:jc w:val="both"/>
        <w:rPr>
          <w:sz w:val="28"/>
          <w:szCs w:val="28"/>
          <w:lang w:val="uk-UA" w:eastAsia="uk-UA"/>
        </w:rPr>
      </w:pPr>
      <w:r w:rsidRPr="002E6ECA">
        <w:rPr>
          <w:i/>
          <w:sz w:val="28"/>
          <w:szCs w:val="28"/>
          <w:lang w:val="uk-UA"/>
        </w:rPr>
        <w:t>Психологічне благополуччя.</w:t>
      </w:r>
      <w:r w:rsidRPr="002E6ECA">
        <w:rPr>
          <w:sz w:val="28"/>
          <w:szCs w:val="28"/>
          <w:lang w:val="uk-UA" w:eastAsia="uk-UA"/>
        </w:rPr>
        <w:t xml:space="preserve"> Ознаками психологічного благополуччя для школяра слід вважати не тільки здатність мислити логічно та ефективно засвоювати знання, цілеспрямованість і активність, здатність до аналізу проблем і самостійного прийняття рішень, а й певні психосоціальні навички: здатність до дотримання соціальних норм, почуття відповідальності за своє життя та здоров’я, самоповага, володіння собою. Тому для визначення психологічного благополуччя нами було використано адаптовану українською мовою методику «Перелік дитячих симптомів» Y-PSC (дитяча версія) [</w:t>
      </w:r>
      <w:r w:rsidR="00EE4A94" w:rsidRPr="002E6ECA">
        <w:rPr>
          <w:sz w:val="28"/>
          <w:szCs w:val="28"/>
          <w:lang w:val="uk-UA"/>
        </w:rPr>
        <w:t>128</w:t>
      </w:r>
      <w:r w:rsidRPr="002E6ECA">
        <w:rPr>
          <w:sz w:val="28"/>
          <w:szCs w:val="28"/>
          <w:lang w:val="uk-UA" w:eastAsia="uk-UA"/>
        </w:rPr>
        <w:t xml:space="preserve">]. Анкета містила питання щодо емоційного стану школяра, його енергійності, мрійливості, рухливості, відчуття самотності, щастя, рівня конфліктності, самооцінки шкільної успішності. </w:t>
      </w:r>
    </w:p>
    <w:p w:rsidR="008009FB" w:rsidRPr="002E6ECA" w:rsidRDefault="008009FB" w:rsidP="002E6ECA">
      <w:pPr>
        <w:spacing w:line="372" w:lineRule="auto"/>
        <w:ind w:firstLine="709"/>
        <w:jc w:val="both"/>
        <w:rPr>
          <w:sz w:val="28"/>
          <w:szCs w:val="28"/>
          <w:lang w:val="uk-UA" w:eastAsia="uk-UA"/>
        </w:rPr>
      </w:pPr>
      <w:r w:rsidRPr="002E6ECA">
        <w:rPr>
          <w:sz w:val="28"/>
          <w:szCs w:val="28"/>
          <w:lang w:val="uk-UA" w:eastAsia="uk-UA"/>
        </w:rPr>
        <w:t xml:space="preserve">Паралельно оцінювалась окрема шкала психічного благополуччя за авторською методикою дослідження якості життя, що пов’язана зі здоров’ям. Питання стосувались настрою та почуттів, рівня задоволеності собою. </w:t>
      </w:r>
    </w:p>
    <w:p w:rsidR="008009FB" w:rsidRPr="002E6ECA" w:rsidRDefault="008009FB" w:rsidP="002E6ECA">
      <w:pPr>
        <w:spacing w:line="372" w:lineRule="auto"/>
        <w:ind w:firstLine="709"/>
        <w:jc w:val="both"/>
        <w:rPr>
          <w:spacing w:val="2"/>
          <w:sz w:val="28"/>
          <w:szCs w:val="28"/>
          <w:lang w:val="uk-UA"/>
        </w:rPr>
      </w:pPr>
      <w:r w:rsidRPr="002E6ECA">
        <w:rPr>
          <w:spacing w:val="2"/>
          <w:sz w:val="28"/>
          <w:szCs w:val="28"/>
          <w:lang w:val="uk-UA"/>
        </w:rPr>
        <w:t xml:space="preserve">Задля з’ясування механізмів формування інтегрованої системи оцінювання психологічного здоров’я та напрямків (екстерналізованих або інтерналізованих) порушень психосоціального функціонування було проаналізовано результати за методикою оцінки психосоціального функціонування/дисфункції </w:t>
      </w:r>
      <w:r w:rsidRPr="002E6ECA">
        <w:rPr>
          <w:rStyle w:val="shorttext"/>
          <w:spacing w:val="2"/>
          <w:sz w:val="28"/>
          <w:szCs w:val="28"/>
          <w:lang w:val="uk-UA"/>
        </w:rPr>
        <w:t>PSC-Ukr</w:t>
      </w:r>
      <w:r w:rsidRPr="002E6ECA">
        <w:rPr>
          <w:spacing w:val="2"/>
          <w:sz w:val="28"/>
          <w:szCs w:val="28"/>
          <w:lang w:val="uk-UA"/>
        </w:rPr>
        <w:t xml:space="preserve">. </w:t>
      </w:r>
      <w:r w:rsidRPr="002E6ECA">
        <w:rPr>
          <w:spacing w:val="2"/>
          <w:sz w:val="28"/>
          <w:szCs w:val="28"/>
          <w:lang w:val="uk-UA" w:eastAsia="uk-UA"/>
        </w:rPr>
        <w:t xml:space="preserve">У наших дослідженнях доведено </w:t>
      </w:r>
      <w:r w:rsidRPr="002E6ECA">
        <w:rPr>
          <w:spacing w:val="2"/>
          <w:sz w:val="28"/>
          <w:szCs w:val="28"/>
          <w:lang w:val="uk-UA" w:eastAsia="uk-UA"/>
        </w:rPr>
        <w:lastRenderedPageBreak/>
        <w:t>доцільність одночасного використання методик ЯЖПЗ та Y-PSC, що відображено у методичних рекомендаціях, затверджених НАМН і МОЗ України</w:t>
      </w:r>
      <w:r w:rsidR="00EE4A94" w:rsidRPr="002E6ECA">
        <w:rPr>
          <w:spacing w:val="2"/>
          <w:sz w:val="28"/>
          <w:szCs w:val="28"/>
          <w:lang w:val="uk-UA" w:eastAsia="uk-UA"/>
        </w:rPr>
        <w:t xml:space="preserve"> </w:t>
      </w:r>
      <w:r w:rsidR="00EE4A94" w:rsidRPr="002E6ECA">
        <w:rPr>
          <w:spacing w:val="2"/>
          <w:sz w:val="28"/>
          <w:szCs w:val="28"/>
          <w:lang w:val="en-US" w:eastAsia="uk-UA"/>
        </w:rPr>
        <w:t>[76]</w:t>
      </w:r>
      <w:r w:rsidRPr="002E6ECA">
        <w:rPr>
          <w:spacing w:val="2"/>
          <w:sz w:val="28"/>
          <w:szCs w:val="28"/>
          <w:lang w:val="uk-UA" w:eastAsia="uk-UA"/>
        </w:rPr>
        <w:t>.</w:t>
      </w:r>
    </w:p>
    <w:p w:rsidR="008009FB" w:rsidRPr="002E6ECA" w:rsidRDefault="008009FB" w:rsidP="002E6ECA">
      <w:pPr>
        <w:spacing w:line="372" w:lineRule="auto"/>
        <w:ind w:firstLine="709"/>
        <w:jc w:val="both"/>
        <w:rPr>
          <w:sz w:val="28"/>
          <w:szCs w:val="28"/>
          <w:lang w:val="uk-UA"/>
        </w:rPr>
      </w:pPr>
      <w:r w:rsidRPr="002E6ECA">
        <w:rPr>
          <w:i/>
          <w:sz w:val="28"/>
          <w:szCs w:val="28"/>
          <w:lang w:val="uk-UA"/>
        </w:rPr>
        <w:t>Соціальне благополуччя</w:t>
      </w:r>
      <w:r w:rsidRPr="002E6ECA">
        <w:rPr>
          <w:sz w:val="28"/>
          <w:szCs w:val="28"/>
          <w:lang w:val="uk-UA"/>
        </w:rPr>
        <w:t xml:space="preserve"> можна оцінювати за рівнем соціальної адаптованості, про яку свідчить здатність учня до ефективного спілкування, формування міжособистісних стосунків, дотримання соціальних норм. Для діагностики соціального благополуччя обрано такі ж самі методики, як і для оцінювання психологічного благополуччя, акцентуючи увагу не тільки на загальному рівні психосоціального благополуччя, а й на окремих його шкалах: інтерналізації та екстерналізації. </w:t>
      </w:r>
    </w:p>
    <w:p w:rsidR="008009FB" w:rsidRPr="002E6ECA" w:rsidRDefault="008009FB" w:rsidP="002E6ECA">
      <w:pPr>
        <w:spacing w:line="372" w:lineRule="auto"/>
        <w:ind w:firstLine="709"/>
        <w:jc w:val="both"/>
        <w:rPr>
          <w:sz w:val="28"/>
          <w:szCs w:val="28"/>
          <w:lang w:val="uk-UA"/>
        </w:rPr>
      </w:pPr>
      <w:r w:rsidRPr="002E6ECA">
        <w:rPr>
          <w:sz w:val="28"/>
          <w:szCs w:val="28"/>
          <w:lang w:val="uk-UA"/>
        </w:rPr>
        <w:t>За результатами визначення якості життя було обрано шкали:</w:t>
      </w:r>
    </w:p>
    <w:p w:rsidR="008009FB" w:rsidRPr="002E6ECA" w:rsidRDefault="008009FB" w:rsidP="002E6ECA">
      <w:pPr>
        <w:pStyle w:val="a3"/>
        <w:numPr>
          <w:ilvl w:val="0"/>
          <w:numId w:val="41"/>
        </w:numPr>
        <w:spacing w:line="372" w:lineRule="auto"/>
        <w:jc w:val="both"/>
        <w:rPr>
          <w:sz w:val="28"/>
          <w:szCs w:val="28"/>
          <w:lang w:val="uk-UA"/>
        </w:rPr>
      </w:pPr>
      <w:r w:rsidRPr="002E6ECA">
        <w:rPr>
          <w:sz w:val="28"/>
          <w:szCs w:val="28"/>
          <w:lang w:val="uk-UA"/>
        </w:rPr>
        <w:t xml:space="preserve">соціального функціонування </w:t>
      </w:r>
      <w:r w:rsidR="00E26678" w:rsidRPr="002E6ECA">
        <w:rPr>
          <w:sz w:val="28"/>
          <w:szCs w:val="28"/>
          <w:lang w:val="uk-UA"/>
        </w:rPr>
        <w:t>-</w:t>
      </w:r>
      <w:r w:rsidRPr="002E6ECA">
        <w:rPr>
          <w:sz w:val="28"/>
          <w:szCs w:val="28"/>
          <w:lang w:val="uk-UA"/>
        </w:rPr>
        <w:t>оцінка взаємовідносин та емоційного забарвлення спілкування з батьками, вчителями, друзями;</w:t>
      </w:r>
    </w:p>
    <w:p w:rsidR="008009FB" w:rsidRPr="002E6ECA" w:rsidRDefault="008009FB" w:rsidP="002E6ECA">
      <w:pPr>
        <w:pStyle w:val="a3"/>
        <w:numPr>
          <w:ilvl w:val="0"/>
          <w:numId w:val="41"/>
        </w:numPr>
        <w:spacing w:line="372" w:lineRule="auto"/>
        <w:jc w:val="both"/>
        <w:rPr>
          <w:sz w:val="28"/>
          <w:szCs w:val="28"/>
          <w:lang w:val="uk-UA"/>
        </w:rPr>
      </w:pPr>
      <w:r w:rsidRPr="002E6ECA">
        <w:rPr>
          <w:sz w:val="28"/>
          <w:szCs w:val="28"/>
          <w:lang w:val="uk-UA"/>
        </w:rPr>
        <w:t xml:space="preserve">шкільного функціонування </w:t>
      </w:r>
      <w:r w:rsidR="00E26678" w:rsidRPr="002E6ECA">
        <w:rPr>
          <w:sz w:val="28"/>
          <w:szCs w:val="28"/>
          <w:lang w:val="uk-UA"/>
        </w:rPr>
        <w:t>-</w:t>
      </w:r>
      <w:r w:rsidRPr="002E6ECA">
        <w:rPr>
          <w:sz w:val="28"/>
          <w:szCs w:val="28"/>
          <w:lang w:val="uk-UA"/>
        </w:rPr>
        <w:t>обмеження у реалізації навчальної діяльності у зв’язку з незадовільним фізичним або емоційним станом;</w:t>
      </w:r>
    </w:p>
    <w:p w:rsidR="008009FB" w:rsidRPr="002E6ECA" w:rsidRDefault="008009FB" w:rsidP="002E6ECA">
      <w:pPr>
        <w:pStyle w:val="a3"/>
        <w:numPr>
          <w:ilvl w:val="0"/>
          <w:numId w:val="41"/>
        </w:numPr>
        <w:spacing w:line="372" w:lineRule="auto"/>
        <w:jc w:val="both"/>
        <w:rPr>
          <w:sz w:val="28"/>
          <w:szCs w:val="28"/>
          <w:lang w:val="uk-UA"/>
        </w:rPr>
      </w:pPr>
      <w:r w:rsidRPr="002E6ECA">
        <w:rPr>
          <w:sz w:val="28"/>
          <w:szCs w:val="28"/>
          <w:lang w:val="uk-UA"/>
        </w:rPr>
        <w:t xml:space="preserve">родинного функціонування </w:t>
      </w:r>
      <w:r w:rsidR="00E26678" w:rsidRPr="002E6ECA">
        <w:rPr>
          <w:sz w:val="28"/>
          <w:szCs w:val="28"/>
          <w:lang w:val="uk-UA"/>
        </w:rPr>
        <w:t>-</w:t>
      </w:r>
      <w:r w:rsidRPr="002E6ECA">
        <w:rPr>
          <w:sz w:val="28"/>
          <w:szCs w:val="28"/>
          <w:lang w:val="uk-UA"/>
        </w:rPr>
        <w:t xml:space="preserve">здатність до спілкування з батьками, обмеження у виконанні домашніх обов’язків. </w:t>
      </w:r>
    </w:p>
    <w:p w:rsidR="008009FB" w:rsidRPr="002E6ECA" w:rsidRDefault="008009FB" w:rsidP="002E6ECA">
      <w:pPr>
        <w:spacing w:line="372" w:lineRule="auto"/>
        <w:ind w:firstLine="709"/>
        <w:jc w:val="both"/>
        <w:rPr>
          <w:sz w:val="28"/>
          <w:szCs w:val="28"/>
          <w:lang w:val="uk-UA"/>
        </w:rPr>
      </w:pPr>
      <w:r w:rsidRPr="002E6ECA">
        <w:rPr>
          <w:sz w:val="28"/>
          <w:szCs w:val="28"/>
          <w:lang w:val="uk-UA"/>
        </w:rPr>
        <w:t>На 1 етапі гігієнічного моніторингу поряд з суб’єктивною оцінкою стану здоров’я було проведено й первинну діагностику здорового способу життя учнів, яка будувалася на взаємопов'язаних і взаємообумовлених компонентах готовності особистості до здоров'язберігаючої діяльності, а саме:</w:t>
      </w:r>
    </w:p>
    <w:p w:rsidR="008009FB" w:rsidRPr="002E6ECA" w:rsidRDefault="008009FB" w:rsidP="002E6ECA">
      <w:pPr>
        <w:numPr>
          <w:ilvl w:val="0"/>
          <w:numId w:val="62"/>
        </w:numPr>
        <w:tabs>
          <w:tab w:val="left" w:pos="993"/>
        </w:tabs>
        <w:spacing w:line="372" w:lineRule="auto"/>
        <w:ind w:left="0" w:firstLine="709"/>
        <w:jc w:val="both"/>
        <w:rPr>
          <w:sz w:val="28"/>
          <w:szCs w:val="28"/>
          <w:lang w:val="uk-UA"/>
        </w:rPr>
      </w:pPr>
      <w:r w:rsidRPr="002E6ECA">
        <w:rPr>
          <w:sz w:val="28"/>
          <w:szCs w:val="28"/>
          <w:lang w:val="uk-UA"/>
        </w:rPr>
        <w:t>мотиваційно-потребнісного компоненту (представляє формування потреби в усвідомленому ставленні школярів до здоров'я та здорового способу життя, стійкої мотивації оволодіння навичками самостійної діяльності, усвідомлення особистісного сенсу отриманих знань про здоровий способі життя);</w:t>
      </w:r>
    </w:p>
    <w:p w:rsidR="008009FB" w:rsidRPr="002E6ECA" w:rsidRDefault="008009FB" w:rsidP="002E6ECA">
      <w:pPr>
        <w:numPr>
          <w:ilvl w:val="0"/>
          <w:numId w:val="62"/>
        </w:numPr>
        <w:tabs>
          <w:tab w:val="left" w:pos="993"/>
        </w:tabs>
        <w:spacing w:line="372" w:lineRule="auto"/>
        <w:ind w:left="0" w:firstLine="709"/>
        <w:jc w:val="both"/>
        <w:rPr>
          <w:sz w:val="28"/>
          <w:szCs w:val="28"/>
          <w:lang w:val="uk-UA"/>
        </w:rPr>
      </w:pPr>
      <w:r w:rsidRPr="002E6ECA">
        <w:rPr>
          <w:sz w:val="28"/>
          <w:szCs w:val="28"/>
          <w:lang w:val="uk-UA"/>
        </w:rPr>
        <w:lastRenderedPageBreak/>
        <w:t>когнітивно-ціннісного компоненту (характеризується сукупністю знань про отримання, використання та передачу інформації про здоров'я і здоровий спосіб життя на усвідомленому рівні розвитку особистості);</w:t>
      </w:r>
    </w:p>
    <w:p w:rsidR="008009FB" w:rsidRPr="002E6ECA" w:rsidRDefault="008009FB" w:rsidP="002E6ECA">
      <w:pPr>
        <w:numPr>
          <w:ilvl w:val="0"/>
          <w:numId w:val="62"/>
        </w:numPr>
        <w:tabs>
          <w:tab w:val="left" w:pos="993"/>
        </w:tabs>
        <w:spacing w:line="372" w:lineRule="auto"/>
        <w:ind w:left="0" w:firstLine="709"/>
        <w:jc w:val="both"/>
        <w:rPr>
          <w:sz w:val="28"/>
          <w:szCs w:val="28"/>
          <w:lang w:val="uk-UA"/>
        </w:rPr>
      </w:pPr>
      <w:r w:rsidRPr="002E6ECA">
        <w:rPr>
          <w:sz w:val="28"/>
          <w:szCs w:val="28"/>
          <w:lang w:val="uk-UA"/>
        </w:rPr>
        <w:t>практико-діяльнісного компоненту (характеризується комплексом умінь і навичок, спрямованих на реалізацію отриманих знань про здоров'я та здоровий спосіб життя, включає в себе вміння застосовувати ці знання на практиці у стандартній та новій ситуації);</w:t>
      </w:r>
    </w:p>
    <w:p w:rsidR="008009FB" w:rsidRPr="002E6ECA" w:rsidRDefault="008009FB" w:rsidP="002E6ECA">
      <w:pPr>
        <w:numPr>
          <w:ilvl w:val="0"/>
          <w:numId w:val="62"/>
        </w:numPr>
        <w:tabs>
          <w:tab w:val="left" w:pos="993"/>
        </w:tabs>
        <w:spacing w:line="372" w:lineRule="auto"/>
        <w:ind w:left="0" w:firstLine="709"/>
        <w:jc w:val="both"/>
        <w:rPr>
          <w:rStyle w:val="fontstyle01"/>
          <w:b w:val="0"/>
          <w:bCs w:val="0"/>
          <w:color w:val="auto"/>
          <w:sz w:val="28"/>
          <w:szCs w:val="28"/>
          <w:lang w:val="uk-UA"/>
        </w:rPr>
      </w:pPr>
      <w:r w:rsidRPr="002E6ECA">
        <w:rPr>
          <w:sz w:val="28"/>
          <w:szCs w:val="28"/>
          <w:lang w:val="uk-UA"/>
        </w:rPr>
        <w:t xml:space="preserve">рефлексивно-оцінного компоненту (самостійна здоров'язберігаюча діяльність учня, яка полягає в самоконтролі свого здоров'я і здорового способу життя). </w:t>
      </w:r>
    </w:p>
    <w:p w:rsidR="008009FB" w:rsidRPr="002E6ECA" w:rsidRDefault="008009FB" w:rsidP="002E6ECA">
      <w:pPr>
        <w:spacing w:line="372" w:lineRule="auto"/>
        <w:ind w:firstLine="709"/>
        <w:jc w:val="both"/>
        <w:rPr>
          <w:sz w:val="28"/>
          <w:szCs w:val="28"/>
          <w:lang w:val="uk-UA"/>
        </w:rPr>
      </w:pPr>
      <w:r w:rsidRPr="002E6ECA">
        <w:rPr>
          <w:sz w:val="28"/>
          <w:szCs w:val="28"/>
          <w:lang w:val="uk-UA"/>
        </w:rPr>
        <w:t>Виходячи з визначень і структури компонентів дослідження був підібраний наступний діагностичний інструментарій, аналогічний тому, що використовується у подібних дослідженнях [</w:t>
      </w:r>
      <w:r w:rsidR="00EE4A94" w:rsidRPr="002E6ECA">
        <w:rPr>
          <w:bCs/>
          <w:sz w:val="28"/>
          <w:szCs w:val="28"/>
          <w:lang w:val="uk-UA"/>
        </w:rPr>
        <w:t>261</w:t>
      </w:r>
      <w:r w:rsidRPr="002E6ECA">
        <w:rPr>
          <w:bCs/>
          <w:sz w:val="28"/>
          <w:szCs w:val="28"/>
          <w:lang w:val="uk-UA"/>
        </w:rPr>
        <w:t>]</w:t>
      </w:r>
      <w:r w:rsidRPr="002E6ECA">
        <w:rPr>
          <w:sz w:val="28"/>
          <w:szCs w:val="28"/>
          <w:lang w:val="uk-UA"/>
        </w:rPr>
        <w:t>:</w:t>
      </w:r>
    </w:p>
    <w:p w:rsidR="008009FB" w:rsidRPr="002E6ECA" w:rsidRDefault="008009FB" w:rsidP="002E6ECA">
      <w:pPr>
        <w:numPr>
          <w:ilvl w:val="0"/>
          <w:numId w:val="62"/>
        </w:numPr>
        <w:tabs>
          <w:tab w:val="left" w:pos="993"/>
        </w:tabs>
        <w:spacing w:line="372" w:lineRule="auto"/>
        <w:ind w:left="0" w:firstLine="709"/>
        <w:jc w:val="both"/>
        <w:rPr>
          <w:sz w:val="28"/>
          <w:szCs w:val="28"/>
          <w:lang w:val="uk-UA"/>
        </w:rPr>
      </w:pPr>
      <w:r w:rsidRPr="002E6ECA">
        <w:rPr>
          <w:sz w:val="28"/>
          <w:szCs w:val="28"/>
          <w:lang w:val="uk-UA"/>
        </w:rPr>
        <w:t>діагностика режиму дня за допомогою «Способу оцінки стану здоров'я дітей шкільного віку за скринінг-тестами», що розроблена фахівцями ДУ «ІОЗДП НАМН» [</w:t>
      </w:r>
      <w:r w:rsidR="00EE4A94" w:rsidRPr="002E6ECA">
        <w:rPr>
          <w:sz w:val="28"/>
          <w:szCs w:val="28"/>
          <w:lang w:val="uk-UA"/>
        </w:rPr>
        <w:t>238</w:t>
      </w:r>
      <w:r w:rsidRPr="002E6ECA">
        <w:rPr>
          <w:sz w:val="28"/>
          <w:szCs w:val="28"/>
          <w:lang w:val="uk-UA"/>
        </w:rPr>
        <w:t>];</w:t>
      </w:r>
    </w:p>
    <w:p w:rsidR="008009FB" w:rsidRPr="002E6ECA" w:rsidRDefault="008009FB" w:rsidP="002E6ECA">
      <w:pPr>
        <w:numPr>
          <w:ilvl w:val="0"/>
          <w:numId w:val="62"/>
        </w:numPr>
        <w:tabs>
          <w:tab w:val="left" w:pos="993"/>
        </w:tabs>
        <w:spacing w:line="372" w:lineRule="auto"/>
        <w:ind w:left="0" w:firstLine="709"/>
        <w:jc w:val="both"/>
        <w:rPr>
          <w:sz w:val="28"/>
          <w:szCs w:val="28"/>
          <w:lang w:val="uk-UA"/>
        </w:rPr>
      </w:pPr>
      <w:r w:rsidRPr="002E6ECA">
        <w:rPr>
          <w:sz w:val="28"/>
          <w:szCs w:val="28"/>
          <w:lang w:val="uk-UA"/>
        </w:rPr>
        <w:t>опитувальника «Шановний друже», що відображав соціально-гігієнічні особливості життєдіяльності школяра, фізичну активність, поширеність шкідливих звичок, харчові переваги [</w:t>
      </w:r>
      <w:r w:rsidR="00EE4A94" w:rsidRPr="002E6ECA">
        <w:rPr>
          <w:sz w:val="28"/>
          <w:szCs w:val="28"/>
          <w:lang w:val="uk-UA"/>
        </w:rPr>
        <w:t>215</w:t>
      </w:r>
      <w:r w:rsidRPr="002E6ECA">
        <w:rPr>
          <w:sz w:val="28"/>
          <w:szCs w:val="28"/>
          <w:lang w:val="uk-UA"/>
        </w:rPr>
        <w:t>].</w:t>
      </w:r>
    </w:p>
    <w:p w:rsidR="008009FB" w:rsidRPr="002E6ECA" w:rsidRDefault="008009FB" w:rsidP="002E6ECA">
      <w:pPr>
        <w:spacing w:line="372" w:lineRule="auto"/>
        <w:ind w:firstLine="709"/>
        <w:jc w:val="both"/>
        <w:rPr>
          <w:sz w:val="28"/>
          <w:szCs w:val="28"/>
          <w:lang w:val="uk-UA"/>
        </w:rPr>
      </w:pPr>
      <w:r w:rsidRPr="002E6ECA">
        <w:rPr>
          <w:sz w:val="28"/>
          <w:szCs w:val="28"/>
          <w:lang w:val="uk-UA"/>
        </w:rPr>
        <w:t>Під час планування дослідження було сформульовано певні завдання, вирішення яких передбачало вивчення стану здоров’я школярів, чинників внутрішньошкільного середовища та їх впливу на дитячий організм. При статистичній обробці даних, що за стандартним алгоритмом виконується на другому етапі гігієнічного моніторингу, було застосовано наступні принципи групування даних:</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t>Вид системи освіти: традиційна, меритократична.</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t>Тип навчально-педагогічного проєкту: традиційний, «Інтелект України», «Росток».</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t>Вид закладу загальної середньої освіти</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lastRenderedPageBreak/>
        <w:t>Рівень навчання: початкова (1-4 класи), базова (5-9 класи), профільна школа (9-11</w:t>
      </w:r>
      <w:r w:rsidR="00C10BBD" w:rsidRPr="002E6ECA">
        <w:rPr>
          <w:sz w:val="28"/>
          <w:szCs w:val="28"/>
          <w:lang w:val="uk-UA"/>
        </w:rPr>
        <w:t>(12)</w:t>
      </w:r>
      <w:r w:rsidRPr="002E6ECA">
        <w:rPr>
          <w:sz w:val="28"/>
          <w:szCs w:val="28"/>
          <w:lang w:val="uk-UA"/>
        </w:rPr>
        <w:t xml:space="preserve"> або 10-11</w:t>
      </w:r>
      <w:r w:rsidR="00C10BBD" w:rsidRPr="002E6ECA">
        <w:rPr>
          <w:sz w:val="28"/>
          <w:szCs w:val="28"/>
          <w:lang w:val="uk-UA"/>
        </w:rPr>
        <w:t>(12)</w:t>
      </w:r>
      <w:r w:rsidRPr="002E6ECA">
        <w:rPr>
          <w:sz w:val="28"/>
          <w:szCs w:val="28"/>
          <w:lang w:val="uk-UA"/>
        </w:rPr>
        <w:t xml:space="preserve"> класи у залежності від закладу загальної освіти).</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t>Рік навчання: 5-й, 6-й, 7-й, 8-й, 9-й.</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t>Навчальний колектив (клас).</w:t>
      </w:r>
    </w:p>
    <w:p w:rsidR="008009FB" w:rsidRPr="002E6ECA" w:rsidRDefault="008009FB" w:rsidP="002E6ECA">
      <w:pPr>
        <w:pStyle w:val="a3"/>
        <w:numPr>
          <w:ilvl w:val="0"/>
          <w:numId w:val="38"/>
        </w:numPr>
        <w:spacing w:line="372" w:lineRule="auto"/>
        <w:ind w:left="0" w:firstLine="709"/>
        <w:jc w:val="both"/>
        <w:rPr>
          <w:sz w:val="28"/>
          <w:szCs w:val="28"/>
          <w:lang w:val="uk-UA"/>
        </w:rPr>
      </w:pPr>
      <w:r w:rsidRPr="002E6ECA">
        <w:rPr>
          <w:sz w:val="28"/>
          <w:szCs w:val="28"/>
          <w:lang w:val="uk-UA"/>
        </w:rPr>
        <w:t>Статева група: хлопці, дівчата.</w:t>
      </w:r>
    </w:p>
    <w:p w:rsidR="008009FB" w:rsidRPr="002E6ECA" w:rsidRDefault="008009FB" w:rsidP="002E6ECA">
      <w:pPr>
        <w:pStyle w:val="a3"/>
        <w:spacing w:line="372" w:lineRule="auto"/>
        <w:ind w:left="0" w:firstLine="709"/>
        <w:jc w:val="both"/>
        <w:rPr>
          <w:sz w:val="28"/>
          <w:szCs w:val="28"/>
          <w:lang w:val="uk-UA"/>
        </w:rPr>
      </w:pPr>
      <w:r w:rsidRPr="002E6ECA">
        <w:rPr>
          <w:sz w:val="28"/>
          <w:szCs w:val="28"/>
          <w:lang w:val="uk-UA"/>
        </w:rPr>
        <w:t xml:space="preserve">У якості «пілотного» дослідження і з метою визначення фізичного, психологічного та соціального благополуччя дітей шкільного віку було оцінено якість життя, що пов’язана зі здоров’ям учнів </w:t>
      </w:r>
      <w:r w:rsidR="00297EC4" w:rsidRPr="002E6ECA">
        <w:rPr>
          <w:sz w:val="28"/>
          <w:szCs w:val="28"/>
          <w:lang w:val="uk-UA"/>
        </w:rPr>
        <w:t>у</w:t>
      </w:r>
      <w:r w:rsidRPr="002E6ECA">
        <w:rPr>
          <w:sz w:val="28"/>
          <w:szCs w:val="28"/>
          <w:lang w:val="uk-UA"/>
        </w:rPr>
        <w:t>сіх років навчання, у т.ч. під час переходу з початкової до базової та з базової до профільної школи.</w:t>
      </w:r>
    </w:p>
    <w:p w:rsidR="008009FB" w:rsidRPr="002E6ECA" w:rsidRDefault="008009FB" w:rsidP="002E6ECA">
      <w:pPr>
        <w:pStyle w:val="a3"/>
        <w:spacing w:line="372" w:lineRule="auto"/>
        <w:ind w:left="0" w:firstLine="709"/>
        <w:jc w:val="both"/>
        <w:rPr>
          <w:sz w:val="28"/>
          <w:szCs w:val="28"/>
          <w:lang w:val="uk-UA"/>
        </w:rPr>
      </w:pPr>
      <w:r w:rsidRPr="002E6ECA">
        <w:rPr>
          <w:sz w:val="28"/>
          <w:szCs w:val="28"/>
          <w:lang w:val="uk-UA"/>
        </w:rPr>
        <w:t xml:space="preserve">В ході дослідження ми дійшли висновку, що більш принциповим є поглиблене вивчення стану здоров’я та факторів внутрішньошкільного середовища і позашкільної діяльності не за умов впровадження різних освітніх програм або навчально-педагогічних проєктів, різних закладів загальної середньої освіти, а саме у окремих навчальних колективах, що дозволяє обмежити різноспрямованість впливу окремих чинників навколишнього середовища різного походження і, відповідно, підвищує ефективність гігієнічного моніторингу групового здоров’я у дитячій популяції, що у віковому аспекті обмежена шкільним періодом. Крім того було обмежено вікову групу школярів періодом навчання у базовій школі (з 5-го до 9-го класу), що відповідає календарному віку 10-15 років . саме на цей вік припадає 2 фізіологічних та 2 соціальних кризи у дитячому житті: </w:t>
      </w:r>
    </w:p>
    <w:p w:rsidR="008009FB" w:rsidRPr="002E6ECA" w:rsidRDefault="008009FB" w:rsidP="002E6ECA">
      <w:pPr>
        <w:pStyle w:val="a3"/>
        <w:numPr>
          <w:ilvl w:val="0"/>
          <w:numId w:val="39"/>
        </w:numPr>
        <w:spacing w:line="372" w:lineRule="auto"/>
        <w:ind w:left="0" w:firstLine="709"/>
        <w:jc w:val="both"/>
        <w:rPr>
          <w:sz w:val="28"/>
          <w:szCs w:val="28"/>
          <w:lang w:val="uk-UA"/>
        </w:rPr>
      </w:pPr>
      <w:r w:rsidRPr="002E6ECA">
        <w:rPr>
          <w:sz w:val="28"/>
          <w:szCs w:val="28"/>
          <w:lang w:val="uk-UA"/>
        </w:rPr>
        <w:t>періоди препубертату та пубертату;</w:t>
      </w:r>
    </w:p>
    <w:p w:rsidR="008009FB" w:rsidRPr="002E6ECA" w:rsidRDefault="008009FB" w:rsidP="002E6ECA">
      <w:pPr>
        <w:pStyle w:val="a3"/>
        <w:numPr>
          <w:ilvl w:val="0"/>
          <w:numId w:val="39"/>
        </w:numPr>
        <w:spacing w:line="372" w:lineRule="auto"/>
        <w:ind w:left="0" w:firstLine="709"/>
        <w:jc w:val="both"/>
        <w:rPr>
          <w:sz w:val="28"/>
          <w:szCs w:val="28"/>
          <w:lang w:val="uk-UA"/>
        </w:rPr>
      </w:pPr>
      <w:r w:rsidRPr="002E6ECA">
        <w:rPr>
          <w:sz w:val="28"/>
          <w:szCs w:val="28"/>
          <w:lang w:val="uk-UA"/>
        </w:rPr>
        <w:t>перехід до предметного навчання, підготовка до свідомого професійного вибору та траєкторії майбутнього професійного життя.</w:t>
      </w:r>
    </w:p>
    <w:p w:rsidR="008009FB" w:rsidRPr="002E6ECA" w:rsidRDefault="008009FB" w:rsidP="002E6ECA">
      <w:pPr>
        <w:spacing w:line="372" w:lineRule="auto"/>
        <w:ind w:firstLine="709"/>
        <w:jc w:val="both"/>
        <w:rPr>
          <w:sz w:val="28"/>
          <w:szCs w:val="28"/>
          <w:lang w:val="uk-UA"/>
        </w:rPr>
      </w:pPr>
      <w:r w:rsidRPr="002E6ECA">
        <w:rPr>
          <w:sz w:val="28"/>
          <w:szCs w:val="28"/>
          <w:lang w:val="uk-UA"/>
        </w:rPr>
        <w:t>Дана група дітей знаходилась під повздовжнім спостереженням протягом всього періоду навчання у базовій школі.</w:t>
      </w:r>
    </w:p>
    <w:p w:rsidR="008009FB" w:rsidRPr="002E6ECA" w:rsidRDefault="008009FB" w:rsidP="008009FB">
      <w:pPr>
        <w:spacing w:line="360" w:lineRule="auto"/>
        <w:ind w:firstLine="709"/>
        <w:jc w:val="both"/>
        <w:rPr>
          <w:sz w:val="28"/>
          <w:szCs w:val="28"/>
          <w:lang w:val="uk-UA"/>
        </w:rPr>
      </w:pPr>
    </w:p>
    <w:p w:rsidR="008009FB" w:rsidRPr="002E6ECA" w:rsidRDefault="008009FB" w:rsidP="008009FB">
      <w:pPr>
        <w:spacing w:line="360" w:lineRule="auto"/>
        <w:ind w:firstLine="709"/>
        <w:jc w:val="both"/>
        <w:rPr>
          <w:b/>
          <w:sz w:val="28"/>
          <w:szCs w:val="28"/>
          <w:lang w:val="uk-UA" w:eastAsia="uk-UA"/>
        </w:rPr>
      </w:pPr>
      <w:r w:rsidRPr="002E6ECA">
        <w:rPr>
          <w:b/>
          <w:sz w:val="28"/>
          <w:szCs w:val="28"/>
          <w:lang w:val="uk-UA" w:eastAsia="uk-UA"/>
        </w:rPr>
        <w:lastRenderedPageBreak/>
        <w:t>8.2. Поглиблена скринінг-діагностика патологічних станів у учнів в умовах інтенсифікації навчального процесу за умов впровадження комплексу профілактичних заходів (на прикладі навчання за меритократичною системою)</w:t>
      </w:r>
    </w:p>
    <w:p w:rsidR="008009FB" w:rsidRPr="002E6ECA" w:rsidRDefault="008009FB" w:rsidP="008009FB">
      <w:pPr>
        <w:spacing w:line="360" w:lineRule="auto"/>
        <w:ind w:firstLine="709"/>
        <w:jc w:val="both"/>
        <w:rPr>
          <w:spacing w:val="2"/>
          <w:sz w:val="28"/>
          <w:szCs w:val="28"/>
          <w:lang w:val="uk-UA" w:eastAsia="uk-UA"/>
        </w:rPr>
      </w:pPr>
      <w:r w:rsidRPr="002E6ECA">
        <w:rPr>
          <w:spacing w:val="2"/>
          <w:sz w:val="28"/>
          <w:szCs w:val="28"/>
          <w:lang w:val="uk-UA" w:eastAsia="uk-UA"/>
        </w:rPr>
        <w:t>Другий етап гігієнічного моніторингу групового здоров’я школярів призначений для дітей, яких було включено до групи ризику щодо формування шкільної дезадаптації за результатами анкетування на 1-му етапі. Поглиблена скринінг-діагностика також спрямована на визначення усіх компонентів, що складають дефініцію здоров’я згідно із визначенням експертів ВООЗ: фізичне, психологічне та соціальне благополуччя. Даний етап, на відміну від попереднього, передбачає обов’язкове залучення до діагностики лікарів, педагогів, батьків у залежності від складової, що вивчається.</w:t>
      </w:r>
    </w:p>
    <w:p w:rsidR="008009FB" w:rsidRPr="002E6ECA" w:rsidRDefault="009304EA" w:rsidP="008009FB">
      <w:pPr>
        <w:spacing w:line="360" w:lineRule="auto"/>
        <w:ind w:firstLine="709"/>
        <w:jc w:val="both"/>
        <w:rPr>
          <w:sz w:val="28"/>
          <w:szCs w:val="28"/>
          <w:lang w:val="uk-UA" w:eastAsia="uk-UA"/>
        </w:rPr>
      </w:pPr>
      <w:r w:rsidRPr="002E6ECA">
        <w:rPr>
          <w:i/>
          <w:sz w:val="28"/>
          <w:szCs w:val="28"/>
          <w:lang w:val="uk-UA" w:eastAsia="uk-UA"/>
        </w:rPr>
        <w:t>Поглиблен</w:t>
      </w:r>
      <w:r w:rsidR="008009FB" w:rsidRPr="002E6ECA">
        <w:rPr>
          <w:i/>
          <w:sz w:val="28"/>
          <w:szCs w:val="28"/>
          <w:lang w:val="uk-UA" w:eastAsia="uk-UA"/>
        </w:rPr>
        <w:t>а діагностика фізичного благополуччя</w:t>
      </w:r>
      <w:r w:rsidR="008009FB" w:rsidRPr="002E6ECA">
        <w:rPr>
          <w:sz w:val="28"/>
          <w:szCs w:val="28"/>
          <w:lang w:val="uk-UA" w:eastAsia="uk-UA"/>
        </w:rPr>
        <w:t xml:space="preserve"> включала використання стандартних методів, що зазвичай застосовуються при медичному обстеженні, а також специфічних діагностичних методик, що дозволяють визначити рівень фізіологічних зсувів на преморбідній стадії. Ці методи дозволяють оцінити основні критерії донозологічного стану </w:t>
      </w:r>
      <w:r w:rsidR="00E26678" w:rsidRPr="002E6ECA">
        <w:rPr>
          <w:sz w:val="28"/>
          <w:szCs w:val="28"/>
          <w:lang w:val="uk-UA" w:eastAsia="uk-UA"/>
        </w:rPr>
        <w:t>-</w:t>
      </w:r>
      <w:r w:rsidR="008009FB" w:rsidRPr="002E6ECA">
        <w:rPr>
          <w:sz w:val="28"/>
          <w:szCs w:val="28"/>
          <w:lang w:val="uk-UA" w:eastAsia="uk-UA"/>
        </w:rPr>
        <w:t>рівень функціонування органів та систем, стан функціональних резервів та ступінь напруги регуляторних механізмів.</w:t>
      </w:r>
    </w:p>
    <w:p w:rsidR="008009FB" w:rsidRPr="002E6ECA" w:rsidRDefault="008009FB" w:rsidP="008009FB">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Показники фізичного розвитку дітей та підлітків постають інтегральним критерієм стану здоров’я і характеризують морфофункціональні властивості дитячого організму. Крім того в практиці їх застосовують для оцінки ефективності впроваджених профілактичних програм.  </w:t>
      </w:r>
    </w:p>
    <w:p w:rsidR="008009FB" w:rsidRPr="002E6ECA" w:rsidRDefault="008009FB" w:rsidP="008009FB">
      <w:pPr>
        <w:spacing w:line="360" w:lineRule="auto"/>
        <w:ind w:firstLine="709"/>
        <w:jc w:val="both"/>
        <w:rPr>
          <w:spacing w:val="2"/>
          <w:sz w:val="28"/>
          <w:szCs w:val="28"/>
          <w:lang w:val="uk-UA" w:eastAsia="uk-UA"/>
        </w:rPr>
      </w:pPr>
      <w:r w:rsidRPr="002E6ECA">
        <w:rPr>
          <w:spacing w:val="2"/>
          <w:sz w:val="28"/>
          <w:szCs w:val="28"/>
          <w:lang w:val="uk-UA" w:eastAsia="uk-UA"/>
        </w:rPr>
        <w:t xml:space="preserve">Окрім запропонованої моделі оцінки фізичного розвитку (див. рис. 3.6), у т.ч. за </w:t>
      </w:r>
      <w:r w:rsidRPr="002E6ECA">
        <w:rPr>
          <w:spacing w:val="2"/>
          <w:sz w:val="28"/>
          <w:szCs w:val="28"/>
          <w:lang w:val="uk-UA"/>
        </w:rPr>
        <w:t>розробленою колективом авторів комп’ютерною програми, що дозволяє автоматизувати поетапну процедуру оцінки згідно із Критеріями оцінки фізичного розвитку дітей шкільного віку [</w:t>
      </w:r>
      <w:r w:rsidR="00EE4A94" w:rsidRPr="002E6ECA">
        <w:rPr>
          <w:spacing w:val="2"/>
          <w:sz w:val="28"/>
          <w:szCs w:val="28"/>
          <w:lang w:val="uk-UA"/>
        </w:rPr>
        <w:t>234</w:t>
      </w:r>
      <w:r w:rsidRPr="002E6ECA">
        <w:rPr>
          <w:spacing w:val="2"/>
          <w:sz w:val="28"/>
          <w:szCs w:val="28"/>
          <w:lang w:val="uk-UA"/>
        </w:rPr>
        <w:t>]</w:t>
      </w:r>
      <w:r w:rsidR="00297EC4" w:rsidRPr="002E6ECA">
        <w:rPr>
          <w:spacing w:val="2"/>
          <w:sz w:val="28"/>
          <w:szCs w:val="28"/>
          <w:lang w:val="uk-UA"/>
        </w:rPr>
        <w:t>,</w:t>
      </w:r>
      <w:r w:rsidRPr="002E6ECA">
        <w:rPr>
          <w:spacing w:val="2"/>
          <w:sz w:val="28"/>
          <w:szCs w:val="28"/>
          <w:lang w:val="uk-UA"/>
        </w:rPr>
        <w:t xml:space="preserve"> оцінка фізичного благополуччя включає</w:t>
      </w:r>
      <w:r w:rsidRPr="002E6ECA">
        <w:rPr>
          <w:spacing w:val="2"/>
          <w:sz w:val="28"/>
          <w:szCs w:val="28"/>
          <w:lang w:val="uk-UA" w:eastAsia="uk-UA"/>
        </w:rPr>
        <w:t xml:space="preserve"> аналіз гострої захворюваності, патологічної ураженості та ступеню виснаження функціональних резервів (за станом серцево-судинної </w:t>
      </w:r>
      <w:r w:rsidRPr="002E6ECA">
        <w:rPr>
          <w:spacing w:val="2"/>
          <w:sz w:val="28"/>
          <w:szCs w:val="28"/>
          <w:lang w:val="uk-UA" w:eastAsia="uk-UA"/>
        </w:rPr>
        <w:lastRenderedPageBreak/>
        <w:t>системи), що визначається за допомогою методу варіабельності серцевого ритму, пульсометрії, електроенцефалографії (як додатковий метод для групи ризику).</w:t>
      </w:r>
    </w:p>
    <w:p w:rsidR="008009FB" w:rsidRPr="002E6ECA" w:rsidRDefault="009304EA" w:rsidP="002E6ECA">
      <w:pPr>
        <w:pStyle w:val="a3"/>
        <w:spacing w:line="372" w:lineRule="auto"/>
        <w:ind w:left="0" w:firstLine="709"/>
        <w:jc w:val="both"/>
        <w:rPr>
          <w:sz w:val="28"/>
          <w:szCs w:val="28"/>
          <w:lang w:val="uk-UA" w:eastAsia="uk-UA"/>
        </w:rPr>
      </w:pPr>
      <w:r w:rsidRPr="002E6ECA">
        <w:rPr>
          <w:i/>
          <w:sz w:val="28"/>
          <w:szCs w:val="28"/>
          <w:lang w:val="uk-UA" w:eastAsia="uk-UA"/>
        </w:rPr>
        <w:t>Поглиблена</w:t>
      </w:r>
      <w:r w:rsidR="008009FB" w:rsidRPr="002E6ECA">
        <w:rPr>
          <w:i/>
          <w:sz w:val="28"/>
          <w:szCs w:val="28"/>
          <w:lang w:val="uk-UA" w:eastAsia="uk-UA"/>
        </w:rPr>
        <w:t xml:space="preserve"> діагностика психологічного благополуччя.</w:t>
      </w:r>
      <w:r w:rsidR="008009FB" w:rsidRPr="002E6ECA">
        <w:rPr>
          <w:sz w:val="28"/>
          <w:szCs w:val="28"/>
          <w:lang w:val="uk-UA" w:eastAsia="uk-UA"/>
        </w:rPr>
        <w:t xml:space="preserve"> На відміну від попереднього етапу для школярів групи ризику обов’язковим є використання та аналіз анкетування батьків за анкетою PSC. Психофізіологічну складову забезпечення навчальної діяльності визначають за допомогою оцінки розумової працездатності, а також ВСР та ЕЕГ.</w:t>
      </w:r>
    </w:p>
    <w:p w:rsidR="008009FB" w:rsidRPr="002E6ECA" w:rsidRDefault="009304EA" w:rsidP="002E6ECA">
      <w:pPr>
        <w:pStyle w:val="a3"/>
        <w:spacing w:line="372" w:lineRule="auto"/>
        <w:ind w:left="0" w:firstLine="709"/>
        <w:jc w:val="both"/>
        <w:rPr>
          <w:sz w:val="28"/>
          <w:szCs w:val="28"/>
          <w:lang w:val="uk-UA" w:eastAsia="uk-UA"/>
        </w:rPr>
      </w:pPr>
      <w:r w:rsidRPr="002E6ECA">
        <w:rPr>
          <w:i/>
          <w:sz w:val="28"/>
          <w:szCs w:val="28"/>
          <w:lang w:val="uk-UA" w:eastAsia="uk-UA"/>
        </w:rPr>
        <w:t>Поглиблена</w:t>
      </w:r>
      <w:r w:rsidR="008009FB" w:rsidRPr="002E6ECA">
        <w:rPr>
          <w:i/>
          <w:sz w:val="28"/>
          <w:szCs w:val="28"/>
          <w:lang w:val="uk-UA" w:eastAsia="uk-UA"/>
        </w:rPr>
        <w:t xml:space="preserve"> діагностика соціального благополуччя.</w:t>
      </w:r>
      <w:r w:rsidR="008009FB" w:rsidRPr="002E6ECA">
        <w:rPr>
          <w:sz w:val="28"/>
          <w:szCs w:val="28"/>
          <w:lang w:val="uk-UA" w:eastAsia="uk-UA"/>
        </w:rPr>
        <w:t xml:space="preserve"> Визначається за окремою шкалою екстерналізації батьківської версії опитувальника PSC, а також передбачає пошук взаємозв’язків між окремими шкалами за методикою психосоціального функціонування та якості життя, що пов’язана зі здоров’ям, а також конгруентності батьківської та дитячої версії.</w:t>
      </w:r>
    </w:p>
    <w:p w:rsidR="008009FB" w:rsidRPr="002E6ECA" w:rsidRDefault="008009FB" w:rsidP="002E6ECA">
      <w:pPr>
        <w:spacing w:line="372" w:lineRule="auto"/>
        <w:jc w:val="both"/>
        <w:rPr>
          <w:sz w:val="28"/>
          <w:szCs w:val="28"/>
          <w:lang w:val="uk-UA" w:eastAsia="uk-UA"/>
        </w:rPr>
      </w:pPr>
    </w:p>
    <w:p w:rsidR="008009FB" w:rsidRPr="002E6ECA" w:rsidRDefault="008009FB" w:rsidP="002E6ECA">
      <w:pPr>
        <w:spacing w:line="372" w:lineRule="auto"/>
        <w:jc w:val="center"/>
        <w:rPr>
          <w:b/>
          <w:sz w:val="28"/>
          <w:szCs w:val="28"/>
          <w:lang w:val="uk-UA"/>
        </w:rPr>
      </w:pPr>
      <w:r w:rsidRPr="002E6ECA">
        <w:rPr>
          <w:b/>
          <w:sz w:val="28"/>
          <w:szCs w:val="28"/>
          <w:lang w:val="uk-UA"/>
        </w:rPr>
        <w:t>Висновки за розділом 8</w:t>
      </w:r>
    </w:p>
    <w:p w:rsidR="008009FB" w:rsidRPr="002E6ECA" w:rsidRDefault="008009FB" w:rsidP="002E6ECA">
      <w:pPr>
        <w:pStyle w:val="a3"/>
        <w:numPr>
          <w:ilvl w:val="0"/>
          <w:numId w:val="65"/>
        </w:numPr>
        <w:tabs>
          <w:tab w:val="left" w:pos="993"/>
        </w:tabs>
        <w:spacing w:line="372" w:lineRule="auto"/>
        <w:ind w:left="0" w:firstLine="709"/>
        <w:jc w:val="both"/>
        <w:rPr>
          <w:sz w:val="28"/>
          <w:szCs w:val="28"/>
          <w:lang w:val="uk-UA"/>
        </w:rPr>
      </w:pPr>
      <w:r w:rsidRPr="002E6ECA">
        <w:rPr>
          <w:sz w:val="28"/>
          <w:szCs w:val="28"/>
          <w:lang w:val="uk-UA"/>
        </w:rPr>
        <w:t xml:space="preserve">Виникла необхідність узагальнення величезного і недостатньо систематизованого матеріалу отриманих багаторічних наукових досліджень для оцінки ризику здоров'ю дітей і підлітків. Крім того у роботі узагальнені  дані обстежень учнів середнього шкільного віку за 5 років перебування у базовій школі. Дана оцінка прогнозу ризику, що включає оцінку ризику для здоров'я дітей і підлітків, статистичні методи аналізу і оцінки структури захворювань при впливі чинників внутрішньошкільного середовища, соціальні фактори і ризик-орієнтований підхід до оцінки санітарно-гігієнічного стану об'єктів загальної середньої освіти. </w:t>
      </w:r>
    </w:p>
    <w:p w:rsidR="008009FB" w:rsidRPr="002E6ECA" w:rsidRDefault="008009FB" w:rsidP="002E6ECA">
      <w:pPr>
        <w:pStyle w:val="a3"/>
        <w:numPr>
          <w:ilvl w:val="0"/>
          <w:numId w:val="65"/>
        </w:numPr>
        <w:tabs>
          <w:tab w:val="left" w:pos="993"/>
        </w:tabs>
        <w:spacing w:line="372" w:lineRule="auto"/>
        <w:ind w:left="0" w:firstLine="709"/>
        <w:jc w:val="both"/>
        <w:rPr>
          <w:sz w:val="28"/>
          <w:szCs w:val="28"/>
          <w:lang w:val="uk-UA"/>
        </w:rPr>
      </w:pPr>
      <w:r w:rsidRPr="002E6ECA">
        <w:rPr>
          <w:sz w:val="28"/>
          <w:szCs w:val="28"/>
          <w:lang w:val="uk-UA"/>
        </w:rPr>
        <w:t xml:space="preserve">Визначено провідні санітарно-гігієнічні, соціальні, внутрішньошкільні фактори ризику, які надають несприятливий вплив на здоров'я дітей і підлітків, з аналізом структури їх захворюваності. </w:t>
      </w:r>
    </w:p>
    <w:p w:rsidR="008009FB" w:rsidRPr="002E6ECA" w:rsidRDefault="008009FB" w:rsidP="002E6ECA">
      <w:pPr>
        <w:pStyle w:val="a3"/>
        <w:numPr>
          <w:ilvl w:val="0"/>
          <w:numId w:val="65"/>
        </w:numPr>
        <w:tabs>
          <w:tab w:val="left" w:pos="993"/>
        </w:tabs>
        <w:spacing w:line="372" w:lineRule="auto"/>
        <w:ind w:left="0" w:firstLine="709"/>
        <w:jc w:val="both"/>
        <w:rPr>
          <w:sz w:val="28"/>
          <w:szCs w:val="28"/>
          <w:lang w:val="uk-UA"/>
        </w:rPr>
      </w:pPr>
      <w:r w:rsidRPr="002E6ECA">
        <w:rPr>
          <w:sz w:val="28"/>
          <w:szCs w:val="28"/>
          <w:lang w:val="uk-UA"/>
        </w:rPr>
        <w:lastRenderedPageBreak/>
        <w:t xml:space="preserve">Виявлено значущий зв'язок структури захворюваності дітей та підлітків середнього шкільного віку з негативним впливом чинників внутрішньошкільного середовища та їх способу життя. </w:t>
      </w:r>
    </w:p>
    <w:p w:rsidR="008009FB" w:rsidRPr="002E6ECA" w:rsidRDefault="008009FB" w:rsidP="002E6ECA">
      <w:pPr>
        <w:pStyle w:val="Normal1"/>
        <w:numPr>
          <w:ilvl w:val="0"/>
          <w:numId w:val="65"/>
        </w:numPr>
        <w:tabs>
          <w:tab w:val="left" w:pos="993"/>
        </w:tabs>
        <w:spacing w:line="372" w:lineRule="auto"/>
        <w:ind w:left="0" w:firstLine="709"/>
        <w:contextualSpacing/>
        <w:rPr>
          <w:szCs w:val="28"/>
          <w:lang w:val="uk-UA"/>
        </w:rPr>
      </w:pPr>
      <w:r w:rsidRPr="002E6ECA">
        <w:rPr>
          <w:szCs w:val="28"/>
          <w:lang w:val="uk-UA"/>
        </w:rPr>
        <w:t xml:space="preserve">На підставі виконаних досліджень та аналізу результатів вперше обґрунтовано і створено концептуальну модель </w:t>
      </w:r>
      <w:r w:rsidRPr="002E6ECA">
        <w:rPr>
          <w:szCs w:val="28"/>
          <w:lang w:val="uk-UA" w:eastAsia="uk-UA"/>
        </w:rPr>
        <w:t>гігієнічного моніторингу групового здоров’я школярів</w:t>
      </w:r>
      <w:r w:rsidRPr="002E6ECA">
        <w:rPr>
          <w:szCs w:val="28"/>
          <w:lang w:val="uk-UA"/>
        </w:rPr>
        <w:t xml:space="preserve">, яка має інформаційну структуру, що підтверджується переважанням сигнальних зв’язків. З позицій теорії керування надано оцінку основних властивостей моделі, що пропонується; доведено можливість її використання. </w:t>
      </w:r>
    </w:p>
    <w:p w:rsidR="008009FB" w:rsidRPr="002E6ECA" w:rsidRDefault="008009FB" w:rsidP="002E6ECA">
      <w:pPr>
        <w:pStyle w:val="a3"/>
        <w:numPr>
          <w:ilvl w:val="0"/>
          <w:numId w:val="65"/>
        </w:numPr>
        <w:tabs>
          <w:tab w:val="left" w:pos="993"/>
        </w:tabs>
        <w:spacing w:line="372" w:lineRule="auto"/>
        <w:ind w:left="0" w:firstLine="709"/>
        <w:jc w:val="both"/>
        <w:rPr>
          <w:sz w:val="28"/>
          <w:szCs w:val="28"/>
          <w:lang w:val="uk-UA"/>
        </w:rPr>
      </w:pPr>
      <w:r w:rsidRPr="002E6ECA">
        <w:rPr>
          <w:sz w:val="28"/>
          <w:szCs w:val="28"/>
          <w:lang w:val="uk-UA"/>
        </w:rPr>
        <w:t xml:space="preserve">Впроваджений ризик-орієнтований підхід в практику гігієнічного моніторингу стану здоров’я школярів і систематизація даних, отриманих в результаті лонгітюдного спостереження дозволили поліпшити гігієнічний стан об'єктів навчання дітей і підлітків та досягти покращення стану їх здоров’я. </w:t>
      </w:r>
    </w:p>
    <w:p w:rsidR="008009FB" w:rsidRPr="002E6ECA" w:rsidRDefault="008009FB" w:rsidP="008009FB">
      <w:pPr>
        <w:tabs>
          <w:tab w:val="left" w:pos="993"/>
        </w:tabs>
        <w:spacing w:line="360" w:lineRule="auto"/>
        <w:ind w:firstLine="709"/>
        <w:rPr>
          <w:sz w:val="28"/>
          <w:szCs w:val="28"/>
          <w:lang w:val="uk-UA"/>
        </w:rPr>
      </w:pPr>
    </w:p>
    <w:p w:rsidR="008009FB" w:rsidRPr="002E6ECA" w:rsidRDefault="004341ED" w:rsidP="008009FB">
      <w:pPr>
        <w:spacing w:line="360" w:lineRule="auto"/>
        <w:jc w:val="both"/>
        <w:rPr>
          <w:lang w:val="uk-UA"/>
        </w:rPr>
      </w:pPr>
      <w:r w:rsidRPr="002E6ECA">
        <w:rPr>
          <w:sz w:val="28"/>
          <w:szCs w:val="28"/>
          <w:lang w:val="uk-UA"/>
        </w:rPr>
        <w:t>Матеріали розділу викладено у наступних публікаціях:</w:t>
      </w:r>
      <w:r w:rsidR="008009FB" w:rsidRPr="002E6ECA">
        <w:rPr>
          <w:sz w:val="28"/>
          <w:szCs w:val="28"/>
          <w:lang w:val="uk-UA"/>
        </w:rPr>
        <w:t xml:space="preserve">  </w:t>
      </w:r>
      <w:r w:rsidR="00EE4A94" w:rsidRPr="002E6ECA">
        <w:rPr>
          <w:sz w:val="28"/>
          <w:szCs w:val="28"/>
        </w:rPr>
        <w:t>66, 76, 122, 234, 235.</w:t>
      </w:r>
    </w:p>
    <w:p w:rsidR="008009FB" w:rsidRPr="002E6ECA" w:rsidRDefault="008009FB" w:rsidP="008009FB"/>
    <w:p w:rsidR="007B30FB" w:rsidRPr="002E6ECA" w:rsidRDefault="007B30FB">
      <w:pPr>
        <w:rPr>
          <w:sz w:val="28"/>
          <w:szCs w:val="28"/>
          <w:lang w:val="uk-UA"/>
        </w:rPr>
      </w:pPr>
      <w:r w:rsidRPr="002E6ECA">
        <w:rPr>
          <w:sz w:val="28"/>
          <w:szCs w:val="28"/>
          <w:lang w:val="uk-UA"/>
        </w:rPr>
        <w:br w:type="page"/>
      </w:r>
    </w:p>
    <w:p w:rsidR="008009FB" w:rsidRPr="002E6ECA" w:rsidRDefault="00257C9F" w:rsidP="009E0B65">
      <w:pPr>
        <w:spacing w:line="360" w:lineRule="auto"/>
        <w:ind w:firstLine="709"/>
        <w:jc w:val="center"/>
        <w:rPr>
          <w:sz w:val="28"/>
          <w:szCs w:val="28"/>
          <w:lang w:val="uk-UA"/>
        </w:rPr>
      </w:pPr>
      <w:r w:rsidRPr="002E6ECA">
        <w:rPr>
          <w:sz w:val="28"/>
          <w:szCs w:val="28"/>
          <w:lang w:val="uk-UA"/>
        </w:rPr>
        <w:lastRenderedPageBreak/>
        <w:t>РОЗДІЛ 9</w:t>
      </w:r>
    </w:p>
    <w:p w:rsidR="009E0B65" w:rsidRPr="002E6ECA" w:rsidRDefault="009E0B65" w:rsidP="009E0B65">
      <w:pPr>
        <w:spacing w:line="360" w:lineRule="auto"/>
        <w:ind w:firstLine="709"/>
        <w:jc w:val="center"/>
        <w:rPr>
          <w:sz w:val="28"/>
          <w:szCs w:val="28"/>
          <w:lang w:val="uk-UA"/>
        </w:rPr>
      </w:pPr>
      <w:r w:rsidRPr="002E6ECA">
        <w:rPr>
          <w:sz w:val="28"/>
          <w:szCs w:val="28"/>
          <w:lang w:val="uk-UA"/>
        </w:rPr>
        <w:t>СИСТЕМА ГІГІЄНІЧНИХ ЗАХОДІВ З ПРОФІЛАКТИКИ ПОРУШЕНЬ ЗДОРОВ’Я ДІТЕЙ СЕРЕДНЬОГО ШКІЛЬНОГО ВІКУ</w:t>
      </w:r>
    </w:p>
    <w:p w:rsidR="009E0B65" w:rsidRPr="002E6ECA" w:rsidRDefault="009E0B65" w:rsidP="009E0B65">
      <w:pPr>
        <w:spacing w:line="360" w:lineRule="auto"/>
        <w:ind w:firstLine="709"/>
        <w:jc w:val="both"/>
        <w:rPr>
          <w:sz w:val="28"/>
          <w:szCs w:val="28"/>
          <w:lang w:val="uk-UA"/>
        </w:rPr>
      </w:pPr>
    </w:p>
    <w:p w:rsidR="009E0B65" w:rsidRPr="002E6ECA" w:rsidRDefault="009E0B65" w:rsidP="008009FB">
      <w:pPr>
        <w:spacing w:line="360" w:lineRule="auto"/>
        <w:ind w:firstLine="709"/>
        <w:jc w:val="both"/>
        <w:rPr>
          <w:b/>
          <w:sz w:val="28"/>
          <w:szCs w:val="28"/>
          <w:lang w:val="uk-UA"/>
        </w:rPr>
      </w:pPr>
      <w:r w:rsidRPr="002E6ECA">
        <w:rPr>
          <w:b/>
          <w:sz w:val="28"/>
          <w:szCs w:val="28"/>
          <w:lang w:val="uk-UA"/>
        </w:rPr>
        <w:t>9.1. Алгоритм вибору елементів профілактичної програми</w:t>
      </w:r>
    </w:p>
    <w:p w:rsidR="003E4685" w:rsidRPr="002E6ECA" w:rsidRDefault="003E4685" w:rsidP="003E4685">
      <w:pPr>
        <w:spacing w:line="360" w:lineRule="auto"/>
        <w:ind w:firstLine="709"/>
        <w:jc w:val="both"/>
        <w:rPr>
          <w:sz w:val="28"/>
          <w:szCs w:val="28"/>
          <w:lang w:val="uk-UA"/>
        </w:rPr>
      </w:pPr>
      <w:r w:rsidRPr="002E6ECA">
        <w:rPr>
          <w:sz w:val="28"/>
          <w:szCs w:val="28"/>
          <w:lang w:val="uk-UA"/>
        </w:rPr>
        <w:t>У наявній зарубіжній літературі є відомості щодо впровадження різних профілактичних програм, переважна більшість яких присвячена боротьбі із зайвою вагою та ожирінням [</w:t>
      </w:r>
      <w:r w:rsidR="00D34BCF" w:rsidRPr="002E6ECA">
        <w:rPr>
          <w:sz w:val="28"/>
          <w:szCs w:val="28"/>
          <w:lang w:val="uk-UA"/>
        </w:rPr>
        <w:t>287, 313,</w:t>
      </w:r>
      <w:r w:rsidR="00D34BCF" w:rsidRPr="002E6ECA">
        <w:rPr>
          <w:lang w:val="uk-UA"/>
        </w:rPr>
        <w:t xml:space="preserve"> </w:t>
      </w:r>
      <w:r w:rsidR="001D68D5" w:rsidRPr="002E6ECA">
        <w:rPr>
          <w:lang w:val="uk-UA"/>
        </w:rPr>
        <w:t xml:space="preserve">421, </w:t>
      </w:r>
      <w:r w:rsidR="00D34BCF" w:rsidRPr="002E6ECA">
        <w:rPr>
          <w:sz w:val="28"/>
          <w:szCs w:val="28"/>
          <w:lang w:val="uk-UA"/>
        </w:rPr>
        <w:t>450,</w:t>
      </w:r>
      <w:r w:rsidR="00D34BCF" w:rsidRPr="002E6ECA">
        <w:rPr>
          <w:lang w:val="uk-UA"/>
        </w:rPr>
        <w:t xml:space="preserve"> </w:t>
      </w:r>
      <w:r w:rsidR="00D34BCF" w:rsidRPr="002E6ECA">
        <w:rPr>
          <w:sz w:val="28"/>
          <w:szCs w:val="28"/>
          <w:lang w:val="uk-UA"/>
        </w:rPr>
        <w:t>514</w:t>
      </w:r>
      <w:r w:rsidRPr="002E6ECA">
        <w:rPr>
          <w:sz w:val="28"/>
          <w:szCs w:val="28"/>
          <w:lang w:val="uk-UA"/>
        </w:rPr>
        <w:t>]. Найбільша кількість робіт присвячена підвищенню фізичної активності як запоруки не тільки зниження частоти ожиріння, а й профілактики низки неінфекційних захворювань [</w:t>
      </w:r>
      <w:r w:rsidR="000657BF" w:rsidRPr="002E6ECA">
        <w:rPr>
          <w:sz w:val="28"/>
          <w:szCs w:val="28"/>
          <w:lang w:val="uk-UA"/>
        </w:rPr>
        <w:t xml:space="preserve">149, </w:t>
      </w:r>
      <w:r w:rsidRPr="002E6ECA">
        <w:rPr>
          <w:sz w:val="28"/>
          <w:szCs w:val="28"/>
          <w:lang w:val="uk-UA"/>
        </w:rPr>
        <w:t xml:space="preserve">358, 510, 511]. </w:t>
      </w:r>
    </w:p>
    <w:p w:rsidR="003E4685" w:rsidRPr="002E6ECA" w:rsidRDefault="003E4685" w:rsidP="003E4685">
      <w:pPr>
        <w:spacing w:line="360" w:lineRule="auto"/>
        <w:ind w:firstLine="709"/>
        <w:jc w:val="both"/>
        <w:rPr>
          <w:sz w:val="28"/>
          <w:szCs w:val="28"/>
          <w:lang w:val="uk-UA"/>
        </w:rPr>
      </w:pPr>
      <w:r w:rsidRPr="002E6ECA">
        <w:rPr>
          <w:sz w:val="28"/>
          <w:szCs w:val="28"/>
          <w:lang w:val="uk-UA"/>
        </w:rPr>
        <w:t>Алгоритм складання профілактичної програми передбачає виконання ряду дій [172], а саме:</w:t>
      </w:r>
    </w:p>
    <w:p w:rsidR="003E4685" w:rsidRPr="002E6ECA" w:rsidRDefault="003E4685" w:rsidP="003E4685">
      <w:pPr>
        <w:numPr>
          <w:ilvl w:val="0"/>
          <w:numId w:val="42"/>
        </w:numPr>
        <w:spacing w:line="360" w:lineRule="auto"/>
        <w:contextualSpacing/>
        <w:jc w:val="both"/>
        <w:rPr>
          <w:sz w:val="28"/>
          <w:szCs w:val="28"/>
          <w:lang w:val="uk-UA"/>
        </w:rPr>
      </w:pPr>
      <w:r w:rsidRPr="002E6ECA">
        <w:rPr>
          <w:sz w:val="28"/>
          <w:szCs w:val="28"/>
          <w:lang w:val="uk-UA"/>
        </w:rPr>
        <w:t xml:space="preserve">Формування цілей програми </w:t>
      </w:r>
      <w:r w:rsidR="00E26678" w:rsidRPr="002E6ECA">
        <w:rPr>
          <w:sz w:val="28"/>
          <w:szCs w:val="28"/>
          <w:lang w:val="uk-UA"/>
        </w:rPr>
        <w:t>-</w:t>
      </w:r>
      <w:r w:rsidRPr="002E6ECA">
        <w:rPr>
          <w:sz w:val="28"/>
          <w:szCs w:val="28"/>
          <w:lang w:val="uk-UA"/>
        </w:rPr>
        <w:t>профілактична програма щодо оптимізації режиму дня та способу життя з метою попередження неінфекційних захворювань у школярів.</w:t>
      </w:r>
    </w:p>
    <w:p w:rsidR="003E4685" w:rsidRPr="002E6ECA" w:rsidRDefault="003E4685" w:rsidP="003E4685">
      <w:pPr>
        <w:numPr>
          <w:ilvl w:val="0"/>
          <w:numId w:val="42"/>
        </w:numPr>
        <w:spacing w:line="360" w:lineRule="auto"/>
        <w:contextualSpacing/>
        <w:jc w:val="both"/>
        <w:rPr>
          <w:sz w:val="28"/>
          <w:szCs w:val="28"/>
          <w:lang w:val="uk-UA"/>
        </w:rPr>
      </w:pPr>
      <w:r w:rsidRPr="002E6ECA">
        <w:rPr>
          <w:sz w:val="28"/>
          <w:szCs w:val="28"/>
          <w:lang w:val="uk-UA"/>
        </w:rPr>
        <w:t>Обґрунтування актуальності.</w:t>
      </w:r>
    </w:p>
    <w:p w:rsidR="003E4685" w:rsidRPr="002E6ECA" w:rsidRDefault="003E4685" w:rsidP="003E4685">
      <w:pPr>
        <w:numPr>
          <w:ilvl w:val="0"/>
          <w:numId w:val="42"/>
        </w:numPr>
        <w:spacing w:line="360" w:lineRule="auto"/>
        <w:contextualSpacing/>
        <w:jc w:val="both"/>
        <w:rPr>
          <w:sz w:val="28"/>
          <w:szCs w:val="28"/>
          <w:lang w:val="uk-UA"/>
        </w:rPr>
      </w:pPr>
      <w:r w:rsidRPr="002E6ECA">
        <w:rPr>
          <w:sz w:val="28"/>
          <w:szCs w:val="28"/>
          <w:lang w:val="uk-UA"/>
        </w:rPr>
        <w:t>Складання проєкту та групування заходів згідно їх значущості (табл.  9.6), що визначалась у залежності від виду провідної патології згідно із методикою, викладеною у попередньому розділі.</w:t>
      </w:r>
    </w:p>
    <w:p w:rsidR="003E4685" w:rsidRPr="002E6ECA" w:rsidRDefault="003E4685" w:rsidP="003E4685">
      <w:pPr>
        <w:numPr>
          <w:ilvl w:val="0"/>
          <w:numId w:val="42"/>
        </w:numPr>
        <w:spacing w:line="360" w:lineRule="auto"/>
        <w:contextualSpacing/>
        <w:jc w:val="both"/>
        <w:rPr>
          <w:sz w:val="28"/>
          <w:szCs w:val="28"/>
          <w:lang w:val="uk-UA"/>
        </w:rPr>
      </w:pPr>
      <w:r w:rsidRPr="002E6ECA">
        <w:rPr>
          <w:sz w:val="28"/>
          <w:szCs w:val="28"/>
          <w:lang w:val="uk-UA"/>
        </w:rPr>
        <w:t>Визначення виконавців. Для реалізації цієї програми необхідно залучати самих школярів, а також їх батьків та педагогічний склад освітнього закладу.</w:t>
      </w:r>
    </w:p>
    <w:p w:rsidR="003E4685" w:rsidRPr="002E6ECA" w:rsidRDefault="003E4685" w:rsidP="003E4685">
      <w:pPr>
        <w:numPr>
          <w:ilvl w:val="0"/>
          <w:numId w:val="42"/>
        </w:numPr>
        <w:spacing w:line="360" w:lineRule="auto"/>
        <w:contextualSpacing/>
        <w:jc w:val="both"/>
        <w:rPr>
          <w:sz w:val="28"/>
          <w:szCs w:val="28"/>
          <w:lang w:val="uk-UA"/>
        </w:rPr>
      </w:pPr>
      <w:r w:rsidRPr="002E6ECA">
        <w:rPr>
          <w:sz w:val="28"/>
          <w:szCs w:val="28"/>
          <w:lang w:val="uk-UA"/>
        </w:rPr>
        <w:t>Розробка ресурсного розділу та розподіл бюджету не передбачається, оскільки головними заходами постають елементи режиму дня.</w:t>
      </w:r>
    </w:p>
    <w:p w:rsidR="003E4685" w:rsidRPr="002E6ECA" w:rsidRDefault="003E4685" w:rsidP="003E4685">
      <w:pPr>
        <w:numPr>
          <w:ilvl w:val="0"/>
          <w:numId w:val="42"/>
        </w:numPr>
        <w:spacing w:line="360" w:lineRule="auto"/>
        <w:contextualSpacing/>
        <w:jc w:val="both"/>
        <w:rPr>
          <w:sz w:val="28"/>
          <w:szCs w:val="28"/>
          <w:lang w:val="uk-UA"/>
        </w:rPr>
      </w:pPr>
      <w:r w:rsidRPr="002E6ECA">
        <w:rPr>
          <w:sz w:val="28"/>
          <w:szCs w:val="28"/>
          <w:lang w:val="uk-UA"/>
        </w:rPr>
        <w:t>Оцінка ефективності реалізації профілактичної програми на підставі зворотного зв’язку.</w:t>
      </w:r>
    </w:p>
    <w:p w:rsidR="009A1812" w:rsidRPr="002E6ECA" w:rsidRDefault="009A1812" w:rsidP="009E0B65">
      <w:pPr>
        <w:spacing w:line="360" w:lineRule="auto"/>
        <w:ind w:firstLine="709"/>
        <w:jc w:val="both"/>
        <w:rPr>
          <w:sz w:val="28"/>
          <w:szCs w:val="28"/>
          <w:lang w:val="uk-UA"/>
        </w:rPr>
      </w:pPr>
      <w:r w:rsidRPr="002E6ECA">
        <w:rPr>
          <w:sz w:val="28"/>
          <w:szCs w:val="28"/>
          <w:lang w:val="uk-UA"/>
        </w:rPr>
        <w:t xml:space="preserve">Комплекси заходів, що пропонуються, співзвучні нашій програмі, а саме: нормалізація режиму дня, обсягу рухової активності та харчової поведінки, тривалості екранного часу. </w:t>
      </w:r>
    </w:p>
    <w:p w:rsidR="009A1812" w:rsidRPr="002E6ECA" w:rsidRDefault="009A1812" w:rsidP="009A1812">
      <w:pPr>
        <w:spacing w:line="360" w:lineRule="auto"/>
        <w:ind w:firstLine="709"/>
        <w:jc w:val="both"/>
        <w:rPr>
          <w:rFonts w:eastAsiaTheme="minorEastAsia"/>
          <w:sz w:val="28"/>
          <w:szCs w:val="28"/>
          <w:lang w:val="uk-UA"/>
        </w:rPr>
      </w:pPr>
      <w:r w:rsidRPr="002E6ECA">
        <w:rPr>
          <w:rFonts w:eastAsiaTheme="minorEastAsia"/>
          <w:sz w:val="28"/>
          <w:szCs w:val="28"/>
          <w:lang w:val="uk-UA"/>
        </w:rPr>
        <w:lastRenderedPageBreak/>
        <w:t xml:space="preserve">Аналізуючи елементи режиму дня, розповсюдженість його порушень було сформовано </w:t>
      </w:r>
      <w:r w:rsidRPr="002E6ECA">
        <w:rPr>
          <w:sz w:val="28"/>
          <w:szCs w:val="28"/>
          <w:lang w:val="uk-UA"/>
        </w:rPr>
        <w:t xml:space="preserve">загальний </w:t>
      </w:r>
      <w:r w:rsidRPr="002E6ECA">
        <w:rPr>
          <w:rFonts w:eastAsiaTheme="minorEastAsia"/>
          <w:sz w:val="28"/>
          <w:szCs w:val="28"/>
          <w:lang w:val="uk-UA"/>
        </w:rPr>
        <w:t xml:space="preserve">комплекс заходів щодо його корекції та, відповідно щодо профілактики порушень у стані здоров’я. Цей комплекс складається з 6 блоків (рис. 9.1, дод. В): «Нічний сон», «Гартування», «Фізична активність», Блок «Харчування», «Візуальне навантаження», «Вільний час». </w:t>
      </w:r>
    </w:p>
    <w:p w:rsidR="009A1812" w:rsidRPr="002E6ECA" w:rsidRDefault="009A1812" w:rsidP="005F4D83">
      <w:pPr>
        <w:spacing w:line="360" w:lineRule="auto"/>
        <w:ind w:firstLine="426"/>
        <w:jc w:val="both"/>
        <w:rPr>
          <w:sz w:val="28"/>
          <w:szCs w:val="28"/>
          <w:lang w:val="uk-UA"/>
        </w:rPr>
      </w:pPr>
      <w:r w:rsidRPr="002E6ECA">
        <w:rPr>
          <w:noProof/>
          <w:sz w:val="28"/>
          <w:szCs w:val="28"/>
          <w:lang w:val="uk-UA" w:eastAsia="uk-UA"/>
        </w:rPr>
        <w:drawing>
          <wp:inline distT="0" distB="0" distL="0" distR="0" wp14:anchorId="1CDA2EFA" wp14:editId="7948E670">
            <wp:extent cx="5533471" cy="3291840"/>
            <wp:effectExtent l="171450" t="171450" r="372110" b="365760"/>
            <wp:docPr id="306" name="Рисунок 64" descr="готово 2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64" descr="готово 2 copy.jpg"/>
                    <pic:cNvPicPr/>
                  </pic:nvPicPr>
                  <pic:blipFill rotWithShape="1">
                    <a:blip r:embed="rId92" cstate="print"/>
                    <a:srcRect l="3888" t="58746" r="108" b="7261"/>
                    <a:stretch/>
                  </pic:blipFill>
                  <pic:spPr bwMode="auto">
                    <a:xfrm>
                      <a:off x="0" y="0"/>
                      <a:ext cx="5581878" cy="33206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r w:rsidRPr="002E6ECA">
        <w:rPr>
          <w:sz w:val="28"/>
          <w:szCs w:val="28"/>
          <w:lang w:val="uk-UA"/>
        </w:rPr>
        <w:t xml:space="preserve">          Рис. 9.1. Блок-схема груп профілактичних заходів</w:t>
      </w:r>
    </w:p>
    <w:p w:rsidR="009A1812" w:rsidRPr="002E6ECA" w:rsidRDefault="009A1812" w:rsidP="009E0B65">
      <w:pPr>
        <w:spacing w:line="360" w:lineRule="auto"/>
        <w:ind w:firstLine="709"/>
        <w:jc w:val="both"/>
        <w:rPr>
          <w:sz w:val="28"/>
          <w:szCs w:val="28"/>
          <w:lang w:val="uk-UA"/>
        </w:rPr>
      </w:pPr>
    </w:p>
    <w:p w:rsidR="009E0B65" w:rsidRPr="002E6ECA" w:rsidRDefault="009A1812" w:rsidP="009E0B65">
      <w:pPr>
        <w:spacing w:line="360" w:lineRule="auto"/>
        <w:ind w:firstLine="709"/>
        <w:jc w:val="both"/>
        <w:rPr>
          <w:sz w:val="28"/>
          <w:szCs w:val="28"/>
          <w:lang w:val="uk-UA"/>
        </w:rPr>
      </w:pPr>
      <w:r w:rsidRPr="002E6ECA">
        <w:rPr>
          <w:sz w:val="28"/>
          <w:szCs w:val="28"/>
          <w:lang w:val="uk-UA"/>
        </w:rPr>
        <w:t>Для визначення рівня значущості та впливовості кожного елементу програми з</w:t>
      </w:r>
      <w:r w:rsidR="009E0B65" w:rsidRPr="002E6ECA">
        <w:rPr>
          <w:sz w:val="28"/>
          <w:szCs w:val="28"/>
          <w:lang w:val="uk-UA"/>
        </w:rPr>
        <w:t xml:space="preserve">а допомогою таблиць спряженості та критерію Хі-квадрат за методом МакНемара було оцінено залежність стану здоров’я учнів за окремими нозологічними групами від дотримання основ здорового способу життя. </w:t>
      </w:r>
    </w:p>
    <w:p w:rsidR="006F43A4" w:rsidRPr="002E6ECA" w:rsidRDefault="009E0B65" w:rsidP="006F43A4">
      <w:pPr>
        <w:spacing w:line="360" w:lineRule="auto"/>
        <w:ind w:firstLine="709"/>
        <w:jc w:val="both"/>
        <w:rPr>
          <w:sz w:val="28"/>
          <w:szCs w:val="28"/>
          <w:lang w:val="uk-UA"/>
        </w:rPr>
      </w:pPr>
      <w:r w:rsidRPr="002E6ECA">
        <w:rPr>
          <w:sz w:val="28"/>
          <w:szCs w:val="28"/>
          <w:lang w:val="uk-UA"/>
        </w:rPr>
        <w:t>Недотримання нормативної тривалості нічного сну виступали чинниками ризику розвитку хвороб ендокринної, нервової, дихальної системи, органів травлення, системи кровообігу, ока та придаткового апарату, а також розладів психіки та поведінки (р&lt;0,01).</w:t>
      </w:r>
      <w:r w:rsidR="006F43A4" w:rsidRPr="002E6ECA">
        <w:rPr>
          <w:sz w:val="28"/>
          <w:szCs w:val="28"/>
          <w:lang w:val="uk-UA"/>
        </w:rPr>
        <w:t xml:space="preserve"> Регулярні гартуючі процедури та ранкова гімнастика ефективно знижували поширеність хвороб ендокринної, нервової, серцево-судинної та дихальної системи, а також патології органу зору (р&lt;0,01). </w:t>
      </w:r>
      <w:r w:rsidR="006F43A4" w:rsidRPr="002E6ECA">
        <w:rPr>
          <w:sz w:val="28"/>
          <w:szCs w:val="28"/>
          <w:lang w:val="uk-UA"/>
        </w:rPr>
        <w:lastRenderedPageBreak/>
        <w:t>Це ще раз доводить правомірність гігієнічної організації режиму дня, обумовлює необхідність використання гігієнічних профілактичних та оздоровчих заходів у повсякденному житті. Процедури, що проводяться зранку, сприяють прискоренню процесу втягнення до роботи, більш швидкому досягненню рівня високої працездатності і повинні бути оцінені як важливий компонент здоров’язберігаючої поведінки учнів (табл. 9.1).</w:t>
      </w:r>
    </w:p>
    <w:p w:rsidR="00024C64" w:rsidRPr="002E6ECA" w:rsidRDefault="00024C64" w:rsidP="00024C64">
      <w:pPr>
        <w:spacing w:line="360" w:lineRule="auto"/>
        <w:ind w:firstLine="709"/>
        <w:jc w:val="right"/>
        <w:rPr>
          <w:i/>
          <w:sz w:val="28"/>
          <w:szCs w:val="28"/>
          <w:lang w:val="uk-UA"/>
        </w:rPr>
      </w:pPr>
      <w:r w:rsidRPr="002E6ECA">
        <w:rPr>
          <w:i/>
          <w:sz w:val="28"/>
          <w:szCs w:val="28"/>
          <w:lang w:val="uk-UA"/>
        </w:rPr>
        <w:t>Таблиця 9.1</w:t>
      </w:r>
    </w:p>
    <w:p w:rsidR="00024C64" w:rsidRPr="002E6ECA" w:rsidRDefault="00024C64" w:rsidP="00024C64">
      <w:pPr>
        <w:spacing w:line="360" w:lineRule="auto"/>
        <w:ind w:firstLine="709"/>
        <w:jc w:val="center"/>
        <w:rPr>
          <w:b/>
          <w:sz w:val="28"/>
          <w:szCs w:val="28"/>
          <w:lang w:val="uk-UA"/>
        </w:rPr>
      </w:pPr>
      <w:r w:rsidRPr="002E6ECA">
        <w:rPr>
          <w:b/>
          <w:sz w:val="28"/>
          <w:szCs w:val="28"/>
          <w:lang w:val="uk-UA"/>
        </w:rPr>
        <w:t>Вплив рівня сформованості навичок здорового способу життя на стан здоров’я, χ</w:t>
      </w:r>
      <w:r w:rsidRPr="002E6ECA">
        <w:rPr>
          <w:b/>
          <w:sz w:val="28"/>
          <w:szCs w:val="28"/>
          <w:vertAlign w:val="superscript"/>
          <w:lang w:val="uk-UA"/>
        </w:rPr>
        <w:t>2</w:t>
      </w:r>
    </w:p>
    <w:tbl>
      <w:tblPr>
        <w:tblW w:w="9711" w:type="dxa"/>
        <w:tblInd w:w="98" w:type="dxa"/>
        <w:tblLayout w:type="fixed"/>
        <w:tblLook w:val="04A0" w:firstRow="1" w:lastRow="0" w:firstColumn="1" w:lastColumn="0" w:noHBand="0" w:noVBand="1"/>
      </w:tblPr>
      <w:tblGrid>
        <w:gridCol w:w="1348"/>
        <w:gridCol w:w="425"/>
        <w:gridCol w:w="851"/>
        <w:gridCol w:w="850"/>
        <w:gridCol w:w="1053"/>
        <w:gridCol w:w="1215"/>
        <w:gridCol w:w="1418"/>
        <w:gridCol w:w="1275"/>
        <w:gridCol w:w="1276"/>
      </w:tblGrid>
      <w:tr w:rsidR="006F2A3B" w:rsidRPr="002E6ECA" w:rsidTr="00257C9F">
        <w:trPr>
          <w:trHeight w:val="444"/>
        </w:trPr>
        <w:tc>
          <w:tcPr>
            <w:tcW w:w="1773" w:type="dxa"/>
            <w:gridSpan w:val="2"/>
            <w:vMerge w:val="restart"/>
            <w:tcBorders>
              <w:top w:val="single" w:sz="6" w:space="0" w:color="auto"/>
              <w:left w:val="single" w:sz="6" w:space="0" w:color="auto"/>
              <w:right w:val="single" w:sz="6" w:space="0" w:color="auto"/>
            </w:tcBorders>
            <w:shd w:val="clear" w:color="auto" w:fill="auto"/>
            <w:noWrap/>
            <w:tcMar>
              <w:left w:w="28" w:type="dxa"/>
              <w:right w:w="28" w:type="dxa"/>
            </w:tcMar>
            <w:vAlign w:val="center"/>
          </w:tcPr>
          <w:p w:rsidR="006F2A3B" w:rsidRPr="002E6ECA" w:rsidRDefault="006F2A3B" w:rsidP="00024C64">
            <w:pPr>
              <w:jc w:val="center"/>
              <w:rPr>
                <w:lang w:val="uk-UA" w:eastAsia="uk-UA"/>
              </w:rPr>
            </w:pPr>
            <w:r w:rsidRPr="002E6ECA">
              <w:rPr>
                <w:lang w:val="uk-UA" w:eastAsia="uk-UA"/>
              </w:rPr>
              <w:t>Групи хвороб</w:t>
            </w:r>
          </w:p>
        </w:tc>
        <w:tc>
          <w:tcPr>
            <w:tcW w:w="7938" w:type="dxa"/>
            <w:gridSpan w:val="7"/>
            <w:tcBorders>
              <w:top w:val="single" w:sz="4" w:space="0" w:color="auto"/>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6F2A3B">
            <w:pPr>
              <w:jc w:val="center"/>
              <w:rPr>
                <w:lang w:val="uk-UA" w:eastAsia="uk-UA"/>
              </w:rPr>
            </w:pPr>
            <w:r w:rsidRPr="002E6ECA">
              <w:rPr>
                <w:lang w:val="uk-UA" w:eastAsia="uk-UA"/>
              </w:rPr>
              <w:t>Навички здорового способу життя</w:t>
            </w:r>
          </w:p>
        </w:tc>
      </w:tr>
      <w:tr w:rsidR="006F2A3B" w:rsidRPr="002E6ECA" w:rsidTr="006F43A4">
        <w:trPr>
          <w:trHeight w:val="416"/>
        </w:trPr>
        <w:tc>
          <w:tcPr>
            <w:tcW w:w="1773" w:type="dxa"/>
            <w:gridSpan w:val="2"/>
            <w:vMerge/>
            <w:tcBorders>
              <w:left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p>
        </w:tc>
        <w:tc>
          <w:tcPr>
            <w:tcW w:w="851" w:type="dxa"/>
            <w:vMerge w:val="restart"/>
            <w:tcBorders>
              <w:top w:val="single" w:sz="4" w:space="0" w:color="auto"/>
              <w:left w:val="single" w:sz="6" w:space="0" w:color="auto"/>
              <w:right w:val="single" w:sz="6" w:space="0" w:color="auto"/>
            </w:tcBorders>
            <w:shd w:val="clear" w:color="auto" w:fill="auto"/>
            <w:tcMar>
              <w:left w:w="28" w:type="dxa"/>
              <w:right w:w="28" w:type="dxa"/>
            </w:tcMar>
            <w:vAlign w:val="center"/>
            <w:hideMark/>
          </w:tcPr>
          <w:p w:rsidR="006F2A3B" w:rsidRPr="002E6ECA" w:rsidRDefault="006F2A3B" w:rsidP="00024C64">
            <w:pPr>
              <w:jc w:val="center"/>
              <w:rPr>
                <w:spacing w:val="-4"/>
              </w:rPr>
            </w:pPr>
            <w:r w:rsidRPr="002E6ECA">
              <w:rPr>
                <w:spacing w:val="-4"/>
                <w:lang w:val="uk-UA" w:eastAsia="uk-UA"/>
              </w:rPr>
              <w:t>Нічний сон</w:t>
            </w:r>
          </w:p>
        </w:tc>
        <w:tc>
          <w:tcPr>
            <w:tcW w:w="850" w:type="dxa"/>
            <w:vMerge w:val="restart"/>
            <w:tcBorders>
              <w:top w:val="single" w:sz="4" w:space="0" w:color="auto"/>
              <w:left w:val="single" w:sz="6" w:space="0" w:color="auto"/>
              <w:right w:val="single" w:sz="6" w:space="0" w:color="auto"/>
            </w:tcBorders>
            <w:shd w:val="clear" w:color="auto" w:fill="auto"/>
            <w:tcMar>
              <w:left w:w="28" w:type="dxa"/>
              <w:right w:w="28" w:type="dxa"/>
            </w:tcMar>
            <w:vAlign w:val="center"/>
            <w:hideMark/>
          </w:tcPr>
          <w:p w:rsidR="006F2A3B" w:rsidRPr="002E6ECA" w:rsidRDefault="006F2A3B" w:rsidP="00024C64">
            <w:pPr>
              <w:jc w:val="center"/>
              <w:rPr>
                <w:spacing w:val="-4"/>
              </w:rPr>
            </w:pPr>
            <w:r w:rsidRPr="002E6ECA">
              <w:rPr>
                <w:spacing w:val="-4"/>
                <w:lang w:val="uk-UA" w:eastAsia="uk-UA"/>
              </w:rPr>
              <w:t>Денний сон</w:t>
            </w:r>
          </w:p>
        </w:tc>
        <w:tc>
          <w:tcPr>
            <w:tcW w:w="1053" w:type="dxa"/>
            <w:vMerge w:val="restart"/>
            <w:tcBorders>
              <w:top w:val="single" w:sz="4" w:space="0" w:color="auto"/>
              <w:left w:val="single" w:sz="6" w:space="0" w:color="auto"/>
              <w:right w:val="single" w:sz="6" w:space="0" w:color="auto"/>
            </w:tcBorders>
            <w:shd w:val="clear" w:color="auto" w:fill="auto"/>
            <w:tcMar>
              <w:left w:w="28" w:type="dxa"/>
              <w:right w:w="28" w:type="dxa"/>
            </w:tcMar>
            <w:vAlign w:val="center"/>
            <w:hideMark/>
          </w:tcPr>
          <w:p w:rsidR="006F2A3B" w:rsidRPr="002E6ECA" w:rsidRDefault="006F2A3B" w:rsidP="00024C64">
            <w:pPr>
              <w:jc w:val="center"/>
              <w:rPr>
                <w:spacing w:val="-4"/>
              </w:rPr>
            </w:pPr>
            <w:r w:rsidRPr="002E6ECA">
              <w:rPr>
                <w:spacing w:val="-4"/>
                <w:lang w:val="uk-UA" w:eastAsia="uk-UA"/>
              </w:rPr>
              <w:t>Загартування</w:t>
            </w:r>
          </w:p>
        </w:tc>
        <w:tc>
          <w:tcPr>
            <w:tcW w:w="1215" w:type="dxa"/>
            <w:vMerge w:val="restart"/>
            <w:tcBorders>
              <w:top w:val="single" w:sz="4" w:space="0" w:color="auto"/>
              <w:left w:val="single" w:sz="6" w:space="0" w:color="auto"/>
              <w:right w:val="single" w:sz="6" w:space="0" w:color="auto"/>
            </w:tcBorders>
            <w:shd w:val="clear" w:color="auto" w:fill="auto"/>
            <w:tcMar>
              <w:left w:w="28" w:type="dxa"/>
              <w:right w:w="28" w:type="dxa"/>
            </w:tcMar>
            <w:vAlign w:val="center"/>
            <w:hideMark/>
          </w:tcPr>
          <w:p w:rsidR="006F2A3B" w:rsidRPr="002E6ECA" w:rsidRDefault="006F2A3B" w:rsidP="00024C64">
            <w:pPr>
              <w:jc w:val="center"/>
              <w:rPr>
                <w:spacing w:val="-4"/>
              </w:rPr>
            </w:pPr>
            <w:r w:rsidRPr="002E6ECA">
              <w:rPr>
                <w:spacing w:val="-4"/>
                <w:lang w:val="uk-UA" w:eastAsia="uk-UA"/>
              </w:rPr>
              <w:t>Ранкова гімнастика</w:t>
            </w:r>
          </w:p>
        </w:tc>
        <w:tc>
          <w:tcPr>
            <w:tcW w:w="1418" w:type="dxa"/>
            <w:vMerge w:val="restart"/>
            <w:tcBorders>
              <w:top w:val="single" w:sz="4" w:space="0" w:color="auto"/>
              <w:left w:val="single" w:sz="6" w:space="0" w:color="auto"/>
              <w:right w:val="single" w:sz="6" w:space="0" w:color="auto"/>
            </w:tcBorders>
            <w:shd w:val="clear" w:color="auto" w:fill="auto"/>
            <w:tcMar>
              <w:left w:w="28" w:type="dxa"/>
              <w:right w:w="28" w:type="dxa"/>
            </w:tcMar>
            <w:vAlign w:val="center"/>
            <w:hideMark/>
          </w:tcPr>
          <w:p w:rsidR="006F2A3B" w:rsidRPr="002E6ECA" w:rsidRDefault="006F2A3B" w:rsidP="00024C64">
            <w:pPr>
              <w:jc w:val="center"/>
              <w:rPr>
                <w:spacing w:val="-4"/>
              </w:rPr>
            </w:pPr>
            <w:r w:rsidRPr="002E6ECA">
              <w:rPr>
                <w:spacing w:val="-4"/>
                <w:lang w:val="uk-UA" w:eastAsia="uk-UA"/>
              </w:rPr>
              <w:t>Перебування на свіжому повітрі</w:t>
            </w:r>
          </w:p>
        </w:tc>
        <w:tc>
          <w:tcPr>
            <w:tcW w:w="2551" w:type="dxa"/>
            <w:gridSpan w:val="2"/>
            <w:tcBorders>
              <w:top w:val="single" w:sz="4" w:space="0" w:color="auto"/>
              <w:left w:val="single" w:sz="6" w:space="0" w:color="auto"/>
              <w:bottom w:val="single" w:sz="6" w:space="0" w:color="auto"/>
              <w:right w:val="single" w:sz="6" w:space="0" w:color="auto"/>
            </w:tcBorders>
            <w:shd w:val="clear" w:color="auto" w:fill="auto"/>
            <w:tcMar>
              <w:left w:w="28" w:type="dxa"/>
              <w:right w:w="28" w:type="dxa"/>
            </w:tcMar>
            <w:vAlign w:val="center"/>
            <w:hideMark/>
          </w:tcPr>
          <w:p w:rsidR="006F2A3B" w:rsidRPr="002E6ECA" w:rsidRDefault="006F2A3B" w:rsidP="006F2A3B">
            <w:pPr>
              <w:jc w:val="center"/>
              <w:rPr>
                <w:spacing w:val="-4"/>
              </w:rPr>
            </w:pPr>
            <w:r w:rsidRPr="002E6ECA">
              <w:rPr>
                <w:spacing w:val="-4"/>
                <w:lang w:val="uk-UA" w:eastAsia="uk-UA"/>
              </w:rPr>
              <w:t xml:space="preserve">Прогулянки </w:t>
            </w:r>
          </w:p>
        </w:tc>
      </w:tr>
      <w:tr w:rsidR="006F2A3B" w:rsidRPr="002E6ECA" w:rsidTr="006F43A4">
        <w:trPr>
          <w:trHeight w:val="685"/>
        </w:trPr>
        <w:tc>
          <w:tcPr>
            <w:tcW w:w="1773" w:type="dxa"/>
            <w:gridSpan w:val="2"/>
            <w:vMerge/>
            <w:tcBorders>
              <w:left w:val="single" w:sz="6" w:space="0" w:color="auto"/>
              <w:bottom w:val="single" w:sz="6" w:space="0" w:color="auto"/>
              <w:right w:val="single" w:sz="6" w:space="0" w:color="auto"/>
            </w:tcBorders>
            <w:shd w:val="clear" w:color="auto" w:fill="auto"/>
            <w:noWrap/>
            <w:tcMar>
              <w:left w:w="28" w:type="dxa"/>
              <w:right w:w="28" w:type="dxa"/>
            </w:tcMar>
            <w:vAlign w:val="center"/>
          </w:tcPr>
          <w:p w:rsidR="006F2A3B" w:rsidRPr="002E6ECA" w:rsidRDefault="006F2A3B" w:rsidP="00024C64">
            <w:pPr>
              <w:jc w:val="center"/>
            </w:pPr>
          </w:p>
        </w:tc>
        <w:tc>
          <w:tcPr>
            <w:tcW w:w="851" w:type="dxa"/>
            <w:vMerge/>
            <w:tcBorders>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024C64">
            <w:pPr>
              <w:jc w:val="center"/>
              <w:rPr>
                <w:spacing w:val="-4"/>
                <w:lang w:val="uk-UA" w:eastAsia="uk-UA"/>
              </w:rPr>
            </w:pPr>
          </w:p>
        </w:tc>
        <w:tc>
          <w:tcPr>
            <w:tcW w:w="850" w:type="dxa"/>
            <w:vMerge/>
            <w:tcBorders>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024C64">
            <w:pPr>
              <w:jc w:val="center"/>
              <w:rPr>
                <w:spacing w:val="-4"/>
                <w:lang w:val="uk-UA" w:eastAsia="uk-UA"/>
              </w:rPr>
            </w:pPr>
          </w:p>
        </w:tc>
        <w:tc>
          <w:tcPr>
            <w:tcW w:w="1053" w:type="dxa"/>
            <w:vMerge/>
            <w:tcBorders>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024C64">
            <w:pPr>
              <w:jc w:val="center"/>
              <w:rPr>
                <w:spacing w:val="-4"/>
                <w:lang w:val="uk-UA" w:eastAsia="uk-UA"/>
              </w:rPr>
            </w:pPr>
          </w:p>
        </w:tc>
        <w:tc>
          <w:tcPr>
            <w:tcW w:w="1215" w:type="dxa"/>
            <w:vMerge/>
            <w:tcBorders>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024C64">
            <w:pPr>
              <w:jc w:val="center"/>
              <w:rPr>
                <w:spacing w:val="-4"/>
                <w:lang w:val="uk-UA" w:eastAsia="uk-UA"/>
              </w:rPr>
            </w:pPr>
          </w:p>
        </w:tc>
        <w:tc>
          <w:tcPr>
            <w:tcW w:w="1418" w:type="dxa"/>
            <w:vMerge/>
            <w:tcBorders>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024C64">
            <w:pPr>
              <w:jc w:val="center"/>
              <w:rPr>
                <w:spacing w:val="-4"/>
                <w:lang w:val="uk-UA" w:eastAsia="uk-UA"/>
              </w:rPr>
            </w:pPr>
          </w:p>
        </w:tc>
        <w:tc>
          <w:tcPr>
            <w:tcW w:w="1275" w:type="dxa"/>
            <w:tcBorders>
              <w:top w:val="single" w:sz="4" w:space="0" w:color="auto"/>
              <w:left w:val="single" w:sz="6" w:space="0" w:color="auto"/>
              <w:bottom w:val="single" w:sz="6" w:space="0" w:color="auto"/>
              <w:right w:val="single" w:sz="6" w:space="0" w:color="auto"/>
            </w:tcBorders>
            <w:shd w:val="clear" w:color="auto" w:fill="auto"/>
            <w:tcMar>
              <w:left w:w="28" w:type="dxa"/>
              <w:right w:w="28" w:type="dxa"/>
            </w:tcMar>
            <w:vAlign w:val="center"/>
          </w:tcPr>
          <w:p w:rsidR="006F2A3B" w:rsidRPr="002E6ECA" w:rsidRDefault="006F2A3B" w:rsidP="006F2A3B">
            <w:pPr>
              <w:jc w:val="center"/>
              <w:rPr>
                <w:spacing w:val="-4"/>
              </w:rPr>
            </w:pPr>
            <w:r w:rsidRPr="002E6ECA">
              <w:rPr>
                <w:spacing w:val="-4"/>
                <w:lang w:val="uk-UA" w:eastAsia="uk-UA"/>
              </w:rPr>
              <w:t>у навчальний день</w:t>
            </w:r>
          </w:p>
        </w:tc>
        <w:tc>
          <w:tcPr>
            <w:tcW w:w="1276" w:type="dxa"/>
            <w:tcBorders>
              <w:top w:val="single" w:sz="4" w:space="0" w:color="auto"/>
              <w:left w:val="single" w:sz="6" w:space="0" w:color="auto"/>
              <w:bottom w:val="single" w:sz="6" w:space="0" w:color="auto"/>
              <w:right w:val="single" w:sz="6" w:space="0" w:color="auto"/>
            </w:tcBorders>
            <w:shd w:val="clear" w:color="auto" w:fill="auto"/>
            <w:vAlign w:val="center"/>
          </w:tcPr>
          <w:p w:rsidR="006F2A3B" w:rsidRPr="002E6ECA" w:rsidRDefault="006F2A3B" w:rsidP="006F2A3B">
            <w:pPr>
              <w:jc w:val="center"/>
              <w:rPr>
                <w:spacing w:val="-4"/>
              </w:rPr>
            </w:pPr>
            <w:r w:rsidRPr="002E6ECA">
              <w:rPr>
                <w:spacing w:val="-4"/>
                <w:lang w:val="uk-UA" w:eastAsia="uk-UA"/>
              </w:rPr>
              <w:t>у вихідний день</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Хвороби ендокринної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4,97</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9,26</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13,78</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0,72*</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0,9*</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1,24</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2,1</w:t>
            </w:r>
          </w:p>
        </w:tc>
      </w:tr>
      <w:tr w:rsidR="006F2A3B" w:rsidRPr="002E6ECA" w:rsidTr="009A1812">
        <w:trPr>
          <w:trHeight w:val="547"/>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0,011</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&gt;0,05</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Розлади психіки та поведінки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18,89</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22,4</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28,26</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10,32</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2,0*</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9,48</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12</w:t>
            </w:r>
          </w:p>
        </w:tc>
      </w:tr>
      <w:tr w:rsidR="006F2A3B" w:rsidRPr="002E6ECA" w:rsidTr="006F43A4">
        <w:trPr>
          <w:trHeight w:val="400"/>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0,005</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0,003</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0,021</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Хвороби нервової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8,03</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11,8</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16,45</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1,5*</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1,5*</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3,7</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5,33</w:t>
            </w:r>
          </w:p>
        </w:tc>
      </w:tr>
      <w:tr w:rsidR="006F2A3B" w:rsidRPr="002E6ECA" w:rsidTr="006F43A4">
        <w:trPr>
          <w:trHeight w:val="370"/>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0,021</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0,008</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0,023</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0,021</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Хвороби ока та придатко-вого апарату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16,96</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5,33</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7,03</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10,45</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0,6*</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0,1</w:t>
            </w:r>
          </w:p>
        </w:tc>
      </w:tr>
      <w:tr w:rsidR="006F2A3B" w:rsidRPr="002E6ECA" w:rsidTr="006F43A4">
        <w:trPr>
          <w:trHeight w:val="370"/>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&gt;0,05</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Хвороби системи кровообігу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26,69</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33,03</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23,08</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23,76</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11,28</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2,2</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1,2</w:t>
            </w:r>
          </w:p>
        </w:tc>
      </w:tr>
      <w:tr w:rsidR="006F2A3B" w:rsidRPr="002E6ECA" w:rsidTr="006F43A4">
        <w:trPr>
          <w:trHeight w:val="370"/>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0,003</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0,026</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0,001</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&gt;0,05</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Хвороби дихальної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8,76</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16,53</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21,81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4,97</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1,0*</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4,03</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6,04</w:t>
            </w:r>
          </w:p>
        </w:tc>
      </w:tr>
      <w:tr w:rsidR="006F2A3B" w:rsidRPr="002E6ECA" w:rsidTr="006F43A4">
        <w:trPr>
          <w:trHeight w:val="370"/>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0,003</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0,026</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&gt;0,05</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0,045</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0,014</w:t>
            </w:r>
          </w:p>
        </w:tc>
      </w:tr>
      <w:tr w:rsidR="006F2A3B" w:rsidRPr="002E6ECA" w:rsidTr="006F43A4">
        <w:trPr>
          <w:trHeight w:val="410"/>
        </w:trPr>
        <w:tc>
          <w:tcPr>
            <w:tcW w:w="1348" w:type="dxa"/>
            <w:vMerge w:val="restart"/>
            <w:tcBorders>
              <w:top w:val="single" w:sz="6" w:space="0" w:color="auto"/>
              <w:left w:val="single" w:sz="6" w:space="0" w:color="auto"/>
              <w:bottom w:val="single" w:sz="8" w:space="0" w:color="auto"/>
              <w:right w:val="single" w:sz="6" w:space="0" w:color="auto"/>
            </w:tcBorders>
            <w:shd w:val="clear" w:color="000000" w:fill="FFFFFF"/>
            <w:tcMar>
              <w:left w:w="28" w:type="dxa"/>
              <w:right w:w="28" w:type="dxa"/>
            </w:tcMar>
            <w:vAlign w:val="center"/>
            <w:hideMark/>
          </w:tcPr>
          <w:p w:rsidR="006F2A3B" w:rsidRPr="002E6ECA" w:rsidRDefault="006F2A3B" w:rsidP="00024C64">
            <w:pPr>
              <w:jc w:val="center"/>
            </w:pPr>
            <w:r w:rsidRPr="002E6ECA">
              <w:rPr>
                <w:lang w:val="uk-UA"/>
              </w:rPr>
              <w:t>Хвороби органів травлення</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χ</w:t>
            </w:r>
            <w:r w:rsidRPr="002E6ECA">
              <w:rPr>
                <w:vertAlign w:val="superscript"/>
                <w:lang w:val="uk-UA"/>
              </w:rPr>
              <w:t>2</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30,03</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33,23</w:t>
            </w:r>
          </w:p>
        </w:tc>
        <w:tc>
          <w:tcPr>
            <w:tcW w:w="1053"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36,21</w:t>
            </w:r>
          </w:p>
        </w:tc>
        <w:tc>
          <w:tcPr>
            <w:tcW w:w="121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24,04</w:t>
            </w:r>
          </w:p>
        </w:tc>
        <w:tc>
          <w:tcPr>
            <w:tcW w:w="1418"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rPr>
              <w:t>–</w:t>
            </w:r>
          </w:p>
        </w:tc>
        <w:tc>
          <w:tcPr>
            <w:tcW w:w="1275" w:type="dxa"/>
            <w:tcBorders>
              <w:top w:val="single" w:sz="6" w:space="0" w:color="auto"/>
              <w:left w:val="single" w:sz="6" w:space="0" w:color="auto"/>
              <w:bottom w:val="single" w:sz="6" w:space="0" w:color="auto"/>
              <w:right w:val="single" w:sz="6" w:space="0" w:color="auto"/>
            </w:tcBorders>
            <w:shd w:val="clear" w:color="auto" w:fill="auto"/>
            <w:noWrap/>
            <w:tcMar>
              <w:left w:w="28" w:type="dxa"/>
              <w:right w:w="28" w:type="dxa"/>
            </w:tcMar>
            <w:vAlign w:val="center"/>
            <w:hideMark/>
          </w:tcPr>
          <w:p w:rsidR="006F2A3B" w:rsidRPr="002E6ECA" w:rsidRDefault="006F2A3B" w:rsidP="00024C64">
            <w:pPr>
              <w:jc w:val="center"/>
            </w:pPr>
            <w:r w:rsidRPr="002E6ECA">
              <w:rPr>
                <w:lang w:val="uk-UA" w:eastAsia="uk-UA"/>
              </w:rPr>
              <w:t>21,33</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25,04</w:t>
            </w:r>
          </w:p>
        </w:tc>
      </w:tr>
      <w:tr w:rsidR="006F2A3B" w:rsidRPr="002E6ECA" w:rsidTr="006F43A4">
        <w:trPr>
          <w:trHeight w:val="370"/>
        </w:trPr>
        <w:tc>
          <w:tcPr>
            <w:tcW w:w="1348" w:type="dxa"/>
            <w:vMerge/>
            <w:tcBorders>
              <w:top w:val="nil"/>
              <w:left w:val="single" w:sz="6" w:space="0" w:color="auto"/>
              <w:bottom w:val="single" w:sz="6" w:space="0" w:color="auto"/>
              <w:right w:val="single" w:sz="6" w:space="0" w:color="auto"/>
            </w:tcBorders>
            <w:tcMar>
              <w:left w:w="28" w:type="dxa"/>
              <w:right w:w="28" w:type="dxa"/>
            </w:tcMar>
            <w:vAlign w:val="center"/>
            <w:hideMark/>
          </w:tcPr>
          <w:p w:rsidR="006F2A3B" w:rsidRPr="002E6ECA" w:rsidRDefault="006F2A3B" w:rsidP="00024C64">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р</w:t>
            </w:r>
          </w:p>
        </w:tc>
        <w:tc>
          <w:tcPr>
            <w:tcW w:w="851"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850"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053"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1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418"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rPr>
              <w:t>–</w:t>
            </w:r>
          </w:p>
        </w:tc>
        <w:tc>
          <w:tcPr>
            <w:tcW w:w="1275"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c>
          <w:tcPr>
            <w:tcW w:w="1276" w:type="dxa"/>
            <w:tcBorders>
              <w:top w:val="single" w:sz="6" w:space="0" w:color="auto"/>
              <w:left w:val="single" w:sz="6" w:space="0" w:color="auto"/>
              <w:bottom w:val="single" w:sz="6" w:space="0" w:color="auto"/>
              <w:right w:val="single" w:sz="6" w:space="0" w:color="auto"/>
            </w:tcBorders>
            <w:shd w:val="clear" w:color="000000" w:fill="FFFFFF"/>
            <w:noWrap/>
            <w:tcMar>
              <w:left w:w="28" w:type="dxa"/>
              <w:right w:w="28" w:type="dxa"/>
            </w:tcMar>
            <w:vAlign w:val="center"/>
            <w:hideMark/>
          </w:tcPr>
          <w:p w:rsidR="006F2A3B" w:rsidRPr="002E6ECA" w:rsidRDefault="006F2A3B" w:rsidP="00024C64">
            <w:pPr>
              <w:jc w:val="center"/>
            </w:pPr>
            <w:r w:rsidRPr="002E6ECA">
              <w:rPr>
                <w:lang w:val="uk-UA" w:eastAsia="uk-UA"/>
              </w:rPr>
              <w:t>&lt;0,001</w:t>
            </w:r>
          </w:p>
        </w:tc>
      </w:tr>
    </w:tbl>
    <w:p w:rsidR="00024C64" w:rsidRPr="002E6ECA" w:rsidRDefault="00024C64" w:rsidP="00024C64">
      <w:pPr>
        <w:spacing w:line="360" w:lineRule="auto"/>
        <w:rPr>
          <w:lang w:val="uk-UA"/>
        </w:rPr>
      </w:pPr>
      <w:r w:rsidRPr="002E6ECA">
        <w:rPr>
          <w:lang w:val="uk-UA"/>
        </w:rPr>
        <w:t xml:space="preserve">Примітка: </w:t>
      </w:r>
      <w:r w:rsidRPr="002E6ECA">
        <w:rPr>
          <w:vertAlign w:val="superscript"/>
          <w:lang w:val="uk-UA"/>
        </w:rPr>
        <w:t>*</w:t>
      </w:r>
      <w:r w:rsidRPr="002E6ECA">
        <w:rPr>
          <w:lang w:val="uk-UA"/>
        </w:rPr>
        <w:t xml:space="preserve"> </w:t>
      </w:r>
      <w:r w:rsidR="00E26678" w:rsidRPr="002E6ECA">
        <w:rPr>
          <w:lang w:val="uk-UA"/>
        </w:rPr>
        <w:t>-</w:t>
      </w:r>
      <w:r w:rsidRPr="002E6ECA">
        <w:rPr>
          <w:lang w:val="uk-UA"/>
        </w:rPr>
        <w:t xml:space="preserve">відносний ризик </w:t>
      </w:r>
    </w:p>
    <w:p w:rsidR="00257C9F" w:rsidRPr="002E6ECA" w:rsidRDefault="00257C9F" w:rsidP="00061256">
      <w:pPr>
        <w:spacing w:line="360" w:lineRule="auto"/>
        <w:ind w:firstLine="709"/>
        <w:jc w:val="both"/>
        <w:rPr>
          <w:sz w:val="28"/>
          <w:szCs w:val="28"/>
          <w:lang w:val="uk-UA"/>
        </w:rPr>
      </w:pPr>
      <w:r w:rsidRPr="002E6ECA">
        <w:rPr>
          <w:sz w:val="28"/>
          <w:szCs w:val="28"/>
        </w:rPr>
        <w:t xml:space="preserve">Прогулянки, як спосіб витрачання вільного часу, позитивно впливають на профілактику хвороб дихальної та нервової системи, розладів психіки та поведінки, а дотримання їх тривалості </w:t>
      </w:r>
      <w:r w:rsidR="00E26678" w:rsidRPr="002E6ECA">
        <w:rPr>
          <w:sz w:val="28"/>
          <w:szCs w:val="28"/>
        </w:rPr>
        <w:t>-</w:t>
      </w:r>
      <w:r w:rsidRPr="002E6ECA">
        <w:rPr>
          <w:sz w:val="28"/>
          <w:szCs w:val="28"/>
        </w:rPr>
        <w:t xml:space="preserve">для системи кровообігу. Заняття </w:t>
      </w:r>
      <w:r w:rsidRPr="002E6ECA">
        <w:rPr>
          <w:sz w:val="28"/>
          <w:szCs w:val="28"/>
        </w:rPr>
        <w:lastRenderedPageBreak/>
        <w:t>спортом здійснювали тонізуючий вплив на кардіореспіраторну систему та психоемоційний стан, а також сприяли роз</w:t>
      </w:r>
      <w:r w:rsidR="00297EC4" w:rsidRPr="002E6ECA">
        <w:rPr>
          <w:sz w:val="28"/>
          <w:szCs w:val="28"/>
          <w:lang w:val="uk-UA"/>
        </w:rPr>
        <w:t>вантаженню</w:t>
      </w:r>
      <w:r w:rsidRPr="002E6ECA">
        <w:rPr>
          <w:sz w:val="28"/>
          <w:szCs w:val="28"/>
        </w:rPr>
        <w:t xml:space="preserve"> органу зору, що відображувалось на поширеності відповідних класів хвороб.  Таким чином, як прогулянки, так і заняття фізичною культурою повинні бути враховані у якості так званих вітаут-факторів, тобто чинників, які здійснюють оздоровлюючу дію</w:t>
      </w:r>
      <w:r w:rsidR="003E4685" w:rsidRPr="002E6ECA">
        <w:rPr>
          <w:sz w:val="28"/>
          <w:szCs w:val="28"/>
          <w:lang w:val="uk-UA"/>
        </w:rPr>
        <w:t xml:space="preserve"> шляхом </w:t>
      </w:r>
      <w:r w:rsidRPr="002E6ECA">
        <w:rPr>
          <w:sz w:val="28"/>
          <w:szCs w:val="28"/>
        </w:rPr>
        <w:t>тренування основних органів і систем, поступов</w:t>
      </w:r>
      <w:r w:rsidR="003E4685" w:rsidRPr="002E6ECA">
        <w:rPr>
          <w:sz w:val="28"/>
          <w:szCs w:val="28"/>
          <w:lang w:val="uk-UA"/>
        </w:rPr>
        <w:t>ої</w:t>
      </w:r>
      <w:r w:rsidRPr="002E6ECA">
        <w:rPr>
          <w:sz w:val="28"/>
          <w:szCs w:val="28"/>
        </w:rPr>
        <w:t xml:space="preserve"> оптимізації функціонального стану дітей, що відбивається на стані їх працездатності.</w:t>
      </w:r>
      <w:r w:rsidR="003E4685" w:rsidRPr="002E6ECA">
        <w:rPr>
          <w:sz w:val="28"/>
          <w:szCs w:val="28"/>
          <w:lang w:val="uk-UA"/>
        </w:rPr>
        <w:t xml:space="preserve"> Урахування таких чинників є важливим елементом моніторингу здоров’я. </w:t>
      </w:r>
    </w:p>
    <w:p w:rsidR="00061256" w:rsidRPr="002E6ECA" w:rsidRDefault="00061256" w:rsidP="00061256">
      <w:pPr>
        <w:spacing w:line="360" w:lineRule="auto"/>
        <w:ind w:firstLine="709"/>
        <w:jc w:val="both"/>
        <w:rPr>
          <w:sz w:val="28"/>
          <w:szCs w:val="28"/>
          <w:lang w:val="uk-UA"/>
        </w:rPr>
      </w:pPr>
      <w:r w:rsidRPr="002E6ECA">
        <w:rPr>
          <w:sz w:val="28"/>
          <w:szCs w:val="28"/>
          <w:lang w:val="uk-UA"/>
        </w:rPr>
        <w:t xml:space="preserve">Щодо визначення впливу елементів навчальної діяльності на формування хронічної патології було встановлено, що надтривалий час приготування домашніх завдань підвищує ризик розвитку майже усіх видів захворювань, окрім ендокринної системи (табл. 9.2). Підвищене навчальне навантаження із відвідуванням додаткових занять спричиняло </w:t>
      </w:r>
      <w:r w:rsidR="003E4685" w:rsidRPr="002E6ECA">
        <w:rPr>
          <w:sz w:val="28"/>
          <w:szCs w:val="28"/>
          <w:lang w:val="uk-UA"/>
        </w:rPr>
        <w:t>зроста</w:t>
      </w:r>
      <w:r w:rsidRPr="002E6ECA">
        <w:rPr>
          <w:sz w:val="28"/>
          <w:szCs w:val="28"/>
          <w:lang w:val="uk-UA"/>
        </w:rPr>
        <w:t xml:space="preserve">ння </w:t>
      </w:r>
      <w:r w:rsidR="003E4685" w:rsidRPr="002E6ECA">
        <w:rPr>
          <w:sz w:val="28"/>
          <w:szCs w:val="28"/>
          <w:lang w:val="uk-UA"/>
        </w:rPr>
        <w:t xml:space="preserve">чисельності </w:t>
      </w:r>
      <w:r w:rsidRPr="002E6ECA">
        <w:rPr>
          <w:sz w:val="28"/>
          <w:szCs w:val="28"/>
          <w:lang w:val="uk-UA"/>
        </w:rPr>
        <w:t xml:space="preserve">розладів психіки та поведінки і кардіологічної патології, а введення їх у режим вихідного дня провокувало ще й поширеність хвороб ока та придаткового апарату. </w:t>
      </w:r>
      <w:r w:rsidRPr="002E6ECA">
        <w:rPr>
          <w:sz w:val="28"/>
          <w:szCs w:val="28"/>
        </w:rPr>
        <w:t>Важливим аспектом поставав характер відпочинку під час перерв у школі: відсутність відпочинку підвищувало ризик розвитку хвороб системи кровообігу та органу зору.</w:t>
      </w:r>
      <w:r w:rsidRPr="002E6ECA">
        <w:rPr>
          <w:sz w:val="28"/>
          <w:szCs w:val="28"/>
          <w:lang w:val="uk-UA"/>
        </w:rPr>
        <w:t xml:space="preserve"> </w:t>
      </w:r>
    </w:p>
    <w:p w:rsidR="00257C9F" w:rsidRPr="002E6ECA" w:rsidRDefault="00257C9F" w:rsidP="00257C9F">
      <w:pPr>
        <w:spacing w:line="360" w:lineRule="auto"/>
        <w:ind w:firstLine="709"/>
        <w:jc w:val="both"/>
        <w:rPr>
          <w:sz w:val="28"/>
          <w:szCs w:val="28"/>
          <w:lang w:val="uk-UA"/>
        </w:rPr>
      </w:pPr>
      <w:r w:rsidRPr="002E6ECA">
        <w:rPr>
          <w:sz w:val="28"/>
          <w:szCs w:val="28"/>
        </w:rPr>
        <w:t xml:space="preserve">Зв'язок додаткового навчального навантаження та зазначених розладів також є логічним та практично однаковим із зазначеним раніше. В якості основних чинників ризику під час занять  повинні бути виділені статична поза, нервово-психічна напруга, негативні зміни працездатності тощо. Необхідно враховувати, що додатковим обтяжуючим чинником є недотримання режиму праці і відпочинку під час самостійного навчання.  </w:t>
      </w:r>
    </w:p>
    <w:p w:rsidR="00257C9F" w:rsidRPr="002E6ECA" w:rsidRDefault="00257C9F" w:rsidP="00061256">
      <w:pPr>
        <w:spacing w:line="360" w:lineRule="auto"/>
        <w:ind w:firstLine="709"/>
        <w:jc w:val="both"/>
        <w:rPr>
          <w:sz w:val="28"/>
          <w:szCs w:val="28"/>
          <w:lang w:val="uk-UA"/>
        </w:rPr>
      </w:pPr>
      <w:r w:rsidRPr="002E6ECA">
        <w:rPr>
          <w:sz w:val="28"/>
          <w:szCs w:val="28"/>
          <w:lang w:val="uk-UA"/>
        </w:rPr>
        <w:t>Одним зі значних питань щодо збереження та зміцнення здоров’я школярів у багаточисельних дослідженнях вітчизняних та зарубіжних фахівців постає екранний час.</w:t>
      </w:r>
    </w:p>
    <w:p w:rsidR="006F124B" w:rsidRPr="002E6ECA" w:rsidRDefault="006F124B" w:rsidP="006F124B">
      <w:pPr>
        <w:spacing w:line="360" w:lineRule="auto"/>
        <w:ind w:firstLine="709"/>
        <w:jc w:val="both"/>
        <w:rPr>
          <w:sz w:val="28"/>
          <w:szCs w:val="28"/>
          <w:lang w:val="uk-UA"/>
        </w:rPr>
      </w:pPr>
      <w:r w:rsidRPr="002E6ECA">
        <w:rPr>
          <w:sz w:val="28"/>
          <w:szCs w:val="28"/>
        </w:rPr>
        <w:t xml:space="preserve">Оцінка організації режиму дня встановила не тільки значну поширеність перевищення часу перегляду телепередач і гри за комп’ютером та гаджетами, а </w:t>
      </w:r>
      <w:r w:rsidRPr="002E6ECA">
        <w:rPr>
          <w:sz w:val="28"/>
          <w:szCs w:val="28"/>
        </w:rPr>
        <w:lastRenderedPageBreak/>
        <w:t xml:space="preserve">й їх суттєвий вплив на формування розладів психіки та поведінки, хвороб кардіореспіраторної системи та зорового аналізатору (табл. 9.3). </w:t>
      </w:r>
    </w:p>
    <w:p w:rsidR="006F2A3B" w:rsidRPr="002E6ECA" w:rsidRDefault="006F2A3B" w:rsidP="006F2A3B">
      <w:pPr>
        <w:spacing w:line="360" w:lineRule="auto"/>
        <w:jc w:val="right"/>
        <w:rPr>
          <w:i/>
          <w:sz w:val="28"/>
          <w:szCs w:val="28"/>
          <w:lang w:val="uk-UA"/>
        </w:rPr>
      </w:pPr>
      <w:r w:rsidRPr="002E6ECA">
        <w:rPr>
          <w:i/>
          <w:sz w:val="28"/>
          <w:szCs w:val="28"/>
          <w:lang w:val="uk-UA"/>
        </w:rPr>
        <w:t xml:space="preserve">Таблиця 9.2 </w:t>
      </w:r>
    </w:p>
    <w:p w:rsidR="006F2A3B" w:rsidRPr="002E6ECA" w:rsidRDefault="006F2A3B" w:rsidP="006F124B">
      <w:pPr>
        <w:spacing w:line="360" w:lineRule="auto"/>
        <w:ind w:firstLine="709"/>
        <w:jc w:val="center"/>
        <w:rPr>
          <w:b/>
          <w:sz w:val="28"/>
          <w:szCs w:val="28"/>
          <w:lang w:val="uk-UA"/>
        </w:rPr>
      </w:pPr>
      <w:r w:rsidRPr="002E6ECA">
        <w:rPr>
          <w:b/>
          <w:sz w:val="28"/>
          <w:szCs w:val="28"/>
          <w:lang w:val="uk-UA"/>
        </w:rPr>
        <w:t>Вплив деяких аспектів навчальної діяльності на формування хронічної патології, χ</w:t>
      </w:r>
      <w:r w:rsidRPr="002E6ECA">
        <w:rPr>
          <w:b/>
          <w:sz w:val="28"/>
          <w:szCs w:val="28"/>
          <w:vertAlign w:val="superscript"/>
          <w:lang w:val="uk-UA"/>
        </w:rPr>
        <w:t>2</w:t>
      </w:r>
    </w:p>
    <w:tbl>
      <w:tblPr>
        <w:tblW w:w="9812" w:type="dxa"/>
        <w:tblInd w:w="98" w:type="dxa"/>
        <w:tblLayout w:type="fixed"/>
        <w:tblLook w:val="04A0" w:firstRow="1" w:lastRow="0" w:firstColumn="1" w:lastColumn="0" w:noHBand="0" w:noVBand="1"/>
      </w:tblPr>
      <w:tblGrid>
        <w:gridCol w:w="1570"/>
        <w:gridCol w:w="425"/>
        <w:gridCol w:w="1093"/>
        <w:gridCol w:w="1093"/>
        <w:gridCol w:w="1094"/>
        <w:gridCol w:w="1256"/>
        <w:gridCol w:w="1094"/>
        <w:gridCol w:w="1093"/>
        <w:gridCol w:w="1094"/>
      </w:tblGrid>
      <w:tr w:rsidR="00B54077" w:rsidRPr="002E6ECA" w:rsidTr="00257C9F">
        <w:trPr>
          <w:trHeight w:val="410"/>
        </w:trPr>
        <w:tc>
          <w:tcPr>
            <w:tcW w:w="1995" w:type="dxa"/>
            <w:gridSpan w:val="2"/>
            <w:vMerge w:val="restart"/>
            <w:tcBorders>
              <w:top w:val="single" w:sz="6" w:space="0" w:color="auto"/>
              <w:left w:val="single" w:sz="6" w:space="0" w:color="auto"/>
              <w:right w:val="single" w:sz="6" w:space="0" w:color="auto"/>
            </w:tcBorders>
            <w:shd w:val="clear" w:color="000000" w:fill="FFFFFF"/>
            <w:vAlign w:val="center"/>
          </w:tcPr>
          <w:p w:rsidR="00B54077" w:rsidRPr="002E6ECA" w:rsidRDefault="00B54077" w:rsidP="00B54077">
            <w:pPr>
              <w:jc w:val="center"/>
              <w:rPr>
                <w:lang w:val="uk-UA"/>
              </w:rPr>
            </w:pPr>
            <w:r w:rsidRPr="002E6ECA">
              <w:rPr>
                <w:lang w:val="uk-UA" w:eastAsia="uk-UA"/>
              </w:rPr>
              <w:t>Показник навчальної діяльності</w:t>
            </w:r>
          </w:p>
        </w:tc>
        <w:tc>
          <w:tcPr>
            <w:tcW w:w="1093" w:type="dxa"/>
            <w:vMerge w:val="restart"/>
            <w:tcBorders>
              <w:top w:val="single" w:sz="6" w:space="0" w:color="auto"/>
              <w:left w:val="single" w:sz="6" w:space="0" w:color="auto"/>
              <w:right w:val="single" w:sz="6" w:space="0" w:color="auto"/>
            </w:tcBorders>
            <w:shd w:val="clear" w:color="000000" w:fill="FFFFFF"/>
            <w:noWrap/>
            <w:vAlign w:val="center"/>
          </w:tcPr>
          <w:p w:rsidR="00B54077" w:rsidRPr="002E6ECA" w:rsidRDefault="00B54077" w:rsidP="006F2A3B">
            <w:pPr>
              <w:jc w:val="center"/>
              <w:rPr>
                <w:lang w:val="uk-UA" w:eastAsia="uk-UA"/>
              </w:rPr>
            </w:pPr>
            <w:r w:rsidRPr="002E6ECA">
              <w:rPr>
                <w:lang w:val="uk-UA" w:eastAsia="uk-UA"/>
              </w:rPr>
              <w:t>Приготування ДЗ</w:t>
            </w:r>
          </w:p>
        </w:tc>
        <w:tc>
          <w:tcPr>
            <w:tcW w:w="2187" w:type="dxa"/>
            <w:gridSpan w:val="2"/>
            <w:tcBorders>
              <w:top w:val="single" w:sz="6" w:space="0" w:color="auto"/>
              <w:left w:val="single" w:sz="6" w:space="0" w:color="auto"/>
              <w:bottom w:val="single" w:sz="6" w:space="0" w:color="auto"/>
              <w:right w:val="single" w:sz="6" w:space="0" w:color="auto"/>
            </w:tcBorders>
            <w:shd w:val="clear" w:color="000000" w:fill="FFFFFF"/>
            <w:noWrap/>
            <w:vAlign w:val="center"/>
          </w:tcPr>
          <w:p w:rsidR="00B54077" w:rsidRPr="002E6ECA" w:rsidRDefault="00B54077" w:rsidP="006F2A3B">
            <w:pPr>
              <w:jc w:val="center"/>
              <w:rPr>
                <w:lang w:val="uk-UA" w:eastAsia="uk-UA"/>
              </w:rPr>
            </w:pPr>
            <w:r w:rsidRPr="002E6ECA">
              <w:rPr>
                <w:lang w:val="uk-UA" w:eastAsia="uk-UA"/>
              </w:rPr>
              <w:t>Додаткові заняття</w:t>
            </w:r>
          </w:p>
        </w:tc>
        <w:tc>
          <w:tcPr>
            <w:tcW w:w="4537" w:type="dxa"/>
            <w:gridSpan w:val="4"/>
            <w:tcBorders>
              <w:top w:val="single" w:sz="6" w:space="0" w:color="auto"/>
              <w:left w:val="single" w:sz="6" w:space="0" w:color="auto"/>
              <w:bottom w:val="single" w:sz="6" w:space="0" w:color="auto"/>
              <w:right w:val="single" w:sz="6" w:space="0" w:color="auto"/>
            </w:tcBorders>
            <w:shd w:val="clear" w:color="auto" w:fill="auto"/>
            <w:noWrap/>
            <w:vAlign w:val="center"/>
          </w:tcPr>
          <w:p w:rsidR="00B54077" w:rsidRPr="002E6ECA" w:rsidRDefault="00B54077" w:rsidP="006F2A3B">
            <w:pPr>
              <w:jc w:val="center"/>
              <w:rPr>
                <w:lang w:val="uk-UA" w:eastAsia="uk-UA"/>
              </w:rPr>
            </w:pPr>
            <w:r w:rsidRPr="002E6ECA">
              <w:rPr>
                <w:lang w:val="uk-UA" w:eastAsia="uk-UA"/>
              </w:rPr>
              <w:t>Поведінка під час перерви</w:t>
            </w:r>
          </w:p>
        </w:tc>
      </w:tr>
      <w:tr w:rsidR="00B54077" w:rsidRPr="002E6ECA" w:rsidTr="00257C9F">
        <w:trPr>
          <w:trHeight w:val="410"/>
        </w:trPr>
        <w:tc>
          <w:tcPr>
            <w:tcW w:w="1995" w:type="dxa"/>
            <w:gridSpan w:val="2"/>
            <w:vMerge/>
            <w:tcBorders>
              <w:left w:val="single" w:sz="6" w:space="0" w:color="auto"/>
              <w:bottom w:val="single" w:sz="8" w:space="0" w:color="auto"/>
              <w:right w:val="single" w:sz="6" w:space="0" w:color="auto"/>
            </w:tcBorders>
            <w:shd w:val="clear" w:color="000000" w:fill="FFFFFF"/>
            <w:vAlign w:val="center"/>
          </w:tcPr>
          <w:p w:rsidR="00B54077" w:rsidRPr="002E6ECA" w:rsidRDefault="00B54077" w:rsidP="006F2A3B">
            <w:pPr>
              <w:jc w:val="center"/>
              <w:rPr>
                <w:lang w:val="uk-UA"/>
              </w:rPr>
            </w:pPr>
          </w:p>
        </w:tc>
        <w:tc>
          <w:tcPr>
            <w:tcW w:w="1093" w:type="dxa"/>
            <w:vMerge/>
            <w:tcBorders>
              <w:left w:val="single" w:sz="6" w:space="0" w:color="auto"/>
              <w:bottom w:val="single" w:sz="6" w:space="0" w:color="auto"/>
              <w:right w:val="single" w:sz="6" w:space="0" w:color="auto"/>
            </w:tcBorders>
            <w:shd w:val="clear" w:color="000000" w:fill="FFFFFF"/>
            <w:noWrap/>
            <w:vAlign w:val="center"/>
          </w:tcPr>
          <w:p w:rsidR="00B54077" w:rsidRPr="002E6ECA" w:rsidRDefault="00B54077" w:rsidP="006F2A3B">
            <w:pPr>
              <w:jc w:val="center"/>
              <w:rPr>
                <w:lang w:val="uk-UA" w:eastAsia="uk-UA"/>
              </w:rPr>
            </w:pP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tcPr>
          <w:p w:rsidR="00B54077" w:rsidRPr="002E6ECA" w:rsidRDefault="00B54077" w:rsidP="003E234B">
            <w:pPr>
              <w:ind w:left="-108" w:right="-19"/>
              <w:jc w:val="center"/>
              <w:rPr>
                <w:lang w:val="uk-UA" w:eastAsia="uk-UA"/>
              </w:rPr>
            </w:pPr>
            <w:r w:rsidRPr="002E6ECA">
              <w:rPr>
                <w:lang w:val="uk-UA" w:eastAsia="uk-UA"/>
              </w:rPr>
              <w:t>у навчальні дні</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tcPr>
          <w:p w:rsidR="00B54077" w:rsidRPr="002E6ECA" w:rsidRDefault="00B54077" w:rsidP="003E234B">
            <w:pPr>
              <w:ind w:left="-108" w:right="-19"/>
              <w:jc w:val="center"/>
              <w:rPr>
                <w:lang w:val="uk-UA" w:eastAsia="uk-UA"/>
              </w:rPr>
            </w:pPr>
            <w:r w:rsidRPr="002E6ECA">
              <w:rPr>
                <w:lang w:val="uk-UA" w:eastAsia="uk-UA"/>
              </w:rPr>
              <w:t>у вихідні дні</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tcPr>
          <w:p w:rsidR="00B54077" w:rsidRPr="002E6ECA" w:rsidRDefault="00B54077" w:rsidP="003E234B">
            <w:pPr>
              <w:ind w:left="-108" w:right="-19"/>
              <w:jc w:val="center"/>
              <w:rPr>
                <w:lang w:val="uk-UA" w:eastAsia="uk-UA"/>
              </w:rPr>
            </w:pPr>
            <w:r w:rsidRPr="002E6ECA">
              <w:rPr>
                <w:lang w:val="uk-UA" w:eastAsia="uk-UA"/>
              </w:rPr>
              <w:t>Не відпочивають</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tcPr>
          <w:p w:rsidR="00B54077" w:rsidRPr="002E6ECA" w:rsidRDefault="00B54077" w:rsidP="00B54077">
            <w:pPr>
              <w:ind w:left="-108" w:right="-19"/>
              <w:jc w:val="center"/>
              <w:rPr>
                <w:lang w:val="uk-UA" w:eastAsia="uk-UA"/>
              </w:rPr>
            </w:pPr>
            <w:r w:rsidRPr="002E6ECA">
              <w:rPr>
                <w:lang w:val="uk-UA" w:eastAsia="uk-UA"/>
              </w:rPr>
              <w:t xml:space="preserve">У класі </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tcPr>
          <w:p w:rsidR="00B54077" w:rsidRPr="002E6ECA" w:rsidRDefault="00B54077" w:rsidP="00B54077">
            <w:pPr>
              <w:ind w:left="-108" w:right="-19"/>
              <w:jc w:val="center"/>
              <w:rPr>
                <w:lang w:val="uk-UA" w:eastAsia="uk-UA"/>
              </w:rPr>
            </w:pPr>
            <w:r w:rsidRPr="002E6ECA">
              <w:rPr>
                <w:lang w:val="uk-UA" w:eastAsia="uk-UA"/>
              </w:rPr>
              <w:t xml:space="preserve">Активна </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B54077" w:rsidRPr="002E6ECA" w:rsidRDefault="00B54077" w:rsidP="00B54077">
            <w:pPr>
              <w:ind w:left="-108" w:right="-19"/>
              <w:jc w:val="center"/>
              <w:rPr>
                <w:lang w:val="uk-UA" w:eastAsia="uk-UA"/>
              </w:rPr>
            </w:pPr>
            <w:r w:rsidRPr="002E6ECA">
              <w:rPr>
                <w:lang w:val="uk-UA" w:eastAsia="uk-UA"/>
              </w:rPr>
              <w:t xml:space="preserve">Пасивна </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Хвороби ендокринної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2,9</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0,1</w:t>
            </w:r>
            <w:r w:rsidRPr="002E6ECA">
              <w:rPr>
                <w:vertAlign w:val="superscript"/>
                <w:lang w:val="uk-UA" w:eastAsia="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0,3</w:t>
            </w:r>
            <w:r w:rsidRPr="002E6ECA">
              <w:rPr>
                <w:vertAlign w:val="superscript"/>
                <w:lang w:val="uk-UA" w:eastAsia="uk-UA"/>
              </w:rPr>
              <w:t>*</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0,4</w:t>
            </w:r>
            <w:r w:rsidRPr="002E6ECA">
              <w:rPr>
                <w:vertAlign w:val="superscript"/>
                <w:lang w:val="uk-UA" w:eastAsia="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0,1</w:t>
            </w:r>
            <w:r w:rsidRPr="002E6ECA">
              <w:rPr>
                <w:vertAlign w:val="superscript"/>
                <w:lang w:val="uk-UA" w:eastAsia="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1</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eastAsia="uk-UA"/>
              </w:rPr>
              <w:t>1,1</w:t>
            </w:r>
            <w:r w:rsidRPr="002E6ECA">
              <w:rPr>
                <w:vertAlign w:val="superscript"/>
                <w:lang w:val="uk-UA" w:eastAsia="uk-UA"/>
              </w:rPr>
              <w:t>*</w:t>
            </w:r>
          </w:p>
        </w:tc>
      </w:tr>
      <w:tr w:rsidR="006F43A4" w:rsidRPr="002E6ECA" w:rsidTr="00257C9F">
        <w:trPr>
          <w:trHeight w:val="65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0,002</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eastAsia="uk-UA"/>
              </w:rPr>
              <w:t>&gt;0,05</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Розлади психіки та поведінки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12,89</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5,33</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0,3</w:t>
            </w:r>
            <w:r w:rsidRPr="002E6ECA">
              <w:rPr>
                <w:vertAlign w:val="superscript"/>
                <w:lang w:val="uk-UA" w:eastAsia="uk-UA"/>
              </w:rPr>
              <w:t>*</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0,1</w:t>
            </w:r>
            <w:r w:rsidRPr="002E6ECA">
              <w:rPr>
                <w:vertAlign w:val="superscript"/>
                <w:lang w:val="uk-UA" w:eastAsia="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0,3</w:t>
            </w:r>
            <w:r w:rsidRPr="002E6ECA">
              <w:rPr>
                <w:vertAlign w:val="superscript"/>
                <w:lang w:val="uk-UA" w:eastAsia="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0,5</w:t>
            </w:r>
            <w:r w:rsidRPr="002E6ECA">
              <w:rPr>
                <w:vertAlign w:val="superscript"/>
                <w:lang w:val="uk-UA" w:eastAsia="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eastAsia="uk-UA"/>
              </w:rPr>
              <w:t>8,04</w:t>
            </w:r>
          </w:p>
        </w:tc>
      </w:tr>
      <w:tr w:rsidR="006F43A4" w:rsidRPr="002E6ECA" w:rsidTr="00257C9F">
        <w:trPr>
          <w:trHeight w:val="40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0,018</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&lt;0,001</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eastAsia="uk-UA"/>
              </w:rPr>
              <w:t>0,005</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Хвороби нервової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5,63</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1,2</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0,3</w:t>
            </w:r>
            <w:r w:rsidRPr="002E6ECA">
              <w:rPr>
                <w:vertAlign w:val="superscript"/>
                <w:lang w:val="uk-UA" w:eastAsia="uk-UA"/>
              </w:rPr>
              <w:t>*</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0,04</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37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0,018</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Хвороби ока та придатко-вого апарату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17,93</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0,1</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5,28</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4,97</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9,03</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37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&lt;0,001</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0,022</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0,026</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0,003</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Хвороби системи кровообігу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31,03</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4,97</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13,92</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14,67</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21,44</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14,7</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eastAsia="uk-UA"/>
              </w:rPr>
              <w:t>2,5</w:t>
            </w:r>
          </w:p>
        </w:tc>
      </w:tr>
      <w:tr w:rsidR="006F43A4" w:rsidRPr="002E6ECA" w:rsidTr="00257C9F">
        <w:trPr>
          <w:trHeight w:val="37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0,007</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0,026</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&lt;0,001</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&lt;0,001</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&lt;0,001</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&lt;0,001</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eastAsia="uk-UA"/>
              </w:rPr>
              <w:t>&gt;0,05</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Хвороби дихальної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7,26</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1,9</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0,4</w:t>
            </w:r>
            <w:r w:rsidRPr="002E6ECA">
              <w:rPr>
                <w:vertAlign w:val="superscript"/>
                <w:lang w:val="uk-UA" w:eastAsia="uk-UA"/>
              </w:rPr>
              <w:t>*</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37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0,007</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&gt;0,05</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eastAsia="uk-UA"/>
              </w:rPr>
              <w:t>&gt;0,05</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43A4" w:rsidRPr="002E6ECA" w:rsidRDefault="006F43A4" w:rsidP="006F2A3B">
            <w:pPr>
              <w:jc w:val="center"/>
            </w:pPr>
            <w:r w:rsidRPr="002E6ECA">
              <w:rPr>
                <w:lang w:val="uk-UA"/>
              </w:rPr>
              <w:t>Хвороби органів травлення</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χ</w:t>
            </w:r>
            <w:r w:rsidRPr="002E6ECA">
              <w:rPr>
                <w:vertAlign w:val="superscript"/>
                <w:lang w:val="uk-UA"/>
              </w:rPr>
              <w:t>2</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26,04</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256"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43A4" w:rsidRPr="002E6ECA" w:rsidRDefault="006F43A4" w:rsidP="006F2A3B">
            <w:pPr>
              <w:jc w:val="center"/>
            </w:pPr>
            <w:r w:rsidRPr="002E6ECA">
              <w:rPr>
                <w:lang w:val="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r w:rsidR="006F43A4" w:rsidRPr="002E6ECA" w:rsidTr="00257C9F">
        <w:trPr>
          <w:trHeight w:val="370"/>
        </w:trPr>
        <w:tc>
          <w:tcPr>
            <w:tcW w:w="1570" w:type="dxa"/>
            <w:vMerge/>
            <w:tcBorders>
              <w:top w:val="nil"/>
              <w:left w:val="single" w:sz="6" w:space="0" w:color="auto"/>
              <w:bottom w:val="single" w:sz="6" w:space="0" w:color="auto"/>
              <w:right w:val="single" w:sz="6" w:space="0" w:color="auto"/>
            </w:tcBorders>
            <w:vAlign w:val="center"/>
            <w:hideMark/>
          </w:tcPr>
          <w:p w:rsidR="006F43A4" w:rsidRPr="002E6ECA" w:rsidRDefault="006F43A4"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р</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eastAsia="uk-UA"/>
              </w:rPr>
              <w:t>&lt;0,001</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256"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43A4" w:rsidRPr="002E6ECA" w:rsidRDefault="006F43A4" w:rsidP="006F2A3B">
            <w:pPr>
              <w:jc w:val="center"/>
            </w:pPr>
            <w:r w:rsidRPr="002E6ECA">
              <w:rPr>
                <w:lang w:val="uk-UA"/>
              </w:rPr>
              <w:t>–</w:t>
            </w:r>
          </w:p>
        </w:tc>
        <w:tc>
          <w:tcPr>
            <w:tcW w:w="1094" w:type="dxa"/>
            <w:tcBorders>
              <w:top w:val="single" w:sz="6" w:space="0" w:color="auto"/>
              <w:left w:val="single" w:sz="6" w:space="0" w:color="auto"/>
              <w:bottom w:val="single" w:sz="6" w:space="0" w:color="auto"/>
              <w:right w:val="single" w:sz="6" w:space="0" w:color="auto"/>
            </w:tcBorders>
            <w:shd w:val="clear" w:color="000000" w:fill="FFFFFF"/>
            <w:vAlign w:val="center"/>
          </w:tcPr>
          <w:p w:rsidR="006F43A4" w:rsidRPr="002E6ECA" w:rsidRDefault="006F43A4" w:rsidP="006F2A3B">
            <w:pPr>
              <w:jc w:val="center"/>
            </w:pPr>
            <w:r w:rsidRPr="002E6ECA">
              <w:rPr>
                <w:lang w:val="uk-UA"/>
              </w:rPr>
              <w:t>–</w:t>
            </w:r>
          </w:p>
        </w:tc>
      </w:tr>
    </w:tbl>
    <w:p w:rsidR="006F2A3B" w:rsidRPr="002E6ECA" w:rsidRDefault="006F2A3B" w:rsidP="006F2A3B">
      <w:pPr>
        <w:rPr>
          <w:sz w:val="28"/>
          <w:szCs w:val="28"/>
          <w:lang w:val="uk-UA"/>
        </w:rPr>
      </w:pPr>
      <w:r w:rsidRPr="002E6ECA">
        <w:rPr>
          <w:lang w:val="uk-UA"/>
        </w:rPr>
        <w:t xml:space="preserve">Примітка: </w:t>
      </w:r>
      <w:r w:rsidRPr="002E6ECA">
        <w:rPr>
          <w:vertAlign w:val="superscript"/>
          <w:lang w:val="uk-UA"/>
        </w:rPr>
        <w:t>*</w:t>
      </w:r>
      <w:r w:rsidRPr="002E6ECA">
        <w:rPr>
          <w:lang w:val="uk-UA"/>
        </w:rPr>
        <w:t xml:space="preserve"> </w:t>
      </w:r>
      <w:r w:rsidR="00E26678" w:rsidRPr="002E6ECA">
        <w:rPr>
          <w:lang w:val="uk-UA"/>
        </w:rPr>
        <w:t>-</w:t>
      </w:r>
      <w:r w:rsidRPr="002E6ECA">
        <w:rPr>
          <w:lang w:val="uk-UA"/>
        </w:rPr>
        <w:t xml:space="preserve">відносний ризик </w:t>
      </w:r>
    </w:p>
    <w:p w:rsidR="006F2A3B" w:rsidRPr="002E6ECA" w:rsidRDefault="006F2A3B" w:rsidP="009A1812">
      <w:pPr>
        <w:spacing w:line="276" w:lineRule="auto"/>
        <w:ind w:firstLine="709"/>
        <w:jc w:val="both"/>
        <w:rPr>
          <w:sz w:val="28"/>
          <w:szCs w:val="28"/>
          <w:u w:val="single"/>
          <w:lang w:val="uk-UA"/>
        </w:rPr>
      </w:pPr>
    </w:p>
    <w:p w:rsidR="00257C9F" w:rsidRPr="002E6ECA" w:rsidRDefault="00257C9F" w:rsidP="00257C9F">
      <w:pPr>
        <w:spacing w:line="360" w:lineRule="auto"/>
        <w:ind w:firstLine="709"/>
        <w:jc w:val="both"/>
        <w:rPr>
          <w:sz w:val="28"/>
          <w:szCs w:val="28"/>
          <w:lang w:val="uk-UA"/>
        </w:rPr>
      </w:pPr>
      <w:r w:rsidRPr="002E6ECA">
        <w:rPr>
          <w:sz w:val="28"/>
          <w:szCs w:val="28"/>
          <w:lang w:val="uk-UA"/>
        </w:rPr>
        <w:t xml:space="preserve">Перегляд телевізору у навчальні та вихідні дні сприяв поширенню захворювань системи кровообігу (рівень відносного ризику </w:t>
      </w:r>
      <w:r w:rsidR="00E26678" w:rsidRPr="002E6ECA">
        <w:rPr>
          <w:sz w:val="28"/>
          <w:szCs w:val="28"/>
          <w:lang w:val="uk-UA"/>
        </w:rPr>
        <w:t>-</w:t>
      </w:r>
      <w:r w:rsidRPr="002E6ECA">
        <w:rPr>
          <w:sz w:val="28"/>
          <w:szCs w:val="28"/>
          <w:lang w:val="uk-UA"/>
        </w:rPr>
        <w:t xml:space="preserve">7,75), ока та придаткового апарату (7,33), нервової системи (4,0), а гра за комп’ютером </w:t>
      </w:r>
      <w:r w:rsidR="00E26678" w:rsidRPr="002E6ECA">
        <w:rPr>
          <w:sz w:val="28"/>
          <w:szCs w:val="28"/>
          <w:lang w:val="uk-UA"/>
        </w:rPr>
        <w:t>-</w:t>
      </w:r>
      <w:r w:rsidRPr="002E6ECA">
        <w:rPr>
          <w:sz w:val="28"/>
          <w:szCs w:val="28"/>
          <w:lang w:val="uk-UA"/>
        </w:rPr>
        <w:t xml:space="preserve">для нервової, ендокринної, серцево-судинної системи (рівень відносного ризику </w:t>
      </w:r>
      <w:r w:rsidR="00E26678" w:rsidRPr="002E6ECA">
        <w:rPr>
          <w:sz w:val="28"/>
          <w:szCs w:val="28"/>
          <w:lang w:val="uk-UA"/>
        </w:rPr>
        <w:t>-</w:t>
      </w:r>
      <w:r w:rsidRPr="002E6ECA">
        <w:rPr>
          <w:sz w:val="28"/>
          <w:szCs w:val="28"/>
          <w:lang w:val="uk-UA"/>
        </w:rPr>
        <w:t>1,5-2</w:t>
      </w:r>
      <w:r w:rsidR="003E4685" w:rsidRPr="002E6ECA">
        <w:rPr>
          <w:sz w:val="28"/>
          <w:szCs w:val="28"/>
          <w:lang w:val="uk-UA"/>
        </w:rPr>
        <w:t>,0</w:t>
      </w:r>
      <w:r w:rsidRPr="002E6ECA">
        <w:rPr>
          <w:sz w:val="28"/>
          <w:szCs w:val="28"/>
          <w:lang w:val="uk-UA"/>
        </w:rPr>
        <w:t xml:space="preserve">). </w:t>
      </w:r>
      <w:r w:rsidRPr="002E6ECA">
        <w:rPr>
          <w:sz w:val="28"/>
          <w:szCs w:val="28"/>
        </w:rPr>
        <w:t xml:space="preserve">На наш погляд, встановлений ризик логічно витікає із особливостей проведення часу школярами. Перегляд телевізора є статичним заняттям, яке підвищує вірогідність гіподинамії дітей, що, у свою чергу, сприяє розладам системи кровообігу. Зростання ризику порушення зорової та нервової систем </w:t>
      </w:r>
      <w:r w:rsidRPr="002E6ECA">
        <w:rPr>
          <w:sz w:val="28"/>
          <w:szCs w:val="28"/>
        </w:rPr>
        <w:lastRenderedPageBreak/>
        <w:t>також логічно пов’язано із тривалістю візуального навантаження та змістом переглянутих телепередач. Результати багатьох досліджень доводять прямий зв'язок між стресогенністю телепередач, інтернетрозваг та розвитком дистресорних станів.</w:t>
      </w:r>
    </w:p>
    <w:p w:rsidR="006F2A3B" w:rsidRPr="002E6ECA" w:rsidRDefault="006F2A3B" w:rsidP="006F2A3B">
      <w:pPr>
        <w:spacing w:line="360" w:lineRule="auto"/>
        <w:jc w:val="right"/>
        <w:rPr>
          <w:i/>
          <w:sz w:val="28"/>
          <w:szCs w:val="28"/>
          <w:lang w:val="uk-UA"/>
        </w:rPr>
      </w:pPr>
      <w:r w:rsidRPr="002E6ECA">
        <w:rPr>
          <w:i/>
          <w:sz w:val="28"/>
          <w:szCs w:val="28"/>
          <w:lang w:val="uk-UA"/>
        </w:rPr>
        <w:t xml:space="preserve">Таблиця 9.3 </w:t>
      </w:r>
    </w:p>
    <w:p w:rsidR="006F2A3B" w:rsidRPr="002E6ECA" w:rsidRDefault="006F2A3B" w:rsidP="006F124B">
      <w:pPr>
        <w:spacing w:line="360" w:lineRule="auto"/>
        <w:ind w:firstLine="709"/>
        <w:jc w:val="center"/>
        <w:rPr>
          <w:b/>
          <w:sz w:val="28"/>
          <w:szCs w:val="28"/>
          <w:lang w:val="uk-UA"/>
        </w:rPr>
      </w:pPr>
      <w:r w:rsidRPr="002E6ECA">
        <w:rPr>
          <w:b/>
          <w:sz w:val="28"/>
          <w:szCs w:val="28"/>
          <w:lang w:val="uk-UA"/>
        </w:rPr>
        <w:t>Вплив візуального оточення (екранного часу) на формування патологічних станів , χ</w:t>
      </w:r>
      <w:r w:rsidRPr="002E6ECA">
        <w:rPr>
          <w:b/>
          <w:sz w:val="28"/>
          <w:szCs w:val="28"/>
          <w:vertAlign w:val="superscript"/>
          <w:lang w:val="uk-UA"/>
        </w:rPr>
        <w:t>2</w:t>
      </w:r>
    </w:p>
    <w:tbl>
      <w:tblPr>
        <w:tblW w:w="9745" w:type="dxa"/>
        <w:tblInd w:w="98" w:type="dxa"/>
        <w:tblLayout w:type="fixed"/>
        <w:tblLook w:val="04A0" w:firstRow="1" w:lastRow="0" w:firstColumn="1" w:lastColumn="0" w:noHBand="0" w:noVBand="1"/>
      </w:tblPr>
      <w:tblGrid>
        <w:gridCol w:w="1570"/>
        <w:gridCol w:w="425"/>
        <w:gridCol w:w="1252"/>
        <w:gridCol w:w="1252"/>
        <w:gridCol w:w="1252"/>
        <w:gridCol w:w="1489"/>
        <w:gridCol w:w="1252"/>
        <w:gridCol w:w="1253"/>
      </w:tblGrid>
      <w:tr w:rsidR="006F2A3B" w:rsidRPr="002E6ECA" w:rsidTr="00061256">
        <w:trPr>
          <w:trHeight w:val="1086"/>
        </w:trPr>
        <w:tc>
          <w:tcPr>
            <w:tcW w:w="1995" w:type="dxa"/>
            <w:gridSpan w:val="2"/>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061256">
            <w:pPr>
              <w:ind w:right="-108"/>
              <w:jc w:val="center"/>
            </w:pPr>
            <w:r w:rsidRPr="002E6ECA">
              <w:rPr>
                <w:lang w:val="uk-UA" w:eastAsia="uk-UA"/>
              </w:rPr>
              <w:t>Показник навчальної діяльності</w:t>
            </w:r>
          </w:p>
        </w:tc>
        <w:tc>
          <w:tcPr>
            <w:tcW w:w="1252"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right="-108"/>
              <w:jc w:val="center"/>
            </w:pPr>
            <w:r w:rsidRPr="002E6ECA">
              <w:rPr>
                <w:lang w:val="uk-UA" w:eastAsia="uk-UA"/>
              </w:rPr>
              <w:t>Види візуального навантаження</w:t>
            </w:r>
          </w:p>
        </w:tc>
        <w:tc>
          <w:tcPr>
            <w:tcW w:w="1252"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right="-108"/>
              <w:jc w:val="center"/>
            </w:pPr>
            <w:r w:rsidRPr="002E6ECA">
              <w:rPr>
                <w:lang w:val="uk-UA" w:eastAsia="uk-UA"/>
              </w:rPr>
              <w:t>Тривалість перегляду ТВ</w:t>
            </w:r>
          </w:p>
        </w:tc>
        <w:tc>
          <w:tcPr>
            <w:tcW w:w="1252"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right="-108"/>
              <w:jc w:val="center"/>
            </w:pPr>
            <w:r w:rsidRPr="002E6ECA">
              <w:rPr>
                <w:lang w:val="uk-UA" w:eastAsia="uk-UA"/>
              </w:rPr>
              <w:t>Перегляд ТВ у навчальні дні</w:t>
            </w:r>
          </w:p>
        </w:tc>
        <w:tc>
          <w:tcPr>
            <w:tcW w:w="1489"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right="-108"/>
              <w:jc w:val="center"/>
            </w:pPr>
            <w:r w:rsidRPr="002E6ECA">
              <w:rPr>
                <w:lang w:val="uk-UA" w:eastAsia="uk-UA"/>
              </w:rPr>
              <w:t>Гра за комп'ютером у навчальні дні</w:t>
            </w:r>
          </w:p>
        </w:tc>
        <w:tc>
          <w:tcPr>
            <w:tcW w:w="1252"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right="-108"/>
              <w:jc w:val="center"/>
            </w:pPr>
            <w:r w:rsidRPr="002E6ECA">
              <w:rPr>
                <w:lang w:val="uk-UA" w:eastAsia="uk-UA"/>
              </w:rPr>
              <w:t>Перегляд ТВ у вихідні дні</w:t>
            </w:r>
          </w:p>
        </w:tc>
        <w:tc>
          <w:tcPr>
            <w:tcW w:w="1253"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right="-108"/>
              <w:jc w:val="center"/>
            </w:pPr>
            <w:r w:rsidRPr="002E6ECA">
              <w:rPr>
                <w:lang w:val="uk-UA" w:eastAsia="uk-UA"/>
              </w:rPr>
              <w:t>Гра за комп'ютером у вихідні дні</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ендокринної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0,3*</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0,13</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0,15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w:t>
            </w:r>
          </w:p>
        </w:tc>
      </w:tr>
      <w:tr w:rsidR="006F2A3B" w:rsidRPr="002E6ECA" w:rsidTr="00061256">
        <w:trPr>
          <w:trHeight w:val="65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Розлади психіки та поведінки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3,7</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0,3*</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1,25*</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1,25*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3,7</w:t>
            </w:r>
          </w:p>
        </w:tc>
      </w:tr>
      <w:tr w:rsidR="006F2A3B" w:rsidRPr="002E6ECA" w:rsidTr="00061256">
        <w:trPr>
          <w:trHeight w:val="40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0,007</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0,007</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нервової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0,6</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1,24</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0,4*</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0,6</w:t>
            </w:r>
          </w:p>
        </w:tc>
      </w:tr>
      <w:tr w:rsidR="006F2A3B" w:rsidRPr="002E6ECA" w:rsidTr="00061256">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ока та придатко-вого апарату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6,04</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0,96</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0,15</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0,6*</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0,9*</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6,04</w:t>
            </w:r>
          </w:p>
        </w:tc>
      </w:tr>
      <w:tr w:rsidR="006F2A3B" w:rsidRPr="002E6ECA" w:rsidTr="00061256">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0,014</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0,014</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системи кровообігу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26,28</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8,65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5,33</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8,83</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4,97</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26,28</w:t>
            </w:r>
          </w:p>
        </w:tc>
      </w:tr>
      <w:tr w:rsidR="006F2A3B" w:rsidRPr="002E6ECA" w:rsidTr="00061256">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0,003</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0,021</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0,003</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0,026</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&lt;0,001</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дихальної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1,3</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0,75*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1,3</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1,0*</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1,3*</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1,3</w:t>
            </w:r>
          </w:p>
        </w:tc>
      </w:tr>
      <w:tr w:rsidR="006F2A3B" w:rsidRPr="002E6ECA" w:rsidTr="00061256">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061256">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органів травлення</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489"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252"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25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r>
      <w:tr w:rsidR="006F2A3B" w:rsidRPr="002E6ECA" w:rsidTr="00061256">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489"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252"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25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r>
    </w:tbl>
    <w:p w:rsidR="006F2A3B" w:rsidRPr="002E6ECA" w:rsidRDefault="006F2A3B" w:rsidP="006F2A3B">
      <w:pPr>
        <w:rPr>
          <w:lang w:val="uk-UA"/>
        </w:rPr>
      </w:pPr>
      <w:r w:rsidRPr="002E6ECA">
        <w:rPr>
          <w:lang w:val="uk-UA"/>
        </w:rPr>
        <w:t xml:space="preserve">Примітка: </w:t>
      </w:r>
      <w:r w:rsidRPr="002E6ECA">
        <w:rPr>
          <w:vertAlign w:val="superscript"/>
          <w:lang w:val="uk-UA"/>
        </w:rPr>
        <w:t>*</w:t>
      </w:r>
      <w:r w:rsidRPr="002E6ECA">
        <w:rPr>
          <w:lang w:val="uk-UA"/>
        </w:rPr>
        <w:t xml:space="preserve"> </w:t>
      </w:r>
      <w:r w:rsidR="00E26678" w:rsidRPr="002E6ECA">
        <w:rPr>
          <w:lang w:val="uk-UA"/>
        </w:rPr>
        <w:t>-</w:t>
      </w:r>
      <w:r w:rsidRPr="002E6ECA">
        <w:rPr>
          <w:lang w:val="uk-UA"/>
        </w:rPr>
        <w:t>відносний ризик</w:t>
      </w:r>
    </w:p>
    <w:p w:rsidR="00257C9F" w:rsidRPr="002E6ECA" w:rsidRDefault="00257C9F" w:rsidP="009A1812">
      <w:pPr>
        <w:spacing w:line="276" w:lineRule="auto"/>
        <w:ind w:firstLine="709"/>
        <w:jc w:val="both"/>
        <w:rPr>
          <w:sz w:val="28"/>
          <w:szCs w:val="28"/>
          <w:lang w:val="uk-UA"/>
        </w:rPr>
      </w:pPr>
    </w:p>
    <w:p w:rsidR="00061256" w:rsidRPr="002E6ECA" w:rsidRDefault="00061256" w:rsidP="00061256">
      <w:pPr>
        <w:spacing w:line="360" w:lineRule="auto"/>
        <w:ind w:firstLine="709"/>
        <w:jc w:val="both"/>
        <w:rPr>
          <w:sz w:val="28"/>
          <w:szCs w:val="28"/>
          <w:lang w:val="uk-UA"/>
        </w:rPr>
      </w:pPr>
      <w:r w:rsidRPr="002E6ECA">
        <w:rPr>
          <w:sz w:val="28"/>
          <w:szCs w:val="28"/>
          <w:lang w:val="uk-UA"/>
        </w:rPr>
        <w:t xml:space="preserve">Недотримання рівня рухової активності як за загальним обсягом, так і за характером організації вільного часу, а також перерв у школі провокувало розвиток неврологічної, офтальмологічної, кардіологічної, респіраторної, травної систем, а також розладів психіки та поведінки (р&lt;0,05-0,01). Пасивний відпочинок під час перерви сприяв підвищенню поширеності розладів психіки та поведінки, а активний </w:t>
      </w:r>
      <w:r w:rsidR="00E26678" w:rsidRPr="002E6ECA">
        <w:rPr>
          <w:sz w:val="28"/>
          <w:szCs w:val="28"/>
          <w:lang w:val="uk-UA"/>
        </w:rPr>
        <w:t>-</w:t>
      </w:r>
      <w:r w:rsidRPr="002E6ECA">
        <w:rPr>
          <w:sz w:val="28"/>
          <w:szCs w:val="28"/>
          <w:lang w:val="uk-UA"/>
        </w:rPr>
        <w:t xml:space="preserve">зменшував рівень чисельності хвороб органу зору та </w:t>
      </w:r>
      <w:r w:rsidRPr="002E6ECA">
        <w:rPr>
          <w:sz w:val="28"/>
          <w:szCs w:val="28"/>
          <w:lang w:val="uk-UA"/>
        </w:rPr>
        <w:lastRenderedPageBreak/>
        <w:t xml:space="preserve">системи кровообігу (табл. 9.4). Будь-який спосіб відпочинку сприяє відновленню функціонального стану та оптимізації працездатності, але порівняння дієвості пасивного та активного відпочинку не тільки доводить більшу ефективність останнього, але й дає підстави для врахування саме активних дій при розробці комплексних оздоровчих програм. </w:t>
      </w:r>
    </w:p>
    <w:p w:rsidR="00616939" w:rsidRPr="002E6ECA" w:rsidRDefault="00616939" w:rsidP="00616939">
      <w:pPr>
        <w:spacing w:line="360" w:lineRule="auto"/>
        <w:jc w:val="right"/>
        <w:rPr>
          <w:i/>
          <w:sz w:val="28"/>
          <w:szCs w:val="28"/>
          <w:lang w:val="uk-UA"/>
        </w:rPr>
      </w:pPr>
      <w:r w:rsidRPr="002E6ECA">
        <w:rPr>
          <w:i/>
          <w:sz w:val="28"/>
          <w:szCs w:val="28"/>
          <w:lang w:val="uk-UA"/>
        </w:rPr>
        <w:t xml:space="preserve">Таблиця 9.4 </w:t>
      </w:r>
    </w:p>
    <w:p w:rsidR="00616939" w:rsidRPr="002E6ECA" w:rsidRDefault="00616939" w:rsidP="00616939">
      <w:pPr>
        <w:spacing w:after="200" w:line="276" w:lineRule="auto"/>
        <w:jc w:val="center"/>
        <w:rPr>
          <w:b/>
          <w:i/>
          <w:sz w:val="28"/>
          <w:szCs w:val="28"/>
          <w:lang w:val="uk-UA"/>
        </w:rPr>
      </w:pPr>
      <w:r w:rsidRPr="002E6ECA">
        <w:rPr>
          <w:b/>
          <w:sz w:val="28"/>
          <w:szCs w:val="28"/>
          <w:lang w:val="uk-UA"/>
        </w:rPr>
        <w:t>Вплив рухової активності на формування хронічної патології, χ</w:t>
      </w:r>
      <w:r w:rsidRPr="002E6ECA">
        <w:rPr>
          <w:b/>
          <w:sz w:val="28"/>
          <w:szCs w:val="28"/>
          <w:vertAlign w:val="superscript"/>
          <w:lang w:val="uk-UA"/>
        </w:rPr>
        <w:t>2</w:t>
      </w:r>
    </w:p>
    <w:tbl>
      <w:tblPr>
        <w:tblStyle w:val="af"/>
        <w:tblW w:w="9515" w:type="dxa"/>
        <w:tblLook w:val="04A0" w:firstRow="1" w:lastRow="0" w:firstColumn="1" w:lastColumn="0" w:noHBand="0" w:noVBand="1"/>
      </w:tblPr>
      <w:tblGrid>
        <w:gridCol w:w="3794"/>
        <w:gridCol w:w="846"/>
        <w:gridCol w:w="1021"/>
        <w:gridCol w:w="923"/>
        <w:gridCol w:w="1004"/>
        <w:gridCol w:w="923"/>
        <w:gridCol w:w="1004"/>
      </w:tblGrid>
      <w:tr w:rsidR="00616939" w:rsidRPr="002E6ECA" w:rsidTr="00616939">
        <w:trPr>
          <w:trHeight w:val="390"/>
        </w:trPr>
        <w:tc>
          <w:tcPr>
            <w:tcW w:w="3794" w:type="dxa"/>
            <w:vMerge w:val="restart"/>
            <w:noWrap/>
            <w:vAlign w:val="center"/>
            <w:hideMark/>
          </w:tcPr>
          <w:p w:rsidR="00616939" w:rsidRPr="002E6ECA" w:rsidRDefault="00616939" w:rsidP="00616939">
            <w:pPr>
              <w:jc w:val="center"/>
              <w:rPr>
                <w:rFonts w:ascii="Calibri" w:hAnsi="Calibri"/>
                <w:sz w:val="22"/>
                <w:szCs w:val="22"/>
                <w:lang w:val="uk-UA" w:eastAsia="uk-UA"/>
              </w:rPr>
            </w:pPr>
            <w:r w:rsidRPr="002E6ECA">
              <w:rPr>
                <w:sz w:val="28"/>
                <w:szCs w:val="28"/>
                <w:lang w:val="uk-UA" w:eastAsia="uk-UA"/>
              </w:rPr>
              <w:t>Клас хвороб</w:t>
            </w:r>
          </w:p>
        </w:tc>
        <w:tc>
          <w:tcPr>
            <w:tcW w:w="5721" w:type="dxa"/>
            <w:gridSpan w:val="6"/>
            <w:noWrap/>
            <w:vAlign w:val="center"/>
            <w:hideMark/>
          </w:tcPr>
          <w:p w:rsidR="00616939" w:rsidRPr="002E6ECA" w:rsidRDefault="00616939" w:rsidP="00616939">
            <w:pPr>
              <w:jc w:val="center"/>
              <w:rPr>
                <w:rFonts w:ascii="Calibri" w:hAnsi="Calibri"/>
                <w:sz w:val="22"/>
                <w:szCs w:val="22"/>
                <w:lang w:val="uk-UA" w:eastAsia="uk-UA"/>
              </w:rPr>
            </w:pPr>
            <w:r w:rsidRPr="002E6ECA">
              <w:rPr>
                <w:sz w:val="28"/>
                <w:szCs w:val="28"/>
                <w:lang w:val="uk-UA" w:eastAsia="uk-UA"/>
              </w:rPr>
              <w:t>Показники рухової активності</w:t>
            </w:r>
          </w:p>
        </w:tc>
      </w:tr>
      <w:tr w:rsidR="00616939" w:rsidRPr="002E6ECA" w:rsidTr="00616939">
        <w:trPr>
          <w:trHeight w:val="1125"/>
        </w:trPr>
        <w:tc>
          <w:tcPr>
            <w:tcW w:w="3794" w:type="dxa"/>
            <w:vMerge/>
            <w:noWrap/>
            <w:hideMark/>
          </w:tcPr>
          <w:p w:rsidR="00616939" w:rsidRPr="002E6ECA" w:rsidRDefault="00616939" w:rsidP="00616939">
            <w:pPr>
              <w:rPr>
                <w:sz w:val="28"/>
                <w:szCs w:val="28"/>
                <w:lang w:val="uk-UA" w:eastAsia="uk-UA"/>
              </w:rPr>
            </w:pPr>
          </w:p>
        </w:tc>
        <w:tc>
          <w:tcPr>
            <w:tcW w:w="1867" w:type="dxa"/>
            <w:gridSpan w:val="2"/>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Обсяг рухової активності</w:t>
            </w:r>
          </w:p>
        </w:tc>
        <w:tc>
          <w:tcPr>
            <w:tcW w:w="1927" w:type="dxa"/>
            <w:gridSpan w:val="2"/>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Заняття спортом у навчальні дні</w:t>
            </w:r>
          </w:p>
        </w:tc>
        <w:tc>
          <w:tcPr>
            <w:tcW w:w="1927" w:type="dxa"/>
            <w:gridSpan w:val="2"/>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Заняття спортом у вихідні дні</w:t>
            </w:r>
          </w:p>
        </w:tc>
      </w:tr>
      <w:tr w:rsidR="00616939" w:rsidRPr="002E6ECA" w:rsidTr="00616939">
        <w:trPr>
          <w:trHeight w:val="465"/>
        </w:trPr>
        <w:tc>
          <w:tcPr>
            <w:tcW w:w="3794" w:type="dxa"/>
            <w:vMerge/>
            <w:noWrap/>
            <w:hideMark/>
          </w:tcPr>
          <w:p w:rsidR="00616939" w:rsidRPr="002E6ECA" w:rsidRDefault="00616939" w:rsidP="00616939">
            <w:pPr>
              <w:rPr>
                <w:sz w:val="28"/>
                <w:szCs w:val="28"/>
                <w:lang w:val="uk-UA" w:eastAsia="uk-UA"/>
              </w:rPr>
            </w:pPr>
          </w:p>
        </w:tc>
        <w:tc>
          <w:tcPr>
            <w:tcW w:w="846" w:type="dxa"/>
            <w:noWrap/>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χ</w:t>
            </w:r>
            <w:r w:rsidRPr="002E6ECA">
              <w:rPr>
                <w:sz w:val="28"/>
                <w:szCs w:val="28"/>
                <w:vertAlign w:val="superscript"/>
                <w:lang w:val="uk-UA" w:eastAsia="uk-UA"/>
              </w:rPr>
              <w:t>2</w:t>
            </w:r>
          </w:p>
        </w:tc>
        <w:tc>
          <w:tcPr>
            <w:tcW w:w="1021" w:type="dxa"/>
            <w:noWrap/>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р</w:t>
            </w:r>
          </w:p>
        </w:tc>
        <w:tc>
          <w:tcPr>
            <w:tcW w:w="923" w:type="dxa"/>
            <w:noWrap/>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χ</w:t>
            </w:r>
            <w:r w:rsidRPr="002E6ECA">
              <w:rPr>
                <w:sz w:val="28"/>
                <w:szCs w:val="28"/>
                <w:vertAlign w:val="superscript"/>
                <w:lang w:val="uk-UA" w:eastAsia="uk-UA"/>
              </w:rPr>
              <w:t>2</w:t>
            </w:r>
          </w:p>
        </w:tc>
        <w:tc>
          <w:tcPr>
            <w:tcW w:w="1004" w:type="dxa"/>
            <w:noWrap/>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р</w:t>
            </w:r>
          </w:p>
        </w:tc>
        <w:tc>
          <w:tcPr>
            <w:tcW w:w="923" w:type="dxa"/>
            <w:noWrap/>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χ</w:t>
            </w:r>
            <w:r w:rsidRPr="002E6ECA">
              <w:rPr>
                <w:sz w:val="28"/>
                <w:szCs w:val="28"/>
                <w:vertAlign w:val="superscript"/>
                <w:lang w:val="uk-UA" w:eastAsia="uk-UA"/>
              </w:rPr>
              <w:t>2</w:t>
            </w:r>
          </w:p>
        </w:tc>
        <w:tc>
          <w:tcPr>
            <w:tcW w:w="1004" w:type="dxa"/>
            <w:noWrap/>
            <w:vAlign w:val="center"/>
            <w:hideMark/>
          </w:tcPr>
          <w:p w:rsidR="00616939" w:rsidRPr="002E6ECA" w:rsidRDefault="00616939" w:rsidP="00616939">
            <w:pPr>
              <w:jc w:val="center"/>
              <w:rPr>
                <w:sz w:val="28"/>
                <w:szCs w:val="28"/>
                <w:lang w:val="uk-UA" w:eastAsia="uk-UA"/>
              </w:rPr>
            </w:pPr>
            <w:r w:rsidRPr="002E6ECA">
              <w:rPr>
                <w:sz w:val="28"/>
                <w:szCs w:val="28"/>
                <w:lang w:val="uk-UA" w:eastAsia="uk-UA"/>
              </w:rPr>
              <w:t>р</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Хвороби ендокринної системи</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2,1</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0,13</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0,96</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Розлади психіки та поведінки</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11,17</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0,001</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2,0*</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&lt;0,001</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0,5*</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Хвороби нервової системи</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4,97</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0,026</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3,4</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0,5*</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Хвороби ока та придаткового апарату</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11,12</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0,001</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4,03</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0,045</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Хвороби системи кровообігу</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21,44</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0,026</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1,8</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12,97</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&lt;0,001</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Хвороби дихальної системи</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4,97</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0,026</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4,32</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0,038</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1,3*</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&gt;0,05</w:t>
            </w:r>
          </w:p>
        </w:tc>
      </w:tr>
      <w:tr w:rsidR="00616939" w:rsidRPr="002E6ECA" w:rsidTr="00616939">
        <w:trPr>
          <w:trHeight w:val="644"/>
        </w:trPr>
        <w:tc>
          <w:tcPr>
            <w:tcW w:w="3794" w:type="dxa"/>
            <w:noWrap/>
            <w:hideMark/>
          </w:tcPr>
          <w:p w:rsidR="00616939" w:rsidRPr="002E6ECA" w:rsidRDefault="00616939" w:rsidP="00616939">
            <w:pPr>
              <w:rPr>
                <w:sz w:val="28"/>
                <w:szCs w:val="28"/>
                <w:lang w:val="uk-UA" w:eastAsia="uk-UA"/>
              </w:rPr>
            </w:pPr>
            <w:r w:rsidRPr="002E6ECA">
              <w:rPr>
                <w:bCs/>
                <w:sz w:val="28"/>
                <w:szCs w:val="28"/>
                <w:lang w:val="uk-UA" w:eastAsia="uk-UA"/>
              </w:rPr>
              <w:t>Хвороби органів травлення</w:t>
            </w:r>
          </w:p>
        </w:tc>
        <w:tc>
          <w:tcPr>
            <w:tcW w:w="846" w:type="dxa"/>
            <w:noWrap/>
            <w:hideMark/>
          </w:tcPr>
          <w:p w:rsidR="00616939" w:rsidRPr="002E6ECA" w:rsidRDefault="00616939" w:rsidP="00616939">
            <w:pPr>
              <w:jc w:val="center"/>
              <w:rPr>
                <w:sz w:val="28"/>
                <w:szCs w:val="28"/>
                <w:lang w:val="uk-UA" w:eastAsia="uk-UA"/>
              </w:rPr>
            </w:pPr>
            <w:r w:rsidRPr="002E6ECA">
              <w:rPr>
                <w:sz w:val="28"/>
                <w:szCs w:val="28"/>
                <w:lang w:val="uk-UA" w:eastAsia="uk-UA"/>
              </w:rPr>
              <w:t>25,04</w:t>
            </w:r>
          </w:p>
        </w:tc>
        <w:tc>
          <w:tcPr>
            <w:tcW w:w="1021" w:type="dxa"/>
            <w:noWrap/>
            <w:hideMark/>
          </w:tcPr>
          <w:p w:rsidR="00616939" w:rsidRPr="002E6ECA" w:rsidRDefault="00616939" w:rsidP="00616939">
            <w:pPr>
              <w:jc w:val="center"/>
              <w:rPr>
                <w:sz w:val="28"/>
                <w:szCs w:val="28"/>
                <w:lang w:val="uk-UA" w:eastAsia="uk-UA"/>
              </w:rPr>
            </w:pPr>
            <w:r w:rsidRPr="002E6ECA">
              <w:rPr>
                <w:sz w:val="28"/>
                <w:szCs w:val="28"/>
                <w:lang w:val="uk-UA" w:eastAsia="uk-UA"/>
              </w:rPr>
              <w:t>&lt;0,001</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w:t>
            </w:r>
          </w:p>
        </w:tc>
        <w:tc>
          <w:tcPr>
            <w:tcW w:w="923" w:type="dxa"/>
            <w:noWrap/>
            <w:hideMark/>
          </w:tcPr>
          <w:p w:rsidR="00616939" w:rsidRPr="002E6ECA" w:rsidRDefault="00616939" w:rsidP="00616939">
            <w:pPr>
              <w:jc w:val="center"/>
              <w:rPr>
                <w:sz w:val="28"/>
                <w:szCs w:val="28"/>
                <w:lang w:val="uk-UA" w:eastAsia="uk-UA"/>
              </w:rPr>
            </w:pPr>
            <w:r w:rsidRPr="002E6ECA">
              <w:rPr>
                <w:sz w:val="28"/>
                <w:szCs w:val="28"/>
                <w:lang w:val="uk-UA" w:eastAsia="uk-UA"/>
              </w:rPr>
              <w:t>–</w:t>
            </w:r>
          </w:p>
        </w:tc>
        <w:tc>
          <w:tcPr>
            <w:tcW w:w="1004" w:type="dxa"/>
            <w:noWrap/>
            <w:hideMark/>
          </w:tcPr>
          <w:p w:rsidR="00616939" w:rsidRPr="002E6ECA" w:rsidRDefault="00616939" w:rsidP="00616939">
            <w:pPr>
              <w:jc w:val="center"/>
              <w:rPr>
                <w:sz w:val="28"/>
                <w:szCs w:val="28"/>
                <w:lang w:val="uk-UA" w:eastAsia="uk-UA"/>
              </w:rPr>
            </w:pPr>
            <w:r w:rsidRPr="002E6ECA">
              <w:rPr>
                <w:sz w:val="28"/>
                <w:szCs w:val="28"/>
                <w:lang w:val="uk-UA" w:eastAsia="uk-UA"/>
              </w:rPr>
              <w:t>–</w:t>
            </w:r>
          </w:p>
        </w:tc>
      </w:tr>
    </w:tbl>
    <w:p w:rsidR="00616939" w:rsidRPr="002E6ECA" w:rsidRDefault="00257C9F" w:rsidP="00616939">
      <w:pPr>
        <w:spacing w:after="200" w:line="276" w:lineRule="auto"/>
        <w:rPr>
          <w:i/>
          <w:sz w:val="28"/>
          <w:szCs w:val="28"/>
          <w:lang w:val="uk-UA"/>
        </w:rPr>
      </w:pPr>
      <w:r w:rsidRPr="002E6ECA">
        <w:rPr>
          <w:lang w:val="uk-UA"/>
        </w:rPr>
        <w:t xml:space="preserve">Примітка: </w:t>
      </w:r>
      <w:r w:rsidRPr="002E6ECA">
        <w:rPr>
          <w:vertAlign w:val="superscript"/>
          <w:lang w:val="uk-UA"/>
        </w:rPr>
        <w:t>*</w:t>
      </w:r>
      <w:r w:rsidRPr="002E6ECA">
        <w:rPr>
          <w:lang w:val="uk-UA"/>
        </w:rPr>
        <w:t xml:space="preserve"> </w:t>
      </w:r>
      <w:r w:rsidR="00E26678" w:rsidRPr="002E6ECA">
        <w:rPr>
          <w:lang w:val="uk-UA"/>
        </w:rPr>
        <w:t>-</w:t>
      </w:r>
      <w:r w:rsidRPr="002E6ECA">
        <w:rPr>
          <w:lang w:val="uk-UA"/>
        </w:rPr>
        <w:t>відносний ризик</w:t>
      </w:r>
    </w:p>
    <w:p w:rsidR="00061256" w:rsidRPr="002E6ECA" w:rsidRDefault="00257C9F" w:rsidP="009A1812">
      <w:pPr>
        <w:spacing w:line="360" w:lineRule="auto"/>
        <w:ind w:firstLine="709"/>
        <w:jc w:val="both"/>
        <w:rPr>
          <w:sz w:val="28"/>
          <w:szCs w:val="28"/>
          <w:lang w:val="uk-UA"/>
        </w:rPr>
      </w:pPr>
      <w:r w:rsidRPr="002E6ECA">
        <w:rPr>
          <w:sz w:val="28"/>
          <w:szCs w:val="28"/>
          <w:lang w:val="uk-UA"/>
        </w:rPr>
        <w:t xml:space="preserve">Раціональне харчування визнається важливою характеристикою здорового способу життя і поряд з фізичною активністю і дотриманням режиму сну і відпочинку є основним фактором оптимізації здоров'я молоді, а також важливим профілактичним і лікувальним засобом сучасної медицини. </w:t>
      </w:r>
      <w:r w:rsidR="00061256" w:rsidRPr="002E6ECA">
        <w:rPr>
          <w:sz w:val="28"/>
          <w:szCs w:val="28"/>
          <w:lang w:val="uk-UA"/>
        </w:rPr>
        <w:t xml:space="preserve">Правильна організація харчування в школі знижувала ризик формування ендокринної, серцево-судинної та офтальмологічної патології, а режим харчування </w:t>
      </w:r>
      <w:r w:rsidR="00E26678" w:rsidRPr="002E6ECA">
        <w:rPr>
          <w:sz w:val="28"/>
          <w:szCs w:val="28"/>
          <w:lang w:val="uk-UA"/>
        </w:rPr>
        <w:t>-</w:t>
      </w:r>
      <w:r w:rsidR="00061256" w:rsidRPr="002E6ECA">
        <w:rPr>
          <w:sz w:val="28"/>
          <w:szCs w:val="28"/>
          <w:lang w:val="uk-UA"/>
        </w:rPr>
        <w:t>хвороб травної системи (табл. 9.5)</w:t>
      </w:r>
      <w:r w:rsidR="006F124B" w:rsidRPr="002E6ECA">
        <w:rPr>
          <w:sz w:val="28"/>
          <w:szCs w:val="28"/>
          <w:lang w:val="uk-UA"/>
        </w:rPr>
        <w:t>.</w:t>
      </w:r>
    </w:p>
    <w:p w:rsidR="006F124B" w:rsidRPr="002E6ECA" w:rsidRDefault="006F124B" w:rsidP="006F124B">
      <w:pPr>
        <w:spacing w:line="360" w:lineRule="auto"/>
        <w:ind w:firstLine="709"/>
        <w:jc w:val="both"/>
        <w:rPr>
          <w:sz w:val="28"/>
          <w:szCs w:val="28"/>
          <w:lang w:val="uk-UA"/>
        </w:rPr>
      </w:pPr>
      <w:r w:rsidRPr="002E6ECA">
        <w:rPr>
          <w:sz w:val="28"/>
          <w:szCs w:val="28"/>
          <w:lang w:val="uk-UA"/>
        </w:rPr>
        <w:lastRenderedPageBreak/>
        <w:t xml:space="preserve">Узагальнюючи результати дослідження ми встановили, що мали вплив такі важливі чинники формування здоров’я як виконання загартовуючих процедур (інколи та регулярно </w:t>
      </w:r>
      <w:r w:rsidR="00E26678" w:rsidRPr="002E6ECA">
        <w:rPr>
          <w:sz w:val="28"/>
          <w:szCs w:val="28"/>
          <w:lang w:val="uk-UA"/>
        </w:rPr>
        <w:t>-</w:t>
      </w:r>
      <w:r w:rsidRPr="002E6ECA">
        <w:rPr>
          <w:sz w:val="28"/>
          <w:szCs w:val="28"/>
          <w:lang w:val="uk-UA"/>
        </w:rPr>
        <w:t>відповідно χ</w:t>
      </w:r>
      <w:r w:rsidRPr="002E6ECA">
        <w:rPr>
          <w:sz w:val="28"/>
          <w:szCs w:val="28"/>
          <w:vertAlign w:val="superscript"/>
          <w:lang w:val="uk-UA"/>
        </w:rPr>
        <w:t>2</w:t>
      </w:r>
      <w:r w:rsidRPr="002E6ECA">
        <w:rPr>
          <w:sz w:val="28"/>
          <w:szCs w:val="28"/>
          <w:lang w:val="uk-UA"/>
        </w:rPr>
        <w:t>=14,667; р&lt;0,001 та χ</w:t>
      </w:r>
      <w:r w:rsidRPr="002E6ECA">
        <w:rPr>
          <w:sz w:val="28"/>
          <w:szCs w:val="28"/>
          <w:vertAlign w:val="superscript"/>
          <w:lang w:val="uk-UA"/>
        </w:rPr>
        <w:t>2</w:t>
      </w:r>
      <w:r w:rsidRPr="002E6ECA">
        <w:rPr>
          <w:sz w:val="28"/>
          <w:szCs w:val="28"/>
          <w:lang w:val="uk-UA"/>
        </w:rPr>
        <w:t>=23,077; р&lt;0,001), регулярне виконання ранкової гімнастики (χ</w:t>
      </w:r>
      <w:r w:rsidRPr="002E6ECA">
        <w:rPr>
          <w:sz w:val="28"/>
          <w:szCs w:val="28"/>
          <w:vertAlign w:val="superscript"/>
          <w:lang w:val="uk-UA"/>
        </w:rPr>
        <w:t>2</w:t>
      </w:r>
      <w:r w:rsidRPr="002E6ECA">
        <w:rPr>
          <w:sz w:val="28"/>
          <w:szCs w:val="28"/>
          <w:lang w:val="uk-UA"/>
        </w:rPr>
        <w:t>=23,758; р&lt;0,001), прогулянки на свіжому повітрі не менше 1 години на добу (χ</w:t>
      </w:r>
      <w:r w:rsidRPr="002E6ECA">
        <w:rPr>
          <w:sz w:val="28"/>
          <w:szCs w:val="28"/>
          <w:vertAlign w:val="superscript"/>
          <w:lang w:val="uk-UA"/>
        </w:rPr>
        <w:t>2</w:t>
      </w:r>
      <w:r w:rsidRPr="002E6ECA">
        <w:rPr>
          <w:sz w:val="28"/>
          <w:szCs w:val="28"/>
          <w:lang w:val="uk-UA"/>
        </w:rPr>
        <w:t>=11,281; р=0,001), обмеження перегляду телевізору та заняття за комп’ютером та з гаджетами, активні способи організації дозвілля.</w:t>
      </w:r>
    </w:p>
    <w:p w:rsidR="006F2A3B" w:rsidRPr="002E6ECA" w:rsidRDefault="006F2A3B" w:rsidP="009A1812">
      <w:pPr>
        <w:spacing w:line="360" w:lineRule="auto"/>
        <w:jc w:val="right"/>
        <w:rPr>
          <w:i/>
          <w:sz w:val="28"/>
          <w:szCs w:val="28"/>
        </w:rPr>
      </w:pPr>
      <w:r w:rsidRPr="002E6ECA">
        <w:rPr>
          <w:i/>
          <w:sz w:val="28"/>
          <w:szCs w:val="28"/>
          <w:lang w:val="uk-UA"/>
        </w:rPr>
        <w:t>Таблиця 9.</w:t>
      </w:r>
      <w:r w:rsidRPr="002E6ECA">
        <w:rPr>
          <w:i/>
          <w:sz w:val="28"/>
          <w:szCs w:val="28"/>
        </w:rPr>
        <w:t>5</w:t>
      </w:r>
    </w:p>
    <w:p w:rsidR="006F2A3B" w:rsidRPr="002E6ECA" w:rsidRDefault="006F2A3B" w:rsidP="006F2A3B">
      <w:pPr>
        <w:spacing w:line="360" w:lineRule="auto"/>
        <w:jc w:val="center"/>
        <w:rPr>
          <w:b/>
          <w:sz w:val="28"/>
          <w:szCs w:val="28"/>
          <w:lang w:val="uk-UA"/>
        </w:rPr>
      </w:pPr>
      <w:r w:rsidRPr="002E6ECA">
        <w:rPr>
          <w:b/>
          <w:sz w:val="28"/>
          <w:szCs w:val="28"/>
          <w:lang w:val="uk-UA"/>
        </w:rPr>
        <w:t>Вплив режиму харчування та його виду у школі на стан здоров’я, χ</w:t>
      </w:r>
      <w:r w:rsidRPr="002E6ECA">
        <w:rPr>
          <w:b/>
          <w:sz w:val="28"/>
          <w:szCs w:val="28"/>
          <w:vertAlign w:val="superscript"/>
          <w:lang w:val="uk-UA"/>
        </w:rPr>
        <w:t>2</w:t>
      </w:r>
    </w:p>
    <w:tbl>
      <w:tblPr>
        <w:tblW w:w="9508" w:type="dxa"/>
        <w:tblInd w:w="98" w:type="dxa"/>
        <w:tblLayout w:type="fixed"/>
        <w:tblLook w:val="04A0" w:firstRow="1" w:lastRow="0" w:firstColumn="1" w:lastColumn="0" w:noHBand="0" w:noVBand="1"/>
      </w:tblPr>
      <w:tblGrid>
        <w:gridCol w:w="1570"/>
        <w:gridCol w:w="425"/>
        <w:gridCol w:w="1073"/>
        <w:gridCol w:w="1073"/>
        <w:gridCol w:w="1073"/>
        <w:gridCol w:w="1074"/>
        <w:gridCol w:w="1073"/>
        <w:gridCol w:w="1073"/>
        <w:gridCol w:w="1074"/>
      </w:tblGrid>
      <w:tr w:rsidR="006F2A3B" w:rsidRPr="002E6ECA" w:rsidTr="006F2A3B">
        <w:trPr>
          <w:trHeight w:val="839"/>
        </w:trPr>
        <w:tc>
          <w:tcPr>
            <w:tcW w:w="1995" w:type="dxa"/>
            <w:gridSpan w:val="2"/>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ind w:right="-108"/>
              <w:jc w:val="center"/>
            </w:pPr>
            <w:r w:rsidRPr="002E6ECA">
              <w:rPr>
                <w:lang w:val="uk-UA" w:eastAsia="uk-UA"/>
              </w:rPr>
              <w:t>Показники, що характеризують харчування</w:t>
            </w:r>
            <w:r w:rsidRPr="002E6ECA">
              <w:t xml:space="preserve"> </w:t>
            </w:r>
          </w:p>
        </w:tc>
        <w:tc>
          <w:tcPr>
            <w:tcW w:w="1073"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Режим харчування</w:t>
            </w:r>
          </w:p>
        </w:tc>
        <w:tc>
          <w:tcPr>
            <w:tcW w:w="1073"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Не їдять у школі</w:t>
            </w:r>
          </w:p>
        </w:tc>
        <w:tc>
          <w:tcPr>
            <w:tcW w:w="1073"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Їжа з дому</w:t>
            </w:r>
          </w:p>
        </w:tc>
        <w:tc>
          <w:tcPr>
            <w:tcW w:w="1074"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Їдять у буфеті школи</w:t>
            </w:r>
          </w:p>
        </w:tc>
        <w:tc>
          <w:tcPr>
            <w:tcW w:w="1073"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Другі страви</w:t>
            </w:r>
          </w:p>
        </w:tc>
        <w:tc>
          <w:tcPr>
            <w:tcW w:w="1073"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Повний обід</w:t>
            </w:r>
          </w:p>
        </w:tc>
        <w:tc>
          <w:tcPr>
            <w:tcW w:w="1074" w:type="dxa"/>
            <w:tcBorders>
              <w:top w:val="single" w:sz="4" w:space="0" w:color="auto"/>
              <w:left w:val="single" w:sz="6" w:space="0" w:color="auto"/>
              <w:bottom w:val="single" w:sz="6" w:space="0" w:color="auto"/>
              <w:right w:val="single" w:sz="6" w:space="0" w:color="auto"/>
            </w:tcBorders>
            <w:shd w:val="clear" w:color="auto" w:fill="auto"/>
            <w:vAlign w:val="bottom"/>
            <w:hideMark/>
          </w:tcPr>
          <w:p w:rsidR="006F2A3B" w:rsidRPr="002E6ECA" w:rsidRDefault="006F2A3B" w:rsidP="006F2A3B">
            <w:pPr>
              <w:ind w:left="-108"/>
              <w:jc w:val="center"/>
            </w:pPr>
            <w:r w:rsidRPr="002E6ECA">
              <w:rPr>
                <w:lang w:val="uk-UA" w:eastAsia="uk-UA"/>
              </w:rPr>
              <w:t>Прийом вітамінів</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ендокринної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10,26</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0,12*</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1,4*</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0,13</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0,19*</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r>
      <w:tr w:rsidR="006F2A3B" w:rsidRPr="002E6ECA" w:rsidTr="006F2A3B">
        <w:trPr>
          <w:trHeight w:val="65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0,001</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0,017</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0,012</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Розлади психіки та поведінки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21,95</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0,3*</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8,04</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0,8*</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0,8*</w:t>
            </w:r>
          </w:p>
        </w:tc>
      </w:tr>
      <w:tr w:rsidR="006F2A3B" w:rsidRPr="002E6ECA" w:rsidTr="006F2A3B">
        <w:trPr>
          <w:trHeight w:val="40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0,035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0,011</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0,007</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нервової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17,45</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0,07*</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1,14*</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0,6</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1,3</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0,25*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0,88*</w:t>
            </w:r>
          </w:p>
        </w:tc>
      </w:tr>
      <w:tr w:rsidR="006F2A3B" w:rsidRPr="002E6ECA" w:rsidTr="006F2A3B">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0,002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ока та придатко-вого апарату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9,48</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11,12</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0,67*</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0,12</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11,12</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0,96</w:t>
            </w:r>
          </w:p>
        </w:tc>
      </w:tr>
      <w:tr w:rsidR="006F2A3B" w:rsidRPr="002E6ECA" w:rsidTr="006F2A3B">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0,002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0,001</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0,001</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системи кровообігу</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19,31</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21,44</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2,7</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6,76</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4,11</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24,3</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10,45</w:t>
            </w:r>
          </w:p>
        </w:tc>
      </w:tr>
      <w:tr w:rsidR="006F2A3B" w:rsidRPr="002E6ECA" w:rsidTr="006F2A3B">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0,009</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0,043</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&lt;0,001</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0,001</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дихальної системи</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20,83</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0,08*</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3,4</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1,0*</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1,9</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0,0*</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2,37</w:t>
            </w:r>
          </w:p>
        </w:tc>
      </w:tr>
      <w:tr w:rsidR="006F2A3B" w:rsidRPr="002E6ECA" w:rsidTr="006F2A3B">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&gt;0,05</w:t>
            </w:r>
          </w:p>
        </w:tc>
      </w:tr>
      <w:tr w:rsidR="006F2A3B" w:rsidRPr="002E6ECA" w:rsidTr="006F2A3B">
        <w:trPr>
          <w:trHeight w:val="410"/>
        </w:trPr>
        <w:tc>
          <w:tcPr>
            <w:tcW w:w="1570" w:type="dxa"/>
            <w:vMerge w:val="restart"/>
            <w:tcBorders>
              <w:top w:val="single" w:sz="6" w:space="0" w:color="auto"/>
              <w:left w:val="single" w:sz="6" w:space="0" w:color="auto"/>
              <w:bottom w:val="single" w:sz="8" w:space="0" w:color="auto"/>
              <w:right w:val="single" w:sz="6" w:space="0" w:color="auto"/>
            </w:tcBorders>
            <w:shd w:val="clear" w:color="000000" w:fill="FFFFFF"/>
            <w:vAlign w:val="center"/>
            <w:hideMark/>
          </w:tcPr>
          <w:p w:rsidR="006F2A3B" w:rsidRPr="002E6ECA" w:rsidRDefault="006F2A3B" w:rsidP="006F2A3B">
            <w:pPr>
              <w:jc w:val="center"/>
            </w:pPr>
            <w:r w:rsidRPr="002E6ECA">
              <w:rPr>
                <w:lang w:val="uk-UA"/>
              </w:rPr>
              <w:t>Хвороби органів травлення</w:t>
            </w: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χ</w:t>
            </w:r>
            <w:r w:rsidRPr="002E6ECA">
              <w:rPr>
                <w:vertAlign w:val="superscript"/>
                <w:lang w:val="uk-UA"/>
              </w:rPr>
              <w:t>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35,22</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rPr>
              <w:t>–</w:t>
            </w:r>
          </w:p>
        </w:tc>
        <w:tc>
          <w:tcPr>
            <w:tcW w:w="1074"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rsidR="006F2A3B" w:rsidRPr="002E6ECA" w:rsidRDefault="006F2A3B" w:rsidP="006F2A3B">
            <w:pPr>
              <w:jc w:val="center"/>
            </w:pPr>
            <w:r w:rsidRPr="002E6ECA">
              <w:rPr>
                <w:lang w:val="uk-UA" w:eastAsia="uk-UA"/>
              </w:rPr>
              <w:t>1,0*</w:t>
            </w:r>
          </w:p>
        </w:tc>
      </w:tr>
      <w:tr w:rsidR="006F2A3B" w:rsidRPr="002E6ECA" w:rsidTr="006F2A3B">
        <w:trPr>
          <w:trHeight w:val="370"/>
        </w:trPr>
        <w:tc>
          <w:tcPr>
            <w:tcW w:w="1570" w:type="dxa"/>
            <w:vMerge/>
            <w:tcBorders>
              <w:top w:val="nil"/>
              <w:left w:val="single" w:sz="6" w:space="0" w:color="auto"/>
              <w:bottom w:val="single" w:sz="6" w:space="0" w:color="auto"/>
              <w:right w:val="single" w:sz="6" w:space="0" w:color="auto"/>
            </w:tcBorders>
            <w:vAlign w:val="center"/>
            <w:hideMark/>
          </w:tcPr>
          <w:p w:rsidR="006F2A3B" w:rsidRPr="002E6ECA" w:rsidRDefault="006F2A3B" w:rsidP="006F2A3B">
            <w:pPr>
              <w:jc w:val="center"/>
            </w:pPr>
          </w:p>
        </w:tc>
        <w:tc>
          <w:tcPr>
            <w:tcW w:w="425"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р</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074"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073"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rPr>
              <w:t>–</w:t>
            </w:r>
          </w:p>
        </w:tc>
        <w:tc>
          <w:tcPr>
            <w:tcW w:w="1074" w:type="dxa"/>
            <w:tcBorders>
              <w:top w:val="single" w:sz="6" w:space="0" w:color="auto"/>
              <w:left w:val="single" w:sz="6" w:space="0" w:color="auto"/>
              <w:bottom w:val="single" w:sz="6" w:space="0" w:color="auto"/>
              <w:right w:val="single" w:sz="6" w:space="0" w:color="auto"/>
            </w:tcBorders>
            <w:shd w:val="clear" w:color="000000" w:fill="FFFFFF"/>
            <w:noWrap/>
            <w:vAlign w:val="center"/>
            <w:hideMark/>
          </w:tcPr>
          <w:p w:rsidR="006F2A3B" w:rsidRPr="002E6ECA" w:rsidRDefault="006F2A3B" w:rsidP="006F2A3B">
            <w:pPr>
              <w:jc w:val="center"/>
            </w:pPr>
            <w:r w:rsidRPr="002E6ECA">
              <w:rPr>
                <w:lang w:val="uk-UA" w:eastAsia="uk-UA"/>
              </w:rPr>
              <w:t>&lt;0,001</w:t>
            </w:r>
          </w:p>
        </w:tc>
      </w:tr>
    </w:tbl>
    <w:p w:rsidR="00257C9F" w:rsidRPr="002E6ECA" w:rsidRDefault="00257C9F" w:rsidP="00257C9F">
      <w:pPr>
        <w:spacing w:after="200" w:line="276" w:lineRule="auto"/>
        <w:rPr>
          <w:i/>
          <w:sz w:val="28"/>
          <w:szCs w:val="28"/>
          <w:lang w:val="uk-UA"/>
        </w:rPr>
      </w:pPr>
      <w:r w:rsidRPr="002E6ECA">
        <w:rPr>
          <w:lang w:val="uk-UA"/>
        </w:rPr>
        <w:t xml:space="preserve">Примітка: </w:t>
      </w:r>
      <w:r w:rsidRPr="002E6ECA">
        <w:rPr>
          <w:vertAlign w:val="superscript"/>
          <w:lang w:val="uk-UA"/>
        </w:rPr>
        <w:t>*</w:t>
      </w:r>
      <w:r w:rsidRPr="002E6ECA">
        <w:rPr>
          <w:lang w:val="uk-UA"/>
        </w:rPr>
        <w:t xml:space="preserve"> </w:t>
      </w:r>
      <w:r w:rsidR="00E26678" w:rsidRPr="002E6ECA">
        <w:rPr>
          <w:lang w:val="uk-UA"/>
        </w:rPr>
        <w:t>-</w:t>
      </w:r>
      <w:r w:rsidRPr="002E6ECA">
        <w:rPr>
          <w:lang w:val="uk-UA"/>
        </w:rPr>
        <w:t>відносний ризик</w:t>
      </w:r>
    </w:p>
    <w:p w:rsidR="009E0B65" w:rsidRPr="002E6ECA" w:rsidRDefault="009E0B65" w:rsidP="009E0B65">
      <w:pPr>
        <w:spacing w:line="360" w:lineRule="auto"/>
        <w:ind w:firstLine="709"/>
        <w:jc w:val="both"/>
        <w:rPr>
          <w:sz w:val="28"/>
          <w:szCs w:val="28"/>
          <w:lang w:val="uk-UA"/>
        </w:rPr>
      </w:pPr>
      <w:r w:rsidRPr="002E6ECA">
        <w:rPr>
          <w:sz w:val="28"/>
          <w:szCs w:val="28"/>
          <w:lang w:val="uk-UA"/>
        </w:rPr>
        <w:t xml:space="preserve">Таким чином, результати, наведені у цьому підрозділі, доводять правомірність та ефективність використання розробленої системи скринінгу для моніторингу стану здоров’я учнів. Результатом скринінгових досліджень стає виявлення основних чинників ризику та вітаут-факторів у повсякденному житті школярів, формування причинно-наслідкових звязків між особливостями </w:t>
      </w:r>
      <w:r w:rsidRPr="002E6ECA">
        <w:rPr>
          <w:sz w:val="28"/>
          <w:szCs w:val="28"/>
          <w:lang w:val="uk-UA"/>
        </w:rPr>
        <w:lastRenderedPageBreak/>
        <w:t xml:space="preserve">способу життя та розладами здоров’я. Цінність такої інформації обумовлена ще й тим, що вона дозволяє обґрунтувати і розробити необхідні профілактичні та оздоровчі заходи. Тобто реалізація розробленого базового скринінгу фактично відбиває алгоритм моніторингу здоров’я. Простота, наочність, фінансова доцільність розробленої системи дозволяє рекомендувати її широке впровадження в практичну діяльність фахівців, які займаються проблемою здоров’я дітей шкільного віку. </w:t>
      </w:r>
    </w:p>
    <w:p w:rsidR="003E4685" w:rsidRPr="002E6ECA" w:rsidRDefault="003E4685" w:rsidP="003E4685">
      <w:pPr>
        <w:spacing w:line="360" w:lineRule="auto"/>
        <w:ind w:firstLine="709"/>
        <w:jc w:val="both"/>
        <w:rPr>
          <w:spacing w:val="-2"/>
          <w:sz w:val="28"/>
          <w:szCs w:val="28"/>
          <w:lang w:val="uk-UA"/>
        </w:rPr>
      </w:pPr>
      <w:r w:rsidRPr="002E6ECA">
        <w:rPr>
          <w:sz w:val="28"/>
          <w:szCs w:val="28"/>
          <w:lang w:val="uk-UA"/>
        </w:rPr>
        <w:t xml:space="preserve">Алгоритм формування профілактичної програми щодо попередження </w:t>
      </w:r>
      <w:r w:rsidRPr="002E6ECA">
        <w:rPr>
          <w:spacing w:val="-2"/>
          <w:sz w:val="28"/>
          <w:szCs w:val="28"/>
          <w:lang w:val="uk-UA"/>
        </w:rPr>
        <w:t xml:space="preserve">неінфекційних захворювань серед школярів (дод. Г) передбачав проведення базової скринінг-діагностики патологічних станів із визначенням РНЗ та подальшим виявленням провідної патології, що визначалась за коефіцієнтом детермінації, а ризик формування патологічної ураженості </w:t>
      </w:r>
      <w:r w:rsidR="00E26678" w:rsidRPr="002E6ECA">
        <w:rPr>
          <w:spacing w:val="-2"/>
          <w:sz w:val="28"/>
          <w:szCs w:val="28"/>
          <w:lang w:val="uk-UA"/>
        </w:rPr>
        <w:t>-</w:t>
      </w:r>
      <w:r w:rsidRPr="002E6ECA">
        <w:rPr>
          <w:spacing w:val="-2"/>
          <w:sz w:val="28"/>
          <w:szCs w:val="28"/>
          <w:lang w:val="uk-UA"/>
        </w:rPr>
        <w:t>за нормалізованим коефіцієнтом детермінації [</w:t>
      </w:r>
      <w:r w:rsidR="00D34BCF" w:rsidRPr="002E6ECA">
        <w:rPr>
          <w:spacing w:val="-2"/>
          <w:sz w:val="28"/>
          <w:szCs w:val="28"/>
          <w:lang w:val="uk-UA"/>
        </w:rPr>
        <w:t>66</w:t>
      </w:r>
      <w:r w:rsidRPr="002E6ECA">
        <w:rPr>
          <w:spacing w:val="-2"/>
          <w:sz w:val="28"/>
          <w:szCs w:val="28"/>
          <w:lang w:val="uk-UA"/>
        </w:rPr>
        <w:t>].У залежності від групи патологічних станів, що превалюють, обирається певний комплекс первинних профілактичних заходів щодо оптимізації режиму дня згідно із ранговим місцем</w:t>
      </w:r>
      <w:r w:rsidR="009A1812" w:rsidRPr="002E6ECA">
        <w:rPr>
          <w:spacing w:val="-2"/>
          <w:sz w:val="28"/>
          <w:szCs w:val="28"/>
          <w:lang w:val="uk-UA"/>
        </w:rPr>
        <w:t xml:space="preserve"> (</w:t>
      </w:r>
      <w:r w:rsidRPr="002E6ECA">
        <w:rPr>
          <w:spacing w:val="-2"/>
          <w:sz w:val="28"/>
          <w:szCs w:val="28"/>
          <w:lang w:val="uk-UA"/>
        </w:rPr>
        <w:t>табл</w:t>
      </w:r>
      <w:r w:rsidR="006F124B" w:rsidRPr="002E6ECA">
        <w:rPr>
          <w:spacing w:val="-2"/>
          <w:sz w:val="28"/>
          <w:szCs w:val="28"/>
          <w:lang w:val="uk-UA"/>
        </w:rPr>
        <w:t>.</w:t>
      </w:r>
      <w:r w:rsidR="009A1812" w:rsidRPr="002E6ECA">
        <w:rPr>
          <w:spacing w:val="-2"/>
          <w:sz w:val="28"/>
          <w:szCs w:val="28"/>
          <w:lang w:val="uk-UA"/>
        </w:rPr>
        <w:t xml:space="preserve"> </w:t>
      </w:r>
      <w:r w:rsidRPr="002E6ECA">
        <w:rPr>
          <w:spacing w:val="-2"/>
          <w:sz w:val="28"/>
          <w:szCs w:val="28"/>
          <w:lang w:val="uk-UA"/>
        </w:rPr>
        <w:t>9.6.</w:t>
      </w:r>
      <w:r w:rsidR="009A1812" w:rsidRPr="002E6ECA">
        <w:rPr>
          <w:spacing w:val="-2"/>
          <w:sz w:val="28"/>
          <w:szCs w:val="28"/>
          <w:lang w:val="uk-UA"/>
        </w:rPr>
        <w:t>).</w:t>
      </w:r>
    </w:p>
    <w:p w:rsidR="009E0B65" w:rsidRPr="002E6ECA" w:rsidRDefault="009E0B65" w:rsidP="009E0B65">
      <w:pPr>
        <w:spacing w:line="360" w:lineRule="auto"/>
        <w:ind w:left="23" w:right="23" w:firstLine="709"/>
        <w:jc w:val="right"/>
        <w:rPr>
          <w:b/>
          <w:bCs/>
          <w:sz w:val="28"/>
          <w:szCs w:val="28"/>
          <w:lang w:val="uk-UA"/>
        </w:rPr>
      </w:pPr>
      <w:r w:rsidRPr="002E6ECA">
        <w:rPr>
          <w:bCs/>
          <w:i/>
          <w:sz w:val="28"/>
          <w:szCs w:val="28"/>
          <w:lang w:val="uk-UA"/>
        </w:rPr>
        <w:t>Таблиця 9.6</w:t>
      </w:r>
      <w:r w:rsidRPr="002E6ECA">
        <w:rPr>
          <w:b/>
          <w:bCs/>
          <w:sz w:val="28"/>
          <w:szCs w:val="28"/>
          <w:lang w:val="uk-UA"/>
        </w:rPr>
        <w:t xml:space="preserve"> </w:t>
      </w:r>
    </w:p>
    <w:p w:rsidR="009E0B65" w:rsidRPr="002E6ECA" w:rsidRDefault="009E0B65" w:rsidP="009E0B65">
      <w:pPr>
        <w:spacing w:line="360" w:lineRule="auto"/>
        <w:ind w:left="23" w:right="23" w:firstLine="709"/>
        <w:jc w:val="center"/>
        <w:rPr>
          <w:b/>
          <w:bCs/>
          <w:sz w:val="28"/>
          <w:szCs w:val="28"/>
          <w:lang w:val="uk-UA"/>
        </w:rPr>
      </w:pPr>
      <w:r w:rsidRPr="002E6ECA">
        <w:rPr>
          <w:b/>
          <w:bCs/>
          <w:sz w:val="28"/>
          <w:szCs w:val="28"/>
          <w:lang w:val="uk-UA"/>
        </w:rPr>
        <w:t>Значущість елементів режиму дня для профілактики патологічних станів</w:t>
      </w:r>
    </w:p>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252"/>
        <w:gridCol w:w="397"/>
        <w:gridCol w:w="397"/>
        <w:gridCol w:w="397"/>
        <w:gridCol w:w="397"/>
        <w:gridCol w:w="397"/>
        <w:gridCol w:w="397"/>
        <w:gridCol w:w="397"/>
        <w:gridCol w:w="397"/>
        <w:gridCol w:w="397"/>
        <w:gridCol w:w="397"/>
        <w:gridCol w:w="397"/>
        <w:gridCol w:w="397"/>
        <w:gridCol w:w="397"/>
      </w:tblGrid>
      <w:tr w:rsidR="009E0B65" w:rsidRPr="002E6ECA" w:rsidTr="00565490">
        <w:trPr>
          <w:cantSplit/>
          <w:trHeight w:val="2679"/>
        </w:trPr>
        <w:tc>
          <w:tcPr>
            <w:tcW w:w="454" w:type="dxa"/>
            <w:shd w:val="clear" w:color="auto" w:fill="auto"/>
            <w:tcMar>
              <w:left w:w="28" w:type="dxa"/>
              <w:right w:w="28" w:type="dxa"/>
            </w:tcMar>
            <w:vAlign w:val="center"/>
          </w:tcPr>
          <w:p w:rsidR="009E0B65" w:rsidRPr="002E6ECA" w:rsidRDefault="009E0B65" w:rsidP="009E0B65">
            <w:pPr>
              <w:spacing w:line="360" w:lineRule="auto"/>
              <w:rPr>
                <w:sz w:val="26"/>
                <w:szCs w:val="26"/>
                <w:lang w:val="uk-UA"/>
              </w:rPr>
            </w:pPr>
          </w:p>
        </w:tc>
        <w:tc>
          <w:tcPr>
            <w:tcW w:w="4252" w:type="dxa"/>
            <w:shd w:val="clear" w:color="auto" w:fill="auto"/>
            <w:tcMar>
              <w:left w:w="28" w:type="dxa"/>
              <w:right w:w="28" w:type="dxa"/>
            </w:tcMar>
            <w:vAlign w:val="center"/>
          </w:tcPr>
          <w:p w:rsidR="009E0B65" w:rsidRPr="002E6ECA" w:rsidRDefault="009E0B65" w:rsidP="009E0B65">
            <w:pPr>
              <w:spacing w:line="360" w:lineRule="auto"/>
              <w:rPr>
                <w:sz w:val="26"/>
                <w:szCs w:val="26"/>
                <w:lang w:val="uk-UA"/>
              </w:rPr>
            </w:pPr>
            <w:r w:rsidRPr="002E6ECA">
              <w:rPr>
                <w:sz w:val="26"/>
                <w:szCs w:val="26"/>
                <w:lang w:val="uk-UA"/>
              </w:rPr>
              <w:t>Елемент режиму дня</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гастроентерологічні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нефрологічні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гіповітаміноз</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кардіоревматологічні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ендокринологічні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пульмонологічні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ЛОР-захворювання</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стоматологічні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ind w:left="113" w:right="113"/>
              <w:rPr>
                <w:bCs/>
                <w:sz w:val="26"/>
                <w:szCs w:val="26"/>
                <w:lang w:val="uk-UA"/>
              </w:rPr>
            </w:pPr>
            <w:r w:rsidRPr="002E6ECA">
              <w:rPr>
                <w:bCs/>
                <w:sz w:val="26"/>
                <w:szCs w:val="26"/>
                <w:lang w:val="uk-UA" w:eastAsia="uk-UA"/>
              </w:rPr>
              <w:t>психоневрологічні</w:t>
            </w:r>
            <w:r w:rsidRPr="002E6ECA">
              <w:rPr>
                <w:bCs/>
                <w:sz w:val="26"/>
                <w:szCs w:val="26"/>
                <w:lang w:val="uk-UA"/>
              </w:rPr>
              <w:t xml:space="preserve"> </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офтальмологічні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гематологічні</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астенізація</w:t>
            </w:r>
          </w:p>
        </w:tc>
        <w:tc>
          <w:tcPr>
            <w:tcW w:w="397" w:type="dxa"/>
            <w:shd w:val="clear" w:color="auto" w:fill="auto"/>
            <w:tcMar>
              <w:left w:w="28" w:type="dxa"/>
              <w:right w:w="28" w:type="dxa"/>
            </w:tcMar>
            <w:textDirection w:val="btLr"/>
            <w:vAlign w:val="center"/>
          </w:tcPr>
          <w:p w:rsidR="009E0B65" w:rsidRPr="002E6ECA" w:rsidRDefault="009E0B65" w:rsidP="009E0B65">
            <w:pPr>
              <w:spacing w:line="360" w:lineRule="auto"/>
              <w:jc w:val="center"/>
              <w:rPr>
                <w:bCs/>
                <w:sz w:val="26"/>
                <w:szCs w:val="26"/>
                <w:lang w:val="uk-UA" w:eastAsia="uk-UA"/>
              </w:rPr>
            </w:pPr>
            <w:r w:rsidRPr="002E6ECA">
              <w:rPr>
                <w:bCs/>
                <w:sz w:val="26"/>
                <w:szCs w:val="26"/>
                <w:lang w:val="uk-UA" w:eastAsia="uk-UA"/>
              </w:rPr>
              <w:t>алергія</w:t>
            </w:r>
          </w:p>
        </w:tc>
      </w:tr>
      <w:tr w:rsidR="009E0B65" w:rsidRPr="002E6ECA" w:rsidTr="009E0B65">
        <w:tc>
          <w:tcPr>
            <w:tcW w:w="454" w:type="dxa"/>
            <w:shd w:val="clear" w:color="auto" w:fill="auto"/>
            <w:tcMar>
              <w:left w:w="28" w:type="dxa"/>
              <w:right w:w="28" w:type="dxa"/>
            </w:tcMar>
            <w:vAlign w:val="center"/>
          </w:tcPr>
          <w:p w:rsidR="009E0B65" w:rsidRPr="002E6ECA" w:rsidRDefault="009E0B65" w:rsidP="009E0B65">
            <w:pPr>
              <w:numPr>
                <w:ilvl w:val="0"/>
                <w:numId w:val="9"/>
              </w:numPr>
              <w:spacing w:line="360" w:lineRule="auto"/>
              <w:ind w:left="0" w:firstLine="0"/>
              <w:contextualSpacing/>
              <w:rPr>
                <w:sz w:val="26"/>
                <w:szCs w:val="26"/>
                <w:lang w:val="uk-UA"/>
              </w:rPr>
            </w:pPr>
            <w:r w:rsidRPr="002E6ECA">
              <w:rPr>
                <w:sz w:val="26"/>
                <w:szCs w:val="26"/>
                <w:lang w:val="uk-UA"/>
              </w:rPr>
              <w:t>.</w:t>
            </w:r>
          </w:p>
        </w:tc>
        <w:tc>
          <w:tcPr>
            <w:tcW w:w="4252" w:type="dxa"/>
            <w:shd w:val="clear" w:color="auto" w:fill="auto"/>
            <w:tcMar>
              <w:left w:w="28" w:type="dxa"/>
              <w:right w:w="28" w:type="dxa"/>
            </w:tcMar>
            <w:vAlign w:val="center"/>
          </w:tcPr>
          <w:p w:rsidR="009E0B65" w:rsidRPr="002E6ECA" w:rsidRDefault="009E0B65" w:rsidP="009E0B65">
            <w:pPr>
              <w:spacing w:line="360" w:lineRule="auto"/>
              <w:rPr>
                <w:sz w:val="26"/>
                <w:szCs w:val="26"/>
                <w:lang w:val="uk-UA"/>
              </w:rPr>
            </w:pPr>
            <w:r w:rsidRPr="002E6ECA">
              <w:rPr>
                <w:sz w:val="26"/>
                <w:szCs w:val="26"/>
                <w:lang w:val="uk-UA"/>
              </w:rPr>
              <w:t>Нормалізація нічного сну</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2</w:t>
            </w:r>
          </w:p>
        </w:tc>
      </w:tr>
      <w:tr w:rsidR="009E0B65" w:rsidRPr="002E6ECA" w:rsidTr="009E0B65">
        <w:tc>
          <w:tcPr>
            <w:tcW w:w="454" w:type="dxa"/>
            <w:shd w:val="clear" w:color="auto" w:fill="auto"/>
            <w:tcMar>
              <w:left w:w="28" w:type="dxa"/>
              <w:right w:w="28" w:type="dxa"/>
            </w:tcMar>
            <w:vAlign w:val="center"/>
          </w:tcPr>
          <w:p w:rsidR="009E0B65" w:rsidRPr="002E6ECA" w:rsidRDefault="009E0B65" w:rsidP="009E0B6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E0B65" w:rsidRPr="002E6ECA" w:rsidRDefault="009E0B65" w:rsidP="009A1812">
            <w:pPr>
              <w:spacing w:line="312" w:lineRule="auto"/>
              <w:rPr>
                <w:sz w:val="26"/>
                <w:szCs w:val="26"/>
                <w:lang w:val="uk-UA"/>
              </w:rPr>
            </w:pPr>
            <w:r w:rsidRPr="002E6ECA">
              <w:rPr>
                <w:sz w:val="26"/>
                <w:szCs w:val="26"/>
                <w:lang w:val="uk-UA"/>
              </w:rPr>
              <w:t>Регулярне виконання загартовуючих процедур</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12</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r>
      <w:tr w:rsidR="009A1812" w:rsidRPr="002E6ECA" w:rsidTr="009A1812">
        <w:tc>
          <w:tcPr>
            <w:tcW w:w="454"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numPr>
                <w:ilvl w:val="0"/>
                <w:numId w:val="9"/>
              </w:numPr>
              <w:spacing w:line="360" w:lineRule="auto"/>
              <w:ind w:left="0" w:firstLine="0"/>
              <w:contextualSpacing/>
              <w:rPr>
                <w:sz w:val="26"/>
                <w:szCs w:val="26"/>
                <w:lang w:val="uk-UA"/>
              </w:rPr>
            </w:pPr>
          </w:p>
        </w:tc>
        <w:tc>
          <w:tcPr>
            <w:tcW w:w="425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12" w:lineRule="auto"/>
              <w:rPr>
                <w:sz w:val="26"/>
                <w:szCs w:val="26"/>
                <w:lang w:val="uk-UA"/>
              </w:rPr>
            </w:pPr>
            <w:r w:rsidRPr="002E6ECA">
              <w:rPr>
                <w:sz w:val="26"/>
                <w:szCs w:val="26"/>
                <w:lang w:val="uk-UA"/>
              </w:rPr>
              <w:t>Регулярне виконання ранкової гімнастики</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r w:rsidRPr="002E6ECA">
              <w:rPr>
                <w:sz w:val="26"/>
                <w:szCs w:val="26"/>
                <w:lang w:val="uk-UA"/>
              </w:rPr>
              <w:t>4</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r w:rsidRPr="002E6ECA">
              <w:rPr>
                <w:sz w:val="26"/>
                <w:szCs w:val="26"/>
                <w:lang w:val="uk-UA"/>
              </w:rPr>
              <w:t>4</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r w:rsidRPr="002E6ECA">
              <w:rPr>
                <w:sz w:val="26"/>
                <w:szCs w:val="26"/>
                <w:lang w:val="uk-UA"/>
              </w:rPr>
              <w:t>8</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r w:rsidRPr="002E6ECA">
              <w:rPr>
                <w:sz w:val="26"/>
                <w:szCs w:val="26"/>
                <w:lang w:val="uk-UA"/>
              </w:rPr>
              <w:t>4</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r w:rsidRPr="002E6ECA">
              <w:rPr>
                <w:sz w:val="26"/>
                <w:szCs w:val="26"/>
                <w:lang w:val="uk-UA"/>
              </w:rPr>
              <w:t>8</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60" w:lineRule="auto"/>
              <w:jc w:val="center"/>
              <w:rPr>
                <w:sz w:val="26"/>
                <w:szCs w:val="26"/>
                <w:lang w:val="uk-UA"/>
              </w:rPr>
            </w:pPr>
            <w:r w:rsidRPr="002E6ECA">
              <w:rPr>
                <w:sz w:val="26"/>
                <w:szCs w:val="26"/>
                <w:lang w:val="uk-UA"/>
              </w:rPr>
              <w:t>7</w:t>
            </w:r>
          </w:p>
        </w:tc>
      </w:tr>
      <w:tr w:rsidR="006F124B" w:rsidRPr="002E6ECA" w:rsidTr="006F124B">
        <w:tc>
          <w:tcPr>
            <w:tcW w:w="454"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numPr>
                <w:ilvl w:val="0"/>
                <w:numId w:val="9"/>
              </w:numPr>
              <w:spacing w:line="360" w:lineRule="auto"/>
              <w:ind w:left="0" w:firstLine="0"/>
              <w:contextualSpacing/>
              <w:rPr>
                <w:sz w:val="26"/>
                <w:szCs w:val="26"/>
                <w:lang w:val="uk-UA"/>
              </w:rPr>
            </w:pPr>
          </w:p>
        </w:tc>
        <w:tc>
          <w:tcPr>
            <w:tcW w:w="425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12" w:lineRule="auto"/>
              <w:rPr>
                <w:sz w:val="26"/>
                <w:szCs w:val="26"/>
                <w:lang w:val="uk-UA"/>
              </w:rPr>
            </w:pPr>
            <w:r w:rsidRPr="002E6ECA">
              <w:rPr>
                <w:sz w:val="26"/>
                <w:szCs w:val="26"/>
                <w:lang w:val="uk-UA"/>
              </w:rPr>
              <w:t>Достатня тривалість прогулянок на свіжому повітрі</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1</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9</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5</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5</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5</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10</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3</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1</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F124B" w:rsidRPr="002E6ECA" w:rsidRDefault="006F124B" w:rsidP="000A0955">
            <w:pPr>
              <w:spacing w:line="360" w:lineRule="auto"/>
              <w:jc w:val="center"/>
              <w:rPr>
                <w:sz w:val="26"/>
                <w:szCs w:val="26"/>
                <w:lang w:val="uk-UA"/>
              </w:rPr>
            </w:pPr>
            <w:r w:rsidRPr="002E6ECA">
              <w:rPr>
                <w:sz w:val="26"/>
                <w:szCs w:val="26"/>
                <w:lang w:val="uk-UA"/>
              </w:rPr>
              <w:t>9</w:t>
            </w:r>
          </w:p>
        </w:tc>
      </w:tr>
    </w:tbl>
    <w:p w:rsidR="00FE4EEC" w:rsidRPr="002E6ECA" w:rsidRDefault="00FE4EEC" w:rsidP="00FE4EEC">
      <w:pPr>
        <w:jc w:val="right"/>
      </w:pPr>
      <w:r w:rsidRPr="002E6ECA">
        <w:rPr>
          <w:bCs/>
          <w:i/>
          <w:sz w:val="28"/>
          <w:szCs w:val="28"/>
          <w:lang w:val="uk-UA"/>
        </w:rPr>
        <w:lastRenderedPageBreak/>
        <w:t>Продовження табл. 9.6</w:t>
      </w:r>
    </w:p>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252"/>
        <w:gridCol w:w="397"/>
        <w:gridCol w:w="397"/>
        <w:gridCol w:w="397"/>
        <w:gridCol w:w="397"/>
        <w:gridCol w:w="397"/>
        <w:gridCol w:w="397"/>
        <w:gridCol w:w="397"/>
        <w:gridCol w:w="397"/>
        <w:gridCol w:w="397"/>
        <w:gridCol w:w="397"/>
        <w:gridCol w:w="397"/>
        <w:gridCol w:w="397"/>
        <w:gridCol w:w="397"/>
      </w:tblGrid>
      <w:tr w:rsidR="00FE4EEC" w:rsidRPr="002E6ECA" w:rsidTr="00565490">
        <w:trPr>
          <w:cantSplit/>
          <w:trHeight w:val="2660"/>
        </w:trPr>
        <w:tc>
          <w:tcPr>
            <w:tcW w:w="454" w:type="dxa"/>
            <w:shd w:val="clear" w:color="auto" w:fill="auto"/>
            <w:tcMar>
              <w:left w:w="28" w:type="dxa"/>
              <w:right w:w="28" w:type="dxa"/>
            </w:tcMar>
            <w:vAlign w:val="center"/>
          </w:tcPr>
          <w:p w:rsidR="00FE4EEC" w:rsidRPr="002E6ECA" w:rsidRDefault="00FE4EEC" w:rsidP="00BF7414">
            <w:pPr>
              <w:spacing w:line="360" w:lineRule="auto"/>
              <w:rPr>
                <w:sz w:val="26"/>
                <w:szCs w:val="26"/>
                <w:lang w:val="uk-UA"/>
              </w:rPr>
            </w:pPr>
          </w:p>
        </w:tc>
        <w:tc>
          <w:tcPr>
            <w:tcW w:w="4252" w:type="dxa"/>
            <w:shd w:val="clear" w:color="auto" w:fill="auto"/>
            <w:tcMar>
              <w:left w:w="28" w:type="dxa"/>
              <w:right w:w="28" w:type="dxa"/>
            </w:tcMar>
            <w:vAlign w:val="center"/>
          </w:tcPr>
          <w:p w:rsidR="00FE4EEC" w:rsidRPr="002E6ECA" w:rsidRDefault="00FE4EEC" w:rsidP="00BF7414">
            <w:pPr>
              <w:spacing w:line="360" w:lineRule="auto"/>
              <w:rPr>
                <w:sz w:val="26"/>
                <w:szCs w:val="26"/>
                <w:lang w:val="uk-UA"/>
              </w:rPr>
            </w:pPr>
            <w:r w:rsidRPr="002E6ECA">
              <w:rPr>
                <w:sz w:val="26"/>
                <w:szCs w:val="26"/>
                <w:lang w:val="uk-UA"/>
              </w:rPr>
              <w:t>Елемент режиму дня</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гастроентерологічні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нефрологічні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гіповітаміноз</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кардіоревматологічні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ендокринологічні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пульмонологічні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ЛОР-захворювання</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стоматологічні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ind w:left="113" w:right="113"/>
              <w:rPr>
                <w:bCs/>
                <w:sz w:val="26"/>
                <w:szCs w:val="26"/>
                <w:lang w:val="uk-UA"/>
              </w:rPr>
            </w:pPr>
            <w:r w:rsidRPr="002E6ECA">
              <w:rPr>
                <w:bCs/>
                <w:sz w:val="26"/>
                <w:szCs w:val="26"/>
                <w:lang w:val="uk-UA" w:eastAsia="uk-UA"/>
              </w:rPr>
              <w:t>психоневрологічні</w:t>
            </w:r>
            <w:r w:rsidRPr="002E6ECA">
              <w:rPr>
                <w:bCs/>
                <w:sz w:val="26"/>
                <w:szCs w:val="26"/>
                <w:lang w:val="uk-UA"/>
              </w:rPr>
              <w:t xml:space="preserve"> </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офтальмологічні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гематологічні</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астенізація</w:t>
            </w:r>
          </w:p>
        </w:tc>
        <w:tc>
          <w:tcPr>
            <w:tcW w:w="397" w:type="dxa"/>
            <w:shd w:val="clear" w:color="auto" w:fill="auto"/>
            <w:tcMar>
              <w:left w:w="28" w:type="dxa"/>
              <w:right w:w="28" w:type="dxa"/>
            </w:tcMar>
            <w:textDirection w:val="btLr"/>
            <w:vAlign w:val="center"/>
          </w:tcPr>
          <w:p w:rsidR="00FE4EEC" w:rsidRPr="002E6ECA" w:rsidRDefault="00FE4EEC" w:rsidP="00BF7414">
            <w:pPr>
              <w:spacing w:line="360" w:lineRule="auto"/>
              <w:jc w:val="center"/>
              <w:rPr>
                <w:bCs/>
                <w:sz w:val="26"/>
                <w:szCs w:val="26"/>
                <w:lang w:val="uk-UA" w:eastAsia="uk-UA"/>
              </w:rPr>
            </w:pPr>
            <w:r w:rsidRPr="002E6ECA">
              <w:rPr>
                <w:bCs/>
                <w:sz w:val="26"/>
                <w:szCs w:val="26"/>
                <w:lang w:val="uk-UA" w:eastAsia="uk-UA"/>
              </w:rPr>
              <w:t>алергія</w:t>
            </w:r>
          </w:p>
        </w:tc>
      </w:tr>
      <w:tr w:rsidR="009A1812" w:rsidRPr="002E6ECA" w:rsidTr="000A0955">
        <w:tc>
          <w:tcPr>
            <w:tcW w:w="454" w:type="dxa"/>
            <w:shd w:val="clear" w:color="auto" w:fill="auto"/>
            <w:tcMar>
              <w:left w:w="28" w:type="dxa"/>
              <w:right w:w="28" w:type="dxa"/>
            </w:tcMar>
            <w:vAlign w:val="center"/>
          </w:tcPr>
          <w:p w:rsidR="009A1812" w:rsidRPr="002E6ECA" w:rsidRDefault="009A1812" w:rsidP="000A095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A1812" w:rsidRPr="002E6ECA" w:rsidRDefault="009A1812" w:rsidP="009A1812">
            <w:pPr>
              <w:spacing w:line="312" w:lineRule="auto"/>
              <w:rPr>
                <w:sz w:val="26"/>
                <w:szCs w:val="26"/>
                <w:lang w:val="uk-UA"/>
              </w:rPr>
            </w:pPr>
            <w:r w:rsidRPr="002E6ECA">
              <w:rPr>
                <w:sz w:val="26"/>
                <w:szCs w:val="26"/>
                <w:lang w:val="uk-UA"/>
              </w:rPr>
              <w:t>Нормалізація тривалості виконання ДЗ</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r>
      <w:tr w:rsidR="009A1812" w:rsidRPr="002E6ECA" w:rsidTr="000A0955">
        <w:tc>
          <w:tcPr>
            <w:tcW w:w="454" w:type="dxa"/>
            <w:shd w:val="clear" w:color="auto" w:fill="auto"/>
            <w:tcMar>
              <w:left w:w="28" w:type="dxa"/>
              <w:right w:w="28" w:type="dxa"/>
            </w:tcMar>
            <w:vAlign w:val="center"/>
          </w:tcPr>
          <w:p w:rsidR="009A1812" w:rsidRPr="002E6ECA" w:rsidRDefault="009A1812" w:rsidP="000A095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A1812" w:rsidRPr="002E6ECA" w:rsidRDefault="009A1812" w:rsidP="009A1812">
            <w:pPr>
              <w:spacing w:line="312" w:lineRule="auto"/>
              <w:rPr>
                <w:sz w:val="26"/>
                <w:szCs w:val="26"/>
                <w:lang w:val="uk-UA"/>
              </w:rPr>
            </w:pPr>
            <w:r w:rsidRPr="002E6ECA">
              <w:rPr>
                <w:sz w:val="26"/>
                <w:szCs w:val="26"/>
                <w:lang w:val="uk-UA"/>
              </w:rPr>
              <w:t>Обмеження тривалості перегляду телепередач</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10</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r>
      <w:tr w:rsidR="009A1812" w:rsidRPr="002E6ECA" w:rsidTr="000A0955">
        <w:tc>
          <w:tcPr>
            <w:tcW w:w="454" w:type="dxa"/>
            <w:shd w:val="clear" w:color="auto" w:fill="auto"/>
            <w:tcMar>
              <w:left w:w="28" w:type="dxa"/>
              <w:right w:w="28" w:type="dxa"/>
            </w:tcMar>
            <w:vAlign w:val="center"/>
          </w:tcPr>
          <w:p w:rsidR="009A1812" w:rsidRPr="002E6ECA" w:rsidRDefault="009A1812" w:rsidP="000A095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A1812" w:rsidRPr="002E6ECA" w:rsidRDefault="009A1812" w:rsidP="009A1812">
            <w:pPr>
              <w:spacing w:line="312" w:lineRule="auto"/>
              <w:rPr>
                <w:sz w:val="26"/>
                <w:szCs w:val="26"/>
                <w:lang w:val="uk-UA"/>
              </w:rPr>
            </w:pPr>
            <w:r w:rsidRPr="002E6ECA">
              <w:rPr>
                <w:sz w:val="26"/>
                <w:szCs w:val="26"/>
                <w:lang w:val="uk-UA"/>
              </w:rPr>
              <w:t>Оптимізація режиму харчування</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10</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11</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10</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6</w:t>
            </w:r>
          </w:p>
        </w:tc>
      </w:tr>
      <w:tr w:rsidR="009A1812" w:rsidRPr="002E6ECA" w:rsidTr="000A0955">
        <w:tc>
          <w:tcPr>
            <w:tcW w:w="454" w:type="dxa"/>
            <w:shd w:val="clear" w:color="auto" w:fill="auto"/>
            <w:tcMar>
              <w:left w:w="28" w:type="dxa"/>
              <w:right w:w="28" w:type="dxa"/>
            </w:tcMar>
            <w:vAlign w:val="center"/>
          </w:tcPr>
          <w:p w:rsidR="009A1812" w:rsidRPr="002E6ECA" w:rsidRDefault="009A1812" w:rsidP="000A095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A1812" w:rsidRPr="002E6ECA" w:rsidRDefault="009A1812" w:rsidP="009A1812">
            <w:pPr>
              <w:spacing w:line="312" w:lineRule="auto"/>
              <w:rPr>
                <w:sz w:val="26"/>
                <w:szCs w:val="26"/>
                <w:lang w:val="uk-UA"/>
              </w:rPr>
            </w:pPr>
            <w:r w:rsidRPr="002E6ECA">
              <w:rPr>
                <w:sz w:val="26"/>
                <w:szCs w:val="26"/>
                <w:lang w:val="uk-UA"/>
              </w:rPr>
              <w:t xml:space="preserve">Покращення якості харчування </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r>
      <w:tr w:rsidR="009A1812" w:rsidRPr="002E6ECA" w:rsidTr="000A0955">
        <w:tc>
          <w:tcPr>
            <w:tcW w:w="454"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numPr>
                <w:ilvl w:val="0"/>
                <w:numId w:val="9"/>
              </w:numPr>
              <w:spacing w:line="360" w:lineRule="auto"/>
              <w:ind w:left="0" w:firstLine="0"/>
              <w:contextualSpacing/>
              <w:rPr>
                <w:sz w:val="26"/>
                <w:szCs w:val="26"/>
                <w:lang w:val="uk-UA"/>
              </w:rPr>
            </w:pPr>
          </w:p>
        </w:tc>
        <w:tc>
          <w:tcPr>
            <w:tcW w:w="425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12" w:lineRule="auto"/>
              <w:rPr>
                <w:sz w:val="26"/>
                <w:szCs w:val="26"/>
                <w:lang w:val="uk-UA"/>
              </w:rPr>
            </w:pPr>
            <w:r w:rsidRPr="002E6ECA">
              <w:rPr>
                <w:sz w:val="26"/>
                <w:szCs w:val="26"/>
                <w:lang w:val="uk-UA"/>
              </w:rPr>
              <w:t>Підвищення загального обсягу рухової активності</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2</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r>
      <w:tr w:rsidR="009A1812" w:rsidRPr="002E6ECA" w:rsidTr="000A0955">
        <w:tc>
          <w:tcPr>
            <w:tcW w:w="454"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numPr>
                <w:ilvl w:val="0"/>
                <w:numId w:val="9"/>
              </w:numPr>
              <w:spacing w:line="360" w:lineRule="auto"/>
              <w:ind w:left="0" w:firstLine="0"/>
              <w:contextualSpacing/>
              <w:rPr>
                <w:sz w:val="26"/>
                <w:szCs w:val="26"/>
                <w:lang w:val="uk-UA"/>
              </w:rPr>
            </w:pPr>
          </w:p>
        </w:tc>
        <w:tc>
          <w:tcPr>
            <w:tcW w:w="4252"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9A1812">
            <w:pPr>
              <w:spacing w:line="312" w:lineRule="auto"/>
              <w:rPr>
                <w:sz w:val="26"/>
                <w:szCs w:val="26"/>
                <w:lang w:val="uk-UA"/>
              </w:rPr>
            </w:pPr>
            <w:r w:rsidRPr="002E6ECA">
              <w:rPr>
                <w:sz w:val="26"/>
                <w:szCs w:val="26"/>
                <w:lang w:val="uk-UA"/>
              </w:rPr>
              <w:t>Оптимальне використання часу підчас перерви в школі</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9</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4</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10</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7</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10</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5</w:t>
            </w:r>
          </w:p>
        </w:tc>
        <w:tc>
          <w:tcPr>
            <w:tcW w:w="397"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9A1812" w:rsidRPr="002E6ECA" w:rsidRDefault="009A1812" w:rsidP="000A0955">
            <w:pPr>
              <w:spacing w:line="360" w:lineRule="auto"/>
              <w:jc w:val="center"/>
              <w:rPr>
                <w:sz w:val="26"/>
                <w:szCs w:val="26"/>
                <w:lang w:val="uk-UA"/>
              </w:rPr>
            </w:pPr>
            <w:r w:rsidRPr="002E6ECA">
              <w:rPr>
                <w:sz w:val="26"/>
                <w:szCs w:val="26"/>
                <w:lang w:val="uk-UA"/>
              </w:rPr>
              <w:t>8</w:t>
            </w:r>
          </w:p>
        </w:tc>
      </w:tr>
      <w:tr w:rsidR="009E0B65" w:rsidRPr="002E6ECA" w:rsidTr="009E0B65">
        <w:tc>
          <w:tcPr>
            <w:tcW w:w="454" w:type="dxa"/>
            <w:shd w:val="clear" w:color="auto" w:fill="auto"/>
            <w:tcMar>
              <w:left w:w="28" w:type="dxa"/>
              <w:right w:w="28" w:type="dxa"/>
            </w:tcMar>
            <w:vAlign w:val="center"/>
          </w:tcPr>
          <w:p w:rsidR="009E0B65" w:rsidRPr="002E6ECA" w:rsidRDefault="009E0B65" w:rsidP="009E0B6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E0B65" w:rsidRPr="002E6ECA" w:rsidRDefault="009E0B65" w:rsidP="009A1812">
            <w:pPr>
              <w:spacing w:line="312" w:lineRule="auto"/>
              <w:rPr>
                <w:sz w:val="26"/>
                <w:szCs w:val="26"/>
                <w:lang w:val="uk-UA"/>
              </w:rPr>
            </w:pPr>
            <w:r w:rsidRPr="002E6ECA">
              <w:rPr>
                <w:sz w:val="26"/>
                <w:szCs w:val="26"/>
                <w:lang w:val="uk-UA"/>
              </w:rPr>
              <w:t>Раціональне використання вільного часу в навчальні дні</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5</w:t>
            </w:r>
          </w:p>
        </w:tc>
      </w:tr>
      <w:tr w:rsidR="009E0B65" w:rsidRPr="002E6ECA" w:rsidTr="009E0B65">
        <w:tc>
          <w:tcPr>
            <w:tcW w:w="454" w:type="dxa"/>
            <w:shd w:val="clear" w:color="auto" w:fill="auto"/>
            <w:tcMar>
              <w:left w:w="28" w:type="dxa"/>
              <w:right w:w="28" w:type="dxa"/>
            </w:tcMar>
            <w:vAlign w:val="center"/>
          </w:tcPr>
          <w:p w:rsidR="009E0B65" w:rsidRPr="002E6ECA" w:rsidRDefault="009E0B65" w:rsidP="009E0B6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E0B65" w:rsidRPr="002E6ECA" w:rsidRDefault="009E0B65" w:rsidP="009A1812">
            <w:pPr>
              <w:spacing w:line="312" w:lineRule="auto"/>
              <w:rPr>
                <w:sz w:val="26"/>
                <w:szCs w:val="26"/>
                <w:lang w:val="uk-UA"/>
              </w:rPr>
            </w:pPr>
            <w:r w:rsidRPr="002E6ECA">
              <w:rPr>
                <w:sz w:val="26"/>
                <w:szCs w:val="26"/>
                <w:lang w:val="uk-UA"/>
              </w:rPr>
              <w:t>Раціональне використання вільного часу у вихідні дні</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6</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9</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4</w:t>
            </w:r>
          </w:p>
        </w:tc>
      </w:tr>
      <w:tr w:rsidR="009E0B65" w:rsidRPr="002E6ECA" w:rsidTr="009E0B65">
        <w:tc>
          <w:tcPr>
            <w:tcW w:w="454" w:type="dxa"/>
            <w:shd w:val="clear" w:color="auto" w:fill="auto"/>
            <w:tcMar>
              <w:left w:w="28" w:type="dxa"/>
              <w:right w:w="28" w:type="dxa"/>
            </w:tcMar>
            <w:vAlign w:val="center"/>
          </w:tcPr>
          <w:p w:rsidR="009E0B65" w:rsidRPr="002E6ECA" w:rsidRDefault="009E0B65" w:rsidP="009E0B65">
            <w:pPr>
              <w:numPr>
                <w:ilvl w:val="0"/>
                <w:numId w:val="9"/>
              </w:numPr>
              <w:spacing w:line="360" w:lineRule="auto"/>
              <w:ind w:left="0" w:firstLine="0"/>
              <w:contextualSpacing/>
              <w:rPr>
                <w:sz w:val="26"/>
                <w:szCs w:val="26"/>
                <w:lang w:val="uk-UA"/>
              </w:rPr>
            </w:pPr>
          </w:p>
        </w:tc>
        <w:tc>
          <w:tcPr>
            <w:tcW w:w="4252" w:type="dxa"/>
            <w:shd w:val="clear" w:color="auto" w:fill="auto"/>
            <w:tcMar>
              <w:left w:w="28" w:type="dxa"/>
              <w:right w:w="28" w:type="dxa"/>
            </w:tcMar>
            <w:vAlign w:val="center"/>
          </w:tcPr>
          <w:p w:rsidR="009E0B65" w:rsidRPr="002E6ECA" w:rsidRDefault="009E0B65" w:rsidP="009A1812">
            <w:pPr>
              <w:spacing w:line="312" w:lineRule="auto"/>
              <w:rPr>
                <w:sz w:val="26"/>
                <w:szCs w:val="26"/>
                <w:lang w:val="uk-UA"/>
              </w:rPr>
            </w:pPr>
            <w:r w:rsidRPr="002E6ECA">
              <w:rPr>
                <w:sz w:val="26"/>
                <w:szCs w:val="26"/>
                <w:lang w:val="uk-UA"/>
              </w:rPr>
              <w:t>Обмеження часу роботи з комп’ютером та гаджетами</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7</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4</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r>
      <w:tr w:rsidR="009E0B65" w:rsidRPr="002E6ECA" w:rsidTr="009E0B65">
        <w:tc>
          <w:tcPr>
            <w:tcW w:w="454" w:type="dxa"/>
            <w:shd w:val="clear" w:color="auto" w:fill="auto"/>
            <w:tcMar>
              <w:left w:w="28" w:type="dxa"/>
              <w:right w:w="28" w:type="dxa"/>
            </w:tcMar>
            <w:vAlign w:val="center"/>
          </w:tcPr>
          <w:p w:rsidR="009E0B65" w:rsidRPr="002E6ECA" w:rsidRDefault="009E0B65" w:rsidP="009E0B65">
            <w:pPr>
              <w:numPr>
                <w:ilvl w:val="0"/>
                <w:numId w:val="9"/>
              </w:numPr>
              <w:spacing w:line="360" w:lineRule="auto"/>
              <w:ind w:left="0" w:firstLine="0"/>
              <w:contextualSpacing/>
              <w:rPr>
                <w:sz w:val="26"/>
                <w:szCs w:val="26"/>
                <w:lang w:val="uk-UA"/>
              </w:rPr>
            </w:pPr>
            <w:r w:rsidRPr="002E6ECA">
              <w:rPr>
                <w:sz w:val="26"/>
                <w:szCs w:val="26"/>
                <w:lang w:val="uk-UA"/>
              </w:rPr>
              <w:t>.</w:t>
            </w:r>
          </w:p>
        </w:tc>
        <w:tc>
          <w:tcPr>
            <w:tcW w:w="4252" w:type="dxa"/>
            <w:shd w:val="clear" w:color="auto" w:fill="auto"/>
            <w:tcMar>
              <w:left w:w="28" w:type="dxa"/>
              <w:right w:w="28" w:type="dxa"/>
            </w:tcMar>
            <w:vAlign w:val="center"/>
          </w:tcPr>
          <w:p w:rsidR="009E0B65" w:rsidRPr="002E6ECA" w:rsidRDefault="009E0B65" w:rsidP="009A1812">
            <w:pPr>
              <w:spacing w:line="312" w:lineRule="auto"/>
              <w:rPr>
                <w:sz w:val="26"/>
                <w:szCs w:val="26"/>
                <w:lang w:val="uk-UA"/>
              </w:rPr>
            </w:pPr>
            <w:r w:rsidRPr="002E6ECA">
              <w:rPr>
                <w:sz w:val="26"/>
                <w:szCs w:val="26"/>
                <w:lang w:val="uk-UA"/>
              </w:rPr>
              <w:t>Дотримання правил особистої гігієни</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5</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10</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8</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10</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3</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r w:rsidRPr="002E6ECA">
              <w:rPr>
                <w:sz w:val="26"/>
                <w:szCs w:val="26"/>
                <w:lang w:val="uk-UA"/>
              </w:rPr>
              <w:t>2</w:t>
            </w: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c>
          <w:tcPr>
            <w:tcW w:w="397" w:type="dxa"/>
            <w:shd w:val="clear" w:color="auto" w:fill="auto"/>
            <w:tcMar>
              <w:left w:w="28" w:type="dxa"/>
              <w:right w:w="28" w:type="dxa"/>
            </w:tcMar>
            <w:vAlign w:val="center"/>
          </w:tcPr>
          <w:p w:rsidR="009E0B65" w:rsidRPr="002E6ECA" w:rsidRDefault="009E0B65" w:rsidP="009E0B65">
            <w:pPr>
              <w:spacing w:line="360" w:lineRule="auto"/>
              <w:jc w:val="center"/>
              <w:rPr>
                <w:sz w:val="26"/>
                <w:szCs w:val="26"/>
                <w:lang w:val="uk-UA"/>
              </w:rPr>
            </w:pPr>
          </w:p>
        </w:tc>
      </w:tr>
    </w:tbl>
    <w:p w:rsidR="00565490" w:rsidRPr="002E6ECA" w:rsidRDefault="00565490" w:rsidP="009E0B65">
      <w:pPr>
        <w:keepNext/>
        <w:keepLines/>
        <w:spacing w:line="360" w:lineRule="auto"/>
        <w:ind w:firstLine="709"/>
        <w:jc w:val="both"/>
        <w:outlineLvl w:val="1"/>
        <w:rPr>
          <w:bCs/>
          <w:sz w:val="28"/>
          <w:szCs w:val="28"/>
          <w:lang w:val="uk-UA"/>
        </w:rPr>
      </w:pPr>
    </w:p>
    <w:p w:rsidR="009E0B65" w:rsidRPr="002E6ECA" w:rsidRDefault="006F2A3B" w:rsidP="009E0B65">
      <w:pPr>
        <w:keepNext/>
        <w:keepLines/>
        <w:spacing w:line="360" w:lineRule="auto"/>
        <w:ind w:firstLine="709"/>
        <w:jc w:val="both"/>
        <w:outlineLvl w:val="1"/>
        <w:rPr>
          <w:bCs/>
          <w:sz w:val="28"/>
          <w:szCs w:val="28"/>
          <w:lang w:val="uk-UA"/>
        </w:rPr>
      </w:pPr>
      <w:r w:rsidRPr="002E6ECA">
        <w:rPr>
          <w:bCs/>
          <w:sz w:val="28"/>
          <w:szCs w:val="28"/>
          <w:lang w:val="uk-UA"/>
        </w:rPr>
        <w:t xml:space="preserve">Так, якщо </w:t>
      </w:r>
      <w:r w:rsidR="009E0B65" w:rsidRPr="002E6ECA">
        <w:rPr>
          <w:bCs/>
          <w:sz w:val="28"/>
          <w:szCs w:val="28"/>
          <w:lang w:val="uk-UA"/>
        </w:rPr>
        <w:t>у навчальному колективі за результатами скринінг</w:t>
      </w:r>
      <w:r w:rsidR="00D87334" w:rsidRPr="002E6ECA">
        <w:rPr>
          <w:bCs/>
          <w:sz w:val="28"/>
          <w:szCs w:val="28"/>
          <w:lang w:val="uk-UA"/>
        </w:rPr>
        <w:t>-</w:t>
      </w:r>
      <w:r w:rsidR="009E0B65" w:rsidRPr="002E6ECA">
        <w:rPr>
          <w:bCs/>
          <w:sz w:val="28"/>
          <w:szCs w:val="28"/>
          <w:lang w:val="uk-UA"/>
        </w:rPr>
        <w:t>анкетування встановлено, що найбільш поширен</w:t>
      </w:r>
      <w:r w:rsidR="00F038FC" w:rsidRPr="002E6ECA">
        <w:rPr>
          <w:bCs/>
          <w:sz w:val="28"/>
          <w:szCs w:val="28"/>
          <w:lang w:val="uk-UA"/>
        </w:rPr>
        <w:t>ими (провідною патологією) визначаються</w:t>
      </w:r>
      <w:r w:rsidR="009E0B65" w:rsidRPr="002E6ECA">
        <w:rPr>
          <w:bCs/>
          <w:sz w:val="28"/>
          <w:szCs w:val="28"/>
          <w:lang w:val="uk-UA"/>
        </w:rPr>
        <w:t xml:space="preserve"> ознаки астенізації</w:t>
      </w:r>
      <w:r w:rsidRPr="002E6ECA">
        <w:rPr>
          <w:bCs/>
          <w:sz w:val="28"/>
          <w:szCs w:val="28"/>
          <w:lang w:val="uk-UA"/>
        </w:rPr>
        <w:t>, то п</w:t>
      </w:r>
      <w:r w:rsidR="009E0B65" w:rsidRPr="002E6ECA">
        <w:rPr>
          <w:bCs/>
          <w:sz w:val="28"/>
          <w:szCs w:val="28"/>
          <w:lang w:val="uk-UA"/>
        </w:rPr>
        <w:t>ершочерговими заходами первинної групової профілактики повинні поставати</w:t>
      </w:r>
      <w:r w:rsidR="00F038FC" w:rsidRPr="002E6ECA">
        <w:rPr>
          <w:bCs/>
          <w:sz w:val="28"/>
          <w:szCs w:val="28"/>
          <w:lang w:val="uk-UA"/>
        </w:rPr>
        <w:t xml:space="preserve"> у порядку спадання</w:t>
      </w:r>
      <w:r w:rsidR="009E0B65" w:rsidRPr="002E6ECA">
        <w:rPr>
          <w:bCs/>
          <w:sz w:val="28"/>
          <w:szCs w:val="28"/>
          <w:lang w:val="uk-UA"/>
        </w:rPr>
        <w:t xml:space="preserve">: </w:t>
      </w:r>
    </w:p>
    <w:p w:rsidR="009E0B65" w:rsidRPr="002E6ECA" w:rsidRDefault="009E0B65" w:rsidP="009E0B65">
      <w:pPr>
        <w:numPr>
          <w:ilvl w:val="0"/>
          <w:numId w:val="10"/>
        </w:numPr>
        <w:spacing w:line="360" w:lineRule="auto"/>
        <w:ind w:firstLine="709"/>
        <w:jc w:val="both"/>
        <w:outlineLvl w:val="1"/>
        <w:rPr>
          <w:bCs/>
          <w:sz w:val="28"/>
          <w:szCs w:val="28"/>
          <w:lang w:val="uk-UA"/>
        </w:rPr>
      </w:pPr>
      <w:r w:rsidRPr="002E6ECA">
        <w:rPr>
          <w:bCs/>
          <w:sz w:val="28"/>
          <w:szCs w:val="28"/>
          <w:lang w:val="uk-UA"/>
        </w:rPr>
        <w:t xml:space="preserve">Достатня тривалість прогулянок на свіжому повітрі. </w:t>
      </w:r>
    </w:p>
    <w:p w:rsidR="009E0B65" w:rsidRPr="002E6ECA" w:rsidRDefault="009E0B65" w:rsidP="009E0B65">
      <w:pPr>
        <w:numPr>
          <w:ilvl w:val="0"/>
          <w:numId w:val="10"/>
        </w:numPr>
        <w:spacing w:line="360" w:lineRule="auto"/>
        <w:ind w:firstLine="709"/>
        <w:jc w:val="both"/>
        <w:outlineLvl w:val="1"/>
        <w:rPr>
          <w:bCs/>
          <w:sz w:val="28"/>
          <w:szCs w:val="28"/>
          <w:lang w:val="uk-UA"/>
        </w:rPr>
      </w:pPr>
      <w:r w:rsidRPr="002E6ECA">
        <w:rPr>
          <w:bCs/>
          <w:sz w:val="28"/>
          <w:szCs w:val="28"/>
          <w:lang w:val="uk-UA"/>
        </w:rPr>
        <w:t>Нормалізація нічного сну.</w:t>
      </w:r>
    </w:p>
    <w:p w:rsidR="009E0B65" w:rsidRPr="002E6ECA" w:rsidRDefault="009E0B65" w:rsidP="009E0B65">
      <w:pPr>
        <w:numPr>
          <w:ilvl w:val="0"/>
          <w:numId w:val="10"/>
        </w:numPr>
        <w:spacing w:line="360" w:lineRule="auto"/>
        <w:ind w:firstLine="709"/>
        <w:jc w:val="both"/>
        <w:outlineLvl w:val="1"/>
        <w:rPr>
          <w:bCs/>
          <w:sz w:val="28"/>
          <w:szCs w:val="28"/>
          <w:lang w:val="uk-UA"/>
        </w:rPr>
      </w:pPr>
      <w:r w:rsidRPr="002E6ECA">
        <w:rPr>
          <w:bCs/>
          <w:sz w:val="28"/>
          <w:szCs w:val="28"/>
          <w:lang w:val="uk-UA"/>
        </w:rPr>
        <w:t>Обмеження тривалості перегляду ТВ.</w:t>
      </w:r>
    </w:p>
    <w:p w:rsidR="009E0B65" w:rsidRPr="002E6ECA" w:rsidRDefault="009E0B65" w:rsidP="009E0B65">
      <w:pPr>
        <w:numPr>
          <w:ilvl w:val="0"/>
          <w:numId w:val="10"/>
        </w:numPr>
        <w:spacing w:line="360" w:lineRule="auto"/>
        <w:ind w:firstLine="709"/>
        <w:jc w:val="both"/>
        <w:outlineLvl w:val="1"/>
        <w:rPr>
          <w:bCs/>
          <w:sz w:val="28"/>
          <w:szCs w:val="28"/>
          <w:lang w:val="uk-UA"/>
        </w:rPr>
      </w:pPr>
      <w:r w:rsidRPr="002E6ECA">
        <w:rPr>
          <w:bCs/>
          <w:sz w:val="28"/>
          <w:szCs w:val="28"/>
          <w:lang w:val="uk-UA"/>
        </w:rPr>
        <w:t>Обмеження часу роботи з комп’ютером та гаджетами.</w:t>
      </w:r>
    </w:p>
    <w:p w:rsidR="009E0B65" w:rsidRPr="002E6ECA" w:rsidRDefault="009E0B65" w:rsidP="009E0B65">
      <w:pPr>
        <w:numPr>
          <w:ilvl w:val="0"/>
          <w:numId w:val="10"/>
        </w:numPr>
        <w:spacing w:line="360" w:lineRule="auto"/>
        <w:ind w:firstLine="709"/>
        <w:jc w:val="both"/>
        <w:outlineLvl w:val="1"/>
        <w:rPr>
          <w:bCs/>
          <w:sz w:val="28"/>
          <w:szCs w:val="28"/>
          <w:lang w:val="uk-UA"/>
        </w:rPr>
      </w:pPr>
      <w:r w:rsidRPr="002E6ECA">
        <w:rPr>
          <w:bCs/>
          <w:sz w:val="28"/>
          <w:szCs w:val="28"/>
          <w:lang w:val="uk-UA"/>
        </w:rPr>
        <w:lastRenderedPageBreak/>
        <w:t>Оптимальне використання часу підчас перерви в школі.</w:t>
      </w:r>
    </w:p>
    <w:p w:rsidR="009E0B65" w:rsidRPr="002E6ECA" w:rsidRDefault="009E0B65" w:rsidP="009E0B65">
      <w:pPr>
        <w:spacing w:line="360" w:lineRule="auto"/>
        <w:ind w:firstLine="709"/>
        <w:jc w:val="both"/>
        <w:rPr>
          <w:sz w:val="28"/>
          <w:szCs w:val="28"/>
          <w:lang w:val="uk-UA"/>
        </w:rPr>
      </w:pPr>
      <w:r w:rsidRPr="002E6ECA">
        <w:rPr>
          <w:sz w:val="28"/>
          <w:szCs w:val="28"/>
          <w:lang w:val="uk-UA"/>
        </w:rPr>
        <w:t>Результати застосування запропонованої методики дозволяють досить швидко і без проведення будь-яких клінічних та лабораторних досліджень визначити ризик формування певної патології у конкретному навчальному колективі та запропонувати цільові профілактичні заходи щодо попередження неінфекційних захворювань.</w:t>
      </w:r>
    </w:p>
    <w:p w:rsidR="003E4685" w:rsidRPr="002E6ECA" w:rsidRDefault="003E4685" w:rsidP="00F038FC">
      <w:pPr>
        <w:spacing w:line="360" w:lineRule="auto"/>
        <w:ind w:firstLine="709"/>
        <w:jc w:val="both"/>
        <w:rPr>
          <w:b/>
          <w:sz w:val="28"/>
          <w:szCs w:val="28"/>
          <w:lang w:val="uk-UA"/>
        </w:rPr>
      </w:pPr>
    </w:p>
    <w:p w:rsidR="009E0B65" w:rsidRPr="002E6ECA" w:rsidRDefault="009E0B65" w:rsidP="00F038FC">
      <w:pPr>
        <w:spacing w:line="360" w:lineRule="auto"/>
        <w:ind w:firstLine="709"/>
        <w:jc w:val="both"/>
        <w:rPr>
          <w:b/>
          <w:sz w:val="28"/>
          <w:szCs w:val="28"/>
          <w:lang w:val="uk-UA"/>
        </w:rPr>
      </w:pPr>
      <w:r w:rsidRPr="002E6ECA">
        <w:rPr>
          <w:b/>
          <w:sz w:val="28"/>
          <w:szCs w:val="28"/>
          <w:lang w:val="uk-UA"/>
        </w:rPr>
        <w:t>9.2. Оцінка ефективності впровадження профілактичної програми щодо оптимізації режиму дня та способу життя</w:t>
      </w:r>
    </w:p>
    <w:p w:rsidR="009E0B65" w:rsidRPr="002E6ECA" w:rsidRDefault="009E0B65" w:rsidP="009E0B65">
      <w:pPr>
        <w:autoSpaceDE w:val="0"/>
        <w:autoSpaceDN w:val="0"/>
        <w:adjustRightInd w:val="0"/>
        <w:spacing w:line="360" w:lineRule="auto"/>
        <w:ind w:firstLine="709"/>
        <w:jc w:val="both"/>
        <w:rPr>
          <w:sz w:val="28"/>
          <w:szCs w:val="28"/>
          <w:lang w:val="uk-UA"/>
        </w:rPr>
      </w:pPr>
      <w:r w:rsidRPr="002E6ECA">
        <w:rPr>
          <w:sz w:val="28"/>
          <w:szCs w:val="28"/>
          <w:lang w:val="uk-UA"/>
        </w:rPr>
        <w:t xml:space="preserve">Для математичної оцінки ефективності запропонованої програми профілактичних заходів щодо оптимізації режиму дня школярів було застосовано метод моделювання структурними рівняннями (SEM) </w:t>
      </w:r>
      <w:r w:rsidR="00D87334" w:rsidRPr="002E6ECA">
        <w:rPr>
          <w:bCs/>
          <w:sz w:val="28"/>
          <w:szCs w:val="28"/>
          <w:lang w:val="uk-UA"/>
        </w:rPr>
        <w:t>–</w:t>
      </w:r>
      <w:r w:rsidRPr="002E6ECA">
        <w:rPr>
          <w:sz w:val="28"/>
          <w:szCs w:val="28"/>
          <w:lang w:val="uk-UA"/>
        </w:rPr>
        <w:t xml:space="preserve"> мультваріативний метод статистичного аналізу структурних відносин</w:t>
      </w:r>
      <w:r w:rsidR="00565490" w:rsidRPr="002E6ECA">
        <w:rPr>
          <w:sz w:val="28"/>
          <w:szCs w:val="28"/>
          <w:lang w:val="uk-UA"/>
        </w:rPr>
        <w:t xml:space="preserve"> (рис.9.2)</w:t>
      </w:r>
      <w:r w:rsidRPr="002E6ECA">
        <w:rPr>
          <w:sz w:val="28"/>
          <w:szCs w:val="28"/>
          <w:lang w:val="uk-UA"/>
        </w:rPr>
        <w:t xml:space="preserve">. </w:t>
      </w:r>
    </w:p>
    <w:p w:rsidR="009E0B65" w:rsidRPr="002E6ECA" w:rsidRDefault="009E0B65" w:rsidP="009E0B65">
      <w:pPr>
        <w:autoSpaceDE w:val="0"/>
        <w:autoSpaceDN w:val="0"/>
        <w:adjustRightInd w:val="0"/>
        <w:spacing w:line="360" w:lineRule="auto"/>
        <w:ind w:firstLine="709"/>
        <w:jc w:val="both"/>
        <w:rPr>
          <w:sz w:val="28"/>
          <w:szCs w:val="28"/>
          <w:lang w:val="uk-UA"/>
        </w:rPr>
      </w:pPr>
      <w:r w:rsidRPr="002E6ECA">
        <w:rPr>
          <w:sz w:val="28"/>
          <w:szCs w:val="28"/>
          <w:lang w:val="uk-UA"/>
        </w:rPr>
        <w:t>Було використано 4 блокових структури даних:</w:t>
      </w:r>
    </w:p>
    <w:p w:rsidR="009E0B65" w:rsidRPr="002E6ECA" w:rsidRDefault="009E0B65" w:rsidP="009E0B65">
      <w:pPr>
        <w:numPr>
          <w:ilvl w:val="0"/>
          <w:numId w:val="17"/>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t>Блок «До впровадження» включає 11 змінних (класи хвороб: ендокринної, нервової, дихальної, сечостатевої системи, органів травлення, ока та придаткового апарату, вуха, системи кровообігу, розлади психіки та поведінки, хвороби шкіри та підшкірної клітковини, кістково-м’язової системи і сполучних тканин на початку дослідження).</w:t>
      </w:r>
    </w:p>
    <w:p w:rsidR="009E0B65" w:rsidRPr="002E6ECA" w:rsidRDefault="009E0B65" w:rsidP="009E0B65">
      <w:pPr>
        <w:numPr>
          <w:ilvl w:val="0"/>
          <w:numId w:val="17"/>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t xml:space="preserve">Блок «1 етап впровадження» </w:t>
      </w:r>
      <w:r w:rsidR="00D87334" w:rsidRPr="002E6ECA">
        <w:rPr>
          <w:bCs/>
          <w:sz w:val="28"/>
          <w:szCs w:val="28"/>
          <w:lang w:val="uk-UA"/>
        </w:rPr>
        <w:t>–</w:t>
      </w:r>
      <w:r w:rsidRPr="002E6ECA">
        <w:rPr>
          <w:sz w:val="28"/>
          <w:szCs w:val="28"/>
          <w:lang w:val="uk-UA"/>
        </w:rPr>
        <w:t xml:space="preserve"> 11 змінних за такими ж класами хвороб через півроку.</w:t>
      </w:r>
    </w:p>
    <w:p w:rsidR="009E0B65" w:rsidRPr="002E6ECA" w:rsidRDefault="009E0B65" w:rsidP="009E0B65">
      <w:pPr>
        <w:numPr>
          <w:ilvl w:val="0"/>
          <w:numId w:val="17"/>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t xml:space="preserve">Блок «Заключний етап впровадження» </w:t>
      </w:r>
      <w:r w:rsidR="00D87334" w:rsidRPr="002E6ECA">
        <w:rPr>
          <w:bCs/>
          <w:sz w:val="28"/>
          <w:szCs w:val="28"/>
          <w:lang w:val="uk-UA"/>
        </w:rPr>
        <w:t>–</w:t>
      </w:r>
      <w:r w:rsidRPr="002E6ECA">
        <w:rPr>
          <w:sz w:val="28"/>
          <w:szCs w:val="28"/>
          <w:lang w:val="uk-UA"/>
        </w:rPr>
        <w:t xml:space="preserve"> 11 змінних за такими ж класами хвороб через 2 роки.</w:t>
      </w:r>
    </w:p>
    <w:p w:rsidR="009E0B65" w:rsidRPr="002E6ECA" w:rsidRDefault="009E0B65" w:rsidP="009E0B65">
      <w:pPr>
        <w:numPr>
          <w:ilvl w:val="0"/>
          <w:numId w:val="17"/>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t xml:space="preserve">Блок «Профілактичні заходи відносно оптимізації режиму дня та способу життя» </w:t>
      </w:r>
      <w:r w:rsidR="00D87334" w:rsidRPr="002E6ECA">
        <w:rPr>
          <w:bCs/>
          <w:sz w:val="28"/>
          <w:szCs w:val="28"/>
          <w:lang w:val="uk-UA"/>
        </w:rPr>
        <w:t>–</w:t>
      </w:r>
      <w:r w:rsidRPr="002E6ECA">
        <w:rPr>
          <w:sz w:val="28"/>
          <w:szCs w:val="28"/>
          <w:lang w:val="uk-UA"/>
        </w:rPr>
        <w:t xml:space="preserve"> складається зі змінних, поєднаних у 15 блоків:</w:t>
      </w:r>
    </w:p>
    <w:p w:rsidR="009E0B65" w:rsidRPr="002E6ECA" w:rsidRDefault="009E0B65" w:rsidP="009E0B65">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Тривалість нічного сну</w:t>
      </w:r>
    </w:p>
    <w:p w:rsidR="009E0B65" w:rsidRPr="002E6ECA" w:rsidRDefault="009E0B65" w:rsidP="009E0B65">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Регулярність виконання гартуючих процедур</w:t>
      </w:r>
    </w:p>
    <w:p w:rsidR="009E0B65" w:rsidRPr="002E6ECA" w:rsidRDefault="009E0B65" w:rsidP="009E0B65">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Регулярність виконання ранкової гімнастики</w:t>
      </w:r>
    </w:p>
    <w:p w:rsidR="009E0B65" w:rsidRPr="002E6ECA" w:rsidRDefault="009E0B65" w:rsidP="009E0B65">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Частота чищення зубів</w:t>
      </w:r>
    </w:p>
    <w:p w:rsidR="006F124B" w:rsidRPr="002E6ECA" w:rsidRDefault="006F124B" w:rsidP="006F124B">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Тривалість перебування на свіжому повітрі у навчальні дні</w:t>
      </w:r>
    </w:p>
    <w:p w:rsidR="006F124B" w:rsidRPr="002E6ECA" w:rsidRDefault="006F124B" w:rsidP="006F124B">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lastRenderedPageBreak/>
        <w:t>Термін приготування домашніх завдань</w:t>
      </w:r>
    </w:p>
    <w:p w:rsidR="006F124B" w:rsidRPr="002E6ECA" w:rsidRDefault="006F124B" w:rsidP="006F124B">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Тривалість перегляду телевізору.</w:t>
      </w:r>
    </w:p>
    <w:p w:rsidR="006F124B" w:rsidRPr="002E6ECA" w:rsidRDefault="006F124B" w:rsidP="006F124B">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Характер поведінки під час перерви</w:t>
      </w:r>
    </w:p>
    <w:p w:rsidR="006F124B" w:rsidRPr="002E6ECA" w:rsidRDefault="006F124B" w:rsidP="006F124B">
      <w:pPr>
        <w:autoSpaceDE w:val="0"/>
        <w:autoSpaceDN w:val="0"/>
        <w:adjustRightInd w:val="0"/>
        <w:spacing w:line="360" w:lineRule="auto"/>
        <w:ind w:left="720"/>
        <w:contextualSpacing/>
        <w:jc w:val="both"/>
        <w:rPr>
          <w:sz w:val="28"/>
          <w:szCs w:val="28"/>
          <w:lang w:val="uk-UA"/>
        </w:rPr>
      </w:pPr>
    </w:p>
    <w:p w:rsidR="009E0B65" w:rsidRPr="002E6ECA" w:rsidRDefault="00D87334" w:rsidP="009E0B65">
      <w:pPr>
        <w:autoSpaceDE w:val="0"/>
        <w:autoSpaceDN w:val="0"/>
        <w:adjustRightInd w:val="0"/>
        <w:spacing w:line="360" w:lineRule="auto"/>
        <w:jc w:val="both"/>
        <w:rPr>
          <w:sz w:val="28"/>
          <w:szCs w:val="28"/>
          <w:lang w:val="uk-UA"/>
        </w:rPr>
      </w:pPr>
      <w:r w:rsidRPr="002E6ECA">
        <w:rPr>
          <w:noProof/>
          <w:lang w:val="uk-UA" w:eastAsia="uk-UA"/>
        </w:rPr>
        <w:drawing>
          <wp:inline distT="0" distB="0" distL="0" distR="0" wp14:anchorId="7CBD4AAC" wp14:editId="04E6AF96">
            <wp:extent cx="6238593" cy="617220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93">
                      <a:extLst>
                        <a:ext uri="{28A0092B-C50C-407E-A947-70E740481C1C}">
                          <a14:useLocalDpi xmlns:a14="http://schemas.microsoft.com/office/drawing/2010/main" val="0"/>
                        </a:ext>
                      </a:extLst>
                    </a:blip>
                    <a:srcRect l="61093" t="9964" r="10429" b="9779"/>
                    <a:stretch>
                      <a:fillRect/>
                    </a:stretch>
                  </pic:blipFill>
                  <pic:spPr bwMode="auto">
                    <a:xfrm>
                      <a:off x="0" y="0"/>
                      <a:ext cx="6243383" cy="6176939"/>
                    </a:xfrm>
                    <a:prstGeom prst="rect">
                      <a:avLst/>
                    </a:prstGeom>
                    <a:noFill/>
                    <a:ln>
                      <a:noFill/>
                    </a:ln>
                  </pic:spPr>
                </pic:pic>
              </a:graphicData>
            </a:graphic>
          </wp:inline>
        </w:drawing>
      </w:r>
    </w:p>
    <w:p w:rsidR="009E0B65" w:rsidRPr="002E6ECA" w:rsidRDefault="009E0B65" w:rsidP="009E0B65">
      <w:pPr>
        <w:spacing w:line="360" w:lineRule="auto"/>
        <w:ind w:firstLine="709"/>
        <w:jc w:val="both"/>
        <w:rPr>
          <w:sz w:val="28"/>
          <w:szCs w:val="28"/>
          <w:lang w:val="uk-UA"/>
        </w:rPr>
      </w:pPr>
      <w:r w:rsidRPr="002E6ECA">
        <w:rPr>
          <w:sz w:val="28"/>
          <w:szCs w:val="28"/>
          <w:lang w:val="uk-UA"/>
        </w:rPr>
        <w:t>Рис. 9.2. Структурна схема програми профілактичних заходів для SEM та оцінки її ефективності</w:t>
      </w:r>
    </w:p>
    <w:p w:rsidR="009E0B65" w:rsidRPr="002E6ECA" w:rsidRDefault="009E0B65" w:rsidP="00565490">
      <w:pPr>
        <w:spacing w:line="276" w:lineRule="auto"/>
        <w:ind w:firstLine="709"/>
        <w:jc w:val="both"/>
        <w:rPr>
          <w:lang w:val="uk-UA"/>
        </w:rPr>
      </w:pPr>
      <w:r w:rsidRPr="002E6ECA">
        <w:rPr>
          <w:lang w:val="uk-UA"/>
        </w:rPr>
        <w:t>Умовні позначки:</w:t>
      </w:r>
    </w:p>
    <w:tbl>
      <w:tblPr>
        <w:tblW w:w="0" w:type="auto"/>
        <w:tblLook w:val="04A0" w:firstRow="1" w:lastRow="0" w:firstColumn="1" w:lastColumn="0" w:noHBand="0" w:noVBand="1"/>
      </w:tblPr>
      <w:tblGrid>
        <w:gridCol w:w="1951"/>
        <w:gridCol w:w="7902"/>
      </w:tblGrid>
      <w:tr w:rsidR="009E0B65" w:rsidRPr="002E6ECA" w:rsidTr="009E0B65">
        <w:tc>
          <w:tcPr>
            <w:tcW w:w="1951" w:type="dxa"/>
            <w:shd w:val="clear" w:color="auto" w:fill="auto"/>
          </w:tcPr>
          <w:p w:rsidR="009E0B65" w:rsidRPr="002E6ECA" w:rsidRDefault="009E0B65" w:rsidP="00565490">
            <w:pPr>
              <w:spacing w:line="276" w:lineRule="auto"/>
              <w:rPr>
                <w:lang w:val="uk-UA"/>
              </w:rPr>
            </w:pPr>
            <w:r w:rsidRPr="002E6ECA">
              <w:rPr>
                <w:noProof/>
                <w:lang w:val="uk-UA" w:eastAsia="uk-UA"/>
              </w:rPr>
              <mc:AlternateContent>
                <mc:Choice Requires="wps">
                  <w:drawing>
                    <wp:anchor distT="4294967291" distB="4294967291" distL="114300" distR="114300" simplePos="0" relativeHeight="251699712" behindDoc="0" locked="0" layoutInCell="1" allowOverlap="1" wp14:anchorId="20EAADCA" wp14:editId="6619DCDF">
                      <wp:simplePos x="0" y="0"/>
                      <wp:positionH relativeFrom="column">
                        <wp:posOffset>180340</wp:posOffset>
                      </wp:positionH>
                      <wp:positionV relativeFrom="paragraph">
                        <wp:posOffset>154939</wp:posOffset>
                      </wp:positionV>
                      <wp:extent cx="551815" cy="0"/>
                      <wp:effectExtent l="38100" t="76200" r="19685" b="95250"/>
                      <wp:wrapNone/>
                      <wp:docPr id="66" name="Прямая со стрелкой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4499DFF" id="_x0000_t32" coordsize="21600,21600" o:spt="32" o:oned="t" path="m,l21600,21600e" filled="f">
                      <v:path arrowok="t" fillok="f" o:connecttype="none"/>
                      <o:lock v:ext="edit" shapetype="t"/>
                    </v:shapetype>
                    <v:shape id="Прямая со стрелкой 236" o:spid="_x0000_s1026" type="#_x0000_t32" style="position:absolute;margin-left:14.2pt;margin-top:12.2pt;width:43.45pt;height:0;z-index:2516997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">
                      <v:stroke startarrow="block" endarrow="block"/>
                    </v:shape>
                  </w:pict>
                </mc:Fallback>
              </mc:AlternateContent>
            </w:r>
          </w:p>
        </w:tc>
        <w:tc>
          <w:tcPr>
            <w:tcW w:w="7904" w:type="dxa"/>
            <w:shd w:val="clear" w:color="auto" w:fill="auto"/>
          </w:tcPr>
          <w:p w:rsidR="009E0B65" w:rsidRPr="002E6ECA" w:rsidRDefault="009E0B65" w:rsidP="00565490">
            <w:pPr>
              <w:spacing w:line="276" w:lineRule="auto"/>
              <w:rPr>
                <w:lang w:val="uk-UA"/>
              </w:rPr>
            </w:pPr>
            <w:r w:rsidRPr="002E6ECA">
              <w:rPr>
                <w:lang w:val="uk-UA"/>
              </w:rPr>
              <w:t>Зв'язок на рівні кореляцій або коваріацій</w:t>
            </w:r>
          </w:p>
        </w:tc>
      </w:tr>
      <w:tr w:rsidR="009E0B65" w:rsidRPr="002E6ECA" w:rsidTr="009E0B65">
        <w:tc>
          <w:tcPr>
            <w:tcW w:w="1951" w:type="dxa"/>
            <w:shd w:val="clear" w:color="auto" w:fill="auto"/>
          </w:tcPr>
          <w:p w:rsidR="009E0B65" w:rsidRPr="002E6ECA" w:rsidRDefault="009E0B65" w:rsidP="00565490">
            <w:pPr>
              <w:spacing w:line="276" w:lineRule="auto"/>
              <w:rPr>
                <w:lang w:val="uk-UA"/>
              </w:rPr>
            </w:pPr>
            <w:r w:rsidRPr="002E6ECA">
              <w:rPr>
                <w:noProof/>
                <w:lang w:val="uk-UA" w:eastAsia="uk-UA"/>
              </w:rPr>
              <mc:AlternateContent>
                <mc:Choice Requires="wps">
                  <w:drawing>
                    <wp:anchor distT="0" distB="0" distL="114300" distR="114300" simplePos="0" relativeHeight="251700736" behindDoc="0" locked="0" layoutInCell="1" allowOverlap="1" wp14:anchorId="093B4396" wp14:editId="419C8C89">
                      <wp:simplePos x="0" y="0"/>
                      <wp:positionH relativeFrom="column">
                        <wp:posOffset>180340</wp:posOffset>
                      </wp:positionH>
                      <wp:positionV relativeFrom="paragraph">
                        <wp:posOffset>113030</wp:posOffset>
                      </wp:positionV>
                      <wp:extent cx="376555" cy="90805"/>
                      <wp:effectExtent l="0" t="0" r="42545" b="42545"/>
                      <wp:wrapNone/>
                      <wp:docPr id="65" name="AutoShap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90805"/>
                              </a:xfrm>
                              <a:prstGeom prst="curvedDownArrow">
                                <a:avLst>
                                  <a:gd name="adj1" fmla="val 82937"/>
                                  <a:gd name="adj2" fmla="val 165874"/>
                                  <a:gd name="adj3" fmla="val 33333"/>
                                </a:avLst>
                              </a:prstGeom>
                              <a:noFill/>
                              <a:ln w="12700">
                                <a:solidFill>
                                  <a:sysClr val="windowText" lastClr="000000">
                                    <a:lumMod val="100000"/>
                                    <a:lumOff val="0"/>
                                  </a:sysClr>
                                </a:solidFill>
                                <a:miter lim="800000"/>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accent6">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A38B64A"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65" o:spid="_x0000_s1026" type="#_x0000_t105" style="position:absolute;margin-left:14.2pt;margin-top:8.9pt;width:29.65pt;height:7.1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" filled="f" fillcolor="white [3201]" strokeweight="1pt">
                      <v:fill color2="#fbd4b4 [1305]" focus="100%" type="gradient"/>
                      <v:shadow color="#974706 [1609]" opacity=".5" offset="1pt"/>
                    </v:shape>
                  </w:pict>
                </mc:Fallback>
              </mc:AlternateContent>
            </w:r>
          </w:p>
        </w:tc>
        <w:tc>
          <w:tcPr>
            <w:tcW w:w="7904" w:type="dxa"/>
            <w:shd w:val="clear" w:color="auto" w:fill="auto"/>
          </w:tcPr>
          <w:p w:rsidR="009E0B65" w:rsidRPr="002E6ECA" w:rsidRDefault="009E0B65" w:rsidP="00565490">
            <w:pPr>
              <w:spacing w:line="276" w:lineRule="auto"/>
              <w:rPr>
                <w:lang w:val="uk-UA"/>
              </w:rPr>
            </w:pPr>
            <w:r w:rsidRPr="002E6ECA">
              <w:rPr>
                <w:lang w:val="uk-UA"/>
              </w:rPr>
              <w:t>Безпосередній вплив чинника</w:t>
            </w:r>
          </w:p>
        </w:tc>
      </w:tr>
      <w:tr w:rsidR="009E0B65" w:rsidRPr="002E6ECA" w:rsidTr="009E0B65">
        <w:tc>
          <w:tcPr>
            <w:tcW w:w="1951" w:type="dxa"/>
            <w:shd w:val="clear" w:color="auto" w:fill="auto"/>
          </w:tcPr>
          <w:p w:rsidR="009E0B65" w:rsidRPr="002E6ECA" w:rsidRDefault="009E0B65" w:rsidP="00565490">
            <w:pPr>
              <w:spacing w:line="276" w:lineRule="auto"/>
              <w:rPr>
                <w:lang w:val="uk-UA"/>
              </w:rPr>
            </w:pPr>
            <w:r w:rsidRPr="002E6ECA">
              <w:rPr>
                <w:noProof/>
                <w:lang w:val="uk-UA" w:eastAsia="uk-UA"/>
              </w:rPr>
              <mc:AlternateContent>
                <mc:Choice Requires="wps">
                  <w:drawing>
                    <wp:anchor distT="0" distB="0" distL="114300" distR="114300" simplePos="0" relativeHeight="251701760" behindDoc="0" locked="0" layoutInCell="1" allowOverlap="1" wp14:anchorId="2DC842B5" wp14:editId="76B3D28C">
                      <wp:simplePos x="0" y="0"/>
                      <wp:positionH relativeFrom="column">
                        <wp:posOffset>191770</wp:posOffset>
                      </wp:positionH>
                      <wp:positionV relativeFrom="paragraph">
                        <wp:posOffset>108585</wp:posOffset>
                      </wp:positionV>
                      <wp:extent cx="278130" cy="96520"/>
                      <wp:effectExtent l="0" t="19050" r="45720" b="36830"/>
                      <wp:wrapNone/>
                      <wp:docPr id="64" name="AutoShap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96520"/>
                              </a:xfrm>
                              <a:prstGeom prst="stripedRightArrow">
                                <a:avLst>
                                  <a:gd name="adj1" fmla="val 50000"/>
                                  <a:gd name="adj2" fmla="val 72039"/>
                                </a:avLst>
                              </a:prstGeom>
                              <a:noFill/>
                              <a:ln w="12700">
                                <a:solidFill>
                                  <a:sysClr val="windowText" lastClr="000000">
                                    <a:lumMod val="100000"/>
                                    <a:lumOff val="0"/>
                                  </a:sysClr>
                                </a:solidFill>
                                <a:miter lim="800000"/>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accent6">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274FCBF"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167" o:spid="_x0000_s1026" type="#_x0000_t93" style="position:absolute;margin-left:15.1pt;margin-top:8.55pt;width:21.9pt;height:7.6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" filled="f" fillcolor="white [3201]" strokeweight="1pt">
                      <v:fill color2="#fbd4b4 [1305]" focus="100%" type="gradient"/>
                      <v:shadow color="#974706 [1609]" opacity=".5" offset="1pt"/>
                    </v:shape>
                  </w:pict>
                </mc:Fallback>
              </mc:AlternateContent>
            </w:r>
          </w:p>
        </w:tc>
        <w:tc>
          <w:tcPr>
            <w:tcW w:w="7904" w:type="dxa"/>
            <w:shd w:val="clear" w:color="auto" w:fill="auto"/>
          </w:tcPr>
          <w:p w:rsidR="009E0B65" w:rsidRPr="002E6ECA" w:rsidRDefault="009E0B65" w:rsidP="00565490">
            <w:pPr>
              <w:spacing w:line="276" w:lineRule="auto"/>
              <w:rPr>
                <w:lang w:val="uk-UA"/>
              </w:rPr>
            </w:pPr>
            <w:r w:rsidRPr="002E6ECA">
              <w:rPr>
                <w:lang w:val="uk-UA"/>
              </w:rPr>
              <w:t>Причинно-наслідковий зв</w:t>
            </w:r>
            <w:r w:rsidRPr="002E6ECA">
              <w:rPr>
                <w:rFonts w:ascii="Arial" w:hAnsi="Arial" w:cs="Arial"/>
                <w:lang w:val="uk-UA"/>
              </w:rPr>
              <w:t>’</w:t>
            </w:r>
            <w:r w:rsidRPr="002E6ECA">
              <w:rPr>
                <w:lang w:val="uk-UA"/>
              </w:rPr>
              <w:t>язок</w:t>
            </w:r>
          </w:p>
        </w:tc>
      </w:tr>
    </w:tbl>
    <w:p w:rsidR="00D87334" w:rsidRPr="002E6ECA" w:rsidRDefault="00D87334" w:rsidP="00D87334">
      <w:pPr>
        <w:autoSpaceDE w:val="0"/>
        <w:autoSpaceDN w:val="0"/>
        <w:adjustRightInd w:val="0"/>
        <w:spacing w:line="360" w:lineRule="auto"/>
        <w:ind w:left="720"/>
        <w:contextualSpacing/>
        <w:jc w:val="both"/>
        <w:rPr>
          <w:sz w:val="28"/>
          <w:szCs w:val="28"/>
          <w:lang w:val="uk-UA"/>
        </w:rPr>
      </w:pP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lastRenderedPageBreak/>
        <w:t>Кратність прийому їжі</w:t>
      </w: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Обсяг добової рухової активності</w:t>
      </w: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Характер харчування під час перебування у школі</w:t>
      </w: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Спосіб проведення вільного часу у навчальні дні</w:t>
      </w: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Спосіб проведення вільного часу у вихідні дні</w:t>
      </w: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Вживання вітамінів</w:t>
      </w:r>
    </w:p>
    <w:p w:rsidR="00565490" w:rsidRPr="002E6ECA" w:rsidRDefault="00565490" w:rsidP="00565490">
      <w:pPr>
        <w:numPr>
          <w:ilvl w:val="0"/>
          <w:numId w:val="16"/>
        </w:numPr>
        <w:autoSpaceDE w:val="0"/>
        <w:autoSpaceDN w:val="0"/>
        <w:adjustRightInd w:val="0"/>
        <w:spacing w:line="360" w:lineRule="auto"/>
        <w:contextualSpacing/>
        <w:jc w:val="both"/>
        <w:rPr>
          <w:sz w:val="28"/>
          <w:szCs w:val="28"/>
          <w:lang w:val="uk-UA"/>
        </w:rPr>
      </w:pPr>
      <w:r w:rsidRPr="002E6ECA">
        <w:rPr>
          <w:sz w:val="28"/>
          <w:szCs w:val="28"/>
          <w:lang w:val="uk-UA"/>
        </w:rPr>
        <w:t>Наявність денного сну у структурі режиму дня</w:t>
      </w:r>
    </w:p>
    <w:p w:rsidR="00160FB7" w:rsidRPr="002E6ECA" w:rsidRDefault="00160FB7" w:rsidP="009E0B65">
      <w:pPr>
        <w:spacing w:line="360" w:lineRule="auto"/>
        <w:ind w:firstLine="709"/>
        <w:jc w:val="both"/>
        <w:rPr>
          <w:sz w:val="28"/>
          <w:szCs w:val="28"/>
          <w:lang w:val="uk-UA"/>
        </w:rPr>
      </w:pPr>
    </w:p>
    <w:p w:rsidR="00F038FC" w:rsidRPr="002E6ECA" w:rsidRDefault="00F038FC" w:rsidP="009E0B65">
      <w:pPr>
        <w:spacing w:line="360" w:lineRule="auto"/>
        <w:ind w:firstLine="709"/>
        <w:jc w:val="both"/>
        <w:rPr>
          <w:sz w:val="28"/>
          <w:szCs w:val="28"/>
          <w:lang w:val="uk-UA"/>
        </w:rPr>
      </w:pPr>
      <w:r w:rsidRPr="002E6ECA">
        <w:rPr>
          <w:sz w:val="28"/>
          <w:szCs w:val="28"/>
          <w:lang w:val="uk-UA"/>
        </w:rPr>
        <w:t>Тут змінні структур 1-3 пов'язані на рівні кореляцій, а змінні структури 4 безпосередньо впливають на змінні структури 2 і 3. Представлена структурна схема була запрограмована для модуля SEPATH і реалізована у вигляді SEM-моделі, яка показала наступні основні статистично значущі результати якості моделювання (індекси і критерії якості моделі; табл. 9.7):</w:t>
      </w:r>
    </w:p>
    <w:p w:rsidR="009E0B65" w:rsidRPr="002E6ECA" w:rsidRDefault="009E0B65" w:rsidP="009E0B65">
      <w:pPr>
        <w:spacing w:line="360" w:lineRule="auto"/>
        <w:ind w:firstLine="709"/>
        <w:jc w:val="right"/>
        <w:rPr>
          <w:i/>
          <w:sz w:val="28"/>
          <w:szCs w:val="28"/>
          <w:lang w:val="uk-UA"/>
        </w:rPr>
      </w:pPr>
      <w:r w:rsidRPr="002E6ECA">
        <w:rPr>
          <w:i/>
          <w:sz w:val="28"/>
          <w:szCs w:val="28"/>
          <w:lang w:val="uk-UA"/>
        </w:rPr>
        <w:t>Таблиця 9.7</w:t>
      </w:r>
    </w:p>
    <w:p w:rsidR="009E0B65" w:rsidRPr="002E6ECA" w:rsidRDefault="009E0B65" w:rsidP="009E0B65">
      <w:pPr>
        <w:spacing w:line="360" w:lineRule="auto"/>
        <w:ind w:firstLine="709"/>
        <w:jc w:val="center"/>
        <w:rPr>
          <w:b/>
          <w:sz w:val="28"/>
          <w:szCs w:val="28"/>
          <w:lang w:val="uk-UA"/>
        </w:rPr>
      </w:pPr>
      <w:r w:rsidRPr="002E6ECA">
        <w:rPr>
          <w:b/>
          <w:sz w:val="28"/>
          <w:szCs w:val="28"/>
          <w:lang w:val="uk-UA"/>
        </w:rPr>
        <w:t>Основна зведена статистика</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260"/>
      </w:tblGrid>
      <w:tr w:rsidR="009E0B65" w:rsidRPr="002E6ECA" w:rsidTr="009E0B65">
        <w:tc>
          <w:tcPr>
            <w:tcW w:w="6062"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 xml:space="preserve">Параметр </w:t>
            </w:r>
          </w:p>
        </w:tc>
        <w:tc>
          <w:tcPr>
            <w:tcW w:w="32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Значення</w:t>
            </w:r>
          </w:p>
        </w:tc>
      </w:tr>
      <w:tr w:rsidR="009E0B65" w:rsidRPr="002E6ECA" w:rsidTr="009E0B65">
        <w:tc>
          <w:tcPr>
            <w:tcW w:w="6062" w:type="dxa"/>
            <w:shd w:val="clear" w:color="auto" w:fill="auto"/>
            <w:vAlign w:val="center"/>
          </w:tcPr>
          <w:p w:rsidR="009E0B65" w:rsidRPr="002E6ECA" w:rsidRDefault="009E0B65" w:rsidP="009E0B65">
            <w:pPr>
              <w:spacing w:line="360" w:lineRule="auto"/>
              <w:rPr>
                <w:bCs/>
                <w:sz w:val="28"/>
                <w:szCs w:val="28"/>
                <w:lang w:val="uk-UA"/>
              </w:rPr>
            </w:pPr>
            <w:r w:rsidRPr="002E6ECA">
              <w:rPr>
                <w:bCs/>
                <w:sz w:val="28"/>
                <w:szCs w:val="28"/>
                <w:lang w:val="uk-UA"/>
              </w:rPr>
              <w:t>Функція невідповідності</w:t>
            </w:r>
          </w:p>
        </w:tc>
        <w:tc>
          <w:tcPr>
            <w:tcW w:w="326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0,81</w:t>
            </w:r>
          </w:p>
        </w:tc>
      </w:tr>
      <w:tr w:rsidR="009E0B65" w:rsidRPr="002E6ECA" w:rsidTr="009E0B65">
        <w:tc>
          <w:tcPr>
            <w:tcW w:w="6062" w:type="dxa"/>
            <w:shd w:val="clear" w:color="auto" w:fill="auto"/>
            <w:vAlign w:val="center"/>
          </w:tcPr>
          <w:p w:rsidR="009E0B65" w:rsidRPr="002E6ECA" w:rsidRDefault="009E0B65" w:rsidP="009E0B65">
            <w:pPr>
              <w:spacing w:line="360" w:lineRule="auto"/>
              <w:rPr>
                <w:bCs/>
                <w:sz w:val="28"/>
                <w:szCs w:val="28"/>
                <w:lang w:val="uk-UA"/>
              </w:rPr>
            </w:pPr>
            <w:r w:rsidRPr="002E6ECA">
              <w:rPr>
                <w:bCs/>
                <w:sz w:val="28"/>
                <w:szCs w:val="28"/>
                <w:lang w:val="uk-UA"/>
              </w:rPr>
              <w:t>Модель незалежності Хі -квадрат</w:t>
            </w:r>
          </w:p>
        </w:tc>
        <w:tc>
          <w:tcPr>
            <w:tcW w:w="326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122,29</w:t>
            </w:r>
          </w:p>
        </w:tc>
      </w:tr>
      <w:tr w:rsidR="009E0B65" w:rsidRPr="002E6ECA" w:rsidTr="009E0B65">
        <w:tc>
          <w:tcPr>
            <w:tcW w:w="6062" w:type="dxa"/>
            <w:shd w:val="clear" w:color="auto" w:fill="auto"/>
            <w:vAlign w:val="center"/>
          </w:tcPr>
          <w:p w:rsidR="009E0B65" w:rsidRPr="002E6ECA" w:rsidRDefault="009E0B65" w:rsidP="009E0B65">
            <w:pPr>
              <w:spacing w:line="360" w:lineRule="auto"/>
              <w:rPr>
                <w:bCs/>
                <w:sz w:val="28"/>
                <w:szCs w:val="28"/>
                <w:lang w:val="uk-UA"/>
              </w:rPr>
            </w:pPr>
            <w:r w:rsidRPr="002E6ECA">
              <w:rPr>
                <w:bCs/>
                <w:sz w:val="28"/>
                <w:szCs w:val="28"/>
                <w:lang w:val="uk-UA"/>
              </w:rPr>
              <w:t>Інформаційний критерій Акакайке</w:t>
            </w:r>
          </w:p>
        </w:tc>
        <w:tc>
          <w:tcPr>
            <w:tcW w:w="326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0,91</w:t>
            </w:r>
          </w:p>
        </w:tc>
      </w:tr>
      <w:tr w:rsidR="009E0B65" w:rsidRPr="002E6ECA" w:rsidTr="009E0B65">
        <w:tc>
          <w:tcPr>
            <w:tcW w:w="6062" w:type="dxa"/>
            <w:shd w:val="clear" w:color="auto" w:fill="auto"/>
            <w:vAlign w:val="center"/>
          </w:tcPr>
          <w:p w:rsidR="009E0B65" w:rsidRPr="002E6ECA" w:rsidRDefault="009E0B65" w:rsidP="009E0B65">
            <w:pPr>
              <w:spacing w:line="360" w:lineRule="auto"/>
              <w:rPr>
                <w:bCs/>
                <w:sz w:val="28"/>
                <w:szCs w:val="28"/>
                <w:lang w:val="uk-UA"/>
              </w:rPr>
            </w:pPr>
            <w:r w:rsidRPr="002E6ECA">
              <w:rPr>
                <w:bCs/>
                <w:sz w:val="28"/>
                <w:szCs w:val="28"/>
                <w:lang w:val="uk-UA"/>
              </w:rPr>
              <w:t>МЛ Хі -квадрат</w:t>
            </w:r>
          </w:p>
        </w:tc>
        <w:tc>
          <w:tcPr>
            <w:tcW w:w="326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62,81</w:t>
            </w:r>
          </w:p>
        </w:tc>
      </w:tr>
      <w:tr w:rsidR="009E0B65" w:rsidRPr="002E6ECA" w:rsidTr="009E0B65">
        <w:tc>
          <w:tcPr>
            <w:tcW w:w="6062" w:type="dxa"/>
            <w:shd w:val="clear" w:color="auto" w:fill="auto"/>
            <w:vAlign w:val="center"/>
          </w:tcPr>
          <w:p w:rsidR="009E0B65" w:rsidRPr="002E6ECA" w:rsidRDefault="009E0B65" w:rsidP="009E0B65">
            <w:pPr>
              <w:spacing w:line="360" w:lineRule="auto"/>
              <w:rPr>
                <w:bCs/>
                <w:sz w:val="28"/>
                <w:szCs w:val="28"/>
                <w:lang w:val="uk-UA"/>
              </w:rPr>
            </w:pPr>
            <w:r w:rsidRPr="002E6ECA">
              <w:rPr>
                <w:bCs/>
                <w:sz w:val="28"/>
                <w:szCs w:val="28"/>
                <w:lang w:val="uk-UA"/>
              </w:rPr>
              <w:t>р-значення</w:t>
            </w:r>
          </w:p>
        </w:tc>
        <w:tc>
          <w:tcPr>
            <w:tcW w:w="326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0,00001</w:t>
            </w:r>
          </w:p>
        </w:tc>
      </w:tr>
      <w:tr w:rsidR="009E0B65" w:rsidRPr="002E6ECA" w:rsidTr="009E0B65">
        <w:tc>
          <w:tcPr>
            <w:tcW w:w="6062" w:type="dxa"/>
            <w:shd w:val="clear" w:color="auto" w:fill="auto"/>
            <w:vAlign w:val="center"/>
          </w:tcPr>
          <w:p w:rsidR="009E0B65" w:rsidRPr="002E6ECA" w:rsidRDefault="009E0B65" w:rsidP="009E0B65">
            <w:pPr>
              <w:spacing w:line="360" w:lineRule="auto"/>
              <w:rPr>
                <w:bCs/>
                <w:sz w:val="28"/>
                <w:szCs w:val="28"/>
                <w:lang w:val="uk-UA"/>
              </w:rPr>
            </w:pPr>
            <w:r w:rsidRPr="002E6ECA">
              <w:rPr>
                <w:bCs/>
                <w:sz w:val="28"/>
                <w:szCs w:val="28"/>
                <w:lang w:val="uk-UA"/>
              </w:rPr>
              <w:t>RMS стандартизований залишковий</w:t>
            </w:r>
          </w:p>
        </w:tc>
        <w:tc>
          <w:tcPr>
            <w:tcW w:w="326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0,41</w:t>
            </w:r>
          </w:p>
        </w:tc>
      </w:tr>
    </w:tbl>
    <w:p w:rsidR="009E0B65" w:rsidRPr="002E6ECA" w:rsidRDefault="009E0B65" w:rsidP="009E0B65">
      <w:pPr>
        <w:spacing w:line="360" w:lineRule="auto"/>
        <w:ind w:firstLine="709"/>
        <w:jc w:val="center"/>
        <w:rPr>
          <w:i/>
          <w:sz w:val="28"/>
          <w:szCs w:val="28"/>
          <w:lang w:val="uk-UA"/>
        </w:rPr>
      </w:pPr>
    </w:p>
    <w:p w:rsidR="00565490" w:rsidRPr="002E6ECA" w:rsidRDefault="00F038FC" w:rsidP="00565490">
      <w:pPr>
        <w:spacing w:line="360" w:lineRule="auto"/>
        <w:ind w:firstLine="709"/>
        <w:jc w:val="both"/>
        <w:rPr>
          <w:sz w:val="28"/>
          <w:szCs w:val="28"/>
          <w:lang w:val="uk-UA"/>
        </w:rPr>
      </w:pPr>
      <w:r w:rsidRPr="002E6ECA">
        <w:rPr>
          <w:sz w:val="28"/>
          <w:szCs w:val="28"/>
          <w:lang w:val="uk-UA"/>
        </w:rPr>
        <w:t>Параметри моделей з коефіцієнтами структурних блоків представлені в таблиці 9.8. Відзначимо високу статистичну надійність (p&lt;0,0005) і точність побудованої моделі.</w:t>
      </w:r>
      <w:r w:rsidR="00565490" w:rsidRPr="002E6ECA">
        <w:rPr>
          <w:sz w:val="28"/>
          <w:szCs w:val="28"/>
          <w:lang w:val="uk-UA"/>
        </w:rPr>
        <w:t xml:space="preserve"> Аналіз параметрів моделі показує, що ступінь зв'язку між блоками 1 і 2 найбільша, а блоками 1 і 3 </w:t>
      </w:r>
      <w:r w:rsidR="00E26678" w:rsidRPr="002E6ECA">
        <w:rPr>
          <w:sz w:val="28"/>
          <w:szCs w:val="28"/>
          <w:lang w:val="uk-UA"/>
        </w:rPr>
        <w:t>-</w:t>
      </w:r>
      <w:r w:rsidR="00565490" w:rsidRPr="002E6ECA">
        <w:rPr>
          <w:sz w:val="28"/>
          <w:szCs w:val="28"/>
          <w:lang w:val="uk-UA"/>
        </w:rPr>
        <w:t>найменша, що узгоджується з їх відповідністю до часової фіксації блоків. Ступінь впливу блоку № 4  «Профілактичні заходи відносно оптимізації режиму дня та способу життя» на 2 і 3 позитивна, статистично значуща і рівновелика для обох блоків.</w:t>
      </w:r>
    </w:p>
    <w:p w:rsidR="009E0B65" w:rsidRPr="002E6ECA" w:rsidRDefault="009E0B65" w:rsidP="009E0B65">
      <w:pPr>
        <w:spacing w:line="360" w:lineRule="auto"/>
        <w:jc w:val="right"/>
        <w:rPr>
          <w:i/>
          <w:sz w:val="28"/>
          <w:szCs w:val="28"/>
          <w:lang w:val="uk-UA"/>
        </w:rPr>
      </w:pPr>
      <w:r w:rsidRPr="002E6ECA">
        <w:rPr>
          <w:i/>
          <w:sz w:val="28"/>
          <w:szCs w:val="28"/>
          <w:lang w:val="uk-UA"/>
        </w:rPr>
        <w:lastRenderedPageBreak/>
        <w:t>Таблиця 9.8</w:t>
      </w:r>
    </w:p>
    <w:p w:rsidR="009E0B65" w:rsidRPr="002E6ECA" w:rsidRDefault="009E0B65" w:rsidP="009E0B65">
      <w:pPr>
        <w:spacing w:line="360" w:lineRule="auto"/>
        <w:jc w:val="center"/>
        <w:rPr>
          <w:b/>
          <w:sz w:val="28"/>
          <w:szCs w:val="28"/>
          <w:lang w:val="uk-UA"/>
        </w:rPr>
      </w:pPr>
      <w:r w:rsidRPr="002E6ECA">
        <w:rPr>
          <w:b/>
          <w:sz w:val="28"/>
          <w:szCs w:val="28"/>
          <w:lang w:val="uk-UA"/>
        </w:rPr>
        <w:t>Оцінки параметрів моделі (SEM)</w:t>
      </w: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1559"/>
        <w:gridCol w:w="1894"/>
        <w:gridCol w:w="1650"/>
        <w:gridCol w:w="1946"/>
      </w:tblGrid>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Взаємовідносини блоків</w:t>
            </w:r>
          </w:p>
        </w:tc>
        <w:tc>
          <w:tcPr>
            <w:tcW w:w="1559"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Параметр - оцінка</w:t>
            </w:r>
          </w:p>
        </w:tc>
        <w:tc>
          <w:tcPr>
            <w:tcW w:w="1894"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Стандартна похибка</w:t>
            </w:r>
          </w:p>
        </w:tc>
        <w:tc>
          <w:tcPr>
            <w:tcW w:w="165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T - статистика</w:t>
            </w:r>
          </w:p>
        </w:tc>
        <w:tc>
          <w:tcPr>
            <w:tcW w:w="1946"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Рівень достовірності</w:t>
            </w:r>
          </w:p>
        </w:tc>
      </w:tr>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Блок 1</w:t>
            </w:r>
            <w:r w:rsidRPr="002E6ECA">
              <w:rPr>
                <w:b/>
                <w:sz w:val="28"/>
                <w:szCs w:val="28"/>
                <w:lang w:val="uk-UA"/>
              </w:rPr>
              <w:t xml:space="preserve"> </w:t>
            </w:r>
            <w:r w:rsidR="00E26678" w:rsidRPr="002E6ECA">
              <w:rPr>
                <w:b/>
                <w:sz w:val="28"/>
                <w:szCs w:val="28"/>
                <w:lang w:val="uk-UA"/>
              </w:rPr>
              <w:t>-</w:t>
            </w:r>
            <w:r w:rsidRPr="002E6ECA">
              <w:rPr>
                <w:bCs/>
                <w:sz w:val="28"/>
                <w:szCs w:val="28"/>
                <w:lang w:val="uk-UA"/>
              </w:rPr>
              <w:t>Блок 2</w:t>
            </w:r>
          </w:p>
        </w:tc>
        <w:tc>
          <w:tcPr>
            <w:tcW w:w="1559"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0,513</w:t>
            </w:r>
          </w:p>
        </w:tc>
        <w:tc>
          <w:tcPr>
            <w:tcW w:w="189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0,072</w:t>
            </w:r>
          </w:p>
        </w:tc>
        <w:tc>
          <w:tcPr>
            <w:tcW w:w="165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7,175</w:t>
            </w:r>
          </w:p>
        </w:tc>
        <w:tc>
          <w:tcPr>
            <w:tcW w:w="1946"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0,0001</w:t>
            </w:r>
          </w:p>
        </w:tc>
      </w:tr>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Блок 1</w:t>
            </w:r>
            <w:r w:rsidRPr="002E6ECA">
              <w:rPr>
                <w:b/>
                <w:sz w:val="28"/>
                <w:szCs w:val="28"/>
                <w:lang w:val="uk-UA"/>
              </w:rPr>
              <w:t xml:space="preserve"> </w:t>
            </w:r>
            <w:r w:rsidR="00E26678" w:rsidRPr="002E6ECA">
              <w:rPr>
                <w:b/>
                <w:sz w:val="28"/>
                <w:szCs w:val="28"/>
                <w:lang w:val="uk-UA"/>
              </w:rPr>
              <w:t>-</w:t>
            </w:r>
            <w:r w:rsidRPr="002E6ECA">
              <w:rPr>
                <w:bCs/>
                <w:sz w:val="28"/>
                <w:szCs w:val="28"/>
                <w:lang w:val="uk-UA"/>
              </w:rPr>
              <w:t>Блок 3</w:t>
            </w:r>
          </w:p>
        </w:tc>
        <w:tc>
          <w:tcPr>
            <w:tcW w:w="1559"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0,368</w:t>
            </w:r>
          </w:p>
        </w:tc>
        <w:tc>
          <w:tcPr>
            <w:tcW w:w="189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0,088</w:t>
            </w:r>
          </w:p>
        </w:tc>
        <w:tc>
          <w:tcPr>
            <w:tcW w:w="165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4,182</w:t>
            </w:r>
          </w:p>
        </w:tc>
        <w:tc>
          <w:tcPr>
            <w:tcW w:w="1946"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0,0001</w:t>
            </w:r>
          </w:p>
        </w:tc>
      </w:tr>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Блок 2</w:t>
            </w:r>
            <w:r w:rsidRPr="002E6ECA">
              <w:rPr>
                <w:b/>
                <w:sz w:val="28"/>
                <w:szCs w:val="28"/>
                <w:lang w:val="uk-UA"/>
              </w:rPr>
              <w:t xml:space="preserve"> </w:t>
            </w:r>
            <w:r w:rsidR="00E26678" w:rsidRPr="002E6ECA">
              <w:rPr>
                <w:b/>
                <w:sz w:val="28"/>
                <w:szCs w:val="28"/>
                <w:lang w:val="uk-UA"/>
              </w:rPr>
              <w:t>-</w:t>
            </w:r>
            <w:r w:rsidRPr="002E6ECA">
              <w:rPr>
                <w:bCs/>
                <w:sz w:val="28"/>
                <w:szCs w:val="28"/>
                <w:lang w:val="uk-UA"/>
              </w:rPr>
              <w:t>Блок 3</w:t>
            </w:r>
          </w:p>
        </w:tc>
        <w:tc>
          <w:tcPr>
            <w:tcW w:w="1559"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0,446</w:t>
            </w:r>
          </w:p>
        </w:tc>
        <w:tc>
          <w:tcPr>
            <w:tcW w:w="189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0,082</w:t>
            </w:r>
          </w:p>
        </w:tc>
        <w:tc>
          <w:tcPr>
            <w:tcW w:w="165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5,434</w:t>
            </w:r>
          </w:p>
        </w:tc>
        <w:tc>
          <w:tcPr>
            <w:tcW w:w="1946"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0,0001</w:t>
            </w:r>
          </w:p>
        </w:tc>
      </w:tr>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 xml:space="preserve">Блок 4 </w:t>
            </w:r>
            <w:r w:rsidR="00E26678" w:rsidRPr="002E6ECA">
              <w:rPr>
                <w:b/>
                <w:sz w:val="28"/>
                <w:szCs w:val="28"/>
                <w:lang w:val="uk-UA"/>
              </w:rPr>
              <w:t>-</w:t>
            </w:r>
            <w:r w:rsidRPr="002E6ECA">
              <w:rPr>
                <w:bCs/>
                <w:sz w:val="28"/>
                <w:szCs w:val="28"/>
                <w:lang w:val="uk-UA"/>
              </w:rPr>
              <w:t>Блок 2</w:t>
            </w:r>
          </w:p>
        </w:tc>
        <w:tc>
          <w:tcPr>
            <w:tcW w:w="1559"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2,412</w:t>
            </w:r>
          </w:p>
        </w:tc>
        <w:tc>
          <w:tcPr>
            <w:tcW w:w="189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0,803</w:t>
            </w:r>
          </w:p>
        </w:tc>
        <w:tc>
          <w:tcPr>
            <w:tcW w:w="165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3,003</w:t>
            </w:r>
          </w:p>
        </w:tc>
        <w:tc>
          <w:tcPr>
            <w:tcW w:w="1946"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0,0003</w:t>
            </w:r>
          </w:p>
        </w:tc>
      </w:tr>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Блок 4</w:t>
            </w:r>
            <w:r w:rsidRPr="002E6ECA">
              <w:rPr>
                <w:b/>
                <w:sz w:val="28"/>
                <w:szCs w:val="28"/>
                <w:lang w:val="uk-UA"/>
              </w:rPr>
              <w:t xml:space="preserve"> </w:t>
            </w:r>
            <w:r w:rsidR="00E26678" w:rsidRPr="002E6ECA">
              <w:rPr>
                <w:b/>
                <w:sz w:val="28"/>
                <w:szCs w:val="28"/>
                <w:lang w:val="uk-UA"/>
              </w:rPr>
              <w:t>-</w:t>
            </w:r>
            <w:r w:rsidRPr="002E6ECA">
              <w:rPr>
                <w:bCs/>
                <w:sz w:val="28"/>
                <w:szCs w:val="28"/>
                <w:lang w:val="uk-UA"/>
              </w:rPr>
              <w:t>Блок 3</w:t>
            </w:r>
          </w:p>
        </w:tc>
        <w:tc>
          <w:tcPr>
            <w:tcW w:w="1559"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2,401</w:t>
            </w:r>
          </w:p>
        </w:tc>
        <w:tc>
          <w:tcPr>
            <w:tcW w:w="189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0,858</w:t>
            </w:r>
          </w:p>
        </w:tc>
        <w:tc>
          <w:tcPr>
            <w:tcW w:w="165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2,797</w:t>
            </w:r>
          </w:p>
        </w:tc>
        <w:tc>
          <w:tcPr>
            <w:tcW w:w="1946"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0,0005</w:t>
            </w:r>
          </w:p>
        </w:tc>
      </w:tr>
      <w:tr w:rsidR="009E0B65" w:rsidRPr="002E6ECA" w:rsidTr="009E0B65">
        <w:tc>
          <w:tcPr>
            <w:tcW w:w="2660" w:type="dxa"/>
            <w:shd w:val="clear" w:color="auto" w:fill="auto"/>
            <w:vAlign w:val="center"/>
          </w:tcPr>
          <w:p w:rsidR="009E0B65" w:rsidRPr="002E6ECA" w:rsidRDefault="009E0B65" w:rsidP="009E0B65">
            <w:pPr>
              <w:spacing w:line="360" w:lineRule="auto"/>
              <w:jc w:val="center"/>
              <w:rPr>
                <w:bCs/>
                <w:sz w:val="28"/>
                <w:szCs w:val="28"/>
                <w:lang w:val="uk-UA"/>
              </w:rPr>
            </w:pPr>
            <w:r w:rsidRPr="002E6ECA">
              <w:rPr>
                <w:bCs/>
                <w:sz w:val="28"/>
                <w:szCs w:val="28"/>
                <w:lang w:val="uk-UA"/>
              </w:rPr>
              <w:t>Блок 4</w:t>
            </w:r>
            <w:r w:rsidRPr="002E6ECA">
              <w:rPr>
                <w:b/>
                <w:sz w:val="28"/>
                <w:szCs w:val="28"/>
                <w:lang w:val="uk-UA"/>
              </w:rPr>
              <w:t xml:space="preserve"> </w:t>
            </w:r>
            <w:r w:rsidRPr="002E6ECA">
              <w:rPr>
                <w:sz w:val="28"/>
                <w:szCs w:val="28"/>
                <w:lang w:val="uk-UA"/>
              </w:rPr>
              <w:t>(коваріація)</w:t>
            </w:r>
          </w:p>
        </w:tc>
        <w:tc>
          <w:tcPr>
            <w:tcW w:w="1559"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70,49</w:t>
            </w:r>
          </w:p>
        </w:tc>
        <w:tc>
          <w:tcPr>
            <w:tcW w:w="189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11,21</w:t>
            </w:r>
          </w:p>
        </w:tc>
        <w:tc>
          <w:tcPr>
            <w:tcW w:w="1650"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6,285</w:t>
            </w:r>
          </w:p>
        </w:tc>
        <w:tc>
          <w:tcPr>
            <w:tcW w:w="1946"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0,0001</w:t>
            </w:r>
          </w:p>
        </w:tc>
      </w:tr>
    </w:tbl>
    <w:p w:rsidR="00372EE3" w:rsidRPr="002E6ECA" w:rsidRDefault="00372EE3" w:rsidP="009E0B65">
      <w:pPr>
        <w:spacing w:line="360" w:lineRule="auto"/>
        <w:ind w:firstLine="709"/>
        <w:jc w:val="both"/>
        <w:rPr>
          <w:sz w:val="28"/>
          <w:szCs w:val="28"/>
          <w:lang w:val="uk-UA"/>
        </w:rPr>
      </w:pPr>
    </w:p>
    <w:p w:rsidR="009E0B65" w:rsidRPr="002E6ECA" w:rsidRDefault="009E0B65" w:rsidP="009E0B65">
      <w:pPr>
        <w:spacing w:line="360" w:lineRule="auto"/>
        <w:ind w:firstLine="709"/>
        <w:jc w:val="both"/>
        <w:rPr>
          <w:sz w:val="28"/>
          <w:szCs w:val="28"/>
          <w:lang w:val="uk-UA"/>
        </w:rPr>
      </w:pPr>
      <w:r w:rsidRPr="002E6ECA">
        <w:rPr>
          <w:sz w:val="28"/>
          <w:szCs w:val="28"/>
          <w:lang w:val="uk-UA"/>
        </w:rPr>
        <w:t>Подібні результати було отримано при оцінці прогресу певних антропометричних параметрів за результатами впровадження Закону "Super 8 Law" у Чилі</w:t>
      </w:r>
      <w:r w:rsidRPr="002E6ECA">
        <w:rPr>
          <w:bCs/>
          <w:sz w:val="28"/>
          <w:szCs w:val="28"/>
          <w:lang w:val="uk-UA"/>
        </w:rPr>
        <w:t xml:space="preserve">, </w:t>
      </w:r>
      <w:r w:rsidRPr="002E6ECA">
        <w:rPr>
          <w:sz w:val="28"/>
          <w:szCs w:val="28"/>
          <w:lang w:val="uk-UA"/>
        </w:rPr>
        <w:t xml:space="preserve">прогностичної сили моделі охорони здоров'я щодо індексу маси тіла студентів коледжу, детермінант фізичної активності та вмісту жирової тканини </w:t>
      </w:r>
      <w:r w:rsidRPr="002E6ECA">
        <w:rPr>
          <w:bCs/>
          <w:sz w:val="28"/>
          <w:szCs w:val="28"/>
          <w:lang w:val="uk-UA"/>
        </w:rPr>
        <w:t>[450, 510, 514].</w:t>
      </w:r>
    </w:p>
    <w:p w:rsidR="009E0B65" w:rsidRPr="002E6ECA" w:rsidRDefault="009E0B65" w:rsidP="009E0B65">
      <w:pPr>
        <w:spacing w:line="360" w:lineRule="auto"/>
        <w:ind w:firstLine="709"/>
        <w:jc w:val="both"/>
        <w:rPr>
          <w:sz w:val="28"/>
          <w:szCs w:val="28"/>
          <w:lang w:val="uk-UA"/>
        </w:rPr>
      </w:pPr>
      <w:r w:rsidRPr="002E6ECA">
        <w:rPr>
          <w:sz w:val="28"/>
          <w:szCs w:val="28"/>
          <w:lang w:val="uk-UA"/>
        </w:rPr>
        <w:t>Найбільш значимі групи показників з числа «Профілактичні заходи відносно оптимізації режиму дня та способу життя» визначено за допомогою тесту Фрідмана ANOVA і коефіцієнту конкордації та наведено у таблиці 9.9.</w:t>
      </w:r>
    </w:p>
    <w:p w:rsidR="009E0B65" w:rsidRPr="002E6ECA" w:rsidRDefault="00E21183" w:rsidP="00E21183">
      <w:pPr>
        <w:tabs>
          <w:tab w:val="left" w:pos="2359"/>
        </w:tabs>
        <w:spacing w:line="360" w:lineRule="auto"/>
        <w:ind w:firstLine="709"/>
        <w:jc w:val="right"/>
        <w:rPr>
          <w:i/>
          <w:sz w:val="28"/>
          <w:szCs w:val="28"/>
          <w:lang w:val="uk-UA"/>
        </w:rPr>
      </w:pPr>
      <w:r w:rsidRPr="002E6ECA">
        <w:rPr>
          <w:sz w:val="28"/>
          <w:szCs w:val="28"/>
          <w:lang w:val="uk-UA"/>
        </w:rPr>
        <w:tab/>
      </w:r>
      <w:r w:rsidR="009E0B65" w:rsidRPr="002E6ECA">
        <w:rPr>
          <w:i/>
          <w:sz w:val="28"/>
          <w:szCs w:val="28"/>
          <w:lang w:val="uk-UA"/>
        </w:rPr>
        <w:t>Таблиця 9.9</w:t>
      </w:r>
    </w:p>
    <w:p w:rsidR="009E0B65" w:rsidRPr="002E6ECA" w:rsidRDefault="00F038FC" w:rsidP="007F2CCB">
      <w:pPr>
        <w:spacing w:line="360" w:lineRule="auto"/>
        <w:jc w:val="center"/>
        <w:rPr>
          <w:b/>
          <w:sz w:val="28"/>
          <w:szCs w:val="28"/>
          <w:lang w:val="uk-UA"/>
        </w:rPr>
      </w:pPr>
      <w:r w:rsidRPr="002E6ECA">
        <w:rPr>
          <w:b/>
          <w:sz w:val="28"/>
          <w:szCs w:val="28"/>
          <w:lang w:val="uk-UA"/>
        </w:rPr>
        <w:t>Результати т</w:t>
      </w:r>
      <w:r w:rsidR="009E0B65" w:rsidRPr="002E6ECA">
        <w:rPr>
          <w:b/>
          <w:sz w:val="28"/>
          <w:szCs w:val="28"/>
          <w:lang w:val="uk-UA"/>
        </w:rPr>
        <w:t>ест</w:t>
      </w:r>
      <w:r w:rsidRPr="002E6ECA">
        <w:rPr>
          <w:b/>
          <w:sz w:val="28"/>
          <w:szCs w:val="28"/>
          <w:lang w:val="uk-UA"/>
        </w:rPr>
        <w:t>у</w:t>
      </w:r>
      <w:r w:rsidR="009E0B65" w:rsidRPr="002E6ECA">
        <w:rPr>
          <w:b/>
          <w:sz w:val="28"/>
          <w:szCs w:val="28"/>
          <w:lang w:val="uk-UA"/>
        </w:rPr>
        <w:t xml:space="preserve"> Фрідмана ANOVA для найбільш значущих </w:t>
      </w:r>
      <w:r w:rsidRPr="002E6ECA">
        <w:rPr>
          <w:b/>
          <w:sz w:val="28"/>
          <w:szCs w:val="28"/>
          <w:lang w:val="uk-UA"/>
        </w:rPr>
        <w:t>елементів п</w:t>
      </w:r>
      <w:r w:rsidR="009E0B65" w:rsidRPr="002E6ECA">
        <w:rPr>
          <w:b/>
          <w:sz w:val="28"/>
          <w:szCs w:val="28"/>
          <w:lang w:val="uk-UA"/>
        </w:rPr>
        <w:t>рофілактичн</w:t>
      </w:r>
      <w:r w:rsidRPr="002E6ECA">
        <w:rPr>
          <w:b/>
          <w:sz w:val="28"/>
          <w:szCs w:val="28"/>
          <w:lang w:val="uk-UA"/>
        </w:rPr>
        <w:t>их</w:t>
      </w:r>
      <w:r w:rsidR="009E0B65" w:rsidRPr="002E6ECA">
        <w:rPr>
          <w:b/>
          <w:sz w:val="28"/>
          <w:szCs w:val="28"/>
          <w:lang w:val="uk-UA"/>
        </w:rPr>
        <w:t xml:space="preserve"> заход</w:t>
      </w:r>
      <w:r w:rsidRPr="002E6ECA">
        <w:rPr>
          <w:b/>
          <w:sz w:val="28"/>
          <w:szCs w:val="28"/>
          <w:lang w:val="uk-UA"/>
        </w:rPr>
        <w:t>ів</w:t>
      </w:r>
      <w:r w:rsidR="009E0B65" w:rsidRPr="002E6ECA">
        <w:rPr>
          <w:b/>
          <w:sz w:val="28"/>
          <w:szCs w:val="28"/>
          <w:lang w:val="uk-UA"/>
        </w:rPr>
        <w:t xml:space="preserve"> </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7"/>
        <w:gridCol w:w="1134"/>
        <w:gridCol w:w="1418"/>
        <w:gridCol w:w="1471"/>
        <w:gridCol w:w="1648"/>
      </w:tblGrid>
      <w:tr w:rsidR="009E0B65" w:rsidRPr="002E6ECA" w:rsidTr="00565490">
        <w:tc>
          <w:tcPr>
            <w:tcW w:w="4077" w:type="dxa"/>
            <w:shd w:val="clear" w:color="auto" w:fill="auto"/>
            <w:vAlign w:val="center"/>
          </w:tcPr>
          <w:p w:rsidR="009E0B65" w:rsidRPr="002E6ECA" w:rsidRDefault="009E0B65" w:rsidP="00565490">
            <w:pPr>
              <w:spacing w:line="276" w:lineRule="auto"/>
              <w:rPr>
                <w:sz w:val="28"/>
                <w:szCs w:val="28"/>
                <w:lang w:val="uk-UA"/>
              </w:rPr>
            </w:pPr>
            <w:r w:rsidRPr="002E6ECA">
              <w:rPr>
                <w:sz w:val="28"/>
                <w:szCs w:val="28"/>
                <w:lang w:val="uk-UA"/>
              </w:rPr>
              <w:t>Профілактичний захід</w:t>
            </w:r>
          </w:p>
        </w:tc>
        <w:tc>
          <w:tcPr>
            <w:tcW w:w="1134" w:type="dxa"/>
            <w:shd w:val="clear" w:color="auto" w:fill="auto"/>
            <w:vAlign w:val="center"/>
          </w:tcPr>
          <w:p w:rsidR="009E0B65" w:rsidRPr="002E6ECA" w:rsidRDefault="009E0B65" w:rsidP="00565490">
            <w:pPr>
              <w:spacing w:line="276" w:lineRule="auto"/>
              <w:jc w:val="center"/>
              <w:rPr>
                <w:bCs/>
                <w:sz w:val="28"/>
                <w:szCs w:val="28"/>
                <w:lang w:val="uk-UA"/>
              </w:rPr>
            </w:pPr>
            <w:r w:rsidRPr="002E6ECA">
              <w:rPr>
                <w:bCs/>
                <w:sz w:val="28"/>
                <w:szCs w:val="28"/>
                <w:lang w:val="uk-UA"/>
              </w:rPr>
              <w:t>Ранг</w:t>
            </w:r>
          </w:p>
        </w:tc>
        <w:tc>
          <w:tcPr>
            <w:tcW w:w="1418" w:type="dxa"/>
            <w:shd w:val="clear" w:color="auto" w:fill="auto"/>
            <w:vAlign w:val="center"/>
          </w:tcPr>
          <w:p w:rsidR="009E0B65" w:rsidRPr="002E6ECA" w:rsidRDefault="009E0B65" w:rsidP="00565490">
            <w:pPr>
              <w:spacing w:line="276" w:lineRule="auto"/>
              <w:jc w:val="center"/>
              <w:rPr>
                <w:bCs/>
                <w:sz w:val="28"/>
                <w:szCs w:val="28"/>
                <w:lang w:val="uk-UA"/>
              </w:rPr>
            </w:pPr>
            <w:r w:rsidRPr="002E6ECA">
              <w:rPr>
                <w:bCs/>
                <w:sz w:val="28"/>
                <w:szCs w:val="28"/>
                <w:lang w:val="uk-UA"/>
              </w:rPr>
              <w:t xml:space="preserve">Сума - </w:t>
            </w:r>
            <w:r w:rsidR="00F038FC" w:rsidRPr="002E6ECA">
              <w:rPr>
                <w:bCs/>
                <w:sz w:val="28"/>
                <w:szCs w:val="28"/>
                <w:lang w:val="uk-UA"/>
              </w:rPr>
              <w:t>р</w:t>
            </w:r>
            <w:r w:rsidRPr="002E6ECA">
              <w:rPr>
                <w:bCs/>
                <w:sz w:val="28"/>
                <w:szCs w:val="28"/>
                <w:lang w:val="uk-UA"/>
              </w:rPr>
              <w:t>ейтинги</w:t>
            </w:r>
          </w:p>
        </w:tc>
        <w:tc>
          <w:tcPr>
            <w:tcW w:w="1471" w:type="dxa"/>
            <w:shd w:val="clear" w:color="auto" w:fill="auto"/>
            <w:vAlign w:val="center"/>
          </w:tcPr>
          <w:p w:rsidR="009E0B65" w:rsidRPr="002E6ECA" w:rsidRDefault="009E0B65" w:rsidP="00565490">
            <w:pPr>
              <w:spacing w:line="276" w:lineRule="auto"/>
              <w:jc w:val="center"/>
              <w:rPr>
                <w:bCs/>
                <w:sz w:val="28"/>
                <w:szCs w:val="28"/>
                <w:lang w:val="uk-UA"/>
              </w:rPr>
            </w:pPr>
            <w:r w:rsidRPr="002E6ECA">
              <w:rPr>
                <w:bCs/>
                <w:sz w:val="28"/>
                <w:szCs w:val="28"/>
                <w:lang w:val="uk-UA"/>
              </w:rPr>
              <w:t xml:space="preserve">Середнє значення </w:t>
            </w:r>
          </w:p>
        </w:tc>
        <w:tc>
          <w:tcPr>
            <w:tcW w:w="1648" w:type="dxa"/>
            <w:shd w:val="clear" w:color="auto" w:fill="auto"/>
            <w:vAlign w:val="center"/>
          </w:tcPr>
          <w:p w:rsidR="009E0B65" w:rsidRPr="002E6ECA" w:rsidRDefault="009E0B65" w:rsidP="00565490">
            <w:pPr>
              <w:spacing w:line="276" w:lineRule="auto"/>
              <w:jc w:val="center"/>
              <w:rPr>
                <w:bCs/>
                <w:sz w:val="28"/>
                <w:szCs w:val="28"/>
                <w:lang w:val="uk-UA"/>
              </w:rPr>
            </w:pPr>
            <w:r w:rsidRPr="002E6ECA">
              <w:rPr>
                <w:bCs/>
                <w:sz w:val="28"/>
                <w:szCs w:val="28"/>
                <w:lang w:val="uk-UA"/>
              </w:rPr>
              <w:t>Стандартне відхилення</w:t>
            </w:r>
          </w:p>
        </w:tc>
      </w:tr>
      <w:tr w:rsidR="009E0B65" w:rsidRPr="002E6ECA" w:rsidTr="00565490">
        <w:tc>
          <w:tcPr>
            <w:tcW w:w="4077" w:type="dxa"/>
            <w:shd w:val="clear" w:color="auto" w:fill="auto"/>
            <w:vAlign w:val="center"/>
          </w:tcPr>
          <w:p w:rsidR="009E0B65" w:rsidRPr="002E6ECA" w:rsidRDefault="009E0B65" w:rsidP="009E0B65">
            <w:pPr>
              <w:spacing w:line="360" w:lineRule="auto"/>
              <w:rPr>
                <w:b/>
                <w:bCs/>
                <w:sz w:val="28"/>
                <w:szCs w:val="28"/>
                <w:lang w:val="uk-UA"/>
              </w:rPr>
            </w:pPr>
            <w:r w:rsidRPr="002E6ECA">
              <w:rPr>
                <w:sz w:val="28"/>
                <w:szCs w:val="28"/>
                <w:lang w:val="uk-UA"/>
              </w:rPr>
              <w:t>Тривалість нічного сну</w:t>
            </w:r>
          </w:p>
        </w:tc>
        <w:tc>
          <w:tcPr>
            <w:tcW w:w="113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2,36</w:t>
            </w:r>
          </w:p>
        </w:tc>
        <w:tc>
          <w:tcPr>
            <w:tcW w:w="141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134,5</w:t>
            </w:r>
          </w:p>
        </w:tc>
        <w:tc>
          <w:tcPr>
            <w:tcW w:w="1471"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0,596</w:t>
            </w:r>
          </w:p>
        </w:tc>
        <w:tc>
          <w:tcPr>
            <w:tcW w:w="164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0,495</w:t>
            </w:r>
          </w:p>
        </w:tc>
      </w:tr>
      <w:tr w:rsidR="009E0B65" w:rsidRPr="002E6ECA" w:rsidTr="00565490">
        <w:tc>
          <w:tcPr>
            <w:tcW w:w="4077" w:type="dxa"/>
            <w:shd w:val="clear" w:color="auto" w:fill="auto"/>
            <w:vAlign w:val="center"/>
          </w:tcPr>
          <w:p w:rsidR="009E0B65" w:rsidRPr="002E6ECA" w:rsidRDefault="009E0B65" w:rsidP="009E0B65">
            <w:pPr>
              <w:spacing w:line="360" w:lineRule="auto"/>
              <w:rPr>
                <w:b/>
                <w:bCs/>
                <w:sz w:val="28"/>
                <w:szCs w:val="28"/>
                <w:lang w:val="uk-UA"/>
              </w:rPr>
            </w:pPr>
            <w:r w:rsidRPr="002E6ECA">
              <w:rPr>
                <w:sz w:val="28"/>
                <w:szCs w:val="28"/>
                <w:lang w:val="uk-UA"/>
              </w:rPr>
              <w:t>Загартовуючи процедури</w:t>
            </w:r>
          </w:p>
        </w:tc>
        <w:tc>
          <w:tcPr>
            <w:tcW w:w="113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2,61</w:t>
            </w:r>
          </w:p>
        </w:tc>
        <w:tc>
          <w:tcPr>
            <w:tcW w:w="141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148,5</w:t>
            </w:r>
          </w:p>
        </w:tc>
        <w:tc>
          <w:tcPr>
            <w:tcW w:w="1471"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0,719</w:t>
            </w:r>
          </w:p>
        </w:tc>
        <w:tc>
          <w:tcPr>
            <w:tcW w:w="164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0,453</w:t>
            </w:r>
          </w:p>
        </w:tc>
      </w:tr>
      <w:tr w:rsidR="009E0B65" w:rsidRPr="002E6ECA" w:rsidTr="00565490">
        <w:tc>
          <w:tcPr>
            <w:tcW w:w="4077" w:type="dxa"/>
            <w:shd w:val="clear" w:color="auto" w:fill="auto"/>
            <w:vAlign w:val="bottom"/>
          </w:tcPr>
          <w:p w:rsidR="009E0B65" w:rsidRPr="002E6ECA" w:rsidRDefault="009E0B65" w:rsidP="00E21183">
            <w:pPr>
              <w:spacing w:line="276" w:lineRule="auto"/>
              <w:rPr>
                <w:bCs/>
                <w:sz w:val="28"/>
                <w:szCs w:val="28"/>
                <w:lang w:val="uk-UA"/>
              </w:rPr>
            </w:pPr>
            <w:r w:rsidRPr="002E6ECA">
              <w:rPr>
                <w:bCs/>
                <w:sz w:val="28"/>
                <w:szCs w:val="28"/>
                <w:lang w:val="uk-UA"/>
              </w:rPr>
              <w:t>Тривалість перебування на свіжому повітрі у навчальні дні</w:t>
            </w:r>
          </w:p>
        </w:tc>
        <w:tc>
          <w:tcPr>
            <w:tcW w:w="113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2,43</w:t>
            </w:r>
          </w:p>
        </w:tc>
        <w:tc>
          <w:tcPr>
            <w:tcW w:w="141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138,5</w:t>
            </w:r>
          </w:p>
        </w:tc>
        <w:tc>
          <w:tcPr>
            <w:tcW w:w="1471"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0,632</w:t>
            </w:r>
          </w:p>
        </w:tc>
        <w:tc>
          <w:tcPr>
            <w:tcW w:w="164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0,487</w:t>
            </w:r>
          </w:p>
        </w:tc>
      </w:tr>
      <w:tr w:rsidR="009E0B65" w:rsidRPr="002E6ECA" w:rsidTr="00565490">
        <w:tc>
          <w:tcPr>
            <w:tcW w:w="4077" w:type="dxa"/>
            <w:shd w:val="clear" w:color="auto" w:fill="auto"/>
            <w:vAlign w:val="bottom"/>
          </w:tcPr>
          <w:p w:rsidR="009E0B65" w:rsidRPr="002E6ECA" w:rsidRDefault="009E0B65" w:rsidP="009E0B65">
            <w:pPr>
              <w:spacing w:line="360" w:lineRule="auto"/>
              <w:rPr>
                <w:b/>
                <w:bCs/>
                <w:sz w:val="28"/>
                <w:szCs w:val="28"/>
                <w:lang w:val="uk-UA"/>
              </w:rPr>
            </w:pPr>
            <w:r w:rsidRPr="002E6ECA">
              <w:rPr>
                <w:bCs/>
                <w:sz w:val="28"/>
                <w:szCs w:val="28"/>
                <w:lang w:val="uk-UA"/>
              </w:rPr>
              <w:t>Кратність харчування</w:t>
            </w:r>
          </w:p>
        </w:tc>
        <w:tc>
          <w:tcPr>
            <w:tcW w:w="1134"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2,61</w:t>
            </w:r>
          </w:p>
        </w:tc>
        <w:tc>
          <w:tcPr>
            <w:tcW w:w="141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148,5</w:t>
            </w:r>
          </w:p>
        </w:tc>
        <w:tc>
          <w:tcPr>
            <w:tcW w:w="1471"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0,719</w:t>
            </w:r>
          </w:p>
        </w:tc>
        <w:tc>
          <w:tcPr>
            <w:tcW w:w="1648" w:type="dxa"/>
            <w:shd w:val="clear" w:color="auto" w:fill="auto"/>
            <w:vAlign w:val="center"/>
          </w:tcPr>
          <w:p w:rsidR="009E0B65" w:rsidRPr="002E6ECA" w:rsidRDefault="009E0B65" w:rsidP="009E0B65">
            <w:pPr>
              <w:spacing w:line="360" w:lineRule="auto"/>
              <w:jc w:val="center"/>
              <w:rPr>
                <w:sz w:val="28"/>
                <w:szCs w:val="28"/>
                <w:lang w:val="uk-UA"/>
              </w:rPr>
            </w:pPr>
            <w:r w:rsidRPr="002E6ECA">
              <w:rPr>
                <w:sz w:val="28"/>
                <w:szCs w:val="28"/>
                <w:lang w:val="uk-UA"/>
              </w:rPr>
              <w:t>0,453</w:t>
            </w:r>
          </w:p>
        </w:tc>
      </w:tr>
    </w:tbl>
    <w:p w:rsidR="009E0B65" w:rsidRPr="002E6ECA" w:rsidRDefault="009E0B65" w:rsidP="00565490">
      <w:pPr>
        <w:spacing w:line="276" w:lineRule="auto"/>
        <w:jc w:val="both"/>
        <w:rPr>
          <w:lang w:val="uk-UA"/>
        </w:rPr>
      </w:pPr>
      <w:r w:rsidRPr="002E6ECA">
        <w:rPr>
          <w:lang w:val="uk-UA"/>
        </w:rPr>
        <w:t>Примітка. ANOVA χ</w:t>
      </w:r>
      <w:r w:rsidRPr="002E6ECA">
        <w:rPr>
          <w:vertAlign w:val="superscript"/>
          <w:lang w:val="uk-UA"/>
        </w:rPr>
        <w:t>2</w:t>
      </w:r>
      <w:r w:rsidRPr="002E6ECA">
        <w:rPr>
          <w:lang w:val="uk-UA"/>
        </w:rPr>
        <w:t xml:space="preserve"> = 150,09;   р = 0,000001; коефіцієнт конкордації = 0,66; середній ранг r = 0,65.</w:t>
      </w:r>
    </w:p>
    <w:p w:rsidR="00F038FC" w:rsidRPr="002E6ECA" w:rsidRDefault="00F038FC" w:rsidP="00F038FC">
      <w:pPr>
        <w:spacing w:line="360" w:lineRule="auto"/>
        <w:ind w:firstLine="709"/>
        <w:jc w:val="both"/>
        <w:rPr>
          <w:sz w:val="28"/>
          <w:szCs w:val="28"/>
          <w:lang w:val="uk-UA"/>
        </w:rPr>
      </w:pPr>
      <w:r w:rsidRPr="002E6ECA">
        <w:rPr>
          <w:sz w:val="28"/>
          <w:szCs w:val="28"/>
          <w:lang w:val="uk-UA"/>
        </w:rPr>
        <w:lastRenderedPageBreak/>
        <w:t xml:space="preserve">Загальна ефективність профілактичних заходів відносно оптимізації режиму дня та способу життя, тобто відсоток поліпшення загального стану здоров'я на 1 етапі (зафіксовано через півроку в блоці 2) становить погіршення стану здоров’я 7,0%, а на 2 етапі (зафіксовано через 2 роки в блоці 3) становить </w:t>
      </w:r>
      <w:r w:rsidR="00E26678" w:rsidRPr="002E6ECA">
        <w:rPr>
          <w:sz w:val="28"/>
          <w:szCs w:val="28"/>
          <w:lang w:val="uk-UA"/>
        </w:rPr>
        <w:t>-</w:t>
      </w:r>
      <w:r w:rsidRPr="002E6ECA">
        <w:rPr>
          <w:sz w:val="28"/>
          <w:szCs w:val="28"/>
          <w:lang w:val="uk-UA"/>
        </w:rPr>
        <w:t>зниження рівня патологічної ураженості на 10,0</w:t>
      </w:r>
      <w:r w:rsidR="0080667E" w:rsidRPr="002E6ECA">
        <w:rPr>
          <w:sz w:val="28"/>
          <w:szCs w:val="28"/>
          <w:lang w:val="uk-UA"/>
        </w:rPr>
        <w:t>%</w:t>
      </w:r>
      <w:r w:rsidRPr="002E6ECA">
        <w:rPr>
          <w:sz w:val="28"/>
          <w:szCs w:val="28"/>
          <w:lang w:val="uk-UA"/>
        </w:rPr>
        <w:t xml:space="preserve">. Одночасно проаналізовано динаміку рівня захворюваності у школярів з контрольної групи: визначалось зберігання загальної негативної тенденції щодо погіршення стану здоров’я дітей середнього шкільного віку через півроку на 3,8% та через 2 роки </w:t>
      </w:r>
      <w:r w:rsidR="00E26678" w:rsidRPr="002E6ECA">
        <w:rPr>
          <w:sz w:val="28"/>
          <w:szCs w:val="28"/>
          <w:lang w:val="uk-UA"/>
        </w:rPr>
        <w:t>-</w:t>
      </w:r>
      <w:r w:rsidRPr="002E6ECA">
        <w:rPr>
          <w:sz w:val="28"/>
          <w:szCs w:val="28"/>
          <w:lang w:val="uk-UA"/>
        </w:rPr>
        <w:t>на 22,9%.</w:t>
      </w:r>
    </w:p>
    <w:p w:rsidR="009E0B65" w:rsidRPr="002E6ECA" w:rsidRDefault="00674A32" w:rsidP="00674A32">
      <w:pPr>
        <w:spacing w:line="360" w:lineRule="auto"/>
        <w:ind w:firstLine="709"/>
        <w:jc w:val="both"/>
        <w:rPr>
          <w:rFonts w:eastAsia="TimesNewRomanPSMT"/>
          <w:sz w:val="28"/>
          <w:szCs w:val="28"/>
          <w:lang w:val="uk-UA" w:eastAsia="uk-UA"/>
        </w:rPr>
      </w:pPr>
      <w:r w:rsidRPr="002E6ECA">
        <w:rPr>
          <w:sz w:val="28"/>
          <w:szCs w:val="28"/>
          <w:lang w:val="uk-UA"/>
        </w:rPr>
        <w:t>За критерієм Фрідмана найбільш «чутливою» до впливу профілактичних заходів визначалась патологія нервової (χ</w:t>
      </w:r>
      <w:r w:rsidRPr="002E6ECA">
        <w:rPr>
          <w:sz w:val="28"/>
          <w:szCs w:val="28"/>
          <w:vertAlign w:val="superscript"/>
          <w:lang w:val="uk-UA"/>
        </w:rPr>
        <w:t>2</w:t>
      </w:r>
      <w:r w:rsidRPr="002E6ECA">
        <w:rPr>
          <w:sz w:val="28"/>
          <w:szCs w:val="28"/>
          <w:lang w:val="uk-UA"/>
        </w:rPr>
        <w:t>=19,54; р&lt;0,0001); дихальної (χ</w:t>
      </w:r>
      <w:r w:rsidRPr="002E6ECA">
        <w:rPr>
          <w:sz w:val="28"/>
          <w:szCs w:val="28"/>
          <w:vertAlign w:val="superscript"/>
          <w:lang w:val="uk-UA"/>
        </w:rPr>
        <w:t>2</w:t>
      </w:r>
      <w:r w:rsidRPr="002E6ECA">
        <w:rPr>
          <w:sz w:val="28"/>
          <w:szCs w:val="28"/>
          <w:lang w:val="uk-UA"/>
        </w:rPr>
        <w:t>=13,47; р=0,001) та серцево-судинної системи (χ</w:t>
      </w:r>
      <w:r w:rsidRPr="002E6ECA">
        <w:rPr>
          <w:sz w:val="28"/>
          <w:szCs w:val="28"/>
          <w:vertAlign w:val="superscript"/>
          <w:lang w:val="uk-UA"/>
        </w:rPr>
        <w:t>2</w:t>
      </w:r>
      <w:r w:rsidRPr="002E6ECA">
        <w:rPr>
          <w:sz w:val="28"/>
          <w:szCs w:val="28"/>
          <w:lang w:val="uk-UA"/>
        </w:rPr>
        <w:t>=9,88; р=0,007).</w:t>
      </w:r>
    </w:p>
    <w:p w:rsidR="009E0B65" w:rsidRPr="002E6ECA" w:rsidRDefault="009E0B65" w:rsidP="009E0B65">
      <w:pPr>
        <w:spacing w:line="360" w:lineRule="auto"/>
        <w:ind w:firstLine="709"/>
        <w:jc w:val="center"/>
        <w:rPr>
          <w:rFonts w:eastAsia="TimesNewRomanPSMT"/>
          <w:sz w:val="28"/>
          <w:szCs w:val="28"/>
          <w:lang w:val="uk-UA" w:eastAsia="uk-UA"/>
        </w:rPr>
      </w:pPr>
    </w:p>
    <w:p w:rsidR="009E0B65" w:rsidRPr="002E6ECA" w:rsidRDefault="009E0B65" w:rsidP="009E0B65">
      <w:pPr>
        <w:spacing w:line="360" w:lineRule="auto"/>
        <w:ind w:firstLine="709"/>
        <w:jc w:val="center"/>
        <w:rPr>
          <w:rFonts w:eastAsia="TimesNewRomanPSMT"/>
          <w:b/>
          <w:sz w:val="28"/>
          <w:szCs w:val="28"/>
          <w:lang w:val="uk-UA" w:eastAsia="uk-UA"/>
        </w:rPr>
      </w:pPr>
      <w:r w:rsidRPr="002E6ECA">
        <w:rPr>
          <w:rFonts w:eastAsia="TimesNewRomanPSMT"/>
          <w:b/>
          <w:sz w:val="28"/>
          <w:szCs w:val="28"/>
          <w:lang w:val="uk-UA" w:eastAsia="uk-UA"/>
        </w:rPr>
        <w:t>Висновки до розділу 9</w:t>
      </w:r>
    </w:p>
    <w:p w:rsidR="009E0B65" w:rsidRPr="002E6ECA" w:rsidRDefault="009E0B65" w:rsidP="00F038FC">
      <w:pPr>
        <w:numPr>
          <w:ilvl w:val="0"/>
          <w:numId w:val="20"/>
        </w:numPr>
        <w:spacing w:line="360" w:lineRule="auto"/>
        <w:ind w:left="0" w:firstLine="709"/>
        <w:contextualSpacing/>
        <w:jc w:val="both"/>
        <w:rPr>
          <w:rFonts w:eastAsia="TimesNewRomanPSMT"/>
          <w:sz w:val="28"/>
          <w:szCs w:val="28"/>
          <w:lang w:val="uk-UA" w:eastAsia="uk-UA"/>
        </w:rPr>
      </w:pPr>
      <w:r w:rsidRPr="002E6ECA">
        <w:rPr>
          <w:sz w:val="28"/>
          <w:szCs w:val="28"/>
          <w:lang w:val="uk-UA"/>
        </w:rPr>
        <w:t xml:space="preserve">Доцільно формувати профілактичну програму відповідно до провідної патології, що характеризує групове здоров’я певного навчального колективу. </w:t>
      </w:r>
    </w:p>
    <w:p w:rsidR="009E0B65" w:rsidRPr="002E6ECA" w:rsidRDefault="009E0B65" w:rsidP="00F038FC">
      <w:pPr>
        <w:numPr>
          <w:ilvl w:val="0"/>
          <w:numId w:val="20"/>
        </w:numPr>
        <w:spacing w:line="360" w:lineRule="auto"/>
        <w:ind w:left="0" w:firstLine="709"/>
        <w:contextualSpacing/>
        <w:jc w:val="both"/>
        <w:rPr>
          <w:rFonts w:eastAsia="TimesNewRomanPSMT"/>
          <w:sz w:val="28"/>
          <w:szCs w:val="28"/>
          <w:lang w:val="uk-UA" w:eastAsia="uk-UA"/>
        </w:rPr>
      </w:pPr>
      <w:r w:rsidRPr="002E6ECA">
        <w:rPr>
          <w:sz w:val="28"/>
          <w:szCs w:val="28"/>
          <w:lang w:val="uk-UA"/>
        </w:rPr>
        <w:t xml:space="preserve">Найбільш значущими заходами щодо профілактики неінфекційних захворювань постають тривалість нічного сну, загартовуючі процедури, </w:t>
      </w:r>
      <w:r w:rsidRPr="002E6ECA">
        <w:rPr>
          <w:bCs/>
          <w:sz w:val="28"/>
          <w:szCs w:val="28"/>
          <w:lang w:val="uk-UA"/>
        </w:rPr>
        <w:t xml:space="preserve">тривалість перебування на свіжому повітрі у навчальні дні та кратність харчування, а найбільш «чутливою» до їх впливу </w:t>
      </w:r>
      <w:r w:rsidR="00E26678" w:rsidRPr="002E6ECA">
        <w:rPr>
          <w:bCs/>
          <w:sz w:val="28"/>
          <w:szCs w:val="28"/>
          <w:lang w:val="uk-UA"/>
        </w:rPr>
        <w:t>-</w:t>
      </w:r>
      <w:r w:rsidRPr="002E6ECA">
        <w:rPr>
          <w:bCs/>
          <w:sz w:val="28"/>
          <w:szCs w:val="28"/>
          <w:lang w:val="uk-UA"/>
        </w:rPr>
        <w:t>патологія нервової (χ2=19,54; р&lt;0,0001); дихальної (χ2=13,47; р=0,001) та серцево-судинної систем (χ2=9,88; р=0,007).</w:t>
      </w:r>
    </w:p>
    <w:p w:rsidR="009E0B65" w:rsidRPr="002E6ECA" w:rsidRDefault="009E0B65" w:rsidP="00F038FC">
      <w:pPr>
        <w:numPr>
          <w:ilvl w:val="0"/>
          <w:numId w:val="20"/>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t>Запропонована модель, що отримана за допомогою методу моделювання структурними рівняннями (SEM) дозволяє систематизувати  блоки «До впровадження»,  «1 етап впровадження», «Заключний етап впровадження» та «Профілактичні заходи відносно оптимізації режиму дня та способу життя» і знайти взаємозв’язок між ними.</w:t>
      </w:r>
    </w:p>
    <w:p w:rsidR="009E0B65" w:rsidRPr="002E6ECA" w:rsidRDefault="009E0B65" w:rsidP="00F038FC">
      <w:pPr>
        <w:numPr>
          <w:ilvl w:val="0"/>
          <w:numId w:val="20"/>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lastRenderedPageBreak/>
        <w:t>Коефіцієнти структурних блоків вказують, що вплив профілактичних заходів на стан здоров’я школярів рівномірний та майже однаковий як на 1-ому етапі, так і на заключному етапі впровадження.</w:t>
      </w:r>
    </w:p>
    <w:p w:rsidR="009E0B65" w:rsidRPr="002E6ECA" w:rsidRDefault="009E0B65" w:rsidP="00F038FC">
      <w:pPr>
        <w:numPr>
          <w:ilvl w:val="0"/>
          <w:numId w:val="20"/>
        </w:numPr>
        <w:autoSpaceDE w:val="0"/>
        <w:autoSpaceDN w:val="0"/>
        <w:adjustRightInd w:val="0"/>
        <w:spacing w:line="360" w:lineRule="auto"/>
        <w:ind w:left="0" w:firstLine="709"/>
        <w:contextualSpacing/>
        <w:jc w:val="both"/>
        <w:rPr>
          <w:sz w:val="28"/>
          <w:szCs w:val="28"/>
          <w:lang w:val="uk-UA"/>
        </w:rPr>
      </w:pPr>
      <w:r w:rsidRPr="002E6ECA">
        <w:rPr>
          <w:sz w:val="28"/>
          <w:szCs w:val="28"/>
          <w:lang w:val="uk-UA"/>
        </w:rPr>
        <w:t>Використання цільових профілактичних заходів дозволило знизити рівень захворюваності на 10% у експериментальній групі на тлі зростання патологічної ураженості у контрольній групі на 22,9</w:t>
      </w:r>
      <w:r w:rsidR="0080667E" w:rsidRPr="002E6ECA">
        <w:rPr>
          <w:sz w:val="28"/>
          <w:szCs w:val="28"/>
          <w:lang w:val="uk-UA"/>
        </w:rPr>
        <w:t>%</w:t>
      </w:r>
      <w:r w:rsidRPr="002E6ECA">
        <w:rPr>
          <w:sz w:val="28"/>
          <w:szCs w:val="28"/>
          <w:lang w:val="uk-UA"/>
        </w:rPr>
        <w:t>.</w:t>
      </w:r>
    </w:p>
    <w:p w:rsidR="009E0B65" w:rsidRPr="002E6ECA" w:rsidRDefault="009E0B65" w:rsidP="009E0B65">
      <w:pPr>
        <w:spacing w:line="360" w:lineRule="auto"/>
        <w:ind w:left="1069"/>
        <w:contextualSpacing/>
        <w:jc w:val="both"/>
        <w:rPr>
          <w:rFonts w:eastAsia="TimesNewRomanPSMT"/>
          <w:sz w:val="28"/>
          <w:szCs w:val="28"/>
          <w:lang w:val="uk-UA" w:eastAsia="uk-UA"/>
        </w:rPr>
      </w:pPr>
    </w:p>
    <w:p w:rsidR="00F038FC" w:rsidRPr="002E6ECA" w:rsidRDefault="004341ED" w:rsidP="00372EE3">
      <w:pPr>
        <w:spacing w:line="360" w:lineRule="auto"/>
        <w:rPr>
          <w:sz w:val="28"/>
          <w:szCs w:val="28"/>
          <w:lang w:val="uk-UA"/>
        </w:rPr>
      </w:pPr>
      <w:r w:rsidRPr="002E6ECA">
        <w:rPr>
          <w:sz w:val="28"/>
          <w:szCs w:val="28"/>
          <w:lang w:val="uk-UA"/>
        </w:rPr>
        <w:t>Матеріали розділу викладено у наступних публікаціях:</w:t>
      </w:r>
      <w:r w:rsidR="009E0B65" w:rsidRPr="002E6ECA">
        <w:rPr>
          <w:sz w:val="28"/>
          <w:szCs w:val="28"/>
          <w:lang w:val="uk-UA"/>
        </w:rPr>
        <w:t xml:space="preserve"> </w:t>
      </w:r>
      <w:r w:rsidR="0065448E" w:rsidRPr="002E6ECA">
        <w:rPr>
          <w:sz w:val="28"/>
          <w:szCs w:val="28"/>
          <w:lang w:val="uk-UA"/>
        </w:rPr>
        <w:t>66, 68, 222, 2</w:t>
      </w:r>
      <w:r w:rsidR="00D87334" w:rsidRPr="002E6ECA">
        <w:rPr>
          <w:sz w:val="28"/>
          <w:szCs w:val="28"/>
          <w:lang w:val="uk-UA"/>
        </w:rPr>
        <w:t>29</w:t>
      </w:r>
      <w:r w:rsidR="0065448E" w:rsidRPr="002E6ECA">
        <w:rPr>
          <w:sz w:val="28"/>
          <w:szCs w:val="28"/>
          <w:lang w:val="uk-UA"/>
        </w:rPr>
        <w:t>, 235.</w:t>
      </w:r>
      <w:r w:rsidRPr="002E6ECA">
        <w:rPr>
          <w:sz w:val="28"/>
          <w:szCs w:val="28"/>
          <w:lang w:val="uk-UA"/>
        </w:rPr>
        <w:t xml:space="preserve"> </w:t>
      </w:r>
    </w:p>
    <w:p w:rsidR="00F038FC" w:rsidRPr="002E6ECA" w:rsidRDefault="00F038FC" w:rsidP="00372EE3">
      <w:pPr>
        <w:spacing w:line="360" w:lineRule="auto"/>
        <w:rPr>
          <w:sz w:val="28"/>
          <w:szCs w:val="28"/>
          <w:lang w:val="uk-UA"/>
        </w:rPr>
      </w:pPr>
    </w:p>
    <w:p w:rsidR="00A920E5" w:rsidRPr="002E6ECA" w:rsidRDefault="00917BD4" w:rsidP="00372EE3">
      <w:pPr>
        <w:spacing w:line="360" w:lineRule="auto"/>
        <w:rPr>
          <w:rFonts w:eastAsia="TimesNewRomanPSMT"/>
          <w:sz w:val="28"/>
          <w:szCs w:val="28"/>
          <w:lang w:val="uk-UA" w:eastAsia="uk-UA"/>
        </w:rPr>
      </w:pPr>
      <w:r w:rsidRPr="002E6ECA">
        <w:rPr>
          <w:rFonts w:eastAsia="TimesNewRomanPSMT"/>
          <w:sz w:val="28"/>
          <w:szCs w:val="28"/>
          <w:lang w:val="uk-UA" w:eastAsia="uk-UA"/>
        </w:rPr>
        <w:br w:type="page"/>
      </w:r>
    </w:p>
    <w:p w:rsidR="00D57952" w:rsidRPr="002E6ECA" w:rsidRDefault="00996785" w:rsidP="00D57952">
      <w:pPr>
        <w:spacing w:line="360" w:lineRule="auto"/>
        <w:ind w:firstLine="709"/>
        <w:jc w:val="center"/>
        <w:rPr>
          <w:b/>
          <w:sz w:val="28"/>
          <w:szCs w:val="28"/>
          <w:lang w:val="uk-UA"/>
        </w:rPr>
      </w:pPr>
      <w:r w:rsidRPr="002E6ECA">
        <w:rPr>
          <w:rFonts w:eastAsia="Arial Unicode MS"/>
          <w:b/>
          <w:sz w:val="28"/>
          <w:szCs w:val="28"/>
          <w:lang w:val="uk-UA"/>
        </w:rPr>
        <w:lastRenderedPageBreak/>
        <w:t>АНАЛІЗ ТА УЗАГАЛЬНЕННЯ РЕЗУЛЬТАТІВ</w:t>
      </w:r>
      <w:r w:rsidR="00D57952" w:rsidRPr="002E6ECA">
        <w:rPr>
          <w:b/>
          <w:sz w:val="28"/>
          <w:szCs w:val="28"/>
          <w:lang w:val="uk-UA"/>
        </w:rPr>
        <w:t xml:space="preserve"> </w:t>
      </w:r>
    </w:p>
    <w:p w:rsidR="00D57952" w:rsidRPr="002E6ECA" w:rsidRDefault="00D57952" w:rsidP="00D57952">
      <w:pPr>
        <w:spacing w:line="360" w:lineRule="auto"/>
        <w:ind w:firstLine="709"/>
        <w:rPr>
          <w:sz w:val="28"/>
          <w:szCs w:val="28"/>
          <w:lang w:val="uk-UA"/>
        </w:rPr>
      </w:pPr>
    </w:p>
    <w:p w:rsidR="00D57952" w:rsidRPr="002E6ECA" w:rsidRDefault="00D57952" w:rsidP="00D57952">
      <w:pPr>
        <w:spacing w:line="360" w:lineRule="auto"/>
        <w:ind w:firstLine="709"/>
        <w:jc w:val="both"/>
        <w:rPr>
          <w:sz w:val="28"/>
          <w:szCs w:val="28"/>
          <w:lang w:val="uk-UA"/>
        </w:rPr>
      </w:pPr>
      <w:r w:rsidRPr="002E6ECA">
        <w:rPr>
          <w:sz w:val="28"/>
          <w:szCs w:val="28"/>
          <w:lang w:val="uk-UA"/>
        </w:rPr>
        <w:t>Забезпечення у молоді спрямованості на здоровий спосіб життя в даний час є одним з найважливіших компонентів збереження здоров'я. Раціональне харчування визнається важливою характеристикою такого способу життя.</w:t>
      </w:r>
    </w:p>
    <w:p w:rsidR="00D57952" w:rsidRPr="002E6ECA" w:rsidRDefault="00D57952" w:rsidP="00D57952">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Адаптація дітей до школи у сучасному науковому середовищі розглядається як складна суміжна проблема на стику медицини, психології, педагогіки, соціології. За узагальненням думки вчених, які досліджують фізичну, психологічну, соціальну та особистісну готовність дитини до навчання - шкільна адаптація являє собою процес і результат активного її пристосування до умов нового середовища, як здатність до подальшого психологічного, особистісного, соціального розвитку, що пов'язана зі зміною провідної діяльності і соціального оточення</w:t>
      </w:r>
      <w:r w:rsidRPr="002E6ECA">
        <w:rPr>
          <w:rFonts w:ascii="Times New Roman" w:hAnsi="Times New Roman" w:cs="Times New Roman"/>
          <w:i/>
          <w:sz w:val="28"/>
          <w:szCs w:val="28"/>
          <w:lang w:val="uk-UA"/>
        </w:rPr>
        <w:t>.</w:t>
      </w:r>
    </w:p>
    <w:p w:rsidR="00A86E4F" w:rsidRPr="002E6ECA" w:rsidRDefault="00D57952" w:rsidP="00A86E4F">
      <w:pPr>
        <w:autoSpaceDE w:val="0"/>
        <w:autoSpaceDN w:val="0"/>
        <w:adjustRightInd w:val="0"/>
        <w:spacing w:line="360" w:lineRule="auto"/>
        <w:ind w:firstLine="709"/>
        <w:jc w:val="both"/>
        <w:rPr>
          <w:sz w:val="28"/>
          <w:szCs w:val="28"/>
          <w:lang w:val="uk-UA"/>
        </w:rPr>
      </w:pPr>
      <w:r w:rsidRPr="002E6ECA">
        <w:rPr>
          <w:sz w:val="28"/>
          <w:szCs w:val="28"/>
          <w:lang w:val="uk-UA"/>
        </w:rPr>
        <w:t xml:space="preserve">Результати багаточисельних досліджень свідчать про тенденції до погіршення стану здоров’я школярів початкових класів упродовж навчального року, високий ризик зриву процесів адаптації та необхідність розробки і впровадження профілактичних оздоровчих заходів, які можуть бути застосовані у шкільних умовах з метою зменшення проявів шкільної дезадаптації </w:t>
      </w:r>
      <w:r w:rsidR="00A86E4F" w:rsidRPr="002E6ECA">
        <w:rPr>
          <w:sz w:val="28"/>
          <w:szCs w:val="28"/>
          <w:lang w:val="uk-UA"/>
        </w:rPr>
        <w:t>[</w:t>
      </w:r>
      <w:r w:rsidR="00D34BCF" w:rsidRPr="002E6ECA">
        <w:rPr>
          <w:sz w:val="28"/>
          <w:szCs w:val="28"/>
          <w:lang w:val="uk-UA"/>
        </w:rPr>
        <w:t>31, 52, 125, 191, 274</w:t>
      </w:r>
      <w:r w:rsidR="00A86E4F" w:rsidRPr="002E6ECA">
        <w:rPr>
          <w:sz w:val="28"/>
          <w:szCs w:val="28"/>
          <w:lang w:val="uk-UA"/>
        </w:rPr>
        <w:t>].</w:t>
      </w:r>
    </w:p>
    <w:p w:rsidR="00A86E4F" w:rsidRPr="002E6ECA" w:rsidRDefault="00D57952" w:rsidP="00A86E4F">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 xml:space="preserve">Не менш важливою проблемою є питання адаптації дітей різного віку в умовах навчання </w:t>
      </w:r>
      <w:r w:rsidRPr="002E6ECA">
        <w:rPr>
          <w:rFonts w:ascii="Times New Roman" w:hAnsi="Times New Roman" w:cs="Times New Roman"/>
          <w:spacing w:val="-2"/>
          <w:sz w:val="28"/>
          <w:szCs w:val="28"/>
          <w:lang w:val="uk-UA"/>
        </w:rPr>
        <w:t>за інноваційними проектами. Проведено порівняльний аналіз вегетативних і нейродинамічних показників молодших і старших підлітків з освітніх закладів з різною інтенсивністю навчального процесу. Показано, що особливості адаптації підлітків до навчання і фактор</w:t>
      </w:r>
      <w:r w:rsidR="00D87334" w:rsidRPr="002E6ECA">
        <w:rPr>
          <w:rFonts w:ascii="Times New Roman" w:hAnsi="Times New Roman" w:cs="Times New Roman"/>
          <w:spacing w:val="-2"/>
          <w:sz w:val="28"/>
          <w:szCs w:val="28"/>
          <w:lang w:val="uk-UA"/>
        </w:rPr>
        <w:t>ів</w:t>
      </w:r>
      <w:r w:rsidRPr="002E6ECA">
        <w:rPr>
          <w:rFonts w:ascii="Times New Roman" w:hAnsi="Times New Roman" w:cs="Times New Roman"/>
          <w:spacing w:val="-2"/>
          <w:sz w:val="28"/>
          <w:szCs w:val="28"/>
          <w:lang w:val="uk-UA"/>
        </w:rPr>
        <w:t xml:space="preserve"> освітнього середовища характеризуються напругою у тих навчальних закладах, де спостерігалась  інтенсифікація навчального процесу </w:t>
      </w:r>
      <w:r w:rsidR="00A86E4F" w:rsidRPr="002E6ECA">
        <w:rPr>
          <w:rFonts w:ascii="Times New Roman" w:hAnsi="Times New Roman" w:cs="Times New Roman"/>
          <w:spacing w:val="-2"/>
          <w:sz w:val="28"/>
          <w:szCs w:val="28"/>
          <w:lang w:val="uk-UA"/>
        </w:rPr>
        <w:t>[</w:t>
      </w:r>
      <w:r w:rsidR="00D34BCF" w:rsidRPr="002E6ECA">
        <w:rPr>
          <w:rFonts w:ascii="Times New Roman" w:hAnsi="Times New Roman" w:cs="Times New Roman"/>
          <w:sz w:val="28"/>
          <w:szCs w:val="28"/>
          <w:lang w:val="uk-UA"/>
        </w:rPr>
        <w:t>26, 125, 242</w:t>
      </w:r>
      <w:r w:rsidR="00A86E4F" w:rsidRPr="002E6ECA">
        <w:rPr>
          <w:rFonts w:ascii="Times New Roman" w:hAnsi="Times New Roman" w:cs="Times New Roman"/>
          <w:spacing w:val="-2"/>
          <w:sz w:val="28"/>
          <w:szCs w:val="28"/>
          <w:lang w:val="uk-UA"/>
        </w:rPr>
        <w:t>].</w:t>
      </w:r>
    </w:p>
    <w:p w:rsidR="00A86E4F" w:rsidRPr="002E6ECA" w:rsidRDefault="00A86E4F" w:rsidP="00A86E4F">
      <w:pPr>
        <w:spacing w:line="360" w:lineRule="auto"/>
        <w:ind w:firstLine="709"/>
        <w:jc w:val="both"/>
        <w:rPr>
          <w:spacing w:val="-2"/>
          <w:sz w:val="28"/>
          <w:szCs w:val="28"/>
          <w:lang w:val="uk-UA"/>
        </w:rPr>
      </w:pPr>
      <w:r w:rsidRPr="002E6ECA">
        <w:rPr>
          <w:spacing w:val="-2"/>
          <w:sz w:val="28"/>
          <w:szCs w:val="28"/>
          <w:lang w:val="uk-UA"/>
        </w:rPr>
        <w:t xml:space="preserve">Сучасна  організація навчальної діяльності у різних закладах освіти не відповідає санітарно-гігієнічним вимогам до здійснення навчального процесу, психофізіологічним можливостям зростаючого організму, приводить до перевантаження та перенапруження нервової системи, виходить за межі </w:t>
      </w:r>
      <w:r w:rsidRPr="002E6ECA">
        <w:rPr>
          <w:spacing w:val="-2"/>
          <w:sz w:val="28"/>
          <w:szCs w:val="28"/>
          <w:lang w:val="uk-UA"/>
        </w:rPr>
        <w:lastRenderedPageBreak/>
        <w:t xml:space="preserve">адаптаційних і функціональних можливостей дітей та підлітків на всіх етапах їх перебування як у школі, так і у виші. Тому розробка наукових, гігієнічно обґрунтованих організаційно </w:t>
      </w:r>
      <w:r w:rsidR="00E26678" w:rsidRPr="002E6ECA">
        <w:rPr>
          <w:spacing w:val="-2"/>
          <w:sz w:val="28"/>
          <w:szCs w:val="28"/>
          <w:lang w:val="uk-UA"/>
        </w:rPr>
        <w:t>-</w:t>
      </w:r>
      <w:r w:rsidRPr="002E6ECA">
        <w:rPr>
          <w:spacing w:val="-2"/>
          <w:sz w:val="28"/>
          <w:szCs w:val="28"/>
          <w:lang w:val="uk-UA"/>
        </w:rPr>
        <w:t>методичних заходів та рекомендацій щодо  попередження впливу шкільних факторів на формування здоров’я дітей та підлітків у закладах освіти є пріоритетним напрямком досліджень. Не менш важливим є розробка критеріїв оцінки ефективності впровадження у навчальних закладах здоров’язберегаючих  технологій.</w:t>
      </w:r>
    </w:p>
    <w:p w:rsidR="00A86E4F" w:rsidRPr="002E6ECA" w:rsidRDefault="00A86E4F" w:rsidP="00A86E4F">
      <w:pPr>
        <w:spacing w:line="360" w:lineRule="auto"/>
        <w:ind w:firstLine="709"/>
        <w:jc w:val="both"/>
        <w:rPr>
          <w:sz w:val="28"/>
          <w:szCs w:val="28"/>
          <w:lang w:val="uk-UA"/>
        </w:rPr>
      </w:pPr>
      <w:r w:rsidRPr="002E6ECA">
        <w:rPr>
          <w:sz w:val="28"/>
          <w:szCs w:val="28"/>
          <w:lang w:val="uk-UA"/>
        </w:rPr>
        <w:t>Соціально-економічні реформи, які сьогодні здійснюються у державі, вимагають від системи освіти створення відповідних умов для формування і виховання творчих, активних, не ординарно мислячих людей, які здатні нестандартно вирішувати поставлені завдання та виявляти нові перспективні напрямки розвитку суспільства [</w:t>
      </w:r>
      <w:r w:rsidR="00D34BCF" w:rsidRPr="002E6ECA">
        <w:rPr>
          <w:sz w:val="28"/>
          <w:szCs w:val="28"/>
          <w:lang w:val="uk-UA"/>
        </w:rPr>
        <w:t>9</w:t>
      </w:r>
      <w:r w:rsidRPr="002E6ECA">
        <w:rPr>
          <w:sz w:val="28"/>
          <w:szCs w:val="28"/>
          <w:lang w:val="uk-UA"/>
        </w:rPr>
        <w:t>, 2</w:t>
      </w:r>
      <w:r w:rsidR="00D34BCF" w:rsidRPr="002E6ECA">
        <w:rPr>
          <w:sz w:val="28"/>
          <w:szCs w:val="28"/>
          <w:lang w:val="uk-UA"/>
        </w:rPr>
        <w:t>7</w:t>
      </w:r>
      <w:r w:rsidRPr="002E6ECA">
        <w:rPr>
          <w:sz w:val="28"/>
          <w:szCs w:val="28"/>
          <w:lang w:val="uk-UA"/>
        </w:rPr>
        <w:t xml:space="preserve">, </w:t>
      </w:r>
      <w:r w:rsidR="00D34BCF" w:rsidRPr="002E6ECA">
        <w:rPr>
          <w:sz w:val="28"/>
          <w:szCs w:val="28"/>
          <w:lang w:val="uk-UA"/>
        </w:rPr>
        <w:t>75</w:t>
      </w:r>
      <w:r w:rsidRPr="002E6ECA">
        <w:rPr>
          <w:sz w:val="28"/>
          <w:szCs w:val="28"/>
          <w:lang w:val="uk-UA"/>
        </w:rPr>
        <w:t>, 2</w:t>
      </w:r>
      <w:r w:rsidR="00D34BCF" w:rsidRPr="002E6ECA">
        <w:rPr>
          <w:sz w:val="28"/>
          <w:szCs w:val="28"/>
          <w:lang w:val="uk-UA"/>
        </w:rPr>
        <w:t>75</w:t>
      </w:r>
      <w:r w:rsidRPr="002E6ECA">
        <w:rPr>
          <w:sz w:val="28"/>
          <w:szCs w:val="28"/>
          <w:lang w:val="uk-UA"/>
        </w:rPr>
        <w:t>].</w:t>
      </w:r>
    </w:p>
    <w:p w:rsidR="00A86E4F" w:rsidRPr="002E6ECA" w:rsidRDefault="00A86E4F" w:rsidP="007B4193">
      <w:pPr>
        <w:spacing w:line="360" w:lineRule="auto"/>
        <w:ind w:firstLine="709"/>
        <w:jc w:val="both"/>
        <w:rPr>
          <w:rStyle w:val="fontstyle01"/>
          <w:rFonts w:ascii="Times New Roman" w:hAnsi="Times New Roman"/>
          <w:color w:val="auto"/>
          <w:sz w:val="28"/>
          <w:szCs w:val="28"/>
          <w:lang w:val="uk-UA"/>
        </w:rPr>
      </w:pPr>
      <w:r w:rsidRPr="002E6ECA">
        <w:rPr>
          <w:sz w:val="28"/>
          <w:szCs w:val="28"/>
          <w:lang w:val="uk-UA"/>
        </w:rPr>
        <w:t>З 2018 року в Україні розроблено декілька типових освітніх програм, які пройшли відповідні експертизи і рекомендовані до впровадження</w:t>
      </w:r>
      <w:r w:rsidR="007B4193" w:rsidRPr="002E6ECA">
        <w:rPr>
          <w:sz w:val="28"/>
          <w:szCs w:val="28"/>
          <w:lang w:val="uk-UA"/>
        </w:rPr>
        <w:t xml:space="preserve">, проте </w:t>
      </w:r>
      <w:r w:rsidRPr="002E6ECA">
        <w:rPr>
          <w:sz w:val="28"/>
          <w:szCs w:val="28"/>
          <w:lang w:val="uk-UA"/>
        </w:rPr>
        <w:t>передбач</w:t>
      </w:r>
      <w:r w:rsidR="007B4193" w:rsidRPr="002E6ECA">
        <w:rPr>
          <w:sz w:val="28"/>
          <w:szCs w:val="28"/>
          <w:lang w:val="uk-UA"/>
        </w:rPr>
        <w:t>ають</w:t>
      </w:r>
      <w:r w:rsidRPr="002E6ECA">
        <w:rPr>
          <w:sz w:val="28"/>
          <w:szCs w:val="28"/>
          <w:lang w:val="uk-UA"/>
        </w:rPr>
        <w:t xml:space="preserve"> різні форми організації освітнього процесу: це може бути традиційний урок (Програми «НУШ», «Інтелект України» та ін.), заняття (проєкт «На крилах успіху»), навчальний проєкт без часового обмеження уроку (інтегрований день, тиждень, місяць </w:t>
      </w:r>
      <w:r w:rsidR="00E26678" w:rsidRPr="002E6ECA">
        <w:rPr>
          <w:sz w:val="28"/>
          <w:szCs w:val="28"/>
          <w:lang w:val="uk-UA"/>
        </w:rPr>
        <w:t>-</w:t>
      </w:r>
      <w:r w:rsidRPr="002E6ECA">
        <w:rPr>
          <w:sz w:val="28"/>
          <w:szCs w:val="28"/>
          <w:lang w:val="uk-UA"/>
        </w:rPr>
        <w:t>проєкт «Освіта для життя»). Змінюється і рівень навантажень. Так, різні освітні програми передбачають не тільки різну кількість предметів, а й спосіб інтеграції та інтегруємі дисципліни [</w:t>
      </w:r>
      <w:r w:rsidR="00D34BCF" w:rsidRPr="002E6ECA">
        <w:rPr>
          <w:sz w:val="28"/>
          <w:szCs w:val="28"/>
          <w:lang w:val="uk-UA"/>
        </w:rPr>
        <w:t>36, 136, 153, 154, 162, 188, 194</w:t>
      </w:r>
      <w:r w:rsidRPr="002E6ECA">
        <w:rPr>
          <w:sz w:val="28"/>
          <w:szCs w:val="28"/>
          <w:lang w:val="uk-UA"/>
        </w:rPr>
        <w:t>]</w:t>
      </w:r>
      <w:r w:rsidRPr="002E6ECA">
        <w:rPr>
          <w:rStyle w:val="fontstyle01"/>
          <w:rFonts w:ascii="Times New Roman" w:hAnsi="Times New Roman"/>
          <w:color w:val="auto"/>
          <w:sz w:val="28"/>
          <w:szCs w:val="28"/>
          <w:lang w:val="uk-UA"/>
        </w:rPr>
        <w:t>.</w:t>
      </w:r>
    </w:p>
    <w:p w:rsidR="00A86E4F" w:rsidRPr="002E6ECA" w:rsidRDefault="00A86E4F" w:rsidP="00A86E4F">
      <w:pPr>
        <w:spacing w:line="360" w:lineRule="auto"/>
        <w:ind w:firstLine="709"/>
        <w:jc w:val="both"/>
        <w:rPr>
          <w:rStyle w:val="fontstyle01"/>
          <w:rFonts w:ascii="Times New Roman" w:hAnsi="Times New Roman"/>
          <w:b w:val="0"/>
          <w:color w:val="auto"/>
          <w:sz w:val="28"/>
          <w:szCs w:val="28"/>
          <w:lang w:val="uk-UA"/>
        </w:rPr>
      </w:pPr>
      <w:r w:rsidRPr="002E6ECA">
        <w:rPr>
          <w:rStyle w:val="fontstyle01"/>
          <w:rFonts w:ascii="Times New Roman" w:hAnsi="Times New Roman"/>
          <w:b w:val="0"/>
          <w:color w:val="auto"/>
          <w:sz w:val="28"/>
          <w:szCs w:val="28"/>
          <w:lang w:val="uk-UA"/>
        </w:rPr>
        <w:t>Визначення медичних аспектів впровадження новітніх технологій на різних етапах навчання у закладах середньої освіти постають вкрай необхідними, оскільки відсутність медичного супроводу, гігієнічної регламентації, може поглиблювати наявні проблеми у здоров’ї школярів та їх фізичному і психічному розвитку.</w:t>
      </w:r>
    </w:p>
    <w:p w:rsidR="00A86E4F" w:rsidRPr="002E6ECA" w:rsidRDefault="00A86E4F" w:rsidP="00A86E4F">
      <w:pPr>
        <w:spacing w:line="360" w:lineRule="auto"/>
        <w:ind w:firstLine="709"/>
        <w:jc w:val="both"/>
        <w:rPr>
          <w:sz w:val="28"/>
          <w:szCs w:val="28"/>
          <w:lang w:val="uk-UA"/>
        </w:rPr>
      </w:pPr>
      <w:r w:rsidRPr="002E6ECA">
        <w:rPr>
          <w:sz w:val="28"/>
          <w:szCs w:val="28"/>
          <w:lang w:val="uk-UA"/>
        </w:rPr>
        <w:t xml:space="preserve">Все це підтверджують численні гігієнічні оцінки і нових, і старих навчальних програм «традиційного» типу, що діють у більшості освітніх установ; результати цих досліджень свідчили про несприятливий вплив існуючих педагогічних технологій на центральну нервову систему, зростання </w:t>
      </w:r>
      <w:r w:rsidRPr="002E6ECA">
        <w:rPr>
          <w:sz w:val="28"/>
          <w:szCs w:val="28"/>
          <w:lang w:val="uk-UA"/>
        </w:rPr>
        <w:lastRenderedPageBreak/>
        <w:t>астеноневротичних реакцій і симптомів дисфункції соматичних систем у школярів як протягом навчального року, так і у віковому аспекті [</w:t>
      </w:r>
      <w:r w:rsidR="00D34BCF" w:rsidRPr="002E6ECA">
        <w:rPr>
          <w:sz w:val="28"/>
          <w:szCs w:val="28"/>
          <w:lang w:val="uk-UA"/>
        </w:rPr>
        <w:t>117</w:t>
      </w:r>
      <w:r w:rsidRPr="002E6ECA">
        <w:rPr>
          <w:sz w:val="28"/>
          <w:szCs w:val="28"/>
          <w:lang w:val="uk-UA"/>
        </w:rPr>
        <w:t>].</w:t>
      </w:r>
    </w:p>
    <w:p w:rsidR="00A86E4F" w:rsidRPr="002E6ECA" w:rsidRDefault="00A86E4F" w:rsidP="00A86E4F">
      <w:pPr>
        <w:spacing w:line="360" w:lineRule="auto"/>
        <w:ind w:firstLine="709"/>
        <w:jc w:val="both"/>
        <w:rPr>
          <w:sz w:val="28"/>
          <w:szCs w:val="28"/>
          <w:lang w:val="uk-UA"/>
        </w:rPr>
      </w:pPr>
      <w:r w:rsidRPr="002E6ECA">
        <w:rPr>
          <w:sz w:val="28"/>
          <w:szCs w:val="28"/>
          <w:lang w:val="uk-UA"/>
        </w:rPr>
        <w:t>Таким чином на сьогоднішній день сформувались два окремих напрямк</w:t>
      </w:r>
      <w:r w:rsidR="00FB14B7" w:rsidRPr="002E6ECA">
        <w:rPr>
          <w:sz w:val="28"/>
          <w:szCs w:val="28"/>
          <w:lang w:val="uk-UA"/>
        </w:rPr>
        <w:t>и</w:t>
      </w:r>
      <w:r w:rsidRPr="002E6ECA">
        <w:rPr>
          <w:sz w:val="28"/>
          <w:szCs w:val="28"/>
          <w:lang w:val="uk-UA"/>
        </w:rPr>
        <w:t xml:space="preserve"> досліджень, що стосуються вивчення, з одного боку, психолого-педагогічних аспектів навчання дітей за інноваційними освітніми технологіями, а з іншого </w:t>
      </w:r>
      <w:r w:rsidR="00E26678" w:rsidRPr="002E6ECA">
        <w:rPr>
          <w:sz w:val="28"/>
          <w:szCs w:val="28"/>
          <w:lang w:val="uk-UA"/>
        </w:rPr>
        <w:t>-</w:t>
      </w:r>
      <w:r w:rsidRPr="002E6ECA">
        <w:rPr>
          <w:sz w:val="28"/>
          <w:szCs w:val="28"/>
          <w:lang w:val="uk-UA"/>
        </w:rPr>
        <w:t>стану здоров’я школярів. Проте проведено лише поодинокі дослідження де ці обидва напрямки об’єднані та визначається безпосередній вплив навчального процесу за новими освітніми проєктами на порушення у морфофункціональному, психоемоційному та загальному стані здоров’я школярів, визначено чинники ризику навчального процесу та надано рекомендації щодо профілактики шкільної дезадаптації.</w:t>
      </w:r>
    </w:p>
    <w:p w:rsidR="00A86E4F" w:rsidRPr="002E6ECA" w:rsidRDefault="00A86E4F" w:rsidP="00A86E4F">
      <w:pPr>
        <w:spacing w:line="360" w:lineRule="auto"/>
        <w:ind w:firstLine="709"/>
        <w:jc w:val="both"/>
        <w:rPr>
          <w:sz w:val="28"/>
          <w:szCs w:val="28"/>
          <w:lang w:val="uk-UA"/>
        </w:rPr>
      </w:pPr>
      <w:r w:rsidRPr="002E6ECA">
        <w:rPr>
          <w:sz w:val="28"/>
          <w:szCs w:val="28"/>
          <w:lang w:val="uk-UA"/>
        </w:rPr>
        <w:t xml:space="preserve">Інформаційний аналіз наукових джерел стосовно актуальних проблем навчання та медичного забезпечення обдарованих дітей та підлітків свідчить про зацікавленість суспільства у проведенні подальших медико-педагогічних досліджень для розробки профілактичних заходів щодо збереження їх здоров’я. </w:t>
      </w:r>
    </w:p>
    <w:p w:rsidR="00A86E4F" w:rsidRPr="002E6ECA" w:rsidRDefault="00A86E4F" w:rsidP="00A86E4F">
      <w:pPr>
        <w:pStyle w:val="HTML"/>
        <w:spacing w:line="360" w:lineRule="auto"/>
        <w:ind w:firstLine="709"/>
        <w:jc w:val="both"/>
        <w:rPr>
          <w:rFonts w:ascii="Times New Roman" w:hAnsi="Times New Roman" w:cs="Times New Roman"/>
          <w:sz w:val="28"/>
          <w:szCs w:val="28"/>
          <w:lang w:val="uk-UA"/>
        </w:rPr>
      </w:pPr>
      <w:r w:rsidRPr="002E6ECA">
        <w:rPr>
          <w:rFonts w:ascii="Times New Roman" w:hAnsi="Times New Roman" w:cs="Times New Roman"/>
          <w:sz w:val="28"/>
          <w:szCs w:val="28"/>
          <w:lang w:val="uk-UA"/>
        </w:rPr>
        <w:t>Соціально-гігієнічний моніторинг у гігієні дітей та підлітків є науково</w:t>
      </w:r>
      <w:r w:rsidR="008F57AC" w:rsidRPr="002E6ECA">
        <w:rPr>
          <w:rFonts w:ascii="Times New Roman" w:hAnsi="Times New Roman" w:cs="Times New Roman"/>
          <w:sz w:val="28"/>
          <w:szCs w:val="28"/>
          <w:lang w:val="uk-UA"/>
        </w:rPr>
        <w:t xml:space="preserve"> </w:t>
      </w:r>
      <w:r w:rsidRPr="002E6ECA">
        <w:rPr>
          <w:rFonts w:ascii="Times New Roman" w:hAnsi="Times New Roman" w:cs="Times New Roman"/>
          <w:sz w:val="28"/>
          <w:szCs w:val="28"/>
          <w:lang w:val="uk-UA"/>
        </w:rPr>
        <w:t>обґрунтованим і широко використовуваним в даний час методом щодо виявлення факторів ризику внутрішньо шкільного середовища, які впливають на формування стану здоров'я дітей та підлітків шкільного віку. Їх аналіз дає змогу прийняти своєчасні управлінські рішення  щодо забезпечення санітарно-епідеміологічного благополуччя учнів. Також є доцільним використання донозологичної діагностики для раннього виявлення відхилень у стані здоров'я школярів [</w:t>
      </w:r>
      <w:r w:rsidR="00D34BCF" w:rsidRPr="002E6ECA">
        <w:rPr>
          <w:rFonts w:ascii="Times New Roman" w:hAnsi="Times New Roman" w:cs="Times New Roman"/>
          <w:bCs/>
          <w:iCs/>
          <w:kern w:val="36"/>
          <w:sz w:val="28"/>
          <w:szCs w:val="28"/>
          <w:lang w:val="uk-UA"/>
        </w:rPr>
        <w:t xml:space="preserve">110, </w:t>
      </w:r>
      <w:r w:rsidR="00D34BCF" w:rsidRPr="002E6ECA">
        <w:rPr>
          <w:rFonts w:ascii="Times New Roman" w:hAnsi="Times New Roman" w:cs="Times New Roman"/>
          <w:sz w:val="28"/>
          <w:szCs w:val="28"/>
          <w:lang w:val="uk-UA"/>
        </w:rPr>
        <w:t>169</w:t>
      </w:r>
      <w:r w:rsidRPr="002E6ECA">
        <w:rPr>
          <w:rFonts w:ascii="Times New Roman" w:hAnsi="Times New Roman" w:cs="Times New Roman"/>
          <w:sz w:val="28"/>
          <w:szCs w:val="28"/>
          <w:lang w:val="uk-UA"/>
        </w:rPr>
        <w:t xml:space="preserve">]. Досвід застосування СГМ в гігієні дітей і підлітків вказує на те, що 1-е і 2-е рангові місця за впливом середовища на здоров'я дитячого населення займають некеровані органами охорони здоров'я та освіти соціальні та екологічні фактори, а шкільно-освітні знаходяться на 3-му  ранговому місці.  </w:t>
      </w:r>
    </w:p>
    <w:p w:rsidR="00A86E4F" w:rsidRPr="002E6ECA" w:rsidRDefault="00A86E4F" w:rsidP="00A86E4F">
      <w:pPr>
        <w:spacing w:line="360" w:lineRule="auto"/>
        <w:ind w:firstLine="709"/>
        <w:jc w:val="both"/>
        <w:rPr>
          <w:sz w:val="28"/>
          <w:szCs w:val="28"/>
          <w:lang w:val="uk-UA"/>
        </w:rPr>
      </w:pPr>
      <w:r w:rsidRPr="002E6ECA">
        <w:rPr>
          <w:sz w:val="28"/>
          <w:szCs w:val="28"/>
          <w:lang w:val="uk-UA"/>
        </w:rPr>
        <w:t xml:space="preserve">Тому постає нагальною проблема в організації спостереження за станом здоров’я школярів з метою своєчасного виявлення донозологічних та преморбідних станів та формування дійових підходів щодо профілактики неінфекційних захворювань та шкільної дезадаптації. </w:t>
      </w:r>
    </w:p>
    <w:p w:rsidR="00A86E4F" w:rsidRPr="002E6ECA" w:rsidRDefault="00A86E4F" w:rsidP="00A86E4F">
      <w:pPr>
        <w:spacing w:line="360" w:lineRule="auto"/>
        <w:ind w:firstLine="709"/>
        <w:jc w:val="both"/>
        <w:rPr>
          <w:sz w:val="28"/>
          <w:szCs w:val="28"/>
          <w:lang w:val="uk-UA"/>
        </w:rPr>
      </w:pPr>
      <w:r w:rsidRPr="002E6ECA">
        <w:rPr>
          <w:sz w:val="28"/>
          <w:szCs w:val="28"/>
          <w:lang w:val="uk-UA"/>
        </w:rPr>
        <w:lastRenderedPageBreak/>
        <w:t>На даний момент в Україні спостерігаються негативні тенденції у фізичному розвиткові дитячої популяції: відзначається значне зменшення частки гармонійно розвинутих дітей, зростає  поширеність надлишкової ваги, яка виступає предиктором розвитку ожиріння у дорослому віці, підвищення рівня хронічної соматичної захворюваності та смертності [</w:t>
      </w:r>
      <w:r w:rsidR="00D34BCF" w:rsidRPr="002E6ECA">
        <w:rPr>
          <w:rFonts w:eastAsiaTheme="minorHAnsi"/>
          <w:sz w:val="28"/>
          <w:szCs w:val="28"/>
          <w:lang w:val="uk-UA" w:eastAsia="en-US"/>
        </w:rPr>
        <w:t>43, 119, 279</w:t>
      </w:r>
      <w:r w:rsidRPr="002E6ECA">
        <w:rPr>
          <w:sz w:val="28"/>
          <w:szCs w:val="28"/>
          <w:lang w:val="uk-UA"/>
        </w:rPr>
        <w:t>]. Особливу увагу слід концентрувати на підлітковому віці як критичному періоді щодо розвитку ожиріння. Склад тіла під час пубертату є маркером метаболічних змін, що відбуваються, і містить ключову інформацію про теперішнє та майбутнє здоров'я. Під час статевого дозрівання всі основні компоненти складу тіла (загальний жир, безжирова маса тіла, м'язова маса) збільшуються та чітко корелюють зі статтю і інтенсивністю статевого розвитку [</w:t>
      </w:r>
      <w:r w:rsidR="00D34BCF" w:rsidRPr="002E6ECA">
        <w:rPr>
          <w:rFonts w:eastAsiaTheme="minorHAnsi"/>
          <w:sz w:val="28"/>
          <w:szCs w:val="28"/>
          <w:lang w:val="uk-UA" w:eastAsia="en-US"/>
        </w:rPr>
        <w:t>42, 490</w:t>
      </w:r>
      <w:r w:rsidRPr="002E6ECA">
        <w:rPr>
          <w:sz w:val="28"/>
          <w:szCs w:val="28"/>
          <w:lang w:val="uk-UA"/>
        </w:rPr>
        <w:t>].</w:t>
      </w:r>
    </w:p>
    <w:p w:rsidR="00A86E4F" w:rsidRPr="002E6ECA" w:rsidRDefault="00A86E4F" w:rsidP="00A86E4F">
      <w:pPr>
        <w:spacing w:line="360" w:lineRule="auto"/>
        <w:ind w:firstLine="709"/>
        <w:jc w:val="both"/>
        <w:rPr>
          <w:sz w:val="28"/>
          <w:szCs w:val="28"/>
          <w:lang w:val="uk-UA"/>
        </w:rPr>
      </w:pPr>
      <w:r w:rsidRPr="002E6ECA">
        <w:rPr>
          <w:sz w:val="28"/>
          <w:szCs w:val="28"/>
          <w:lang w:val="uk-UA"/>
        </w:rPr>
        <w:t>Фізичний розвиток є інтегральним показником стану здоров'я дітей та підлітків, на який впливає комплекс соціально-економічних, демографічних, клімато-географічних та екологічних чинників, рівень урбанізації, спосіб життя, особливості харчування, ступінь фізичних і психологічних навантажень, освітні технології [</w:t>
      </w:r>
      <w:r w:rsidR="00D34BCF" w:rsidRPr="002E6ECA">
        <w:rPr>
          <w:sz w:val="28"/>
          <w:szCs w:val="28"/>
          <w:lang w:val="uk-UA"/>
        </w:rPr>
        <w:t xml:space="preserve">55, 285, </w:t>
      </w:r>
      <w:r w:rsidR="001D68D5" w:rsidRPr="002E6ECA">
        <w:rPr>
          <w:sz w:val="28"/>
          <w:szCs w:val="28"/>
          <w:lang w:val="uk-UA"/>
        </w:rPr>
        <w:t xml:space="preserve">411, </w:t>
      </w:r>
      <w:r w:rsidR="00D34BCF" w:rsidRPr="002E6ECA">
        <w:rPr>
          <w:sz w:val="28"/>
          <w:szCs w:val="28"/>
          <w:lang w:val="uk-UA"/>
        </w:rPr>
        <w:t xml:space="preserve">416, 427, </w:t>
      </w:r>
      <w:r w:rsidR="00D34BCF" w:rsidRPr="002E6ECA">
        <w:rPr>
          <w:rFonts w:eastAsiaTheme="minorHAnsi"/>
          <w:sz w:val="28"/>
          <w:szCs w:val="28"/>
          <w:lang w:val="uk-UA" w:eastAsia="en-US"/>
        </w:rPr>
        <w:t>429, 513</w:t>
      </w:r>
      <w:r w:rsidRPr="002E6ECA">
        <w:rPr>
          <w:sz w:val="28"/>
          <w:szCs w:val="28"/>
          <w:lang w:val="uk-UA"/>
        </w:rPr>
        <w:t>].</w:t>
      </w:r>
    </w:p>
    <w:p w:rsidR="00A86E4F" w:rsidRPr="002E6ECA" w:rsidRDefault="00A86E4F" w:rsidP="00A86E4F">
      <w:pPr>
        <w:spacing w:line="360" w:lineRule="auto"/>
        <w:ind w:firstLine="709"/>
        <w:jc w:val="both"/>
        <w:rPr>
          <w:sz w:val="28"/>
          <w:szCs w:val="28"/>
          <w:lang w:val="uk-UA"/>
        </w:rPr>
      </w:pPr>
      <w:r w:rsidRPr="002E6ECA">
        <w:rPr>
          <w:bCs/>
          <w:sz w:val="28"/>
          <w:szCs w:val="28"/>
          <w:lang w:val="uk-UA"/>
        </w:rPr>
        <w:t xml:space="preserve">За аналізом отриманих даних антропометричних досліджень за показниками зросту та маси тіла у порівнянні з національними нормативами було встановлено динамічне збільшення зросту та маси тіла у відповідності до фізіологічних процесів. </w:t>
      </w:r>
    </w:p>
    <w:p w:rsidR="00A86E4F" w:rsidRPr="002E6ECA" w:rsidRDefault="00A86E4F" w:rsidP="00A86E4F">
      <w:pPr>
        <w:spacing w:line="360" w:lineRule="auto"/>
        <w:ind w:firstLine="709"/>
        <w:jc w:val="both"/>
        <w:rPr>
          <w:bCs/>
          <w:spacing w:val="-4"/>
          <w:sz w:val="28"/>
          <w:szCs w:val="28"/>
        </w:rPr>
      </w:pPr>
      <w:r w:rsidRPr="002E6ECA">
        <w:rPr>
          <w:spacing w:val="-4"/>
          <w:sz w:val="28"/>
          <w:szCs w:val="28"/>
          <w:lang w:val="uk-UA"/>
        </w:rPr>
        <w:t xml:space="preserve">Встановлено статево-вікові особливості фізичного розвитку, патологічної ураженості та гострої захворюваності серед школярів. Встановлено, що </w:t>
      </w:r>
      <w:r w:rsidRPr="002E6ECA">
        <w:rPr>
          <w:bCs/>
          <w:spacing w:val="-4"/>
          <w:sz w:val="28"/>
          <w:szCs w:val="28"/>
          <w:lang w:val="uk-UA"/>
        </w:rPr>
        <w:t xml:space="preserve">понад 50% </w:t>
      </w:r>
      <w:r w:rsidRPr="002E6ECA">
        <w:rPr>
          <w:spacing w:val="-4"/>
          <w:sz w:val="28"/>
          <w:szCs w:val="28"/>
          <w:lang w:val="uk-UA"/>
        </w:rPr>
        <w:t xml:space="preserve">дівчат 10-13 років мали показники маси тіла у межах нормативних значень, 21,4% 14-річних учениць </w:t>
      </w:r>
      <w:r w:rsidR="00E26678" w:rsidRPr="002E6ECA">
        <w:rPr>
          <w:spacing w:val="-4"/>
          <w:sz w:val="28"/>
          <w:szCs w:val="28"/>
          <w:lang w:val="uk-UA"/>
        </w:rPr>
        <w:t>-</w:t>
      </w:r>
      <w:r w:rsidRPr="002E6ECA">
        <w:rPr>
          <w:spacing w:val="-4"/>
          <w:sz w:val="28"/>
          <w:szCs w:val="28"/>
          <w:lang w:val="uk-UA"/>
        </w:rPr>
        <w:t>виражені ознаки дефіциту маси тіла (виснаження), а серед хлопців</w:t>
      </w:r>
      <w:r w:rsidRPr="002E6ECA">
        <w:rPr>
          <w:bCs/>
          <w:spacing w:val="-4"/>
          <w:sz w:val="28"/>
          <w:szCs w:val="28"/>
          <w:lang w:val="uk-UA"/>
        </w:rPr>
        <w:t xml:space="preserve"> 10, 12 та 14 років понад ⅓ складали школярі із ожирінням та понад 10% </w:t>
      </w:r>
      <w:r w:rsidR="00E26678" w:rsidRPr="002E6ECA">
        <w:rPr>
          <w:sz w:val="28"/>
          <w:szCs w:val="28"/>
          <w:lang w:val="uk-UA"/>
        </w:rPr>
        <w:t>-</w:t>
      </w:r>
      <w:r w:rsidRPr="002E6ECA">
        <w:rPr>
          <w:bCs/>
          <w:spacing w:val="-4"/>
          <w:sz w:val="28"/>
          <w:szCs w:val="28"/>
          <w:lang w:val="uk-UA"/>
        </w:rPr>
        <w:t xml:space="preserve">із надлишковою масою тіла. </w:t>
      </w:r>
      <w:r w:rsidRPr="002E6ECA">
        <w:rPr>
          <w:bCs/>
          <w:spacing w:val="-4"/>
          <w:sz w:val="28"/>
          <w:szCs w:val="28"/>
        </w:rPr>
        <w:t xml:space="preserve">Серед дівчат такі відхилення харчового статусу виявлялись у 10-річному віці (21,3%). </w:t>
      </w:r>
    </w:p>
    <w:p w:rsidR="00A86E4F" w:rsidRPr="002E6ECA" w:rsidRDefault="00A86E4F" w:rsidP="00A86E4F">
      <w:pPr>
        <w:spacing w:line="360" w:lineRule="auto"/>
        <w:ind w:firstLine="709"/>
        <w:jc w:val="both"/>
        <w:rPr>
          <w:sz w:val="28"/>
          <w:szCs w:val="28"/>
        </w:rPr>
      </w:pPr>
      <w:r w:rsidRPr="002E6ECA">
        <w:rPr>
          <w:sz w:val="28"/>
          <w:szCs w:val="28"/>
        </w:rPr>
        <w:t xml:space="preserve">Динамічні зміни показника довжини тіла у дівчат були виражені у 11-річному віці, коли реєструвалось 13,0% учениць із високим і 18,1% </w:t>
      </w:r>
      <w:r w:rsidR="00E26678" w:rsidRPr="002E6ECA">
        <w:rPr>
          <w:sz w:val="28"/>
          <w:szCs w:val="28"/>
        </w:rPr>
        <w:t>-</w:t>
      </w:r>
      <w:r w:rsidRPr="002E6ECA">
        <w:rPr>
          <w:sz w:val="28"/>
          <w:szCs w:val="28"/>
        </w:rPr>
        <w:t xml:space="preserve">вище </w:t>
      </w:r>
      <w:r w:rsidRPr="002E6ECA">
        <w:rPr>
          <w:sz w:val="28"/>
          <w:szCs w:val="28"/>
        </w:rPr>
        <w:lastRenderedPageBreak/>
        <w:t>середнього зросту за національними шкалами регресії, а також визначалось переважання процесів витягування за індексом Вервека. Серед хлопців цієї ж вікової групи визначалась найбільша кількість учнів із низьким та нижче середнього зростом, а починаючи з 12 років вже визначалось понад 20% хлопців із показниками зросту вище середнього без чіткої тенденції щодо процесів витягування за індексом Вервека.</w:t>
      </w:r>
    </w:p>
    <w:p w:rsidR="00A86E4F" w:rsidRPr="002E6ECA" w:rsidRDefault="00A86E4F" w:rsidP="00A86E4F">
      <w:pPr>
        <w:spacing w:line="360" w:lineRule="auto"/>
        <w:ind w:firstLine="709"/>
        <w:jc w:val="both"/>
        <w:rPr>
          <w:sz w:val="28"/>
          <w:szCs w:val="28"/>
        </w:rPr>
      </w:pPr>
      <w:r w:rsidRPr="002E6ECA">
        <w:rPr>
          <w:sz w:val="28"/>
          <w:szCs w:val="28"/>
        </w:rPr>
        <w:t xml:space="preserve">При порівнянні результатів оцінювання за стандартами ВООЗ та національними критеріями оцінки фізичного розвитку визначався різний розподіл дітей за категоріями маси тіла у різних статево-вікових групах. Так, більш «жорстким» був підхід до виділення категорії дітей з ожирінням у 12-15 років за національними шкалами регресії з розбіжністю до 7% серед хлопців та до 19% </w:t>
      </w:r>
      <w:r w:rsidR="00E26678" w:rsidRPr="002E6ECA">
        <w:rPr>
          <w:sz w:val="28"/>
          <w:szCs w:val="28"/>
        </w:rPr>
        <w:t>-</w:t>
      </w:r>
      <w:r w:rsidRPr="002E6ECA">
        <w:rPr>
          <w:sz w:val="28"/>
          <w:szCs w:val="28"/>
        </w:rPr>
        <w:t xml:space="preserve">у дівчат; майже однаковий розподіл був у 10-12-річному віці. Подібна ситуація визначалась із розподілом дітей, що мають надлишкову масу за обома стандартами. Щодо дефіциту маси тіла та виснаження, то чітких вікових закономірностей не було встановлено. </w:t>
      </w:r>
    </w:p>
    <w:p w:rsidR="00A86E4F" w:rsidRPr="002E6ECA" w:rsidRDefault="00A86E4F" w:rsidP="00A86E4F">
      <w:pPr>
        <w:pStyle w:val="msolistparagraph0"/>
        <w:tabs>
          <w:tab w:val="left" w:pos="1134"/>
        </w:tabs>
        <w:spacing w:before="0" w:beforeAutospacing="0" w:after="0" w:afterAutospacing="0" w:line="360" w:lineRule="auto"/>
        <w:ind w:firstLine="709"/>
        <w:jc w:val="both"/>
        <w:rPr>
          <w:sz w:val="28"/>
          <w:szCs w:val="28"/>
          <w:lang w:val="uk-UA"/>
        </w:rPr>
      </w:pPr>
      <w:r w:rsidRPr="002E6ECA">
        <w:rPr>
          <w:sz w:val="28"/>
          <w:szCs w:val="28"/>
        </w:rPr>
        <w:t xml:space="preserve">Найбільший відсоток учнів із гармонійним фізичним розвитком реєструвався у 10-річних хлопців (45%) та 12-річних дівчат (44%), а різко дисгармонійний розвиток </w:t>
      </w:r>
      <w:r w:rsidR="00E26678" w:rsidRPr="002E6ECA">
        <w:rPr>
          <w:sz w:val="28"/>
          <w:szCs w:val="28"/>
        </w:rPr>
        <w:t>-</w:t>
      </w:r>
      <w:r w:rsidRPr="002E6ECA">
        <w:rPr>
          <w:sz w:val="28"/>
          <w:szCs w:val="28"/>
        </w:rPr>
        <w:t>у 14-річних дівчат (48%) та школярів 15 років обох статевих груп (32-39%</w:t>
      </w:r>
      <w:r w:rsidRPr="002E6ECA">
        <w:rPr>
          <w:sz w:val="28"/>
          <w:szCs w:val="28"/>
          <w:lang w:val="uk-UA"/>
        </w:rPr>
        <w:t>).</w:t>
      </w:r>
    </w:p>
    <w:p w:rsidR="00A86E4F" w:rsidRPr="002E6ECA" w:rsidRDefault="00A86E4F" w:rsidP="00A86E4F">
      <w:pPr>
        <w:pStyle w:val="msolistparagraph0"/>
        <w:tabs>
          <w:tab w:val="left" w:pos="1134"/>
        </w:tabs>
        <w:spacing w:before="0" w:beforeAutospacing="0" w:after="0" w:afterAutospacing="0" w:line="360" w:lineRule="auto"/>
        <w:ind w:firstLine="709"/>
        <w:jc w:val="both"/>
        <w:rPr>
          <w:sz w:val="28"/>
          <w:szCs w:val="28"/>
          <w:lang w:val="uk-UA"/>
        </w:rPr>
      </w:pPr>
      <w:r w:rsidRPr="002E6ECA">
        <w:rPr>
          <w:sz w:val="28"/>
          <w:szCs w:val="28"/>
          <w:lang w:val="uk-UA"/>
        </w:rPr>
        <w:t xml:space="preserve">Одним з уточнюючих показників фізичного розвитку підлітків постає соматотип, який визначається відносним вмістом жирового, м’язового, водного, мінерального та інших компонентів маси тіла. Жирова складова є індикатором харчового статусу та може динамічно змінюватися під впливом різних факторів, а м'язова складова </w:t>
      </w:r>
      <w:r w:rsidR="00E26678" w:rsidRPr="002E6ECA">
        <w:rPr>
          <w:sz w:val="28"/>
          <w:szCs w:val="28"/>
          <w:lang w:val="uk-UA"/>
        </w:rPr>
        <w:t>-</w:t>
      </w:r>
      <w:r w:rsidRPr="002E6ECA">
        <w:rPr>
          <w:sz w:val="28"/>
          <w:szCs w:val="28"/>
          <w:lang w:val="uk-UA"/>
        </w:rPr>
        <w:t>структурно-функціонального стану організму людини і обумовлена режимом рухової активності та станом соматичного здоров'я [</w:t>
      </w:r>
      <w:r w:rsidR="00D34BCF" w:rsidRPr="002E6ECA">
        <w:rPr>
          <w:sz w:val="28"/>
          <w:szCs w:val="28"/>
          <w:lang w:val="uk-UA"/>
        </w:rPr>
        <w:t>264</w:t>
      </w:r>
      <w:r w:rsidRPr="002E6ECA">
        <w:rPr>
          <w:sz w:val="28"/>
          <w:szCs w:val="28"/>
          <w:lang w:val="uk-UA"/>
        </w:rPr>
        <w:t>].</w:t>
      </w:r>
    </w:p>
    <w:p w:rsidR="00A86E4F" w:rsidRPr="002E6ECA" w:rsidRDefault="00A86E4F" w:rsidP="00A86E4F">
      <w:pPr>
        <w:spacing w:line="360" w:lineRule="auto"/>
        <w:ind w:firstLine="709"/>
        <w:jc w:val="both"/>
        <w:rPr>
          <w:sz w:val="28"/>
          <w:szCs w:val="28"/>
          <w:lang w:val="uk-UA"/>
        </w:rPr>
      </w:pPr>
      <w:r w:rsidRPr="002E6ECA">
        <w:rPr>
          <w:sz w:val="28"/>
          <w:szCs w:val="28"/>
          <w:lang w:val="uk-UA"/>
        </w:rPr>
        <w:t>Моніторинг складу тіла в період статевого дозрівання дозволяє прогнозувати подальші зміни його характеристик в дорослому віці та формування мультифакторної патології: серцево-судинних захворювань, цукрового діабету, ожиріння і остеопорозу [</w:t>
      </w:r>
      <w:r w:rsidR="00D34BCF" w:rsidRPr="002E6ECA">
        <w:rPr>
          <w:sz w:val="28"/>
          <w:szCs w:val="28"/>
          <w:lang w:val="uk-UA"/>
        </w:rPr>
        <w:t>506</w:t>
      </w:r>
      <w:r w:rsidRPr="002E6ECA">
        <w:rPr>
          <w:sz w:val="28"/>
          <w:szCs w:val="28"/>
          <w:lang w:val="uk-UA"/>
        </w:rPr>
        <w:t>].</w:t>
      </w:r>
    </w:p>
    <w:p w:rsidR="00A86E4F" w:rsidRPr="002E6ECA" w:rsidRDefault="00A86E4F" w:rsidP="00A86E4F">
      <w:pPr>
        <w:spacing w:line="360" w:lineRule="auto"/>
        <w:ind w:firstLine="709"/>
        <w:jc w:val="both"/>
        <w:rPr>
          <w:sz w:val="28"/>
          <w:szCs w:val="28"/>
        </w:rPr>
      </w:pPr>
      <w:r w:rsidRPr="002E6ECA">
        <w:rPr>
          <w:sz w:val="28"/>
          <w:szCs w:val="28"/>
          <w:lang w:val="uk-UA"/>
        </w:rPr>
        <w:lastRenderedPageBreak/>
        <w:t xml:space="preserve">За результатами біоімпендансометрії встановлено, що відсоток жирової тканини істотно не змінювався з віком, проте вміст м’язової тканини був вищим у 14 років (37,2±0,1%), істотно </w:t>
      </w:r>
      <w:r w:rsidR="00E26678" w:rsidRPr="002E6ECA">
        <w:rPr>
          <w:sz w:val="28"/>
          <w:szCs w:val="28"/>
          <w:lang w:val="uk-UA"/>
        </w:rPr>
        <w:t>-</w:t>
      </w:r>
      <w:r w:rsidRPr="002E6ECA">
        <w:rPr>
          <w:sz w:val="28"/>
          <w:szCs w:val="28"/>
          <w:lang w:val="uk-UA"/>
        </w:rPr>
        <w:t xml:space="preserve">при порівнянні з учнями 10 та 11 років (відповідно 32,9±0,6% та 35,1±0,3%; р&lt;0,05). Такі дані при порівняні з ІМТ дозволяють зробити припущення, що більш високий ІМТ визначався за рахунок розвинутої м’язової системи, і не свідчив про формування ожиріння у хлопців. </w:t>
      </w:r>
      <w:r w:rsidRPr="002E6ECA">
        <w:rPr>
          <w:sz w:val="28"/>
          <w:szCs w:val="28"/>
        </w:rPr>
        <w:t>Цей же висновок можна підтвердити і результатами каліперометрії. Так, з віком знижувалась товщина ШЖС (шкірно-жирової складки) на трицепсі (D5) з 15,7±1,0 мм у 10 років до 12,9±1,2 мм у 14-річному віці (р&lt;0,05) та на грудях (D2) з 16,8±1,6% до 10,7±1,9% у хлопців за той же період (р&lt;0,05).</w:t>
      </w:r>
    </w:p>
    <w:p w:rsidR="00A86E4F" w:rsidRPr="002E6ECA" w:rsidRDefault="00A86E4F" w:rsidP="00A86E4F">
      <w:pPr>
        <w:spacing w:line="360" w:lineRule="auto"/>
        <w:ind w:firstLine="709"/>
        <w:jc w:val="both"/>
        <w:rPr>
          <w:sz w:val="28"/>
          <w:szCs w:val="28"/>
          <w:lang w:val="uk-UA"/>
        </w:rPr>
      </w:pPr>
      <w:r w:rsidRPr="002E6ECA">
        <w:rPr>
          <w:sz w:val="28"/>
          <w:szCs w:val="28"/>
          <w:lang w:val="uk-UA"/>
        </w:rPr>
        <w:t>Одним з головних критеріїв здоров’я постає рівень патологічної ураженості дітей та підлітків. Українськими дослідниками встановлено негативну хронодинаміку стану здоров’я школярів та найвищий рівень захворюваності серед учнів середнього шкільного віку [</w:t>
      </w:r>
      <w:r w:rsidR="006F1E5C" w:rsidRPr="002E6ECA">
        <w:rPr>
          <w:sz w:val="28"/>
          <w:szCs w:val="28"/>
          <w:lang w:val="uk-UA"/>
        </w:rPr>
        <w:t>208</w:t>
      </w:r>
      <w:r w:rsidRPr="002E6ECA">
        <w:rPr>
          <w:sz w:val="28"/>
          <w:szCs w:val="28"/>
          <w:lang w:val="uk-UA"/>
        </w:rPr>
        <w:t>].</w:t>
      </w:r>
    </w:p>
    <w:p w:rsidR="00A86E4F" w:rsidRPr="002E6ECA" w:rsidRDefault="00A86E4F" w:rsidP="00FB14B7">
      <w:pPr>
        <w:spacing w:line="360" w:lineRule="auto"/>
        <w:ind w:firstLine="709"/>
        <w:jc w:val="both"/>
        <w:rPr>
          <w:sz w:val="28"/>
          <w:szCs w:val="28"/>
          <w:lang w:val="uk-UA"/>
        </w:rPr>
      </w:pPr>
      <w:r w:rsidRPr="002E6ECA">
        <w:rPr>
          <w:sz w:val="28"/>
          <w:szCs w:val="28"/>
          <w:lang w:val="uk-UA"/>
        </w:rPr>
        <w:t>На початку навчання у базовій школі загальна патологічна ураженість складала 1683,5‰, а найвищий рівень було встановлено за хворобами ендокринної системи (</w:t>
      </w:r>
      <w:r w:rsidRPr="002E6ECA">
        <w:rPr>
          <w:spacing w:val="-2"/>
          <w:sz w:val="28"/>
          <w:szCs w:val="28"/>
          <w:lang w:val="uk-UA"/>
        </w:rPr>
        <w:t xml:space="preserve">468,4±39,7‰), органу зору та придаткового апарату (322,8±37,2‰), системи кровообігу (310,1±36,8‰) та дихання (303,8±36,6‰). </w:t>
      </w:r>
      <w:r w:rsidRPr="002E6ECA">
        <w:rPr>
          <w:sz w:val="28"/>
          <w:szCs w:val="28"/>
        </w:rPr>
        <w:t>Визначались і деякі статеві відмінності у структурі захворювань: якщо у обох статевих групах перше рангове місце посідали хвороби ендокринної системи, то серед хлопців друге та третє рангові місця посіли патологія дихальної системи (361,4±51,9‰) і хвороби ока та придаткового апарату (313,3±51,4‰), а у дівчат</w:t>
      </w:r>
      <w:r w:rsidR="00FB14B7" w:rsidRPr="002E6ECA">
        <w:rPr>
          <w:sz w:val="28"/>
          <w:szCs w:val="28"/>
          <w:lang w:val="uk-UA"/>
        </w:rPr>
        <w:t>,</w:t>
      </w:r>
      <w:r w:rsidRPr="002E6ECA">
        <w:rPr>
          <w:sz w:val="28"/>
          <w:szCs w:val="28"/>
        </w:rPr>
        <w:t xml:space="preserve"> відповідно офтальмологічна (386,7±56,2‰) та серцево-судинна патології (306,7±53,2‰). Серед  дівчат встановлена вища поширеність патології ендокринної </w:t>
      </w:r>
      <w:r w:rsidR="00FB14B7" w:rsidRPr="002E6ECA">
        <w:rPr>
          <w:sz w:val="28"/>
          <w:szCs w:val="28"/>
          <w:lang w:val="uk-UA"/>
        </w:rPr>
        <w:t xml:space="preserve">системи </w:t>
      </w:r>
      <w:r w:rsidRPr="002E6ECA">
        <w:rPr>
          <w:sz w:val="28"/>
          <w:szCs w:val="28"/>
        </w:rPr>
        <w:t xml:space="preserve">(520,7±57,7‰ проти 421,7±54,7‰ у хлопців) і органу зору та придаткового апарату (відповідно 386,7±56,2‰ і 265,1±52,7‰), а серед хлопців </w:t>
      </w:r>
      <w:r w:rsidR="00E26678" w:rsidRPr="002E6ECA">
        <w:rPr>
          <w:sz w:val="28"/>
          <w:szCs w:val="28"/>
        </w:rPr>
        <w:t>-</w:t>
      </w:r>
      <w:r w:rsidRPr="002E6ECA">
        <w:rPr>
          <w:sz w:val="28"/>
          <w:szCs w:val="28"/>
        </w:rPr>
        <w:t xml:space="preserve">розлади психіки та поведінки (168,7±39,9‰ проти 40,0±22,6‰ у дівчат; р&lt;0,05). </w:t>
      </w:r>
    </w:p>
    <w:p w:rsidR="00A86E4F" w:rsidRPr="002E6ECA" w:rsidRDefault="00A86E4F" w:rsidP="00A86E4F">
      <w:pPr>
        <w:spacing w:line="360" w:lineRule="auto"/>
        <w:ind w:firstLine="709"/>
        <w:jc w:val="both"/>
        <w:rPr>
          <w:sz w:val="28"/>
          <w:szCs w:val="28"/>
        </w:rPr>
      </w:pPr>
      <w:r w:rsidRPr="002E6ECA">
        <w:rPr>
          <w:sz w:val="28"/>
          <w:szCs w:val="28"/>
        </w:rPr>
        <w:t xml:space="preserve">Протягом навчання у базовій школі визначалась негативна динаміка за хворобами ендокринної системи за рахунок їх зростання серед хлопців на </w:t>
      </w:r>
      <w:r w:rsidRPr="002E6ECA">
        <w:rPr>
          <w:sz w:val="28"/>
          <w:szCs w:val="28"/>
        </w:rPr>
        <w:lastRenderedPageBreak/>
        <w:t xml:space="preserve">180,7‰ (р&lt;0,05), хвороб ока та придаткового апарату і органів травлення у обох статевих групах </w:t>
      </w:r>
      <w:r w:rsidR="00E26678" w:rsidRPr="002E6ECA">
        <w:rPr>
          <w:sz w:val="28"/>
          <w:szCs w:val="28"/>
        </w:rPr>
        <w:t>-</w:t>
      </w:r>
      <w:r w:rsidRPr="002E6ECA">
        <w:rPr>
          <w:sz w:val="28"/>
          <w:szCs w:val="28"/>
        </w:rPr>
        <w:t>відповідно на 189,9‰ та 132,9‰ (р&lt;0,01). У той же час відмічалось зниження патологічної ураженості за хворобами дихальної системи за рахунок їх зниження серед дівчат на 133,3‰ (р&lt;0,05).</w:t>
      </w:r>
    </w:p>
    <w:p w:rsidR="00A86E4F" w:rsidRPr="002E6ECA" w:rsidRDefault="00A86E4F" w:rsidP="00A86E4F">
      <w:pPr>
        <w:spacing w:line="360" w:lineRule="auto"/>
        <w:ind w:firstLine="709"/>
        <w:jc w:val="both"/>
        <w:rPr>
          <w:sz w:val="28"/>
          <w:szCs w:val="28"/>
        </w:rPr>
      </w:pPr>
      <w:r w:rsidRPr="002E6ECA">
        <w:rPr>
          <w:sz w:val="28"/>
          <w:szCs w:val="28"/>
        </w:rPr>
        <w:t>Аналіз структури ендокринної патології</w:t>
      </w:r>
      <w:r w:rsidR="00FB14B7" w:rsidRPr="002E6ECA">
        <w:rPr>
          <w:sz w:val="28"/>
          <w:szCs w:val="28"/>
          <w:lang w:val="uk-UA"/>
        </w:rPr>
        <w:t>,</w:t>
      </w:r>
      <w:r w:rsidRPr="002E6ECA">
        <w:rPr>
          <w:sz w:val="28"/>
          <w:szCs w:val="28"/>
        </w:rPr>
        <w:t xml:space="preserve"> як найбільш поширеного класу хвороб серед дітей середнього шкільного віку</w:t>
      </w:r>
      <w:r w:rsidR="00FB14B7" w:rsidRPr="002E6ECA">
        <w:rPr>
          <w:sz w:val="28"/>
          <w:szCs w:val="28"/>
          <w:lang w:val="uk-UA"/>
        </w:rPr>
        <w:t>,</w:t>
      </w:r>
      <w:r w:rsidRPr="002E6ECA">
        <w:rPr>
          <w:sz w:val="28"/>
          <w:szCs w:val="28"/>
        </w:rPr>
        <w:t xml:space="preserve"> встановив, що провідною патологією виступають захворювання щитоподібної залози, які складають понад 60% у школярів обох статей незалежно від етапу навчання за винятком хлопців 14-15-річного віку. Рівень поширеності дифузного зобу 1 ступеню </w:t>
      </w:r>
      <w:r w:rsidR="0062709D" w:rsidRPr="002E6ECA">
        <w:rPr>
          <w:sz w:val="28"/>
          <w:szCs w:val="28"/>
          <w:lang w:val="uk-UA"/>
        </w:rPr>
        <w:t>змінювався</w:t>
      </w:r>
      <w:r w:rsidRPr="002E6ECA">
        <w:rPr>
          <w:sz w:val="28"/>
          <w:szCs w:val="28"/>
        </w:rPr>
        <w:t xml:space="preserve"> від 265,1±48,5‰ у хлопців та 413,3±56,9‰ у дівчат на початку навчання у середній школі до 241,0±46,9‰ </w:t>
      </w:r>
      <w:r w:rsidR="00FB14B7" w:rsidRPr="002E6ECA">
        <w:rPr>
          <w:sz w:val="28"/>
          <w:szCs w:val="28"/>
          <w:lang w:val="uk-UA"/>
        </w:rPr>
        <w:t>і</w:t>
      </w:r>
      <w:r w:rsidRPr="002E6ECA">
        <w:rPr>
          <w:sz w:val="28"/>
          <w:szCs w:val="28"/>
        </w:rPr>
        <w:t xml:space="preserve"> 373,3±55,9‰ відповідно </w:t>
      </w:r>
      <w:r w:rsidR="00FB14B7" w:rsidRPr="002E6ECA">
        <w:rPr>
          <w:sz w:val="28"/>
          <w:szCs w:val="28"/>
        </w:rPr>
        <w:t>–</w:t>
      </w:r>
      <w:r w:rsidRPr="002E6ECA">
        <w:rPr>
          <w:sz w:val="28"/>
          <w:szCs w:val="28"/>
        </w:rPr>
        <w:t>наприкінці</w:t>
      </w:r>
      <w:r w:rsidR="00FB14B7" w:rsidRPr="002E6ECA">
        <w:rPr>
          <w:sz w:val="28"/>
          <w:szCs w:val="28"/>
          <w:lang w:val="uk-UA"/>
        </w:rPr>
        <w:t xml:space="preserve"> </w:t>
      </w:r>
      <w:r w:rsidRPr="002E6ECA">
        <w:rPr>
          <w:sz w:val="28"/>
          <w:szCs w:val="28"/>
        </w:rPr>
        <w:t>навчання. Друге рангове місце займало ожиріння 1 ступеню, рівень розповсюдженості якого був вищим серед хлопців, але істотно лише наприкінці навчання: 156,6±39,9‰ проти 40,0±22,6‰ у дівчат (р&lt;0,05).</w:t>
      </w:r>
    </w:p>
    <w:p w:rsidR="00A86E4F" w:rsidRPr="002E6ECA" w:rsidRDefault="00A86E4F" w:rsidP="00A86E4F">
      <w:pPr>
        <w:spacing w:line="360" w:lineRule="auto"/>
        <w:ind w:firstLine="709"/>
        <w:jc w:val="both"/>
        <w:rPr>
          <w:sz w:val="28"/>
          <w:szCs w:val="28"/>
        </w:rPr>
      </w:pPr>
      <w:r w:rsidRPr="002E6ECA">
        <w:rPr>
          <w:sz w:val="28"/>
          <w:szCs w:val="28"/>
        </w:rPr>
        <w:t xml:space="preserve">Розлади психіки та поведінки, що були більш поширеними у хлопців середнього шкільного віку, в 1/3 випадків були представлені порушеннями активності та уваги, а у 20-30% учнів </w:t>
      </w:r>
      <w:r w:rsidR="00E26678" w:rsidRPr="002E6ECA">
        <w:rPr>
          <w:sz w:val="28"/>
          <w:szCs w:val="28"/>
        </w:rPr>
        <w:t>-</w:t>
      </w:r>
      <w:r w:rsidRPr="002E6ECA">
        <w:rPr>
          <w:sz w:val="28"/>
          <w:szCs w:val="28"/>
        </w:rPr>
        <w:t>гіперкинетичними розладами поведінки. Серед дівчат протягом навчання удвічі зростала доля розладів сну, а 50% учениць у середині навчання мали ознаки гіперкінетичних розладів.</w:t>
      </w:r>
    </w:p>
    <w:p w:rsidR="00A86E4F" w:rsidRPr="002E6ECA" w:rsidRDefault="00A86E4F" w:rsidP="00A86E4F">
      <w:pPr>
        <w:spacing w:line="360" w:lineRule="auto"/>
        <w:ind w:firstLine="709"/>
        <w:jc w:val="both"/>
        <w:rPr>
          <w:sz w:val="28"/>
          <w:szCs w:val="28"/>
        </w:rPr>
      </w:pPr>
      <w:r w:rsidRPr="002E6ECA">
        <w:rPr>
          <w:sz w:val="28"/>
          <w:szCs w:val="28"/>
        </w:rPr>
        <w:t>Зареєстровано зростання майже у двічі рівня поширеності офтальмологічної патології, де провідне місце займає короткозорість, яка згідно з наявними джерелами літератури формується переважно у середньому шкільному віці. Так, поширеність хвороб ока та придаткового апарату була істотно вищою серед дівчат (р&lt;0,05) протягом всього навчання за рахунок зниження гостроти зору, яка прогресувала у обох статевих групах з 272±35,4‰ до 430,4±39,4‰ (р&lt;0,01). Розповсюдженість порушення акомодації зростала упродовж навчання у базовій школі, але неістотно і складала до 15% всієї офтальмологічної патології.</w:t>
      </w:r>
    </w:p>
    <w:p w:rsidR="00A86E4F" w:rsidRPr="002E6ECA" w:rsidRDefault="00A86E4F" w:rsidP="00A86E4F">
      <w:pPr>
        <w:spacing w:line="360" w:lineRule="auto"/>
        <w:ind w:firstLine="709"/>
        <w:jc w:val="both"/>
        <w:rPr>
          <w:sz w:val="28"/>
          <w:szCs w:val="28"/>
        </w:rPr>
      </w:pPr>
      <w:r w:rsidRPr="002E6ECA">
        <w:rPr>
          <w:sz w:val="28"/>
          <w:szCs w:val="28"/>
        </w:rPr>
        <w:t xml:space="preserve">Аналіз рівня патологічної ураженості та її динаміки при навчанні за різних освітніх програм встановив, що в умовах інтенсифікації навчального </w:t>
      </w:r>
      <w:r w:rsidRPr="002E6ECA">
        <w:rPr>
          <w:sz w:val="28"/>
          <w:szCs w:val="28"/>
        </w:rPr>
        <w:lastRenderedPageBreak/>
        <w:t xml:space="preserve">процесу, яка характерна для меритократичної системи освіти, у школярів реєструється більша поширеність хвороб ока та придаткового апарату (376,6±55,2‰) вже на початку 5-го класу зі зростанням на 220,8‰ продовж навчання у базовій школі (p&lt;0,05). При цьому незалежно від системи навчання визначалось пересування офтальмологічної патології на вищі рангові місця у загальній структурі патологічної ураженості: з 2-го на перше при меритократичній системі та з 4-го на друге рангове місце із зростанням її поширеності на 160,5‰ (p&lt;0,05) </w:t>
      </w:r>
      <w:r w:rsidR="00E26678" w:rsidRPr="002E6ECA">
        <w:rPr>
          <w:sz w:val="28"/>
          <w:szCs w:val="28"/>
        </w:rPr>
        <w:t>-</w:t>
      </w:r>
      <w:r w:rsidRPr="002E6ECA">
        <w:rPr>
          <w:sz w:val="28"/>
          <w:szCs w:val="28"/>
        </w:rPr>
        <w:t xml:space="preserve">при традиційній системі навчання. При цьому хвороби ендокринної системи залишались незмінним «лідером» у структурі патологічної ураженості, а їх поширеність збільшувалась протягом навчання у базовій школі на 172,8‰ (p&lt;0,05). Суттєво зростала і розповсюдженість захворювань органів травлення </w:t>
      </w:r>
      <w:r w:rsidR="00E26678" w:rsidRPr="002E6ECA">
        <w:rPr>
          <w:sz w:val="28"/>
          <w:szCs w:val="28"/>
        </w:rPr>
        <w:t>-</w:t>
      </w:r>
      <w:r w:rsidRPr="002E6ECA">
        <w:rPr>
          <w:sz w:val="28"/>
          <w:szCs w:val="28"/>
        </w:rPr>
        <w:t>на 148,1‰ (p&lt;0,01).</w:t>
      </w:r>
    </w:p>
    <w:p w:rsidR="00A86E4F" w:rsidRPr="002E6ECA" w:rsidRDefault="00A86E4F" w:rsidP="00A86E4F">
      <w:pPr>
        <w:spacing w:line="360" w:lineRule="auto"/>
        <w:ind w:firstLine="709"/>
        <w:jc w:val="both"/>
        <w:rPr>
          <w:sz w:val="28"/>
          <w:szCs w:val="28"/>
        </w:rPr>
      </w:pPr>
      <w:r w:rsidRPr="002E6ECA">
        <w:rPr>
          <w:sz w:val="28"/>
          <w:szCs w:val="28"/>
        </w:rPr>
        <w:t>Встановлено збільшення відсотку учнів з друго</w:t>
      </w:r>
      <w:r w:rsidR="00FB14B7" w:rsidRPr="002E6ECA">
        <w:rPr>
          <w:sz w:val="28"/>
          <w:szCs w:val="28"/>
          <w:lang w:val="uk-UA"/>
        </w:rPr>
        <w:t>ю</w:t>
      </w:r>
      <w:r w:rsidRPr="002E6ECA">
        <w:rPr>
          <w:sz w:val="28"/>
          <w:szCs w:val="28"/>
        </w:rPr>
        <w:t xml:space="preserve"> груп</w:t>
      </w:r>
      <w:r w:rsidR="00FB14B7" w:rsidRPr="002E6ECA">
        <w:rPr>
          <w:sz w:val="28"/>
          <w:szCs w:val="28"/>
          <w:lang w:val="uk-UA"/>
        </w:rPr>
        <w:t>ою</w:t>
      </w:r>
      <w:r w:rsidRPr="002E6ECA">
        <w:rPr>
          <w:sz w:val="28"/>
          <w:szCs w:val="28"/>
        </w:rPr>
        <w:t xml:space="preserve"> здоров’я за рахунок зменшення першої групи, але істотно </w:t>
      </w:r>
      <w:r w:rsidR="00E26678" w:rsidRPr="002E6ECA">
        <w:rPr>
          <w:sz w:val="28"/>
          <w:szCs w:val="28"/>
        </w:rPr>
        <w:t>-</w:t>
      </w:r>
      <w:r w:rsidRPr="002E6ECA">
        <w:rPr>
          <w:sz w:val="28"/>
          <w:szCs w:val="28"/>
        </w:rPr>
        <w:t>при навчанні в умовах інтенсифікації навчального процесу (з 62,3±5,5% до 77,9±4,7%; р&lt;0,05).</w:t>
      </w:r>
    </w:p>
    <w:p w:rsidR="00A86E4F" w:rsidRPr="002E6ECA" w:rsidRDefault="00A86E4F" w:rsidP="00A86E4F">
      <w:pPr>
        <w:spacing w:line="360" w:lineRule="auto"/>
        <w:ind w:firstLine="709"/>
        <w:jc w:val="both"/>
        <w:rPr>
          <w:sz w:val="28"/>
          <w:szCs w:val="28"/>
        </w:rPr>
      </w:pPr>
      <w:r w:rsidRPr="002E6ECA">
        <w:rPr>
          <w:sz w:val="28"/>
          <w:szCs w:val="28"/>
        </w:rPr>
        <w:t xml:space="preserve">Гостра захворюваність вірогідно зростала при переході з 5-го до 6-го класу та зберігалась на цьому рівні протягом 3-х років із подальшим спадом у 9-класників за всіма показниками (p&lt;0,05-0,01). Найчастіше реєструвались загальна тривалість гострих захворювань та одного епізоду серед учнів 8-х класів і складали, відповідно 18,1±1,1 та 4,8±0,2 дні, а найбільша кількість випадків визначалась у 6-му та 8-му класах. </w:t>
      </w:r>
    </w:p>
    <w:p w:rsidR="00A86E4F" w:rsidRPr="002E6ECA" w:rsidRDefault="00A86E4F" w:rsidP="00A86E4F">
      <w:pPr>
        <w:spacing w:line="360" w:lineRule="auto"/>
        <w:ind w:firstLine="709"/>
        <w:jc w:val="both"/>
        <w:rPr>
          <w:spacing w:val="-2"/>
          <w:sz w:val="28"/>
          <w:szCs w:val="28"/>
        </w:rPr>
      </w:pPr>
      <w:r w:rsidRPr="002E6ECA">
        <w:rPr>
          <w:spacing w:val="-2"/>
          <w:sz w:val="28"/>
          <w:szCs w:val="28"/>
        </w:rPr>
        <w:t xml:space="preserve">Кількість випадків протягом перших трьох років навчання у базовій школі була вищою серед учнів, які навчались за традиційною системою (p&lt;0,05-0,01). Загальна тривалість простудних захворювань поступово зростала протягом 5-го та 6-го року та знижувалась упродовж 7-9-х років навчання із різким спадом на початку 7-го класу незалежно від статі, освітньої програми і типу закладу загальної середньої освіти. Критичним з точки зору реєстрації гострих захворювань постає 6-й рік навчання, а переламним </w:t>
      </w:r>
      <w:r w:rsidR="00E26678" w:rsidRPr="002E6ECA">
        <w:rPr>
          <w:spacing w:val="-2"/>
          <w:sz w:val="28"/>
          <w:szCs w:val="28"/>
        </w:rPr>
        <w:t>-</w:t>
      </w:r>
      <w:r w:rsidRPr="002E6ECA">
        <w:rPr>
          <w:spacing w:val="-2"/>
          <w:sz w:val="28"/>
          <w:szCs w:val="28"/>
        </w:rPr>
        <w:t xml:space="preserve">період переходу до 7-го класу. Встановлену динаміку гострої захворюваності можна розглядати як неспецифічний індикатор адаптаційних процесів, що визначається як </w:t>
      </w:r>
      <w:r w:rsidRPr="002E6ECA">
        <w:rPr>
          <w:spacing w:val="-2"/>
          <w:sz w:val="28"/>
          <w:szCs w:val="28"/>
        </w:rPr>
        <w:lastRenderedPageBreak/>
        <w:t xml:space="preserve">опосередкований вплив на резистентність організму школяра і, відповідно рівень його опірності гострим захворюванням. </w:t>
      </w:r>
    </w:p>
    <w:p w:rsidR="00A86E4F" w:rsidRPr="002E6ECA" w:rsidRDefault="00A86E4F" w:rsidP="00A86E4F">
      <w:pPr>
        <w:spacing w:line="360" w:lineRule="auto"/>
        <w:ind w:firstLine="709"/>
        <w:jc w:val="both"/>
        <w:rPr>
          <w:sz w:val="28"/>
          <w:szCs w:val="28"/>
        </w:rPr>
      </w:pPr>
      <w:r w:rsidRPr="002E6ECA">
        <w:rPr>
          <w:sz w:val="28"/>
          <w:szCs w:val="28"/>
        </w:rPr>
        <w:t>За результатами суб’єктивного оцінювання здоров’я було встановлено, що найбільш поширеними серед учнів були ознаки астенізації (28,4±2,6 балів) у порівнянні з усіма іншими групами патологічних станів (р&lt;0,01). У хлопців ці ознаки були вірогідно більш вираженими у порівнянні з нефрологічними (7,1±1,9 балів), кардіоревматологічними (11,1±1,7 балів), ендокринологічними (12,4±1,7 балів), алергічними (10,9±2,2 балів; р&lt;0,01), а також офтальмологічними, гастроентерологічними, психічними, гематологічними та ЛОР-захворюваннями (р&lt;0,05). У групі дівчат ознаки астенізації (31,6±3,7 балів) вірогідно превалювали над усіма іншими групами патологічних станів (р&lt;0,01).</w:t>
      </w:r>
    </w:p>
    <w:p w:rsidR="00A86E4F" w:rsidRPr="002E6ECA" w:rsidRDefault="00A86E4F" w:rsidP="00A86E4F">
      <w:pPr>
        <w:spacing w:line="360" w:lineRule="auto"/>
        <w:ind w:firstLine="709"/>
        <w:jc w:val="both"/>
        <w:rPr>
          <w:sz w:val="28"/>
          <w:szCs w:val="28"/>
        </w:rPr>
      </w:pPr>
      <w:r w:rsidRPr="002E6ECA">
        <w:rPr>
          <w:sz w:val="28"/>
          <w:szCs w:val="28"/>
        </w:rPr>
        <w:t xml:space="preserve">Інструментальні дослідження мікрокліматичних умов та фізичних параметрів внутрішньошкільного середовища у 9,94% вимірювань встановили недостатній рівень штучного освітлення у навчальних класах ЗЗСО1 та ЗЗСО2, де впроваджувалась традиційна системи освіти, у т.ч. у кабінетах фізики, хімії та інформатики. </w:t>
      </w:r>
    </w:p>
    <w:p w:rsidR="00A86E4F" w:rsidRPr="002E6ECA" w:rsidRDefault="00A86E4F" w:rsidP="00A86E4F">
      <w:pPr>
        <w:tabs>
          <w:tab w:val="left" w:pos="1260"/>
        </w:tabs>
        <w:spacing w:line="360" w:lineRule="auto"/>
        <w:ind w:firstLine="709"/>
        <w:jc w:val="both"/>
        <w:rPr>
          <w:sz w:val="28"/>
          <w:szCs w:val="28"/>
        </w:rPr>
      </w:pPr>
      <w:r w:rsidRPr="002E6ECA">
        <w:rPr>
          <w:sz w:val="28"/>
          <w:szCs w:val="28"/>
        </w:rPr>
        <w:t>Встановлено, що за умов меритократичної системи рівень навантаження за шкалою важкості навчальних предметів у 5-8 класах вища, а у 9-му класі нижча за традиційну. При цьому незалежно від системи освіти і типу навчально-педагогічного проєкту рівень навантаження зростав з 5-го до 6-го класу у середньому на 7,19 балів (найбільше за проєктом «Інтелект України»), на 2-3 бали щорічно до 8-го класу (за традиційною освітньою програмою) та незначно знижувався при переході до 9-го класу (на 1,30 балів) переважно за рахунок навчання за меритократичною системою.</w:t>
      </w:r>
    </w:p>
    <w:p w:rsidR="00A86E4F" w:rsidRPr="002E6ECA" w:rsidRDefault="00A86E4F" w:rsidP="00A86E4F">
      <w:pPr>
        <w:spacing w:line="360" w:lineRule="auto"/>
        <w:ind w:firstLine="709"/>
        <w:jc w:val="both"/>
        <w:rPr>
          <w:sz w:val="28"/>
          <w:szCs w:val="28"/>
        </w:rPr>
      </w:pPr>
      <w:r w:rsidRPr="002E6ECA">
        <w:rPr>
          <w:sz w:val="28"/>
          <w:szCs w:val="28"/>
        </w:rPr>
        <w:t xml:space="preserve">Експертиза розкладу занять учнів базової школи упродовж навчання встановила, що загальний обсяг тижневого навантаження учнів не відрізнявся у різних ЗЗСО, проте встановлено певні порушення Санітарного регламенту для закладів загальної середньої освіти щодо розподілу предметів за важкістю протягом дня та тижня, чередування предметів з різних циклів, наявність </w:t>
      </w:r>
      <w:r w:rsidRPr="002E6ECA">
        <w:rPr>
          <w:sz w:val="28"/>
          <w:szCs w:val="28"/>
        </w:rPr>
        <w:lastRenderedPageBreak/>
        <w:t>спарених уроків, проведення занять з фізико-математичного профілю на першому та останньому уроках. Найбільш сприятливим розклад навчальних занять встановлено у ЗЗСО 3, де було впроваджено традиційну та меритократичну системи навчання.</w:t>
      </w:r>
    </w:p>
    <w:p w:rsidR="00A86E4F" w:rsidRPr="002E6ECA" w:rsidRDefault="00A86E4F" w:rsidP="00A86E4F">
      <w:pPr>
        <w:spacing w:line="360" w:lineRule="auto"/>
        <w:ind w:firstLine="709"/>
        <w:jc w:val="both"/>
        <w:rPr>
          <w:sz w:val="28"/>
          <w:szCs w:val="28"/>
          <w:lang w:val="uk-UA"/>
        </w:rPr>
      </w:pPr>
      <w:r w:rsidRPr="002E6ECA">
        <w:rPr>
          <w:sz w:val="28"/>
          <w:szCs w:val="28"/>
        </w:rPr>
        <w:t xml:space="preserve">Важливим аспектом формування здоров’я постають умови життєдіяльності школярів, у т.ч. тривалість нічного сну, організації дозвілля та навчальної діяльності у позаурочний час, режим та якість харчування, обсяг рухової активності та інші. Встановлено, що нормативної тривалості сну дотримуються  52,6±5,7% учнів, регулярне виконання гартуючих процедур характерно лише для 6,3±2,7%, а ранкової гімнастики </w:t>
      </w:r>
      <w:r w:rsidR="00E26678" w:rsidRPr="002E6ECA">
        <w:rPr>
          <w:sz w:val="28"/>
          <w:szCs w:val="28"/>
        </w:rPr>
        <w:t>-</w:t>
      </w:r>
      <w:r w:rsidRPr="002E6ECA">
        <w:rPr>
          <w:sz w:val="28"/>
          <w:szCs w:val="28"/>
        </w:rPr>
        <w:t>для 20,0±4,5%. Більшість же школярів (понад 60%) їх не виконують зовсім. У достатньо високого відсотка школярів (61,0±7,6% хлопців та 47,5±7,9% дівчат) відмічався обсяг рухової активності понад 6 годин на добу. «Рухові» види занять переважали у навчальні дн</w:t>
      </w:r>
      <w:r w:rsidR="00FB14B7" w:rsidRPr="002E6ECA">
        <w:rPr>
          <w:sz w:val="28"/>
          <w:szCs w:val="28"/>
          <w:lang w:val="uk-UA"/>
        </w:rPr>
        <w:t>і</w:t>
      </w:r>
      <w:r w:rsidRPr="002E6ECA">
        <w:rPr>
          <w:sz w:val="28"/>
          <w:szCs w:val="28"/>
        </w:rPr>
        <w:t xml:space="preserve">, у т.ч. відвідування спортивних секцій 51,9±5,6%, та прогулянки на свіжому повітрі </w:t>
      </w:r>
      <w:r w:rsidR="00E26678" w:rsidRPr="002E6ECA">
        <w:rPr>
          <w:sz w:val="28"/>
          <w:szCs w:val="28"/>
        </w:rPr>
        <w:t>-</w:t>
      </w:r>
      <w:r w:rsidRPr="002E6ECA">
        <w:rPr>
          <w:sz w:val="28"/>
          <w:szCs w:val="28"/>
        </w:rPr>
        <w:t xml:space="preserve">48,1±5,6%. Серед фізично малоактивних видів діяльності у навчальні дні переважали додаткові навчальні заняття (33,3±5,2%), а у вихідні </w:t>
      </w:r>
      <w:r w:rsidR="00E26678" w:rsidRPr="002E6ECA">
        <w:rPr>
          <w:sz w:val="28"/>
          <w:szCs w:val="28"/>
        </w:rPr>
        <w:t>-</w:t>
      </w:r>
      <w:r w:rsidRPr="002E6ECA">
        <w:rPr>
          <w:sz w:val="28"/>
          <w:szCs w:val="28"/>
        </w:rPr>
        <w:t xml:space="preserve">читання та малювання (44,3±5,6%). Звертає увагу високе візуальне навантаження: незалежно від дня тижня понад 30% учнів витрачають свій вільний час на перегляд фільмів та розважальних програм і така ж кількість </w:t>
      </w:r>
      <w:r w:rsidR="00E26678" w:rsidRPr="002E6ECA">
        <w:rPr>
          <w:sz w:val="28"/>
          <w:szCs w:val="28"/>
        </w:rPr>
        <w:t>-</w:t>
      </w:r>
      <w:r w:rsidRPr="002E6ECA">
        <w:rPr>
          <w:sz w:val="28"/>
          <w:szCs w:val="28"/>
        </w:rPr>
        <w:t>на гру за комп’ютером, при цьому більш поширено серед хлопців</w:t>
      </w:r>
      <w:r w:rsidRPr="002E6ECA">
        <w:rPr>
          <w:sz w:val="28"/>
          <w:szCs w:val="28"/>
          <w:lang w:val="uk-UA"/>
        </w:rPr>
        <w:t>.</w:t>
      </w:r>
    </w:p>
    <w:p w:rsidR="00A86E4F" w:rsidRPr="002E6ECA" w:rsidRDefault="00A86E4F" w:rsidP="00A86E4F">
      <w:pPr>
        <w:shd w:val="clear" w:color="auto" w:fill="FFFFFF"/>
        <w:spacing w:line="360" w:lineRule="auto"/>
        <w:ind w:firstLine="709"/>
        <w:jc w:val="both"/>
        <w:rPr>
          <w:sz w:val="28"/>
          <w:szCs w:val="28"/>
        </w:rPr>
      </w:pPr>
      <w:r w:rsidRPr="002E6ECA">
        <w:rPr>
          <w:sz w:val="28"/>
          <w:szCs w:val="28"/>
          <w:lang w:val="uk-UA"/>
        </w:rPr>
        <w:t xml:space="preserve">Аналіз розумової працездатності учнів різних статевих груп виявив більш високий її рівень у дівчат як за кількісним, так і за якісним показником (382,31±5,46 знаків та 7,60±0,28 помилок на початку уроку і  372,94±5,46 знаків та 8,33±0,31 помилок </w:t>
      </w:r>
      <w:r w:rsidR="00E26678" w:rsidRPr="002E6ECA">
        <w:rPr>
          <w:sz w:val="28"/>
          <w:szCs w:val="28"/>
          <w:lang w:val="uk-UA"/>
        </w:rPr>
        <w:t>-</w:t>
      </w:r>
      <w:r w:rsidRPr="002E6ECA">
        <w:rPr>
          <w:sz w:val="28"/>
          <w:szCs w:val="28"/>
          <w:lang w:val="uk-UA"/>
        </w:rPr>
        <w:t xml:space="preserve">наприкінці; </w:t>
      </w:r>
      <w:r w:rsidRPr="002E6ECA">
        <w:rPr>
          <w:sz w:val="28"/>
          <w:szCs w:val="28"/>
        </w:rPr>
        <w:t>p</w:t>
      </w:r>
      <w:r w:rsidRPr="002E6ECA">
        <w:rPr>
          <w:sz w:val="28"/>
          <w:szCs w:val="28"/>
          <w:lang w:val="uk-UA"/>
        </w:rPr>
        <w:t>&lt;0,01) на тлі гіршого самопочуття (р=0,001) та його негативної динаміки (р&gt;0,05). Вплив предметів різного напряму (математика, українська мова та історія) до початку уроку визначався за показниками кількості помилок (</w:t>
      </w:r>
      <w:r w:rsidRPr="002E6ECA">
        <w:rPr>
          <w:sz w:val="28"/>
          <w:szCs w:val="28"/>
        </w:rPr>
        <w:t>F</w:t>
      </w:r>
      <w:r w:rsidRPr="002E6ECA">
        <w:rPr>
          <w:sz w:val="28"/>
          <w:szCs w:val="28"/>
          <w:lang w:val="uk-UA"/>
        </w:rPr>
        <w:t xml:space="preserve">=3,68; </w:t>
      </w:r>
      <w:r w:rsidRPr="002E6ECA">
        <w:rPr>
          <w:sz w:val="28"/>
          <w:szCs w:val="28"/>
        </w:rPr>
        <w:t>p</w:t>
      </w:r>
      <w:r w:rsidRPr="002E6ECA">
        <w:rPr>
          <w:sz w:val="28"/>
          <w:szCs w:val="28"/>
          <w:lang w:val="uk-UA"/>
        </w:rPr>
        <w:t>=0,026)  та ЧСС (</w:t>
      </w:r>
      <w:r w:rsidRPr="002E6ECA">
        <w:rPr>
          <w:sz w:val="28"/>
          <w:szCs w:val="28"/>
        </w:rPr>
        <w:t>F</w:t>
      </w:r>
      <w:r w:rsidRPr="002E6ECA">
        <w:rPr>
          <w:sz w:val="28"/>
          <w:szCs w:val="28"/>
          <w:lang w:val="uk-UA"/>
        </w:rPr>
        <w:t xml:space="preserve">=4,40; </w:t>
      </w:r>
      <w:r w:rsidRPr="002E6ECA">
        <w:rPr>
          <w:sz w:val="28"/>
          <w:szCs w:val="28"/>
        </w:rPr>
        <w:t>p</w:t>
      </w:r>
      <w:r w:rsidRPr="002E6ECA">
        <w:rPr>
          <w:sz w:val="28"/>
          <w:szCs w:val="28"/>
          <w:lang w:val="uk-UA"/>
        </w:rPr>
        <w:t>=0,013), а також за динамікою показників розумової працездатності (</w:t>
      </w:r>
      <w:r w:rsidRPr="002E6ECA">
        <w:rPr>
          <w:sz w:val="28"/>
          <w:szCs w:val="28"/>
        </w:rPr>
        <w:t>p</w:t>
      </w:r>
      <w:r w:rsidRPr="002E6ECA">
        <w:rPr>
          <w:sz w:val="28"/>
          <w:szCs w:val="28"/>
          <w:lang w:val="uk-UA"/>
        </w:rPr>
        <w:t xml:space="preserve">&lt;0,001). </w:t>
      </w:r>
      <w:r w:rsidRPr="002E6ECA">
        <w:rPr>
          <w:sz w:val="28"/>
          <w:szCs w:val="28"/>
        </w:rPr>
        <w:t xml:space="preserve">Так, для уроку історії була характерна більш висока точність виконання роботи на тлі меншого напруження серцево-судинної системи. Проте саме після цього </w:t>
      </w:r>
      <w:r w:rsidRPr="002E6ECA">
        <w:rPr>
          <w:sz w:val="28"/>
          <w:szCs w:val="28"/>
        </w:rPr>
        <w:lastRenderedPageBreak/>
        <w:t>предмету у школярів визначалось максимальне зниження обсягу та якості роботи (відповідно на 27,65±7,24 знаків та на 3,35±0,49 помилок; p&lt;0,001).</w:t>
      </w:r>
    </w:p>
    <w:p w:rsidR="00A86E4F" w:rsidRPr="002E6ECA" w:rsidRDefault="00A86E4F" w:rsidP="00A86E4F">
      <w:pPr>
        <w:tabs>
          <w:tab w:val="left" w:pos="1134"/>
        </w:tabs>
        <w:spacing w:line="360" w:lineRule="auto"/>
        <w:ind w:firstLine="709"/>
        <w:jc w:val="both"/>
        <w:rPr>
          <w:sz w:val="28"/>
          <w:szCs w:val="28"/>
          <w:lang w:val="uk-UA"/>
        </w:rPr>
      </w:pPr>
      <w:r w:rsidRPr="002E6ECA">
        <w:rPr>
          <w:sz w:val="28"/>
          <w:szCs w:val="28"/>
          <w:lang w:val="uk-UA"/>
        </w:rPr>
        <w:t xml:space="preserve">Встановлено, що сенситивним періодом у становленні вегетативних регуляторних систем, що підвищує чутливість організму до впливу факторів освітнього середовища, постає 12-13-річний вік. За меритократичної системи навчання у 6-класі спостерігається вищий рівень напруження вегетативних регуляторних систем, що обернено пропорційний до адаптаційного потенціалу учнів. Вища «ціна» адаптації до меритократичного навчання у 6-му класі порівняно з традиційним навчанням, вимагає впровадження більш ретельного донозологічного скринінгу стану  здоров’я учнів у цей період  навчання. Рівень шкільного стресу за меритократичної освіти детермінований не стільки інтенсифікацією навчального процесу, як міжособистісними відношеннями в навчальних колективах та/або індивідуально-психологічними особливостями учнів. </w:t>
      </w:r>
    </w:p>
    <w:p w:rsidR="00A86E4F" w:rsidRPr="002E6ECA" w:rsidRDefault="00A86E4F" w:rsidP="00A86E4F">
      <w:pPr>
        <w:tabs>
          <w:tab w:val="left" w:pos="1134"/>
        </w:tabs>
        <w:spacing w:line="360" w:lineRule="auto"/>
        <w:ind w:firstLine="709"/>
        <w:jc w:val="both"/>
        <w:rPr>
          <w:bCs/>
          <w:sz w:val="28"/>
          <w:szCs w:val="28"/>
          <w:lang w:val="uk-UA"/>
        </w:rPr>
      </w:pPr>
      <w:r w:rsidRPr="002E6ECA">
        <w:rPr>
          <w:bCs/>
          <w:sz w:val="28"/>
          <w:szCs w:val="28"/>
          <w:lang w:val="uk-UA"/>
        </w:rPr>
        <w:t>Учні, які навчаються за меритократичною системою, мають ЕЕГ-ознаки вищого рівня морфофункціональної зрілості структур головного мозку та більш швидкої й диференційованої обробки інформації у головному мозку, відповідно спроможні до більш ефективного виконання когнітивних завдань ніж учні, які навчаються за традиційною системою, а впровадження цієї системи вчиняє розвиваючий вплив на вищі психічні функції учнів основної школи за результатами нейрофізіологічного дослідження.</w:t>
      </w:r>
    </w:p>
    <w:p w:rsidR="00A86E4F" w:rsidRPr="002E6ECA" w:rsidRDefault="00A86E4F" w:rsidP="00A86E4F">
      <w:pPr>
        <w:spacing w:line="360" w:lineRule="auto"/>
        <w:ind w:firstLine="709"/>
        <w:jc w:val="both"/>
        <w:rPr>
          <w:sz w:val="28"/>
          <w:szCs w:val="28"/>
        </w:rPr>
      </w:pPr>
      <w:r w:rsidRPr="002E6ECA">
        <w:rPr>
          <w:sz w:val="28"/>
          <w:szCs w:val="28"/>
          <w:lang w:val="uk-UA"/>
        </w:rPr>
        <w:t xml:space="preserve">За результатами медоглядів було встановлено найвищий рівень загальної патологічної ураженості серед учнів із низьким рівнем академічної успішності, який становив 1847,8‰ із найбільш вираженою негативною динамікою протягом навчання у базовій школі </w:t>
      </w:r>
      <w:r w:rsidR="00E26678" w:rsidRPr="002E6ECA">
        <w:rPr>
          <w:sz w:val="28"/>
          <w:szCs w:val="28"/>
          <w:lang w:val="uk-UA"/>
        </w:rPr>
        <w:t>-</w:t>
      </w:r>
      <w:r w:rsidRPr="002E6ECA">
        <w:rPr>
          <w:sz w:val="28"/>
          <w:szCs w:val="28"/>
          <w:lang w:val="uk-UA"/>
        </w:rPr>
        <w:t xml:space="preserve">на 565,2‰. У структурі захворюваності учнів із низьким та середнім рівнем успішності перше рангове місце займала ендокринна патологія (відповідно 543,5±73,4‰ та 439,0±77,5‰), а з високим рівнем </w:t>
      </w:r>
      <w:r w:rsidR="00E26678" w:rsidRPr="002E6ECA">
        <w:rPr>
          <w:sz w:val="28"/>
          <w:szCs w:val="28"/>
          <w:lang w:val="uk-UA"/>
        </w:rPr>
        <w:t>-</w:t>
      </w:r>
      <w:r w:rsidRPr="002E6ECA">
        <w:rPr>
          <w:sz w:val="28"/>
          <w:szCs w:val="28"/>
          <w:lang w:val="uk-UA"/>
        </w:rPr>
        <w:t xml:space="preserve">хвороби системи кровообігу (411,8±68,9‰). Незалежно від рівня академічної успішності упродовж навчання зростав рівень розповсюдженості хвороб ока і придаткового апарату, але істотно лише серед учнів із низькою </w:t>
      </w:r>
      <w:r w:rsidRPr="002E6ECA">
        <w:rPr>
          <w:sz w:val="28"/>
          <w:szCs w:val="28"/>
          <w:lang w:val="uk-UA"/>
        </w:rPr>
        <w:lastRenderedPageBreak/>
        <w:t xml:space="preserve">академічною успішністю </w:t>
      </w:r>
      <w:r w:rsidRPr="002E6ECA">
        <w:rPr>
          <w:sz w:val="28"/>
          <w:szCs w:val="28"/>
        </w:rPr>
        <w:t>(p&lt;0,05). Для всіх учнів визначалось неістотне зниження поширеності хвороб органів травлення у середині навчання із подальшим зростанням у 2-3 рази у порівнянні з вихідним рівнем (p&lt;0,05-0,01). Серед учнів з низьким рівнем академічної успішності стабільно реєструвався більш високий рівень захворюваності за ендокринною патологією.</w:t>
      </w:r>
    </w:p>
    <w:p w:rsidR="00A86E4F" w:rsidRPr="002E6ECA" w:rsidRDefault="00A86E4F" w:rsidP="00A86E4F">
      <w:pPr>
        <w:spacing w:line="360" w:lineRule="auto"/>
        <w:ind w:firstLine="709"/>
        <w:jc w:val="both"/>
        <w:rPr>
          <w:sz w:val="28"/>
          <w:szCs w:val="28"/>
        </w:rPr>
      </w:pPr>
      <w:r w:rsidRPr="002E6ECA">
        <w:rPr>
          <w:sz w:val="28"/>
          <w:szCs w:val="28"/>
        </w:rPr>
        <w:t xml:space="preserve">Розлади психіки та поведінки частіше реєструвались серед школярів цієї ж групи вже при переході до базової школи, а рівень поширеності патології дихальної системи був нижчим серед учнів із високим рівнем успішності (196,1±68,9‰), у той час як для учнів з середнім та низьким рівнем успішності ця група хвороб посідала друге рангове місце (відповідно 390,2±76,2‰ та 347,8±70,2‰; p&lt;0,05). </w:t>
      </w:r>
    </w:p>
    <w:p w:rsidR="00A86E4F" w:rsidRPr="002E6ECA" w:rsidRDefault="00A86E4F" w:rsidP="00A86E4F">
      <w:pPr>
        <w:spacing w:line="360" w:lineRule="auto"/>
        <w:ind w:firstLine="709"/>
        <w:jc w:val="both"/>
        <w:rPr>
          <w:sz w:val="28"/>
          <w:szCs w:val="28"/>
          <w:lang w:val="uk-UA"/>
        </w:rPr>
      </w:pPr>
      <w:r w:rsidRPr="002E6ECA">
        <w:rPr>
          <w:sz w:val="28"/>
          <w:szCs w:val="28"/>
        </w:rPr>
        <w:t xml:space="preserve">Динаміка показників гострої захворюваності також мала негативну тенденцію переважно серед учнів із низькою академічною успішністю: зростання загальної тривалості гострих захворювань протягом навчання у базовій школі від 13,2±1,7 до 16,9±1,3 днів при піковому зростання у 6-му класі до 19,2±2,0 днів і незначному зниженні на 7-му році навчання (р&lt;0,05). Кількість випадків гострих захворювань серед цих школярів була максимальною на 8-му році навчання і складала 4,1±0,3 епізоди (р&lt;0,05). </w:t>
      </w:r>
    </w:p>
    <w:p w:rsidR="00A86E4F" w:rsidRPr="002E6ECA" w:rsidRDefault="00A86E4F" w:rsidP="00A86E4F">
      <w:pPr>
        <w:spacing w:line="360" w:lineRule="auto"/>
        <w:ind w:firstLine="709"/>
        <w:jc w:val="both"/>
        <w:rPr>
          <w:sz w:val="28"/>
          <w:szCs w:val="28"/>
          <w:lang w:val="uk-UA"/>
        </w:rPr>
      </w:pPr>
      <w:r w:rsidRPr="002E6ECA">
        <w:rPr>
          <w:sz w:val="28"/>
          <w:szCs w:val="28"/>
          <w:lang w:val="uk-UA"/>
        </w:rPr>
        <w:t xml:space="preserve">Виявлені параметри ВСР свідчили про </w:t>
      </w:r>
      <w:r w:rsidRPr="002E6ECA">
        <w:rPr>
          <w:sz w:val="28"/>
          <w:szCs w:val="28"/>
          <w:shd w:val="clear" w:color="auto" w:fill="FFFFFF"/>
          <w:lang w:val="uk-UA"/>
        </w:rPr>
        <w:t>перенапруження механізмів регуляції та перевтомлення шестикласників, але при високому рівн</w:t>
      </w:r>
      <w:r w:rsidR="00FB14B7" w:rsidRPr="002E6ECA">
        <w:rPr>
          <w:sz w:val="28"/>
          <w:szCs w:val="28"/>
          <w:shd w:val="clear" w:color="auto" w:fill="FFFFFF"/>
          <w:lang w:val="uk-UA"/>
        </w:rPr>
        <w:t>і</w:t>
      </w:r>
      <w:r w:rsidRPr="002E6ECA">
        <w:rPr>
          <w:sz w:val="28"/>
          <w:szCs w:val="28"/>
          <w:shd w:val="clear" w:color="auto" w:fill="FFFFFF"/>
          <w:lang w:val="uk-UA"/>
        </w:rPr>
        <w:t xml:space="preserve"> академічної успішності включені механізми компенсації за рахунок посилення взаємозв’язку між центральним і автономним контурами регуляції. Вегетативні профілі семикласників з різною академічною успішністю свідчили про перехід до періоду стійкої адаптації до умов освітнього середовища базової школи, фізіологічна ціна якої була вищою при низькій академічній успішності, що потребує особливої уваги до цих учнів як групи ризику щодо розвитку вегетативної дисфункції та психосоматичних захворювань.</w:t>
      </w:r>
    </w:p>
    <w:p w:rsidR="00565490" w:rsidRPr="002E6ECA" w:rsidRDefault="00565490" w:rsidP="00565490">
      <w:pPr>
        <w:spacing w:line="360" w:lineRule="auto"/>
        <w:ind w:firstLine="709"/>
        <w:jc w:val="both"/>
        <w:rPr>
          <w:sz w:val="28"/>
          <w:szCs w:val="28"/>
          <w:lang w:val="uk-UA"/>
        </w:rPr>
      </w:pPr>
      <w:r w:rsidRPr="002E6ECA">
        <w:rPr>
          <w:sz w:val="28"/>
          <w:szCs w:val="28"/>
          <w:lang w:val="uk-UA"/>
        </w:rPr>
        <w:t xml:space="preserve">Встановлено вплив на рівень ЯЖПЗ учнів початкової школи статі, віку та року. За результатами самооцінки у дітей вірогідно знижувався рівень шкільної діяльності, але істотно при порівнянні початку та кінця навчання у початковій </w:t>
      </w:r>
      <w:r w:rsidRPr="002E6ECA">
        <w:rPr>
          <w:sz w:val="28"/>
          <w:szCs w:val="28"/>
          <w:lang w:val="uk-UA"/>
        </w:rPr>
        <w:lastRenderedPageBreak/>
        <w:t xml:space="preserve">школі (р&lt;0,01). Слід відмітити неконкордантність результатів опитування учнів та їх батьків саме за цією шкалою. Так, різниця в оцінці ШД була максимальною у 1-му класі (на 34 бали) та зберігалась на рівні 17-20 балів упродовж навчання. Крім того за батьківською версією саме показник шкільної діяльності був найнижчим серед інших шкал, а за дитячою версією найвищим на 1-му році навчання. Батьки незмінно високо оцінювали фізичну діяльність (близько 88 балів), у той час як школярі відмічали її суттєве зниження </w:t>
      </w:r>
      <w:r w:rsidR="00E26678" w:rsidRPr="002E6ECA">
        <w:rPr>
          <w:sz w:val="28"/>
          <w:szCs w:val="28"/>
          <w:lang w:val="uk-UA"/>
        </w:rPr>
        <w:t>-</w:t>
      </w:r>
      <w:r w:rsidRPr="002E6ECA">
        <w:rPr>
          <w:sz w:val="28"/>
          <w:szCs w:val="28"/>
          <w:lang w:val="uk-UA"/>
        </w:rPr>
        <w:t xml:space="preserve">більшою мірою у 3-му класі (р&lt;0,05-0,01). Найнижчу оцінку діти надавали своїй емоційній діяльності (77-78 балів), а батьки акцентували увагу на покращенні емоційного фону дітей на порозі базової школи і більш високий рівень ЯЖПЗ за всіма шкалами, окрім ШД. </w:t>
      </w:r>
    </w:p>
    <w:p w:rsidR="00565490" w:rsidRPr="002E6ECA" w:rsidRDefault="00565490" w:rsidP="00565490">
      <w:pPr>
        <w:spacing w:line="360" w:lineRule="auto"/>
        <w:ind w:firstLine="709"/>
        <w:jc w:val="both"/>
        <w:rPr>
          <w:sz w:val="28"/>
          <w:szCs w:val="28"/>
          <w:lang w:val="uk-UA"/>
        </w:rPr>
      </w:pPr>
      <w:r w:rsidRPr="002E6ECA">
        <w:rPr>
          <w:sz w:val="28"/>
          <w:szCs w:val="28"/>
          <w:lang w:val="uk-UA"/>
        </w:rPr>
        <w:t>Таким чином на порозі базової школи погіршувалось фізичне благополуччя учнів на тлі емоційного виснаження, що додавало певної соматизації, яка визначалась як за суб’єктивною оцінкою ЯЖПЗ, так і за результатами об’єктивного обстеження із виявленням донозологічних розладів у вигляді порушення сну, ознак вегетативного дисбалансу та синдрому нав’язливих дій. При цьому 3-й рік навчання був визначений найбільш критичним з точки зору формування вегетативної та психосоціальної дисфункції, які поглиблювались протягом останніх 2-х років перебування у початковій школі. Проте рівень соціального благополуччя і за оцінкою спілкування з однолітками, і з дорослими зберігався на достатньому рівні упродовж 4-х років навчання.</w:t>
      </w:r>
    </w:p>
    <w:p w:rsidR="00A86E4F" w:rsidRPr="002E6ECA" w:rsidRDefault="00A86E4F" w:rsidP="00A86E4F">
      <w:pPr>
        <w:spacing w:line="360" w:lineRule="auto"/>
        <w:ind w:firstLine="709"/>
        <w:jc w:val="both"/>
        <w:rPr>
          <w:rStyle w:val="shorttext"/>
          <w:sz w:val="28"/>
          <w:szCs w:val="28"/>
        </w:rPr>
      </w:pPr>
      <w:r w:rsidRPr="002E6ECA">
        <w:rPr>
          <w:rStyle w:val="shorttext"/>
          <w:rFonts w:eastAsia="Calibri"/>
          <w:sz w:val="28"/>
          <w:szCs w:val="28"/>
        </w:rPr>
        <w:t xml:space="preserve">Перехід до базової школи як і перші 2 роки навчання у закладі освіти характеризувався переважанням значущості емоційного компоненту ЯЖПЗ як показника системоутворення. У системі оцінки ЯЖПЗ домінувала її психологічна компонента: психологічне благополуччя у 5-му, життєздатність </w:t>
      </w:r>
      <w:r w:rsidR="00E26678" w:rsidRPr="002E6ECA">
        <w:rPr>
          <w:rStyle w:val="shorttext"/>
          <w:rFonts w:eastAsia="Calibri"/>
          <w:sz w:val="28"/>
          <w:szCs w:val="28"/>
        </w:rPr>
        <w:t>-</w:t>
      </w:r>
      <w:r w:rsidRPr="002E6ECA">
        <w:rPr>
          <w:rStyle w:val="shorttext"/>
          <w:rFonts w:eastAsia="Calibri"/>
          <w:sz w:val="28"/>
          <w:szCs w:val="28"/>
        </w:rPr>
        <w:t xml:space="preserve">у 6-му, рольове емоційне функціонування </w:t>
      </w:r>
      <w:r w:rsidR="00E26678" w:rsidRPr="002E6ECA">
        <w:rPr>
          <w:rStyle w:val="shorttext"/>
          <w:rFonts w:eastAsia="Calibri"/>
          <w:sz w:val="28"/>
          <w:szCs w:val="28"/>
        </w:rPr>
        <w:t>-</w:t>
      </w:r>
      <w:r w:rsidRPr="002E6ECA">
        <w:rPr>
          <w:rStyle w:val="shorttext"/>
          <w:rFonts w:eastAsia="Calibri"/>
          <w:sz w:val="28"/>
          <w:szCs w:val="28"/>
        </w:rPr>
        <w:t xml:space="preserve">у 7-му та соціальне функціонування </w:t>
      </w:r>
      <w:r w:rsidR="00E26678" w:rsidRPr="002E6ECA">
        <w:rPr>
          <w:rStyle w:val="shorttext"/>
          <w:rFonts w:eastAsia="Calibri"/>
          <w:sz w:val="28"/>
          <w:szCs w:val="28"/>
        </w:rPr>
        <w:t>-</w:t>
      </w:r>
      <w:r w:rsidRPr="002E6ECA">
        <w:rPr>
          <w:rStyle w:val="shorttext"/>
          <w:rFonts w:eastAsia="Calibri"/>
          <w:sz w:val="28"/>
          <w:szCs w:val="28"/>
        </w:rPr>
        <w:t xml:space="preserve">у 8-му класі. І лише на 9-му році навчання показником системоутворення поставало фізичне функціонування, що визначалось як обмеження у виконанні фізичних дій та навантажень і було найбільш нестабільним критерієм упродовж </w:t>
      </w:r>
      <w:r w:rsidRPr="002E6ECA">
        <w:rPr>
          <w:rStyle w:val="shorttext"/>
          <w:rFonts w:eastAsia="Calibri"/>
          <w:sz w:val="28"/>
          <w:szCs w:val="28"/>
        </w:rPr>
        <w:lastRenderedPageBreak/>
        <w:t xml:space="preserve">перебування у базовій школі. Важливість спілкування з однолітками та дорослими як системоутворюючого показника поступово зростала і сягала піку значущості у 8-му класі та повністю нівелювалась на 9-му році навчання. </w:t>
      </w:r>
    </w:p>
    <w:p w:rsidR="00A86E4F" w:rsidRPr="002E6ECA" w:rsidRDefault="00A86E4F" w:rsidP="00A86E4F">
      <w:pPr>
        <w:pStyle w:val="a5"/>
        <w:shd w:val="clear" w:color="auto" w:fill="FFFFFF"/>
        <w:spacing w:before="0" w:beforeAutospacing="0" w:after="0" w:afterAutospacing="0" w:line="360" w:lineRule="auto"/>
        <w:ind w:firstLine="709"/>
        <w:jc w:val="both"/>
        <w:rPr>
          <w:sz w:val="28"/>
          <w:szCs w:val="28"/>
          <w:lang w:val="ru-RU"/>
        </w:rPr>
      </w:pPr>
      <w:r w:rsidRPr="002E6ECA">
        <w:rPr>
          <w:sz w:val="28"/>
          <w:szCs w:val="28"/>
          <w:lang w:val="ru-RU"/>
        </w:rPr>
        <w:t xml:space="preserve">Упродовж навчання у базовій школі найвищий рівень ЯЖПЗ визначався за шкалами фізичного, рольового фізичного та родинного функціонування із суттєвим зниженням відповідно на 10,5%, 9,5% та 16%. Нижче за середній визначались показники загального здоров’я (48,17-56,87 балів), психологічного благополуччя (54,11-66,87 балів) та соціального функціонування (61,52-71,94 балів), а найбільш вираженим зниження у динаміці навчання </w:t>
      </w:r>
      <w:r w:rsidR="00E26678" w:rsidRPr="002E6ECA">
        <w:rPr>
          <w:sz w:val="28"/>
          <w:szCs w:val="28"/>
          <w:lang w:val="ru-RU"/>
        </w:rPr>
        <w:t>-</w:t>
      </w:r>
      <w:r w:rsidRPr="002E6ECA">
        <w:rPr>
          <w:sz w:val="28"/>
          <w:szCs w:val="28"/>
          <w:lang w:val="ru-RU"/>
        </w:rPr>
        <w:t>за шкалою життєздатності (на 20%).</w:t>
      </w:r>
    </w:p>
    <w:p w:rsidR="00A86E4F" w:rsidRPr="002E6ECA" w:rsidRDefault="00A86E4F" w:rsidP="00A86E4F">
      <w:pPr>
        <w:spacing w:line="360" w:lineRule="auto"/>
        <w:ind w:firstLine="709"/>
        <w:jc w:val="both"/>
        <w:rPr>
          <w:sz w:val="28"/>
          <w:szCs w:val="28"/>
        </w:rPr>
      </w:pPr>
      <w:r w:rsidRPr="002E6ECA">
        <w:rPr>
          <w:sz w:val="28"/>
          <w:szCs w:val="28"/>
        </w:rPr>
        <w:t xml:space="preserve">Додатково для учнів основної групи спостереження, що навчались у базовій школі, опитування здійснювалося в умовах перебування на карантині з реалізацією освітнього процесу за новим он-лайн форматом (дистанційна форма навчання) на тлі обмеження вільного пересування та соціальних контактів, неможливості реалізувати різні форми дозвілля, зокрема активні. </w:t>
      </w:r>
    </w:p>
    <w:p w:rsidR="00A86E4F" w:rsidRPr="002E6ECA" w:rsidRDefault="00A86E4F" w:rsidP="00A86E4F">
      <w:pPr>
        <w:spacing w:line="360" w:lineRule="auto"/>
        <w:ind w:firstLine="709"/>
        <w:jc w:val="both"/>
        <w:rPr>
          <w:sz w:val="28"/>
          <w:szCs w:val="28"/>
        </w:rPr>
      </w:pPr>
      <w:r w:rsidRPr="002E6ECA">
        <w:rPr>
          <w:sz w:val="28"/>
          <w:szCs w:val="28"/>
        </w:rPr>
        <w:t xml:space="preserve">Як і у позакарантинний період рольове фізичне благополуччя мало вищі показники (87,2±1,0 бал), ніж соціальне та психологічне (відповідно  66,8±0,9 та 64,0±1,0 бал). Більш низький рівень під час карантину визначено за шкалами фізичного та родинного функціонування у учнів 5-го, 8-го, 9-го класів, СФ </w:t>
      </w:r>
      <w:r w:rsidR="00E26678" w:rsidRPr="002E6ECA">
        <w:rPr>
          <w:sz w:val="28"/>
          <w:szCs w:val="28"/>
        </w:rPr>
        <w:t>-</w:t>
      </w:r>
      <w:r w:rsidRPr="002E6ECA">
        <w:rPr>
          <w:sz w:val="28"/>
          <w:szCs w:val="28"/>
        </w:rPr>
        <w:t xml:space="preserve">у шестикласників, РФ та ШФ </w:t>
      </w:r>
      <w:r w:rsidR="00E26678" w:rsidRPr="002E6ECA">
        <w:rPr>
          <w:sz w:val="28"/>
          <w:szCs w:val="28"/>
        </w:rPr>
        <w:t>-</w:t>
      </w:r>
      <w:r w:rsidRPr="002E6ECA">
        <w:rPr>
          <w:sz w:val="28"/>
          <w:szCs w:val="28"/>
        </w:rPr>
        <w:t>на 8-му році навчання при порівнянні з позакарантинним періодом (р&lt;0,05-0,01), при цьому найбільш негативного впливу зазнали творчо та спортивно здібні учні у зв’язку із призупиненням занять у закладах позашкільної освіти під час карантину, що супроводжувалось найнижчими показниками ЗЗ (54,91±3,69 бали), ЖЗ (61,33±4,00 бали), СФ (62,40±3,73 бали) та ПБ (59,81±3,55 бали; р&lt;0,05-0,01). Проте показники психічного благополуччя та рольового емоційного функціонування, а також дані консультування шкільного психолога свідчили про опанування власними негативними емоціями під час дистанційного навчання, незважаючи на загальний невисокий рівень емоційного стану підлітків під час карантину.</w:t>
      </w:r>
    </w:p>
    <w:p w:rsidR="00A86E4F" w:rsidRPr="002E6ECA" w:rsidRDefault="00A86E4F" w:rsidP="00A86E4F">
      <w:pPr>
        <w:spacing w:line="360" w:lineRule="auto"/>
        <w:ind w:firstLine="709"/>
        <w:jc w:val="both"/>
        <w:rPr>
          <w:rStyle w:val="shorttext"/>
          <w:rFonts w:eastAsia="Calibri"/>
          <w:bCs/>
          <w:sz w:val="28"/>
          <w:szCs w:val="28"/>
        </w:rPr>
      </w:pPr>
      <w:r w:rsidRPr="002E6ECA">
        <w:rPr>
          <w:rStyle w:val="shorttext"/>
          <w:rFonts w:eastAsia="Calibri"/>
          <w:sz w:val="28"/>
          <w:szCs w:val="28"/>
        </w:rPr>
        <w:lastRenderedPageBreak/>
        <w:t xml:space="preserve">Загальний середній рівень психосоціального функціонування дітей 5-9-го років навчання перевищував нормативне значення на 1,5-2,5 балів зі зростанням у дев'ятикласників, що пов’язано зі зростанням рівня психосоціальної дисфункції внаслідок напруження соціальних та академічних викликів. Встановлено перевищення нормативного рівня за результатами опитування обох груп респондентів (школярів та їх батьків) за </w:t>
      </w:r>
      <w:r w:rsidRPr="002E6ECA">
        <w:rPr>
          <w:rStyle w:val="shorttext"/>
          <w:rFonts w:eastAsia="Calibri"/>
          <w:bCs/>
          <w:sz w:val="28"/>
          <w:szCs w:val="28"/>
        </w:rPr>
        <w:t xml:space="preserve">субшкалою уваги, особливо у 9-му класі, а також екстерналізації за батьківською версією. </w:t>
      </w:r>
    </w:p>
    <w:p w:rsidR="00A86E4F" w:rsidRPr="002E6ECA" w:rsidRDefault="00A86E4F" w:rsidP="00A86E4F">
      <w:pPr>
        <w:spacing w:line="360" w:lineRule="auto"/>
        <w:ind w:firstLine="709"/>
        <w:jc w:val="both"/>
        <w:rPr>
          <w:sz w:val="28"/>
          <w:szCs w:val="28"/>
        </w:rPr>
      </w:pPr>
      <w:r w:rsidRPr="002E6ECA">
        <w:rPr>
          <w:sz w:val="28"/>
          <w:szCs w:val="28"/>
        </w:rPr>
        <w:t xml:space="preserve">Аналіз показників ЯЖПЗ старшокласників встановив найвищий рівень за шкалою фізичного функціонування (93,1±1,7 балу) незалежно від статі, року навчання та віку учнів, а нижчим за достатній </w:t>
      </w:r>
      <w:r w:rsidR="00E26678" w:rsidRPr="002E6ECA">
        <w:rPr>
          <w:sz w:val="28"/>
          <w:szCs w:val="28"/>
        </w:rPr>
        <w:t>-</w:t>
      </w:r>
      <w:r w:rsidRPr="002E6ECA">
        <w:rPr>
          <w:sz w:val="28"/>
          <w:szCs w:val="28"/>
        </w:rPr>
        <w:t xml:space="preserve">за всіма шкалами, що характеризують психологічну компоненту: </w:t>
      </w:r>
      <w:r w:rsidRPr="002E6ECA">
        <w:rPr>
          <w:sz w:val="28"/>
          <w:szCs w:val="28"/>
          <w:lang w:val="en-US"/>
        </w:rPr>
        <w:t>VT</w:t>
      </w:r>
      <w:r w:rsidRPr="002E6ECA">
        <w:rPr>
          <w:sz w:val="28"/>
          <w:szCs w:val="28"/>
        </w:rPr>
        <w:t xml:space="preserve"> (58,8±2,6 балів), </w:t>
      </w:r>
      <w:r w:rsidRPr="002E6ECA">
        <w:rPr>
          <w:sz w:val="28"/>
          <w:szCs w:val="28"/>
          <w:lang w:val="en-US"/>
        </w:rPr>
        <w:t>MH</w:t>
      </w:r>
      <w:r w:rsidRPr="002E6ECA">
        <w:rPr>
          <w:sz w:val="28"/>
          <w:szCs w:val="28"/>
        </w:rPr>
        <w:t xml:space="preserve"> (63,9±2,4 балів), </w:t>
      </w:r>
      <w:r w:rsidRPr="002E6ECA">
        <w:rPr>
          <w:sz w:val="28"/>
          <w:szCs w:val="28"/>
          <w:lang w:val="en-US"/>
        </w:rPr>
        <w:t>RE</w:t>
      </w:r>
      <w:r w:rsidRPr="002E6ECA">
        <w:rPr>
          <w:sz w:val="28"/>
          <w:szCs w:val="28"/>
        </w:rPr>
        <w:t xml:space="preserve"> (69,4±4,1 балів) та </w:t>
      </w:r>
      <w:r w:rsidRPr="002E6ECA">
        <w:rPr>
          <w:sz w:val="28"/>
          <w:szCs w:val="28"/>
          <w:lang w:val="en-US"/>
        </w:rPr>
        <w:t>SF</w:t>
      </w:r>
      <w:r w:rsidRPr="002E6ECA">
        <w:rPr>
          <w:sz w:val="28"/>
          <w:szCs w:val="28"/>
        </w:rPr>
        <w:t xml:space="preserve"> (69,7±3,5 балів). </w:t>
      </w:r>
    </w:p>
    <w:p w:rsidR="00A86E4F" w:rsidRPr="002E6ECA" w:rsidRDefault="00A86E4F" w:rsidP="00A86E4F">
      <w:pPr>
        <w:spacing w:line="360" w:lineRule="auto"/>
        <w:ind w:firstLine="709"/>
        <w:jc w:val="both"/>
        <w:rPr>
          <w:sz w:val="28"/>
          <w:szCs w:val="28"/>
        </w:rPr>
      </w:pPr>
      <w:r w:rsidRPr="002E6ECA">
        <w:rPr>
          <w:rStyle w:val="tlid-translationtranslation"/>
          <w:rFonts w:eastAsia="Calibri"/>
          <w:sz w:val="28"/>
          <w:szCs w:val="28"/>
        </w:rPr>
        <w:t>Ознаки</w:t>
      </w:r>
      <w:r w:rsidRPr="002E6ECA">
        <w:rPr>
          <w:rStyle w:val="tlid-translationtranslation"/>
          <w:rFonts w:eastAsia="Calibri"/>
          <w:sz w:val="28"/>
          <w:szCs w:val="28"/>
          <w:lang w:val="uk-UA"/>
        </w:rPr>
        <w:t xml:space="preserve"> </w:t>
      </w:r>
      <w:r w:rsidRPr="002E6ECA">
        <w:rPr>
          <w:rStyle w:val="tlid-translationtranslation"/>
          <w:rFonts w:eastAsia="Calibri"/>
          <w:sz w:val="28"/>
          <w:szCs w:val="28"/>
        </w:rPr>
        <w:t xml:space="preserve">інтерналізації (внутрішньоособистісне напруження, тривожність, депресивність) учнів базової та старшої школи мали негативний внесок до усіх складових ЯЖПЗ упродовж 5-8-го років навчання і незмінно </w:t>
      </w:r>
      <w:r w:rsidR="00E26678" w:rsidRPr="002E6ECA">
        <w:rPr>
          <w:rStyle w:val="tlid-translationtranslation"/>
          <w:rFonts w:eastAsia="Calibri"/>
          <w:sz w:val="28"/>
          <w:szCs w:val="28"/>
        </w:rPr>
        <w:t>-</w:t>
      </w:r>
      <w:r w:rsidRPr="002E6ECA">
        <w:rPr>
          <w:rStyle w:val="tlid-translationtranslation"/>
          <w:rFonts w:eastAsia="Calibri"/>
          <w:sz w:val="28"/>
          <w:szCs w:val="28"/>
        </w:rPr>
        <w:t xml:space="preserve">до життєздатності, при цьому внесок екстерналізованих відхилень (порушень поведінки, агресивності, гіперактивності) був значущим для всієї системи оцінювання ЯЖПЗ у середині навчання та до шкал загального і психологічного здоров'я </w:t>
      </w:r>
      <w:r w:rsidR="00E26678" w:rsidRPr="002E6ECA">
        <w:rPr>
          <w:rStyle w:val="tlid-translationtranslation"/>
          <w:rFonts w:eastAsia="Calibri"/>
          <w:sz w:val="28"/>
          <w:szCs w:val="28"/>
        </w:rPr>
        <w:t>-</w:t>
      </w:r>
      <w:r w:rsidRPr="002E6ECA">
        <w:rPr>
          <w:rStyle w:val="tlid-translationtranslation"/>
          <w:rFonts w:eastAsia="Calibri"/>
          <w:sz w:val="28"/>
          <w:szCs w:val="28"/>
        </w:rPr>
        <w:t xml:space="preserve">у старшокласників. </w:t>
      </w:r>
      <w:r w:rsidRPr="002E6ECA">
        <w:rPr>
          <w:rStyle w:val="shorttext"/>
          <w:rFonts w:eastAsia="Calibri"/>
          <w:bCs/>
          <w:sz w:val="28"/>
          <w:szCs w:val="28"/>
        </w:rPr>
        <w:t>Отримані результати про існування вікових особливостей надають можливість диференційованого психолого-педагогічного супроводу дітей із ознаками психосоціальної дисфункції.</w:t>
      </w:r>
    </w:p>
    <w:p w:rsidR="00A86E4F" w:rsidRPr="002E6ECA" w:rsidRDefault="00A86E4F" w:rsidP="00A86E4F">
      <w:pPr>
        <w:tabs>
          <w:tab w:val="left" w:pos="1134"/>
        </w:tabs>
        <w:spacing w:line="360" w:lineRule="auto"/>
        <w:ind w:firstLine="709"/>
        <w:jc w:val="both"/>
        <w:rPr>
          <w:sz w:val="28"/>
          <w:szCs w:val="28"/>
          <w:lang w:val="uk-UA"/>
        </w:rPr>
      </w:pPr>
      <w:r w:rsidRPr="002E6ECA">
        <w:rPr>
          <w:spacing w:val="-2"/>
          <w:sz w:val="28"/>
          <w:szCs w:val="28"/>
          <w:lang w:val="uk-UA"/>
        </w:rPr>
        <w:t xml:space="preserve">Обґрунтовано, розроблено концептуальну модель моніторингу здоров’я школярів в умовах інтенсифікації навчального процесу та доведено її ефективність з позицій теорії керування. Запропоновано цільову профілактичну програму з оптимізації способу життя у залежності від провідної патології як відображення підсумкового етапу моніторингу здоров’я. Загальна ефективність профілактичних заходів відносно оптимізації режиму дня та способу життя, тобто відсоток поліпшення загального стану здоров'я на 2 етапі (через 2 роки) становила </w:t>
      </w:r>
      <w:r w:rsidR="00E26678" w:rsidRPr="002E6ECA">
        <w:rPr>
          <w:spacing w:val="-2"/>
          <w:sz w:val="28"/>
          <w:szCs w:val="28"/>
          <w:lang w:val="uk-UA"/>
        </w:rPr>
        <w:t>-</w:t>
      </w:r>
      <w:r w:rsidRPr="002E6ECA">
        <w:rPr>
          <w:spacing w:val="-2"/>
          <w:sz w:val="28"/>
          <w:szCs w:val="28"/>
          <w:lang w:val="uk-UA"/>
        </w:rPr>
        <w:t xml:space="preserve">зниження рівня патологічної ураженості на 10,0%. Одночасно проаналізовано динаміку рівня захворюваності у школярів з контрольної групи: </w:t>
      </w:r>
      <w:r w:rsidRPr="002E6ECA">
        <w:rPr>
          <w:spacing w:val="-2"/>
          <w:sz w:val="28"/>
          <w:szCs w:val="28"/>
          <w:lang w:val="uk-UA"/>
        </w:rPr>
        <w:lastRenderedPageBreak/>
        <w:t xml:space="preserve">визначалось зберігання загальної негативної тенденції щодо погіршення стану здоров’я дітей середнього шкільного віку через півроку на 3,8% та через 2 роки </w:t>
      </w:r>
      <w:r w:rsidR="00E26678" w:rsidRPr="002E6ECA">
        <w:rPr>
          <w:spacing w:val="-2"/>
          <w:sz w:val="28"/>
          <w:szCs w:val="28"/>
          <w:lang w:val="uk-UA"/>
        </w:rPr>
        <w:t>-</w:t>
      </w:r>
      <w:r w:rsidRPr="002E6ECA">
        <w:rPr>
          <w:spacing w:val="-2"/>
          <w:sz w:val="28"/>
          <w:szCs w:val="28"/>
          <w:lang w:val="uk-UA"/>
        </w:rPr>
        <w:t>на 22,9%</w:t>
      </w:r>
      <w:r w:rsidRPr="002E6ECA">
        <w:rPr>
          <w:sz w:val="28"/>
          <w:szCs w:val="28"/>
          <w:lang w:val="uk-UA"/>
        </w:rPr>
        <w:t>.</w:t>
      </w:r>
    </w:p>
    <w:p w:rsidR="00A86E4F" w:rsidRPr="002E6ECA" w:rsidRDefault="00A86E4F" w:rsidP="00A86E4F">
      <w:pPr>
        <w:spacing w:line="360" w:lineRule="auto"/>
        <w:ind w:firstLine="709"/>
        <w:jc w:val="both"/>
        <w:rPr>
          <w:sz w:val="28"/>
          <w:szCs w:val="28"/>
        </w:rPr>
      </w:pPr>
      <w:r w:rsidRPr="002E6ECA">
        <w:rPr>
          <w:sz w:val="28"/>
          <w:szCs w:val="28"/>
          <w:lang w:val="uk-UA"/>
        </w:rPr>
        <w:t xml:space="preserve">Найбільш значущі групи показників з числа «Профілактичні заходи відносно оптимізації режиму дня та способу життя» визначено за допомогою тесту Фрідмана </w:t>
      </w:r>
      <w:r w:rsidRPr="002E6ECA">
        <w:rPr>
          <w:sz w:val="28"/>
          <w:szCs w:val="28"/>
        </w:rPr>
        <w:t>ANOVA</w:t>
      </w:r>
      <w:r w:rsidRPr="002E6ECA">
        <w:rPr>
          <w:sz w:val="28"/>
          <w:szCs w:val="28"/>
          <w:lang w:val="uk-UA"/>
        </w:rPr>
        <w:t xml:space="preserve"> і коефіцієнту конкордації: тривалість нічного сну, гартування, тривалість перебування на свіжому повітрі у навчальні дні, кратність харчування. </w:t>
      </w:r>
      <w:r w:rsidRPr="002E6ECA">
        <w:rPr>
          <w:sz w:val="28"/>
          <w:szCs w:val="28"/>
        </w:rPr>
        <w:t>Найбільш «чутливою» до впливу профілактичних заходів визначалась патологія нервової (χ</w:t>
      </w:r>
      <w:r w:rsidRPr="002E6ECA">
        <w:rPr>
          <w:sz w:val="28"/>
          <w:szCs w:val="28"/>
          <w:vertAlign w:val="superscript"/>
        </w:rPr>
        <w:t>2</w:t>
      </w:r>
      <w:r w:rsidRPr="002E6ECA">
        <w:rPr>
          <w:sz w:val="28"/>
          <w:szCs w:val="28"/>
        </w:rPr>
        <w:t>=19,54; р&lt;0,0001); дихальної (χ</w:t>
      </w:r>
      <w:r w:rsidRPr="002E6ECA">
        <w:rPr>
          <w:sz w:val="28"/>
          <w:szCs w:val="28"/>
          <w:vertAlign w:val="superscript"/>
        </w:rPr>
        <w:t>2</w:t>
      </w:r>
      <w:r w:rsidRPr="002E6ECA">
        <w:rPr>
          <w:sz w:val="28"/>
          <w:szCs w:val="28"/>
        </w:rPr>
        <w:t>=13,47; р=0,001) та серцево-судинної системи (χ</w:t>
      </w:r>
      <w:r w:rsidRPr="002E6ECA">
        <w:rPr>
          <w:sz w:val="28"/>
          <w:szCs w:val="28"/>
          <w:vertAlign w:val="superscript"/>
        </w:rPr>
        <w:t>2</w:t>
      </w:r>
      <w:r w:rsidRPr="002E6ECA">
        <w:rPr>
          <w:sz w:val="28"/>
          <w:szCs w:val="28"/>
        </w:rPr>
        <w:t>=9,88; р=0,007).</w:t>
      </w:r>
    </w:p>
    <w:p w:rsidR="00D57952" w:rsidRPr="002E6ECA" w:rsidRDefault="00D57952" w:rsidP="00D57952">
      <w:pPr>
        <w:spacing w:line="360" w:lineRule="auto"/>
        <w:ind w:firstLine="709"/>
        <w:rPr>
          <w:sz w:val="28"/>
          <w:szCs w:val="28"/>
          <w:lang w:val="uk-UA"/>
        </w:rPr>
      </w:pPr>
    </w:p>
    <w:p w:rsidR="00917BD4" w:rsidRPr="002E6ECA" w:rsidRDefault="00917BD4" w:rsidP="00A920E5">
      <w:pPr>
        <w:tabs>
          <w:tab w:val="left" w:pos="1202"/>
        </w:tabs>
        <w:spacing w:line="360" w:lineRule="auto"/>
        <w:ind w:firstLine="709"/>
        <w:jc w:val="center"/>
        <w:rPr>
          <w:sz w:val="28"/>
          <w:szCs w:val="28"/>
          <w:lang w:val="uk-UA"/>
        </w:rPr>
      </w:pPr>
      <w:r w:rsidRPr="002E6ECA">
        <w:rPr>
          <w:sz w:val="28"/>
          <w:szCs w:val="28"/>
          <w:lang w:val="uk-UA"/>
        </w:rPr>
        <w:br w:type="page"/>
      </w:r>
      <w:r w:rsidRPr="002E6ECA">
        <w:rPr>
          <w:sz w:val="28"/>
          <w:szCs w:val="28"/>
          <w:lang w:val="uk-UA"/>
        </w:rPr>
        <w:lastRenderedPageBreak/>
        <w:t>ВИСНОВКИ</w:t>
      </w:r>
    </w:p>
    <w:p w:rsidR="005767BC" w:rsidRPr="002E6ECA" w:rsidRDefault="005767BC" w:rsidP="00B81AAE">
      <w:pPr>
        <w:spacing w:line="360" w:lineRule="auto"/>
        <w:ind w:firstLine="709"/>
        <w:jc w:val="center"/>
        <w:rPr>
          <w:sz w:val="28"/>
          <w:szCs w:val="28"/>
          <w:lang w:val="uk-UA"/>
        </w:rPr>
      </w:pPr>
    </w:p>
    <w:p w:rsidR="00372EE3" w:rsidRPr="002E6ECA" w:rsidRDefault="00372EE3" w:rsidP="00372EE3">
      <w:pPr>
        <w:tabs>
          <w:tab w:val="left" w:pos="1134"/>
        </w:tabs>
        <w:spacing w:line="360" w:lineRule="auto"/>
        <w:ind w:firstLine="709"/>
        <w:jc w:val="both"/>
        <w:rPr>
          <w:rStyle w:val="fontstyle11"/>
          <w:color w:val="auto"/>
          <w:lang w:val="uk-UA"/>
        </w:rPr>
      </w:pPr>
      <w:r w:rsidRPr="002E6ECA">
        <w:rPr>
          <w:rStyle w:val="fontstyle11"/>
          <w:color w:val="auto"/>
          <w:lang w:val="uk-UA"/>
        </w:rPr>
        <w:t>У дисертаційній роботі наведено положення, які розв’язують важливу</w:t>
      </w:r>
      <w:r w:rsidRPr="002E6ECA">
        <w:rPr>
          <w:sz w:val="28"/>
          <w:szCs w:val="28"/>
          <w:lang w:val="uk-UA"/>
        </w:rPr>
        <w:t xml:space="preserve"> </w:t>
      </w:r>
      <w:r w:rsidRPr="002E6ECA">
        <w:rPr>
          <w:rStyle w:val="fontstyle11"/>
          <w:color w:val="auto"/>
          <w:lang w:val="uk-UA"/>
        </w:rPr>
        <w:t xml:space="preserve">наукову проблему щодо збереження та зміцнення здоров’я, профілактики неінфекційних захворювань серед учнів середнього шкільного віку шляхом наукового обґрунтування та розробки </w:t>
      </w:r>
      <w:r w:rsidRPr="002E6ECA">
        <w:rPr>
          <w:sz w:val="28"/>
          <w:szCs w:val="28"/>
          <w:lang w:val="uk-UA"/>
        </w:rPr>
        <w:t xml:space="preserve">концептуальної моделі гігієнічного моніторингу </w:t>
      </w:r>
      <w:r w:rsidRPr="002E6ECA">
        <w:rPr>
          <w:rStyle w:val="fontstyle11"/>
          <w:color w:val="auto"/>
          <w:lang w:val="uk-UA"/>
        </w:rPr>
        <w:t>групового</w:t>
      </w:r>
      <w:r w:rsidRPr="002E6ECA">
        <w:rPr>
          <w:sz w:val="28"/>
          <w:szCs w:val="28"/>
          <w:lang w:val="uk-UA"/>
        </w:rPr>
        <w:t xml:space="preserve"> здоров’я школярів в умовах інтенсифікації навчального </w:t>
      </w:r>
      <w:r w:rsidRPr="002E6ECA">
        <w:rPr>
          <w:rStyle w:val="fontstyle11"/>
          <w:color w:val="auto"/>
          <w:lang w:val="uk-UA"/>
        </w:rPr>
        <w:t>процесу, методики комплексної оцінки стану здоров’я за об’єктивними та суб’єктивними критеріями і програми гігієнічних заходів.</w:t>
      </w:r>
    </w:p>
    <w:p w:rsidR="00372EE3" w:rsidRPr="002E6ECA" w:rsidRDefault="00372EE3" w:rsidP="00372EE3">
      <w:pPr>
        <w:numPr>
          <w:ilvl w:val="0"/>
          <w:numId w:val="18"/>
        </w:numPr>
        <w:tabs>
          <w:tab w:val="left" w:pos="1134"/>
        </w:tabs>
        <w:spacing w:line="360" w:lineRule="auto"/>
        <w:ind w:left="0" w:firstLine="709"/>
        <w:jc w:val="both"/>
        <w:rPr>
          <w:sz w:val="28"/>
          <w:szCs w:val="28"/>
          <w:lang w:val="uk-UA"/>
        </w:rPr>
      </w:pPr>
      <w:r w:rsidRPr="002E6ECA">
        <w:rPr>
          <w:sz w:val="28"/>
          <w:szCs w:val="28"/>
          <w:lang w:val="uk-UA"/>
        </w:rPr>
        <w:t xml:space="preserve">Встановлено взаємозв’язок між рівнем академічної успішності та станом здоров’я учнів середнього шкільного віку в умовах інтенсифікації навчальної діяльності. Учні з низьким рівнем успішності мали найвищий рівень загальної патологічної ураженості (1847,8‰) із зростанням протягом навчання на 565,2‰; стабільно високий рівень захворюваності на ендокринну патологію, розлади психіки та поведінки; негативну динаміку загальної тривалості гострих захворювань протягом навчання у базовій школі (від 13,2±1,7 до 16,9±1,3 днів; р&lt;0,05). У дівчат реєструвалась вища поширеність патології ендокринної системи (520,7±57,7‰ проти 421,7±54,7‰ у хлопців) і органу зору та придаткового апарату (відповідно 386,7±56,2‰ і 265,1±52,7‰), у хлопців </w:t>
      </w:r>
      <w:r w:rsidR="00E26678" w:rsidRPr="002E6ECA">
        <w:rPr>
          <w:sz w:val="28"/>
          <w:szCs w:val="28"/>
          <w:lang w:val="uk-UA"/>
        </w:rPr>
        <w:t>-</w:t>
      </w:r>
      <w:r w:rsidRPr="002E6ECA">
        <w:rPr>
          <w:sz w:val="28"/>
          <w:szCs w:val="28"/>
          <w:lang w:val="uk-UA"/>
        </w:rPr>
        <w:t>розладів психіки та поведінки (відповідно 168,7±39,9‰ і 40,0±22,6‰; р&lt;0,05).</w:t>
      </w:r>
    </w:p>
    <w:p w:rsidR="00372EE3" w:rsidRPr="002E6ECA" w:rsidRDefault="00372EE3" w:rsidP="00372EE3">
      <w:pPr>
        <w:numPr>
          <w:ilvl w:val="0"/>
          <w:numId w:val="18"/>
        </w:numPr>
        <w:tabs>
          <w:tab w:val="left" w:pos="1134"/>
        </w:tabs>
        <w:spacing w:line="360" w:lineRule="auto"/>
        <w:ind w:left="0" w:firstLine="709"/>
        <w:jc w:val="both"/>
        <w:rPr>
          <w:sz w:val="28"/>
          <w:szCs w:val="28"/>
        </w:rPr>
      </w:pPr>
      <w:r w:rsidRPr="002E6ECA">
        <w:rPr>
          <w:sz w:val="28"/>
          <w:szCs w:val="28"/>
        </w:rPr>
        <w:t xml:space="preserve">Визначено, що незалежно від системи освіти і типу навчально-педагогічного проєкту рівень навантаження зростав з 5-го до 6-го класу у середньому на 7,19 балів (р&lt;0,01), щорічно до 8-го класу </w:t>
      </w:r>
      <w:r w:rsidR="00E56C20" w:rsidRPr="002E6ECA">
        <w:rPr>
          <w:sz w:val="28"/>
          <w:szCs w:val="28"/>
        </w:rPr>
        <w:t>–</w:t>
      </w:r>
      <w:r w:rsidR="00E56C20" w:rsidRPr="002E6ECA">
        <w:rPr>
          <w:sz w:val="28"/>
          <w:szCs w:val="28"/>
          <w:lang w:val="uk-UA"/>
        </w:rPr>
        <w:t xml:space="preserve"> </w:t>
      </w:r>
      <w:r w:rsidRPr="002E6ECA">
        <w:rPr>
          <w:sz w:val="28"/>
          <w:szCs w:val="28"/>
        </w:rPr>
        <w:t xml:space="preserve">на 2-3 бали та незначно знижувався при переході до 9-го класу (на 1,30 бали). За умов меритократичної системи освіти рівень навантаження за шкалою важкості навчальних предметів у 5-8 класах вищий на 1,1-3,3 бали, а у 9-му класі нижчий за традиційну на 0,2 бали. </w:t>
      </w:r>
      <w:r w:rsidRPr="002E6ECA">
        <w:rPr>
          <w:rStyle w:val="fontstyle11"/>
          <w:color w:val="auto"/>
        </w:rPr>
        <w:t>Суттєвих відмінностей за характеристикою умов навчання у різних ЗЗСО та при впровадженні різних навчально-педагогічних проєктів не встановлено, окрім показників рівня штучного освітлення у 9,94% точок вимірювання у навчальних кабінетах фізики, хімії та інформатики</w:t>
      </w:r>
      <w:r w:rsidRPr="002E6ECA">
        <w:rPr>
          <w:sz w:val="28"/>
          <w:szCs w:val="28"/>
        </w:rPr>
        <w:t>.</w:t>
      </w:r>
    </w:p>
    <w:p w:rsidR="00372EE3" w:rsidRPr="002E6ECA" w:rsidRDefault="00372EE3" w:rsidP="00372EE3">
      <w:pPr>
        <w:numPr>
          <w:ilvl w:val="0"/>
          <w:numId w:val="18"/>
        </w:numPr>
        <w:tabs>
          <w:tab w:val="left" w:pos="1134"/>
        </w:tabs>
        <w:spacing w:line="360" w:lineRule="auto"/>
        <w:ind w:left="0" w:firstLine="709"/>
        <w:jc w:val="both"/>
        <w:rPr>
          <w:spacing w:val="-2"/>
          <w:sz w:val="28"/>
          <w:szCs w:val="28"/>
        </w:rPr>
      </w:pPr>
      <w:r w:rsidRPr="002E6ECA">
        <w:rPr>
          <w:spacing w:val="-2"/>
          <w:sz w:val="28"/>
          <w:szCs w:val="28"/>
        </w:rPr>
        <w:lastRenderedPageBreak/>
        <w:t xml:space="preserve">Найбільш вагомими чинниками ризику для загального рівня неблагополуччя здоров’я визначились ті, що відносяться до керованих щодо розвитку шкільної патології: термін приготування домашніх завдань, час перегляд телепередач, гра на комп’ютері, режим харчування </w:t>
      </w:r>
      <w:r w:rsidR="00E26678" w:rsidRPr="002E6ECA">
        <w:rPr>
          <w:spacing w:val="-2"/>
          <w:sz w:val="28"/>
          <w:szCs w:val="28"/>
        </w:rPr>
        <w:t>-</w:t>
      </w:r>
      <w:r w:rsidRPr="002E6ECA">
        <w:rPr>
          <w:spacing w:val="-2"/>
          <w:sz w:val="28"/>
          <w:szCs w:val="28"/>
        </w:rPr>
        <w:t xml:space="preserve">саме ті, що відносяться до </w:t>
      </w:r>
      <w:r w:rsidRPr="002E6ECA">
        <w:rPr>
          <w:spacing w:val="-4"/>
          <w:sz w:val="28"/>
          <w:szCs w:val="28"/>
        </w:rPr>
        <w:t>керованих щодо розвитку дитячої патології. Найбільш чутливими до порушень режиму дня виявляються ознаки кардіоревматологічних та гематологічних патологічних станів, астенізації та розладів психіки. Позитивний вплив на стан здоров’я учнів за окремими нозологічними групами мали такі важливі чинники як: регулярне виконання загартовуючих процедур (χ2=23,077; р&lt;0,001) та ранкової гімнастики (χ2=23,758; р&lt;0,001), прогулянки на свіжому повітрі не менше 1 години на добу (χ2=11,281; р=0,001), обмеження перегляду</w:t>
      </w:r>
      <w:r w:rsidRPr="002E6ECA">
        <w:rPr>
          <w:spacing w:val="-2"/>
          <w:sz w:val="28"/>
          <w:szCs w:val="28"/>
        </w:rPr>
        <w:t xml:space="preserve"> телепередач та занять за комп’ютером і з використанням гаджетів, поширеність активних способів організації дозвілля (р&lt;0,05).</w:t>
      </w:r>
    </w:p>
    <w:p w:rsidR="00372EE3" w:rsidRPr="002E6ECA" w:rsidRDefault="00372EE3" w:rsidP="00372EE3">
      <w:pPr>
        <w:numPr>
          <w:ilvl w:val="0"/>
          <w:numId w:val="18"/>
        </w:numPr>
        <w:tabs>
          <w:tab w:val="left" w:pos="1134"/>
        </w:tabs>
        <w:spacing w:line="360" w:lineRule="auto"/>
        <w:ind w:left="0" w:firstLine="709"/>
        <w:jc w:val="both"/>
        <w:rPr>
          <w:sz w:val="28"/>
          <w:szCs w:val="28"/>
        </w:rPr>
      </w:pPr>
      <w:r w:rsidRPr="002E6ECA">
        <w:rPr>
          <w:sz w:val="28"/>
          <w:szCs w:val="28"/>
        </w:rPr>
        <w:t>Встановлено, що сенситивним періодом для вегетативних регуляторних систем з підвищеною чутливістю організму до впливу факторів освітнього середовища постає 12-13-річний вік. За меритократичної системи навчання у школярів саме у 6-му класі спостерігається вищий рівень напруження вегетативної регуляції, що обернено пропорційний до адаптаційного потенціалу учнів. Вища «ціна» адаптації за меритократичної системи навчання у 6-му класі порівняно з традиційною освітою, вимагає впровадження більш ретельного донозологічного скринінгу стану  здоров’я учнів у цей період навчання. Рівень шкільного стресу детермінований не стільки інтенсифікацією навчального процесу, скільки міжособистісними відносинами в навчальних колективах та/або індивідуально-психологічними особливостями учнів</w:t>
      </w:r>
      <w:r w:rsidR="00C10BBD" w:rsidRPr="002E6ECA">
        <w:rPr>
          <w:sz w:val="28"/>
          <w:szCs w:val="28"/>
          <w:lang w:val="uk-UA"/>
        </w:rPr>
        <w:t>. В</w:t>
      </w:r>
      <w:r w:rsidRPr="002E6ECA">
        <w:rPr>
          <w:sz w:val="28"/>
          <w:szCs w:val="28"/>
        </w:rPr>
        <w:t xml:space="preserve">провадження </w:t>
      </w:r>
      <w:r w:rsidR="00FB14B7" w:rsidRPr="002E6ECA">
        <w:rPr>
          <w:sz w:val="28"/>
          <w:szCs w:val="28"/>
        </w:rPr>
        <w:t xml:space="preserve">меритократичної освіти </w:t>
      </w:r>
      <w:r w:rsidRPr="002E6ECA">
        <w:rPr>
          <w:bCs/>
          <w:sz w:val="28"/>
          <w:szCs w:val="28"/>
        </w:rPr>
        <w:t>вчиняє розвиваючий вплив на вищі психічні функції учнів основної школи за результатами нейрофізіологічного дослідження.</w:t>
      </w:r>
    </w:p>
    <w:p w:rsidR="00372EE3" w:rsidRPr="002E6ECA" w:rsidRDefault="00372EE3" w:rsidP="00372EE3">
      <w:pPr>
        <w:numPr>
          <w:ilvl w:val="0"/>
          <w:numId w:val="18"/>
        </w:numPr>
        <w:tabs>
          <w:tab w:val="left" w:pos="1134"/>
        </w:tabs>
        <w:spacing w:line="360" w:lineRule="auto"/>
        <w:ind w:left="0" w:firstLine="709"/>
        <w:jc w:val="both"/>
        <w:rPr>
          <w:rStyle w:val="fontstyle11"/>
          <w:color w:val="auto"/>
        </w:rPr>
      </w:pPr>
      <w:r w:rsidRPr="002E6ECA">
        <w:rPr>
          <w:sz w:val="28"/>
          <w:szCs w:val="28"/>
        </w:rPr>
        <w:t xml:space="preserve">Соціальне оточення і в першу чергу навчальний колектив суттєво впливають </w:t>
      </w:r>
      <w:r w:rsidRPr="002E6ECA">
        <w:rPr>
          <w:spacing w:val="-2"/>
          <w:sz w:val="28"/>
          <w:szCs w:val="28"/>
        </w:rPr>
        <w:t xml:space="preserve">на ЯЖПЗ </w:t>
      </w:r>
      <w:r w:rsidR="00E26678" w:rsidRPr="002E6ECA">
        <w:rPr>
          <w:spacing w:val="-2"/>
          <w:sz w:val="28"/>
          <w:szCs w:val="28"/>
        </w:rPr>
        <w:t>-</w:t>
      </w:r>
      <w:r w:rsidRPr="002E6ECA">
        <w:rPr>
          <w:spacing w:val="-2"/>
          <w:sz w:val="28"/>
          <w:szCs w:val="28"/>
        </w:rPr>
        <w:t xml:space="preserve">рівень фізичного (F=1,72, р=0,018) та шкільного функціонування (F=1,99, р=0,003), психічне благополуччя (F=2,34, р&lt;0,001) </w:t>
      </w:r>
      <w:r w:rsidRPr="002E6ECA">
        <w:rPr>
          <w:spacing w:val="-2"/>
          <w:sz w:val="28"/>
          <w:szCs w:val="28"/>
        </w:rPr>
        <w:lastRenderedPageBreak/>
        <w:t xml:space="preserve">учнів базової школи. Сполучене використання опитувальника з ЯЖПЗ та скринінгової методики «Перелік дитячих симптомів» Y-PSC/PSC є ефективним та взаємодоповнюючим методом дослідження дітей шкільного віку. Негативний внесок до усіх </w:t>
      </w:r>
      <w:r w:rsidRPr="002E6ECA">
        <w:rPr>
          <w:spacing w:val="-4"/>
          <w:sz w:val="28"/>
          <w:szCs w:val="28"/>
        </w:rPr>
        <w:t xml:space="preserve">складових якості життя школярів 5-9 років навчання мають ознаки </w:t>
      </w:r>
      <w:r w:rsidRPr="002E6ECA">
        <w:rPr>
          <w:spacing w:val="-6"/>
          <w:sz w:val="28"/>
          <w:szCs w:val="28"/>
        </w:rPr>
        <w:t>інтерналізації (їх внутрішньоособистісне напруження, тривожність, депресивність), а внесок екстерналізованих</w:t>
      </w:r>
      <w:r w:rsidRPr="002E6ECA">
        <w:rPr>
          <w:sz w:val="28"/>
          <w:szCs w:val="28"/>
        </w:rPr>
        <w:t xml:space="preserve"> відхилень (порушень поведінки, агресивності, гіперактивності) </w:t>
      </w:r>
      <w:r w:rsidR="00E26678" w:rsidRPr="002E6ECA">
        <w:rPr>
          <w:sz w:val="28"/>
          <w:szCs w:val="28"/>
        </w:rPr>
        <w:t>-</w:t>
      </w:r>
      <w:r w:rsidRPr="002E6ECA">
        <w:rPr>
          <w:sz w:val="28"/>
          <w:szCs w:val="28"/>
        </w:rPr>
        <w:t>для загального та психологічного здоров’я, соціального та емоційного функціонування. Встановлено неконгруентність сприйняття шкільного життя та задоволеності від спілкування між дітьми та дорослими. Визначено, що завершення кожного етапу навчання (4, 9 та 11 класи) у аспекті соціальної адаптації школярів є кризовим періодом, який визначається за напруженням і недостатністю ознак психосоціального функціонування з подальшою її компенсацією.</w:t>
      </w:r>
    </w:p>
    <w:p w:rsidR="00372EE3" w:rsidRPr="002E6ECA" w:rsidRDefault="00372EE3" w:rsidP="00372EE3">
      <w:pPr>
        <w:numPr>
          <w:ilvl w:val="0"/>
          <w:numId w:val="18"/>
        </w:numPr>
        <w:tabs>
          <w:tab w:val="left" w:pos="1134"/>
        </w:tabs>
        <w:spacing w:line="360" w:lineRule="auto"/>
        <w:ind w:left="0" w:firstLine="709"/>
        <w:jc w:val="both"/>
        <w:rPr>
          <w:spacing w:val="-2"/>
          <w:sz w:val="28"/>
          <w:szCs w:val="28"/>
        </w:rPr>
      </w:pPr>
      <w:r w:rsidRPr="002E6ECA">
        <w:rPr>
          <w:spacing w:val="-2"/>
          <w:sz w:val="28"/>
          <w:szCs w:val="28"/>
        </w:rPr>
        <w:t>Встановлено різну «психофізіологічну ціну» вивчення предметів різного напряму та за різними системами освіти. Високий рівень розумової працездатності на уроках математичного профілю, що характеризується максимальним балом за шкалою важкості предметів, супроводжувався фізіологічним напруженням (підвищення ЧСС до 100,2 уд./хв.; р&lt;0,01). При вивченні математики при дотриманні гігієнічних вимог до організації освітнього процесу рівень розумової працездатності не тільки зберігався, а й підвищувався за кількісним та якісним критеріями у 40</w:t>
      </w:r>
      <w:r w:rsidR="0080667E" w:rsidRPr="002E6ECA">
        <w:rPr>
          <w:spacing w:val="-2"/>
          <w:sz w:val="28"/>
          <w:szCs w:val="28"/>
        </w:rPr>
        <w:t>%</w:t>
      </w:r>
      <w:r w:rsidRPr="002E6ECA">
        <w:rPr>
          <w:spacing w:val="-2"/>
          <w:sz w:val="28"/>
          <w:szCs w:val="28"/>
        </w:rPr>
        <w:t xml:space="preserve"> учнів. Вибір освітнього проєкту та навчальної програми не мав такого впливу на рівень розумової працездатності при вивченні предметів середньої важкості.</w:t>
      </w:r>
    </w:p>
    <w:p w:rsidR="00372EE3" w:rsidRPr="002E6ECA" w:rsidRDefault="00372EE3" w:rsidP="00372EE3">
      <w:pPr>
        <w:numPr>
          <w:ilvl w:val="0"/>
          <w:numId w:val="18"/>
        </w:numPr>
        <w:tabs>
          <w:tab w:val="left" w:pos="1134"/>
        </w:tabs>
        <w:spacing w:line="360" w:lineRule="auto"/>
        <w:ind w:left="0" w:firstLine="709"/>
        <w:jc w:val="both"/>
        <w:rPr>
          <w:sz w:val="28"/>
          <w:szCs w:val="28"/>
        </w:rPr>
      </w:pPr>
      <w:r w:rsidRPr="002E6ECA">
        <w:rPr>
          <w:sz w:val="28"/>
          <w:szCs w:val="28"/>
        </w:rPr>
        <w:t xml:space="preserve">На підставі отриманих результатів обґрунтовано концептуальну модель моніторингу здоров’я школярів в умовах інтенсифікації навчального процесу, що складається з базової (самооцінка стану здоров’я, ЯЖПЗ та психосоціального функціонування) та поглибленої скринінг-діагностики фізичного (оцінка фізичного розвитку, гострої та хронічної захворюваності), психологічного (психофізіологічна характеристика навчальної діяльності за рівнем розумової працездатності, напруженості вегетативних регуляторних </w:t>
      </w:r>
      <w:r w:rsidRPr="002E6ECA">
        <w:rPr>
          <w:sz w:val="28"/>
          <w:szCs w:val="28"/>
        </w:rPr>
        <w:lastRenderedPageBreak/>
        <w:t>систем та особливостями нейрокогнітивних процесів) та соціального благополуччя (рівень академічної успішності, оцінка батьками рівня психосоціального функціонування школярів), що дає можливість виокремлювати групи ризику щодо формування шкільної дезадаптації; доведено її ефективність з позицій теорії керування.</w:t>
      </w:r>
    </w:p>
    <w:p w:rsidR="00372EE3" w:rsidRPr="002E6ECA" w:rsidRDefault="00372EE3" w:rsidP="00372EE3">
      <w:pPr>
        <w:numPr>
          <w:ilvl w:val="0"/>
          <w:numId w:val="18"/>
        </w:numPr>
        <w:tabs>
          <w:tab w:val="left" w:pos="1134"/>
        </w:tabs>
        <w:spacing w:line="360" w:lineRule="auto"/>
        <w:ind w:left="0" w:firstLine="709"/>
        <w:jc w:val="both"/>
        <w:rPr>
          <w:sz w:val="28"/>
          <w:szCs w:val="28"/>
        </w:rPr>
      </w:pPr>
      <w:r w:rsidRPr="002E6ECA">
        <w:rPr>
          <w:rStyle w:val="fontstyle11"/>
          <w:color w:val="auto"/>
        </w:rPr>
        <w:t xml:space="preserve">Розроблено профілактичну програму </w:t>
      </w:r>
      <w:r w:rsidRPr="002E6ECA">
        <w:rPr>
          <w:sz w:val="28"/>
          <w:szCs w:val="28"/>
        </w:rPr>
        <w:t>відносно оптимізації режиму дня та способу життя</w:t>
      </w:r>
      <w:r w:rsidRPr="002E6ECA">
        <w:rPr>
          <w:rStyle w:val="fontstyle11"/>
          <w:color w:val="auto"/>
        </w:rPr>
        <w:t xml:space="preserve"> дітей шкільного віку, що ґрунтується на оцінці групового здоров’я за методом скринінг-діагностики та визначенні провідної патології для певного навчального колективу. Впровадження цієї програми забезпечило зниження рівня патологічної </w:t>
      </w:r>
      <w:r w:rsidRPr="002E6ECA">
        <w:rPr>
          <w:sz w:val="28"/>
          <w:szCs w:val="28"/>
        </w:rPr>
        <w:t>ураженості</w:t>
      </w:r>
      <w:r w:rsidRPr="002E6ECA">
        <w:t xml:space="preserve"> </w:t>
      </w:r>
      <w:r w:rsidRPr="002E6ECA">
        <w:rPr>
          <w:sz w:val="28"/>
          <w:szCs w:val="28"/>
        </w:rPr>
        <w:t>на 10% у експериментальній групі на тлі зростання патологічної ураженості у контрольній групі на 22,9</w:t>
      </w:r>
      <w:r w:rsidR="0080667E" w:rsidRPr="002E6ECA">
        <w:rPr>
          <w:sz w:val="28"/>
          <w:szCs w:val="28"/>
        </w:rPr>
        <w:t>%</w:t>
      </w:r>
      <w:r w:rsidRPr="002E6ECA">
        <w:rPr>
          <w:sz w:val="28"/>
          <w:szCs w:val="28"/>
        </w:rPr>
        <w:t xml:space="preserve">. </w:t>
      </w:r>
      <w:r w:rsidRPr="002E6ECA">
        <w:rPr>
          <w:rStyle w:val="fontstyle11"/>
          <w:color w:val="auto"/>
        </w:rPr>
        <w:t xml:space="preserve">Найбільш значущими заходами щодо профілактики неінфекційних захворювань постають нормалізація </w:t>
      </w:r>
      <w:r w:rsidRPr="002E6ECA">
        <w:rPr>
          <w:sz w:val="28"/>
          <w:szCs w:val="28"/>
        </w:rPr>
        <w:t xml:space="preserve">тривалості нічного сну, </w:t>
      </w:r>
      <w:r w:rsidRPr="002E6ECA">
        <w:rPr>
          <w:bCs/>
          <w:sz w:val="28"/>
          <w:szCs w:val="28"/>
        </w:rPr>
        <w:t>тривалості перебування на свіжому повітрі у навчальні дні та кратності харчування,</w:t>
      </w:r>
      <w:r w:rsidRPr="002E6ECA">
        <w:rPr>
          <w:sz w:val="28"/>
          <w:szCs w:val="28"/>
        </w:rPr>
        <w:t xml:space="preserve"> загартовуючі процедури,</w:t>
      </w:r>
      <w:r w:rsidRPr="002E6ECA">
        <w:rPr>
          <w:bCs/>
          <w:sz w:val="28"/>
          <w:szCs w:val="28"/>
        </w:rPr>
        <w:t xml:space="preserve"> а найбільш «чутливою» до їх впливу </w:t>
      </w:r>
      <w:r w:rsidR="00E26678" w:rsidRPr="002E6ECA">
        <w:rPr>
          <w:bCs/>
          <w:sz w:val="28"/>
          <w:szCs w:val="28"/>
        </w:rPr>
        <w:t>-</w:t>
      </w:r>
      <w:r w:rsidRPr="002E6ECA">
        <w:rPr>
          <w:bCs/>
          <w:sz w:val="28"/>
          <w:szCs w:val="28"/>
        </w:rPr>
        <w:t>патологія нервової (χ2=19,54; р&lt;0,0001), дихальної (χ2=13,47; р=0,001) та серцево-судинної систем (χ2=9,88; р=0,007).</w:t>
      </w:r>
    </w:p>
    <w:p w:rsidR="00917BD4" w:rsidRPr="002E6ECA" w:rsidRDefault="00917BD4" w:rsidP="00B81AAE">
      <w:pPr>
        <w:spacing w:line="360" w:lineRule="auto"/>
        <w:ind w:firstLine="709"/>
        <w:rPr>
          <w:sz w:val="28"/>
          <w:szCs w:val="28"/>
          <w:lang w:val="uk-UA"/>
        </w:rPr>
      </w:pPr>
      <w:r w:rsidRPr="002E6ECA">
        <w:rPr>
          <w:sz w:val="28"/>
          <w:szCs w:val="28"/>
          <w:lang w:val="uk-UA"/>
        </w:rPr>
        <w:br w:type="page"/>
      </w:r>
    </w:p>
    <w:p w:rsidR="00E6234D" w:rsidRPr="002E6ECA" w:rsidRDefault="00E6234D" w:rsidP="00E6234D">
      <w:pPr>
        <w:spacing w:line="336" w:lineRule="auto"/>
        <w:jc w:val="center"/>
        <w:rPr>
          <w:spacing w:val="-6"/>
          <w:sz w:val="28"/>
          <w:szCs w:val="28"/>
          <w:lang w:val="uk-UA"/>
        </w:rPr>
      </w:pPr>
      <w:r w:rsidRPr="002E6ECA">
        <w:rPr>
          <w:spacing w:val="-6"/>
          <w:sz w:val="28"/>
          <w:szCs w:val="28"/>
          <w:lang w:val="uk-UA"/>
        </w:rPr>
        <w:lastRenderedPageBreak/>
        <w:t>ПРАКТИЧНІ РЕКОМЕНДАЦІЇ</w:t>
      </w:r>
    </w:p>
    <w:p w:rsidR="00E6234D" w:rsidRPr="002E6ECA" w:rsidRDefault="00E6234D" w:rsidP="00E6234D">
      <w:pPr>
        <w:tabs>
          <w:tab w:val="left" w:pos="1134"/>
        </w:tabs>
        <w:spacing w:line="324" w:lineRule="auto"/>
        <w:ind w:firstLine="709"/>
        <w:jc w:val="both"/>
        <w:rPr>
          <w:spacing w:val="-2"/>
          <w:sz w:val="28"/>
          <w:szCs w:val="28"/>
          <w:lang w:val="uk-UA"/>
        </w:rPr>
      </w:pPr>
      <w:r w:rsidRPr="002E6ECA">
        <w:rPr>
          <w:spacing w:val="-2"/>
          <w:sz w:val="28"/>
          <w:szCs w:val="28"/>
          <w:lang w:val="uk-UA"/>
        </w:rPr>
        <w:t>З метою створення умов</w:t>
      </w:r>
      <w:r w:rsidRPr="002E6ECA">
        <w:rPr>
          <w:rStyle w:val="fontstyle11"/>
          <w:color w:val="auto"/>
          <w:spacing w:val="-2"/>
          <w:lang w:val="uk-UA"/>
        </w:rPr>
        <w:t xml:space="preserve"> щодо збереження та зміцнення здоров’я, профілактики неінфекційних захворювань серед учнів середнього шкільного віку шляхом своєчасного виявлення ознак шкільної дезадаптації та шкільної донозології і патології</w:t>
      </w:r>
      <w:r w:rsidRPr="002E6ECA">
        <w:rPr>
          <w:spacing w:val="-2"/>
          <w:sz w:val="28"/>
          <w:szCs w:val="28"/>
          <w:lang w:val="uk-UA"/>
        </w:rPr>
        <w:t xml:space="preserve"> та попередження несприятливого впливу шкільного середовища на здоров'я рекомендується впровадження наступного комплексу діагностичних, профілактичних та оздоровчих  заходів:</w:t>
      </w:r>
    </w:p>
    <w:p w:rsidR="00E6234D" w:rsidRPr="002E6ECA" w:rsidRDefault="00E6234D" w:rsidP="009A2CF7">
      <w:pPr>
        <w:pStyle w:val="a3"/>
        <w:numPr>
          <w:ilvl w:val="0"/>
          <w:numId w:val="53"/>
        </w:numPr>
        <w:tabs>
          <w:tab w:val="left" w:pos="993"/>
        </w:tabs>
        <w:spacing w:line="324" w:lineRule="auto"/>
        <w:ind w:left="0" w:firstLine="709"/>
        <w:rPr>
          <w:i/>
          <w:spacing w:val="-2"/>
          <w:sz w:val="28"/>
          <w:szCs w:val="28"/>
        </w:rPr>
      </w:pPr>
      <w:r w:rsidRPr="002E6ECA">
        <w:rPr>
          <w:i/>
          <w:spacing w:val="-2"/>
          <w:sz w:val="28"/>
          <w:szCs w:val="28"/>
        </w:rPr>
        <w:t xml:space="preserve">Адміністрації та педагогічному складу закладів ЗЗСО: </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залучати учнів та батьків до анкетування (у т.ч. онлайн) за методиками скринінг-діагностики, анкети PSC-Ukr та якості життя, що пов’язана зі здоров’я;</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забезпечити доступ медичних працівників ЗЗСО, лікувально-профілактичних закладів та фахівців державного нагляду за дотриманням санітарного законодавства до створення та використання електронних баз за результатами базової скринінг-діагностики фізичного, психічного та соціального благополуччя школярів;</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організувати санітарно-гігієнічний контроль параметрів внутрішньо-шкільного середовища згідно з вимогами Санітарного регламенту для закладів загальної середньої освіти із залученням відповідних підприємств та лабораторій;</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підвищувати рівень рухової активності учнів шляхом їх мотивації до регулярного виконання ранкової гімнастики, відвідування занять фізкультури у школі, проведення фізкультхвилинок та фізкультпауз під час уроку, впровадження активних форм флешмобів підчас перерви;</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6"/>
          <w:sz w:val="28"/>
          <w:szCs w:val="28"/>
        </w:rPr>
        <w:t>дотримуватись вимог до складання навчального розладу, ергономіки робочого місця учня, параметрів мікроклімату та освітленості у навчальних кабінетах, забезпечити регулярне провітрювання приміщень для перебування дітей</w:t>
      </w:r>
      <w:r w:rsidRPr="002E6ECA">
        <w:rPr>
          <w:spacing w:val="-2"/>
          <w:sz w:val="28"/>
          <w:szCs w:val="28"/>
        </w:rPr>
        <w:t>;</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організувати якісне та повноцінне харчування у шкільних </w:t>
      </w:r>
      <w:r w:rsidR="00FB14B7" w:rsidRPr="002E6ECA">
        <w:rPr>
          <w:spacing w:val="-2"/>
          <w:sz w:val="28"/>
          <w:szCs w:val="28"/>
          <w:lang w:val="uk-UA"/>
        </w:rPr>
        <w:t>їдальня</w:t>
      </w:r>
      <w:r w:rsidRPr="002E6ECA">
        <w:rPr>
          <w:spacing w:val="-2"/>
          <w:sz w:val="28"/>
          <w:szCs w:val="28"/>
        </w:rPr>
        <w:t>х;</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проводити санітарно-просвітницьку роботу серед учнів з питань нормалізації загального режиму дня; регулярного виконання гартуючих процедур та ранкової гімнастики; основ раціонального харчування</w:t>
      </w:r>
    </w:p>
    <w:p w:rsidR="00E6234D" w:rsidRPr="002E6ECA" w:rsidRDefault="00E6234D" w:rsidP="009A2CF7">
      <w:pPr>
        <w:pStyle w:val="a3"/>
        <w:numPr>
          <w:ilvl w:val="0"/>
          <w:numId w:val="53"/>
        </w:numPr>
        <w:tabs>
          <w:tab w:val="left" w:pos="993"/>
        </w:tabs>
        <w:spacing w:line="324" w:lineRule="auto"/>
        <w:ind w:left="0" w:firstLine="709"/>
        <w:rPr>
          <w:i/>
          <w:spacing w:val="-2"/>
          <w:sz w:val="28"/>
          <w:szCs w:val="28"/>
        </w:rPr>
      </w:pPr>
      <w:r w:rsidRPr="002E6ECA">
        <w:rPr>
          <w:i/>
          <w:spacing w:val="-2"/>
          <w:sz w:val="28"/>
          <w:szCs w:val="28"/>
        </w:rPr>
        <w:t>Медичним працівникам закладів загальної середньої освіти:</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впровадити методологію визначення провідної патології у конкретному навчальному колективі з подальшим формуванням комплексу цільових </w:t>
      </w:r>
      <w:r w:rsidRPr="002E6ECA">
        <w:rPr>
          <w:spacing w:val="-2"/>
          <w:sz w:val="28"/>
          <w:szCs w:val="28"/>
        </w:rPr>
        <w:lastRenderedPageBreak/>
        <w:t>профілактичних заходів щодо попередження неінфекційних захворювань; зниження рівня патологічної ураженості учнів середнього шкільного віку;</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створювати та аналізувати електронні бази за результатами базової скринінг-діагностики фізичного, психічного та соціального благополуччя школярів;</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приймати участь у формуванні комплексу профілактичних заходів щодо попередження неінфекційних захворювань;</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підвищувати рівень рухової активності учнів шляхом участі у розробці коротких комплексів для щоденного виконання ранкової гімнастики, контролю за регулярним відвідуванням занять фізкультури у школі, залучення школярів до активних форм флешмобів підчас перерви;  </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формувати навички раціонального харчування у дітей шляхом пропаганди його принципів, мотивації учнів до вживання гарячих </w:t>
      </w:r>
      <w:r w:rsidR="00FB14B7" w:rsidRPr="002E6ECA">
        <w:rPr>
          <w:spacing w:val="-2"/>
          <w:sz w:val="28"/>
          <w:szCs w:val="28"/>
          <w:lang w:val="uk-UA"/>
        </w:rPr>
        <w:t>страв</w:t>
      </w:r>
      <w:r w:rsidRPr="002E6ECA">
        <w:rPr>
          <w:spacing w:val="-2"/>
          <w:sz w:val="28"/>
          <w:szCs w:val="28"/>
        </w:rPr>
        <w:t xml:space="preserve"> у школі;</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проводити бесіди з дітьми щодо негативного впливу гаджетів на стан здоров’я (психоемоційне навантаження, шкода для формування постави, мозкового кровообігу та органу зору), навчати їх основам зорової гімнастики;</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консультувати батьків щодо правил складання оптимального режиму дня, вибору гуртків і секцій з різним рівнем фізичної активності.</w:t>
      </w:r>
    </w:p>
    <w:p w:rsidR="00E6234D" w:rsidRPr="002E6ECA" w:rsidRDefault="00E6234D" w:rsidP="009A2CF7">
      <w:pPr>
        <w:pStyle w:val="a3"/>
        <w:numPr>
          <w:ilvl w:val="0"/>
          <w:numId w:val="53"/>
        </w:numPr>
        <w:tabs>
          <w:tab w:val="left" w:pos="993"/>
        </w:tabs>
        <w:spacing w:line="324" w:lineRule="auto"/>
        <w:ind w:left="0" w:firstLine="709"/>
        <w:rPr>
          <w:i/>
          <w:spacing w:val="-2"/>
          <w:sz w:val="28"/>
          <w:szCs w:val="28"/>
        </w:rPr>
      </w:pPr>
      <w:r w:rsidRPr="002E6ECA">
        <w:rPr>
          <w:i/>
          <w:spacing w:val="-2"/>
          <w:sz w:val="28"/>
          <w:szCs w:val="28"/>
        </w:rPr>
        <w:t>Лікувально-профілактичним закладам:</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впровадити базову скринінг-діагностику у закладах загальної середньої освіти з метою визначення груп ризику щодо формування шкільної дезадаптації, консультувати з даного питання медичних працівників ЗЗСО та узагальнювати отримані результати з подальшим формуванням комплексу цільових профілактичних заходів щодо попередження неінфекційних захворювань; </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проводити поглиблену скринінг-діагностику фізичного благополуччя школярів та надання психофізіологічної характеристики навчальної діяльності для учнів групи ризику із використанням методів функціональної діагностики;</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впровадити методику визначення провідної патології у окремих навчальних колективах як показника групового здоров’я на підставі масового скринінгу у ЗЗСО;</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покращити методику оцінки соматометричних параметрів фізичного розвитку дітей та підлітків за національним (обов’язково) та міжнародним (додатково або у якості експрес-методу) стандартами; </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lastRenderedPageBreak/>
        <w:t>впровадити авторську комп’ютерну програму «Спосіб автоматизованої оцінки фізичного розвитку дітей» з метою своєчасного встановлення відхилень у процесах росту та розвитку;</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виокремлювати групи ризику дітей та прогнозувати рівень порушення стану здоров’я дітей та підлітків, формувати комплекс цільових профілактичних заходів щодо попередження неінфекційних захворювань;</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консультувати батьків щодо формування здорового способу життя у дитини, профілактики наявної патології, складання оптимального режиму дня, вибору гуртків і секцій з різним рівнем фізичної активності.</w:t>
      </w:r>
    </w:p>
    <w:p w:rsidR="00E6234D" w:rsidRPr="002E6ECA" w:rsidRDefault="00E6234D" w:rsidP="009A2CF7">
      <w:pPr>
        <w:pStyle w:val="a3"/>
        <w:numPr>
          <w:ilvl w:val="0"/>
          <w:numId w:val="53"/>
        </w:numPr>
        <w:tabs>
          <w:tab w:val="left" w:pos="993"/>
        </w:tabs>
        <w:spacing w:line="324" w:lineRule="auto"/>
        <w:ind w:left="0" w:firstLine="709"/>
        <w:rPr>
          <w:i/>
          <w:spacing w:val="-2"/>
          <w:sz w:val="28"/>
          <w:szCs w:val="28"/>
        </w:rPr>
      </w:pPr>
      <w:r w:rsidRPr="002E6ECA">
        <w:rPr>
          <w:i/>
          <w:spacing w:val="-2"/>
          <w:sz w:val="28"/>
          <w:szCs w:val="28"/>
        </w:rPr>
        <w:t>Управлінню державного нагляду за дотриманням санітарного законодавства, лабораторним центрам:</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6"/>
          <w:sz w:val="28"/>
          <w:szCs w:val="28"/>
        </w:rPr>
        <w:t>впровадити методику двоетапного гігієнічного моніторингу стану здоров’я школярів, чинників внутрішньошкільного середовища та способу життя дітей та підлітків шкільного віку з метою виявлення причинно-наслідкових зв’язків між станом здоров’я та впливом на нього факторів середовища життєдіяльності із подальшим формування першочергових цільових профілактичних заходів</w:t>
      </w:r>
      <w:r w:rsidRPr="002E6ECA">
        <w:rPr>
          <w:spacing w:val="-2"/>
          <w:sz w:val="28"/>
          <w:szCs w:val="28"/>
        </w:rPr>
        <w:t>;</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аналізувати електронні бази за результатами базової скринінг-діагностики фізичного, психічного та соціального благополуччя школярів з метою визначення чинників ризику щодо формування шкільної дезадаптації;</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виокремлювати групи ризику дітей та прогнозувати рівень порушення стану здоров’я дітей та підлітків, формувати комплекс профілактичних заходів щодо попередження неінфекційних захворювань;  </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активізувати діяльність з питань реалізація Санітарного регламенту для закладів загальної середньої освіти в частині організації контролю та узагальнення результатів дослідження чинників внутрішньошкільного середовища як однієї з ланок профілактики шкільної дезадаптації учнів;</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підвищити ефективність використання методів санітарно-просвітницької роботи, у т.ч. з використанням засобів масової інформації з питань формування здорового способу життя у дітей та підлітків шкільного віку;</w:t>
      </w:r>
    </w:p>
    <w:p w:rsidR="00E6234D" w:rsidRPr="002E6ECA" w:rsidRDefault="00E6234D" w:rsidP="009A2CF7">
      <w:pPr>
        <w:pStyle w:val="a3"/>
        <w:numPr>
          <w:ilvl w:val="0"/>
          <w:numId w:val="52"/>
        </w:numPr>
        <w:tabs>
          <w:tab w:val="left" w:pos="993"/>
        </w:tabs>
        <w:spacing w:line="324" w:lineRule="auto"/>
        <w:ind w:left="0" w:firstLine="709"/>
        <w:jc w:val="both"/>
        <w:rPr>
          <w:spacing w:val="-2"/>
          <w:sz w:val="28"/>
          <w:szCs w:val="28"/>
        </w:rPr>
      </w:pPr>
      <w:r w:rsidRPr="002E6ECA">
        <w:rPr>
          <w:spacing w:val="-2"/>
          <w:sz w:val="28"/>
          <w:szCs w:val="28"/>
        </w:rPr>
        <w:t xml:space="preserve">покращити методологію контролю вживання дітьми та підлітками шкільного віку харчових продуктів та формування у них харчової поведінки. </w:t>
      </w:r>
    </w:p>
    <w:p w:rsidR="00E6234D" w:rsidRPr="002E6ECA" w:rsidRDefault="00E6234D" w:rsidP="009A2CF7">
      <w:pPr>
        <w:pStyle w:val="a3"/>
        <w:numPr>
          <w:ilvl w:val="0"/>
          <w:numId w:val="53"/>
        </w:numPr>
        <w:tabs>
          <w:tab w:val="left" w:pos="993"/>
        </w:tabs>
        <w:spacing w:line="324" w:lineRule="auto"/>
        <w:ind w:left="0" w:firstLine="709"/>
        <w:jc w:val="both"/>
        <w:rPr>
          <w:sz w:val="26"/>
          <w:szCs w:val="26"/>
          <w:lang w:val="uk-UA"/>
        </w:rPr>
      </w:pPr>
      <w:r w:rsidRPr="002E6ECA">
        <w:rPr>
          <w:i/>
          <w:spacing w:val="-2"/>
          <w:sz w:val="28"/>
          <w:szCs w:val="28"/>
        </w:rPr>
        <w:t xml:space="preserve">Школярам та батькам </w:t>
      </w:r>
      <w:r w:rsidR="00FB14B7" w:rsidRPr="002E6ECA">
        <w:rPr>
          <w:spacing w:val="-2"/>
          <w:sz w:val="28"/>
          <w:szCs w:val="28"/>
        </w:rPr>
        <w:t>–</w:t>
      </w:r>
      <w:r w:rsidR="00FB14B7" w:rsidRPr="002E6ECA">
        <w:rPr>
          <w:spacing w:val="-2"/>
          <w:sz w:val="28"/>
          <w:szCs w:val="28"/>
          <w:lang w:val="uk-UA"/>
        </w:rPr>
        <w:t xml:space="preserve"> </w:t>
      </w:r>
      <w:r w:rsidRPr="002E6ECA">
        <w:rPr>
          <w:spacing w:val="-2"/>
          <w:sz w:val="28"/>
          <w:szCs w:val="28"/>
        </w:rPr>
        <w:t>за</w:t>
      </w:r>
      <w:r w:rsidR="00FB14B7" w:rsidRPr="002E6ECA">
        <w:rPr>
          <w:spacing w:val="-2"/>
          <w:sz w:val="28"/>
          <w:szCs w:val="28"/>
          <w:lang w:val="uk-UA"/>
        </w:rPr>
        <w:t xml:space="preserve"> </w:t>
      </w:r>
      <w:r w:rsidRPr="002E6ECA">
        <w:rPr>
          <w:spacing w:val="-2"/>
          <w:sz w:val="28"/>
          <w:szCs w:val="28"/>
        </w:rPr>
        <w:t>блоками профілактичної програми відповідно до додатку В.</w:t>
      </w:r>
      <w:r w:rsidRPr="002E6ECA">
        <w:rPr>
          <w:sz w:val="26"/>
          <w:szCs w:val="26"/>
          <w:lang w:val="uk-UA"/>
        </w:rPr>
        <w:br w:type="page"/>
      </w:r>
    </w:p>
    <w:p w:rsidR="00020FED" w:rsidRPr="002E6ECA" w:rsidRDefault="00020FED" w:rsidP="00020FED">
      <w:pPr>
        <w:shd w:val="clear" w:color="auto" w:fill="FFFFFF"/>
        <w:spacing w:line="360" w:lineRule="auto"/>
        <w:ind w:firstLine="709"/>
        <w:jc w:val="center"/>
        <w:rPr>
          <w:sz w:val="28"/>
          <w:szCs w:val="28"/>
          <w:lang w:val="uk-UA"/>
        </w:rPr>
      </w:pPr>
      <w:r w:rsidRPr="002E6ECA">
        <w:rPr>
          <w:sz w:val="28"/>
          <w:szCs w:val="28"/>
          <w:lang w:val="uk-UA"/>
        </w:rPr>
        <w:lastRenderedPageBreak/>
        <w:t>СПИСОК ВИКОРИСТАНИХ ДЖЕРЕЛ ЛІТЕРАТУРИ</w:t>
      </w:r>
    </w:p>
    <w:p w:rsidR="00020FED" w:rsidRPr="002E6ECA" w:rsidRDefault="00020FED" w:rsidP="00020FED">
      <w:pPr>
        <w:pStyle w:val="a3"/>
        <w:numPr>
          <w:ilvl w:val="0"/>
          <w:numId w:val="72"/>
        </w:numPr>
        <w:spacing w:line="360" w:lineRule="auto"/>
        <w:ind w:left="0" w:firstLine="709"/>
        <w:jc w:val="both"/>
        <w:rPr>
          <w:sz w:val="28"/>
          <w:szCs w:val="28"/>
          <w:lang w:val="uk-UA"/>
        </w:rPr>
      </w:pPr>
      <w:bookmarkStart w:id="17" w:name="_Hlk527829934"/>
      <w:r w:rsidRPr="002E6ECA">
        <w:rPr>
          <w:sz w:val="28"/>
          <w:szCs w:val="28"/>
          <w:lang w:val="uk-UA" w:eastAsia="uk-UA"/>
        </w:rPr>
        <w:t>Авдієвська</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 xml:space="preserve">Г., </w:t>
      </w:r>
      <w:r w:rsidRPr="002E6ECA">
        <w:rPr>
          <w:sz w:val="28"/>
          <w:szCs w:val="28"/>
          <w:lang w:val="uk-UA"/>
        </w:rPr>
        <w:t>Даниленко Г. М., Сотнікова-Мелешкіна Ж. В.</w:t>
      </w:r>
      <w:bookmarkEnd w:id="17"/>
      <w:r w:rsidRPr="002E6ECA">
        <w:rPr>
          <w:sz w:val="28"/>
          <w:szCs w:val="28"/>
          <w:lang w:val="uk-UA"/>
        </w:rPr>
        <w:t xml:space="preserve">, Подрігало Л. В. Вплив родини на формування свідомого ставлення підлітків до власного здоров’я. </w:t>
      </w:r>
      <w:r w:rsidRPr="002E6ECA">
        <w:rPr>
          <w:i/>
          <w:sz w:val="28"/>
          <w:szCs w:val="28"/>
          <w:lang w:val="uk-UA"/>
        </w:rPr>
        <w:t xml:space="preserve">Громадське здоров’я в Україні - сучасні виклики і перспективи розвитку : </w:t>
      </w:r>
      <w:r w:rsidRPr="002E6ECA">
        <w:rPr>
          <w:sz w:val="28"/>
          <w:szCs w:val="28"/>
          <w:lang w:val="uk-UA"/>
        </w:rPr>
        <w:t>міжнародна конференція з громадського здоров’я, м. Суми, 23-24 квітня 2020 р. Суми, 2020 (формат проведення: заочна on-line конференція). С. 1058-1059.</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Авдієвська О. Г., Сотнікова-Мелешкіна Ж. В., Ісаєва Я. А. </w:t>
      </w:r>
      <w:r w:rsidRPr="002E6ECA">
        <w:rPr>
          <w:bCs/>
          <w:sz w:val="28"/>
          <w:szCs w:val="28"/>
          <w:lang w:val="uk-UA"/>
        </w:rPr>
        <w:t>Вплив родини на формування харчового</w:t>
      </w:r>
      <w:r w:rsidRPr="002E6ECA">
        <w:rPr>
          <w:sz w:val="28"/>
          <w:szCs w:val="28"/>
          <w:lang w:val="uk-UA"/>
        </w:rPr>
        <w:t xml:space="preserve"> статусу студентської молоді, харчові звички майбутніх батьків. </w:t>
      </w:r>
      <w:r w:rsidRPr="002E6ECA">
        <w:rPr>
          <w:i/>
          <w:sz w:val="28"/>
          <w:szCs w:val="28"/>
        </w:rPr>
        <w:t>Здоровье ребенка</w:t>
      </w:r>
      <w:r w:rsidRPr="002E6ECA">
        <w:rPr>
          <w:sz w:val="28"/>
          <w:szCs w:val="28"/>
        </w:rPr>
        <w:t>. 2019. № 14</w:t>
      </w:r>
      <w:r w:rsidRPr="002E6ECA">
        <w:rPr>
          <w:sz w:val="28"/>
          <w:szCs w:val="28"/>
          <w:lang w:val="uk-UA"/>
        </w:rPr>
        <w:t xml:space="preserve"> </w:t>
      </w:r>
      <w:r w:rsidRPr="002E6ECA">
        <w:rPr>
          <w:sz w:val="28"/>
          <w:szCs w:val="28"/>
        </w:rPr>
        <w:t>(1). С. 88- 94.</w:t>
      </w:r>
    </w:p>
    <w:p w:rsidR="00020FED" w:rsidRPr="002E6ECA" w:rsidRDefault="00020FED" w:rsidP="00020FED">
      <w:pPr>
        <w:pStyle w:val="a3"/>
        <w:numPr>
          <w:ilvl w:val="0"/>
          <w:numId w:val="72"/>
        </w:numPr>
        <w:spacing w:line="360" w:lineRule="auto"/>
        <w:ind w:left="0" w:firstLine="709"/>
        <w:jc w:val="both"/>
        <w:rPr>
          <w:sz w:val="28"/>
          <w:szCs w:val="28"/>
        </w:rPr>
      </w:pPr>
      <w:r w:rsidRPr="002E6ECA">
        <w:rPr>
          <w:rFonts w:eastAsiaTheme="minorHAnsi"/>
          <w:sz w:val="28"/>
          <w:szCs w:val="28"/>
          <w:lang w:val="uk-UA" w:eastAsia="en-US"/>
        </w:rPr>
        <w:t xml:space="preserve">Агафонкина Т. В., Кострова О. Ю. Показатели вегетативной нервной системы и академическая успеваемость студентов. </w:t>
      </w:r>
      <w:r w:rsidRPr="002E6ECA">
        <w:rPr>
          <w:rFonts w:eastAsiaTheme="minorHAnsi"/>
          <w:i/>
          <w:sz w:val="28"/>
          <w:szCs w:val="28"/>
          <w:lang w:val="uk-UA" w:eastAsia="en-US"/>
        </w:rPr>
        <w:t>Вестник Чувашского университета</w:t>
      </w:r>
      <w:r w:rsidRPr="002E6ECA">
        <w:rPr>
          <w:rFonts w:eastAsiaTheme="minorHAnsi"/>
          <w:sz w:val="28"/>
          <w:szCs w:val="28"/>
          <w:lang w:val="uk-UA" w:eastAsia="en-US"/>
        </w:rPr>
        <w:t>. 2008. № 2. С. 42-45.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Аксенова Э. А. Инновационные подходы к обучению одаренных детей за рубежом. URL: http://man.gov.ua/ua/resource_center/workshop/ about_giftedness/_dumki-ta-poradi-pedagogiv-i-psikhologiv-shchodo-prirodi-obdarovanosti-ta-roboti-z-obdarovanimi-ditmi-541.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Александрова Л. А., Белоногова Е. В., Казин Э. М., Кривошеина Н. П. Особенности личностного потенциала старшеклассников с различными типами вегетативной регуляции в условиях школьной адаптации. </w:t>
      </w:r>
      <w:r w:rsidRPr="002E6ECA">
        <w:rPr>
          <w:rFonts w:eastAsiaTheme="minorHAnsi"/>
          <w:i/>
          <w:sz w:val="28"/>
          <w:szCs w:val="28"/>
          <w:lang w:val="uk-UA" w:eastAsia="en-US"/>
        </w:rPr>
        <w:t>Валеология</w:t>
      </w:r>
      <w:r w:rsidRPr="002E6ECA">
        <w:rPr>
          <w:rFonts w:eastAsiaTheme="minorHAnsi"/>
          <w:sz w:val="28"/>
          <w:szCs w:val="28"/>
          <w:lang w:val="uk-UA" w:eastAsia="en-US"/>
        </w:rPr>
        <w:t>. 2014. № 3. С. 47-57.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Антипкін Ю. Г., Волосовець О. П., Майданник В. Г., Березенко В. С., Моісеєнко Р. О., Виговська О. В., Кривопустов С. П., Заболотько</w:t>
      </w:r>
      <w:r w:rsidRPr="002E6ECA">
        <w:rPr>
          <w:rFonts w:eastAsiaTheme="minorHAnsi"/>
          <w:sz w:val="28"/>
          <w:szCs w:val="28"/>
          <w:lang w:val="uk-UA"/>
        </w:rPr>
        <w:t> </w:t>
      </w:r>
      <w:r w:rsidRPr="002E6ECA">
        <w:rPr>
          <w:rFonts w:eastAsiaTheme="minorHAnsi"/>
          <w:sz w:val="28"/>
          <w:szCs w:val="28"/>
          <w:lang w:val="uk-UA" w:eastAsia="en-US"/>
        </w:rPr>
        <w:t xml:space="preserve">В. М., Аряєв М. Л., Абатуров О. Є. Стан здоров’я дитячого населення </w:t>
      </w:r>
      <w:r w:rsidRPr="002E6ECA">
        <w:rPr>
          <w:sz w:val="28"/>
          <w:szCs w:val="28"/>
          <w:lang w:val="uk-UA"/>
        </w:rPr>
        <w:t>–</w:t>
      </w:r>
      <w:r w:rsidRPr="002E6ECA">
        <w:rPr>
          <w:rFonts w:eastAsiaTheme="minorHAnsi"/>
          <w:sz w:val="28"/>
          <w:szCs w:val="28"/>
          <w:lang w:val="uk-UA" w:eastAsia="en-US"/>
        </w:rPr>
        <w:t xml:space="preserve"> майбутнє країни (частина 2). </w:t>
      </w:r>
      <w:hyperlink r:id="rId94" w:tooltip="Періодичне видання" w:history="1">
        <w:r w:rsidRPr="002E6ECA">
          <w:rPr>
            <w:rFonts w:eastAsiaTheme="minorHAnsi"/>
            <w:i/>
            <w:sz w:val="28"/>
            <w:szCs w:val="28"/>
            <w:lang w:val="uk-UA" w:eastAsia="en-US"/>
          </w:rPr>
          <w:t>Здоров'я дитини</w:t>
        </w:r>
      </w:hyperlink>
      <w:r w:rsidRPr="002E6ECA">
        <w:rPr>
          <w:rFonts w:eastAsiaTheme="minorHAnsi"/>
          <w:sz w:val="28"/>
          <w:szCs w:val="28"/>
          <w:lang w:val="uk-UA" w:eastAsia="en-US"/>
        </w:rPr>
        <w:t>. 2018. Т. 13. № 2. С. 142-152.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Антипкін Ю. Г., Волосовець О. П., Майданник В. Г., Березенко В. С., Моісеєнко Р. О., Виговська О. В., Кривопустов С. П., Заболотько В. М., Аряєв М. Л., Абатуров О. Є. Стан здоров’я дитячого населення </w:t>
      </w:r>
      <w:r w:rsidRPr="002E6ECA">
        <w:rPr>
          <w:sz w:val="28"/>
          <w:szCs w:val="28"/>
          <w:lang w:val="uk-UA"/>
        </w:rPr>
        <w:t>–</w:t>
      </w:r>
      <w:r w:rsidRPr="002E6ECA">
        <w:rPr>
          <w:rFonts w:eastAsiaTheme="minorHAnsi"/>
          <w:sz w:val="28"/>
          <w:szCs w:val="28"/>
          <w:lang w:val="uk-UA" w:eastAsia="en-US"/>
        </w:rPr>
        <w:t xml:space="preserve"> майбутнє країни (частина 1). 2018. Т. 13. № 1. С. 1-11.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sz w:val="28"/>
          <w:szCs w:val="28"/>
          <w:lang w:val="uk-UA" w:eastAsia="en-US"/>
        </w:rPr>
        <w:lastRenderedPageBreak/>
        <w:t>Антомонов М. Ю. Математическая обработка и анализ медико-биологических данных. 2-е изд. К.: МИЦ « Мединформ», 2018. 579 с. ISBN 978-966-409-202-6.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Антонова О. Є. Проблема розвитку обдарованої особистості в Україні і світі: сучасний стан і перспективи. </w:t>
      </w:r>
      <w:r w:rsidRPr="002E6ECA">
        <w:rPr>
          <w:rFonts w:eastAsiaTheme="minorHAnsi"/>
          <w:i/>
          <w:sz w:val="28"/>
          <w:szCs w:val="28"/>
          <w:lang w:val="uk-UA" w:eastAsia="en-US"/>
        </w:rPr>
        <w:t>Нові технології навчання: наук.-метод. зб. Інститут інноваційних технологій і змісту освіти Мін. освіти і науки, молоді та спорту України, Акад. міжнар. співроб. з креативної педагогіки</w:t>
      </w:r>
      <w:r w:rsidRPr="002E6ECA">
        <w:rPr>
          <w:rFonts w:eastAsiaTheme="minorHAnsi"/>
          <w:sz w:val="28"/>
          <w:szCs w:val="28"/>
          <w:lang w:val="uk-UA" w:eastAsia="en-US"/>
        </w:rPr>
        <w:t>. Київ-Вінниця, 2012. Вип. 73. С. 8-15. URL: http://eprints.zu.edu.ua/12416/1/11.pdf.</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Баевский Р. М., Иванов Г. Г., Чирейкин Л. В., </w:t>
      </w:r>
      <w:hyperlink r:id="rId95" w:history="1">
        <w:r w:rsidRPr="002E6ECA">
          <w:rPr>
            <w:rFonts w:eastAsiaTheme="minorHAnsi"/>
            <w:sz w:val="28"/>
            <w:szCs w:val="28"/>
            <w:lang w:val="uk-UA" w:eastAsia="en-US"/>
          </w:rPr>
          <w:t>Гаврилушкин А. П.</w:t>
        </w:r>
      </w:hyperlink>
      <w:r w:rsidRPr="002E6ECA">
        <w:rPr>
          <w:rFonts w:eastAsiaTheme="minorHAnsi"/>
          <w:sz w:val="28"/>
          <w:szCs w:val="28"/>
          <w:lang w:val="uk-UA" w:eastAsia="en-US"/>
        </w:rPr>
        <w:t xml:space="preserve">, </w:t>
      </w:r>
      <w:hyperlink r:id="rId96" w:history="1">
        <w:r w:rsidRPr="002E6ECA">
          <w:rPr>
            <w:rFonts w:eastAsiaTheme="minorHAnsi"/>
            <w:sz w:val="28"/>
            <w:szCs w:val="28"/>
            <w:lang w:val="uk-UA" w:eastAsia="en-US"/>
          </w:rPr>
          <w:t>Довгалевский П. Я.</w:t>
        </w:r>
      </w:hyperlink>
      <w:r w:rsidRPr="002E6ECA">
        <w:rPr>
          <w:rFonts w:eastAsiaTheme="minorHAnsi"/>
          <w:sz w:val="28"/>
          <w:szCs w:val="28"/>
          <w:lang w:val="uk-UA" w:eastAsia="en-US"/>
        </w:rPr>
        <w:t xml:space="preserve">, </w:t>
      </w:r>
      <w:hyperlink r:id="rId97" w:history="1">
        <w:r w:rsidRPr="002E6ECA">
          <w:rPr>
            <w:rFonts w:eastAsiaTheme="minorHAnsi"/>
            <w:sz w:val="28"/>
            <w:szCs w:val="28"/>
            <w:lang w:val="uk-UA" w:eastAsia="en-US"/>
          </w:rPr>
          <w:t>Кукушкин Ю. А.</w:t>
        </w:r>
      </w:hyperlink>
      <w:r w:rsidRPr="002E6ECA">
        <w:rPr>
          <w:rFonts w:eastAsiaTheme="minorHAnsi"/>
          <w:sz w:val="28"/>
          <w:szCs w:val="28"/>
          <w:lang w:val="uk-UA" w:eastAsia="en-US"/>
        </w:rPr>
        <w:t xml:space="preserve">, </w:t>
      </w:r>
      <w:hyperlink r:id="rId98" w:history="1">
        <w:r w:rsidRPr="002E6ECA">
          <w:rPr>
            <w:rFonts w:eastAsiaTheme="minorHAnsi"/>
            <w:sz w:val="28"/>
            <w:szCs w:val="28"/>
            <w:lang w:val="uk-UA" w:eastAsia="en-US"/>
          </w:rPr>
          <w:t>Миронова Т. Ф.</w:t>
        </w:r>
      </w:hyperlink>
      <w:r w:rsidRPr="002E6ECA">
        <w:rPr>
          <w:rFonts w:eastAsiaTheme="minorHAnsi"/>
          <w:sz w:val="28"/>
          <w:szCs w:val="28"/>
          <w:lang w:val="uk-UA" w:eastAsia="en-US"/>
        </w:rPr>
        <w:t xml:space="preserve">, </w:t>
      </w:r>
      <w:hyperlink r:id="rId99" w:history="1">
        <w:r w:rsidRPr="002E6ECA">
          <w:rPr>
            <w:rFonts w:eastAsiaTheme="minorHAnsi"/>
            <w:sz w:val="28"/>
            <w:szCs w:val="28"/>
            <w:lang w:val="uk-UA" w:eastAsia="en-US"/>
          </w:rPr>
          <w:t>Прилуцкий Д. А.</w:t>
        </w:r>
      </w:hyperlink>
      <w:r w:rsidRPr="002E6ECA">
        <w:rPr>
          <w:rFonts w:eastAsiaTheme="minorHAnsi"/>
          <w:sz w:val="28"/>
          <w:szCs w:val="28"/>
          <w:lang w:val="uk-UA" w:eastAsia="en-US"/>
        </w:rPr>
        <w:t xml:space="preserve">, </w:t>
      </w:r>
      <w:hyperlink r:id="rId100" w:history="1">
        <w:r w:rsidRPr="002E6ECA">
          <w:rPr>
            <w:rFonts w:eastAsiaTheme="minorHAnsi"/>
            <w:sz w:val="28"/>
            <w:szCs w:val="28"/>
            <w:lang w:val="uk-UA" w:eastAsia="en-US"/>
          </w:rPr>
          <w:t>Семенов А. В.</w:t>
        </w:r>
      </w:hyperlink>
      <w:r w:rsidRPr="002E6ECA">
        <w:rPr>
          <w:rFonts w:eastAsiaTheme="minorHAnsi"/>
          <w:sz w:val="28"/>
          <w:szCs w:val="28"/>
          <w:lang w:val="uk-UA" w:eastAsia="en-US"/>
        </w:rPr>
        <w:t xml:space="preserve">, </w:t>
      </w:r>
      <w:hyperlink r:id="rId101" w:history="1">
        <w:r w:rsidRPr="002E6ECA">
          <w:rPr>
            <w:rFonts w:eastAsiaTheme="minorHAnsi"/>
            <w:sz w:val="28"/>
            <w:szCs w:val="28"/>
            <w:lang w:val="uk-UA" w:eastAsia="en-US"/>
          </w:rPr>
          <w:t>Федоров В. Ф.</w:t>
        </w:r>
      </w:hyperlink>
      <w:r w:rsidRPr="002E6ECA">
        <w:rPr>
          <w:rFonts w:eastAsiaTheme="minorHAnsi"/>
          <w:sz w:val="28"/>
          <w:szCs w:val="28"/>
          <w:lang w:val="uk-UA" w:eastAsia="en-US"/>
        </w:rPr>
        <w:t xml:space="preserve">, </w:t>
      </w:r>
      <w:hyperlink r:id="rId102" w:history="1">
        <w:r w:rsidRPr="002E6ECA">
          <w:rPr>
            <w:rFonts w:eastAsiaTheme="minorHAnsi"/>
            <w:sz w:val="28"/>
            <w:szCs w:val="28"/>
            <w:lang w:val="uk-UA" w:eastAsia="en-US"/>
          </w:rPr>
          <w:t>Флейшман А. Н.</w:t>
        </w:r>
      </w:hyperlink>
      <w:r w:rsidRPr="002E6ECA">
        <w:rPr>
          <w:rFonts w:eastAsiaTheme="minorHAnsi"/>
          <w:sz w:val="28"/>
          <w:szCs w:val="28"/>
          <w:lang w:val="uk-UA" w:eastAsia="en-US"/>
        </w:rPr>
        <w:t xml:space="preserve">, </w:t>
      </w:r>
      <w:hyperlink r:id="rId103" w:history="1">
        <w:r w:rsidRPr="002E6ECA">
          <w:rPr>
            <w:rFonts w:eastAsiaTheme="minorHAnsi"/>
            <w:sz w:val="28"/>
            <w:szCs w:val="28"/>
            <w:lang w:val="uk-UA" w:eastAsia="en-US"/>
          </w:rPr>
          <w:t>Медведев М. М.</w:t>
        </w:r>
      </w:hyperlink>
      <w:r w:rsidRPr="002E6ECA">
        <w:rPr>
          <w:rFonts w:eastAsiaTheme="minorHAnsi"/>
          <w:sz w:val="28"/>
          <w:szCs w:val="28"/>
          <w:lang w:val="uk-UA" w:eastAsia="en-US"/>
        </w:rPr>
        <w:t xml:space="preserve"> Анализ вариабельности сердечного ритма при использовании различных электрокардиографических систем: метод. рек. </w:t>
      </w:r>
      <w:r w:rsidRPr="002E6ECA">
        <w:rPr>
          <w:rFonts w:eastAsiaTheme="minorHAnsi"/>
          <w:i/>
          <w:sz w:val="28"/>
          <w:szCs w:val="28"/>
          <w:lang w:val="uk-UA" w:eastAsia="en-US"/>
        </w:rPr>
        <w:t>Вестник аритмологии</w:t>
      </w:r>
      <w:r w:rsidRPr="002E6ECA">
        <w:rPr>
          <w:rFonts w:eastAsiaTheme="minorHAnsi"/>
          <w:sz w:val="28"/>
          <w:szCs w:val="28"/>
          <w:lang w:val="uk-UA" w:eastAsia="en-US"/>
        </w:rPr>
        <w:t>. 2001. № 24. С. 65-87.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Баттакова Ж. Е., Мукашева С. Б., Абдрахманова Ш. З. Европейская стратегия по охране здоровья детей и подростков - основа для действий по усилению мер здравоохранения и других секторов. </w:t>
      </w:r>
      <w:r w:rsidRPr="002E6ECA">
        <w:rPr>
          <w:rFonts w:eastAsiaTheme="minorHAnsi"/>
          <w:i/>
          <w:sz w:val="28"/>
          <w:szCs w:val="28"/>
          <w:lang w:val="uk-UA" w:eastAsia="en-US"/>
        </w:rPr>
        <w:t>Medicine 2 (Almaty)</w:t>
      </w:r>
      <w:r w:rsidRPr="002E6ECA">
        <w:rPr>
          <w:rFonts w:eastAsiaTheme="minorHAnsi"/>
          <w:sz w:val="28"/>
          <w:szCs w:val="28"/>
          <w:lang w:val="uk-UA" w:eastAsia="en-US"/>
        </w:rPr>
        <w:t>. 2017. № 8 (182). C 2-5.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rPr>
        <w:t>Безпечна і дружня до дитини школа в контексті реформи «НУШ» / В.</w:t>
      </w:r>
      <w:r w:rsidRPr="002E6ECA">
        <w:rPr>
          <w:sz w:val="28"/>
          <w:szCs w:val="28"/>
          <w:lang w:val="uk-UA"/>
        </w:rPr>
        <w:t> </w:t>
      </w:r>
      <w:r w:rsidRPr="002E6ECA">
        <w:rPr>
          <w:sz w:val="28"/>
          <w:szCs w:val="28"/>
        </w:rPr>
        <w:t>Пономаренко, Т.</w:t>
      </w:r>
      <w:r w:rsidRPr="002E6ECA">
        <w:rPr>
          <w:sz w:val="28"/>
          <w:szCs w:val="28"/>
          <w:lang w:val="uk-UA"/>
        </w:rPr>
        <w:t> </w:t>
      </w:r>
      <w:r w:rsidRPr="002E6ECA">
        <w:rPr>
          <w:sz w:val="28"/>
          <w:szCs w:val="28"/>
        </w:rPr>
        <w:t>Воронцова, О.</w:t>
      </w:r>
      <w:r w:rsidRPr="002E6ECA">
        <w:rPr>
          <w:sz w:val="28"/>
          <w:szCs w:val="28"/>
          <w:lang w:val="uk-UA"/>
        </w:rPr>
        <w:t> </w:t>
      </w:r>
      <w:r w:rsidRPr="002E6ECA">
        <w:rPr>
          <w:sz w:val="28"/>
          <w:szCs w:val="28"/>
        </w:rPr>
        <w:t>Сакович та ін. К.: Алатон, 2020. 64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Белкина</w:t>
      </w:r>
      <w:r w:rsidRPr="002E6ECA">
        <w:rPr>
          <w:rFonts w:eastAsiaTheme="minorHAnsi"/>
          <w:sz w:val="28"/>
          <w:szCs w:val="28"/>
          <w:lang w:val="uk-UA"/>
        </w:rPr>
        <w:t> </w:t>
      </w:r>
      <w:r w:rsidRPr="002E6ECA">
        <w:rPr>
          <w:rFonts w:eastAsiaTheme="minorHAnsi"/>
          <w:sz w:val="28"/>
          <w:szCs w:val="28"/>
          <w:lang w:val="uk-UA" w:eastAsia="en-US"/>
        </w:rPr>
        <w:t xml:space="preserve">Е. И., Кузнецова Т. А. Биоимпедансометрия в оценке нутритивного статуса школьников Орловской области. </w:t>
      </w:r>
      <w:r w:rsidRPr="002E6ECA">
        <w:rPr>
          <w:rFonts w:eastAsiaTheme="minorHAnsi"/>
          <w:i/>
          <w:sz w:val="28"/>
          <w:szCs w:val="28"/>
          <w:lang w:val="uk-UA" w:eastAsia="en-US"/>
        </w:rPr>
        <w:t>Вестник новых медицинских технологий, электронный журнал</w:t>
      </w:r>
      <w:r w:rsidRPr="002E6ECA">
        <w:rPr>
          <w:rFonts w:eastAsiaTheme="minorHAnsi"/>
          <w:sz w:val="28"/>
          <w:szCs w:val="28"/>
          <w:lang w:val="uk-UA" w:eastAsia="en-US"/>
        </w:rPr>
        <w:t>. 2017. № 3. С. 195-202. doi:</w:t>
      </w:r>
      <w:r w:rsidRPr="002E6ECA">
        <w:rPr>
          <w:rFonts w:eastAsiaTheme="minorHAnsi"/>
          <w:sz w:val="28"/>
          <w:szCs w:val="28"/>
          <w:lang w:val="uk-UA"/>
        </w:rPr>
        <w:t> </w:t>
      </w:r>
      <w:r w:rsidRPr="002E6ECA">
        <w:rPr>
          <w:rFonts w:eastAsiaTheme="minorHAnsi"/>
          <w:sz w:val="28"/>
          <w:szCs w:val="28"/>
          <w:lang w:val="uk-UA" w:eastAsia="en-US"/>
        </w:rPr>
        <w:t>10.12737/article_596c5cb0422fb8.04230572.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Бердина О. Н., Рычкова Л. В., Мадаева И. М. Особенности структурной организации сна у школьников с высокими интеллектуальными способностями. </w:t>
      </w:r>
      <w:r w:rsidRPr="002E6ECA">
        <w:rPr>
          <w:rFonts w:eastAsiaTheme="minorHAnsi"/>
          <w:i/>
          <w:sz w:val="28"/>
          <w:szCs w:val="28"/>
          <w:lang w:val="uk-UA" w:eastAsia="en-US"/>
        </w:rPr>
        <w:t>Журнал неврологии и психиатрии им. С.С. Корсакова</w:t>
      </w:r>
      <w:r w:rsidRPr="002E6ECA">
        <w:rPr>
          <w:rFonts w:eastAsiaTheme="minorHAnsi"/>
          <w:sz w:val="28"/>
          <w:szCs w:val="28"/>
          <w:lang w:val="uk-UA" w:eastAsia="en-US"/>
        </w:rPr>
        <w:t>. 2018. №</w:t>
      </w:r>
      <w:r w:rsidRPr="002E6ECA">
        <w:rPr>
          <w:rFonts w:eastAsiaTheme="minorHAnsi"/>
          <w:sz w:val="28"/>
          <w:szCs w:val="28"/>
          <w:lang w:val="uk-UA"/>
        </w:rPr>
        <w:t> </w:t>
      </w:r>
      <w:r w:rsidRPr="002E6ECA">
        <w:rPr>
          <w:rFonts w:eastAsiaTheme="minorHAnsi"/>
          <w:sz w:val="28"/>
          <w:szCs w:val="28"/>
          <w:lang w:val="uk-UA" w:eastAsia="en-US"/>
        </w:rPr>
        <w:t xml:space="preserve">118 (7). С. 78-81. </w:t>
      </w:r>
      <w:hyperlink r:id="rId104" w:history="1">
        <w:r w:rsidRPr="002E6ECA">
          <w:rPr>
            <w:rFonts w:eastAsiaTheme="minorHAnsi"/>
            <w:sz w:val="28"/>
            <w:szCs w:val="28"/>
            <w:lang w:val="uk-UA" w:eastAsia="en-US"/>
          </w:rPr>
          <w:t>https://doi.org/10.17116/jnevro20181187178</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Бердник О. В., Добрянская О. В., Рудницкая О. П., Скочко Т. П. Здоровье населения как критериальная характеристика его качества. </w:t>
      </w:r>
      <w:r w:rsidRPr="002E6ECA">
        <w:rPr>
          <w:rFonts w:eastAsiaTheme="minorHAnsi"/>
          <w:i/>
          <w:sz w:val="28"/>
          <w:szCs w:val="28"/>
          <w:lang w:val="uk-UA" w:eastAsia="en-US"/>
        </w:rPr>
        <w:t>Environment &amp; Health</w:t>
      </w:r>
      <w:r w:rsidRPr="002E6ECA">
        <w:rPr>
          <w:rFonts w:eastAsiaTheme="minorHAnsi"/>
          <w:sz w:val="28"/>
          <w:szCs w:val="28"/>
          <w:lang w:val="uk-UA" w:eastAsia="en-US"/>
        </w:rPr>
        <w:t>. 2018. № 1. С. 4-8.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Берзінь В. І., Стельмахівська В. П. Формування змісту профілактичної роботи зі збереження та зміцнення здоров’я дітей та підлітків у навчально-виховних закладах. </w:t>
      </w:r>
      <w:r w:rsidRPr="002E6ECA">
        <w:rPr>
          <w:rFonts w:eastAsiaTheme="minorHAnsi"/>
          <w:i/>
          <w:sz w:val="28"/>
          <w:szCs w:val="28"/>
          <w:lang w:val="uk-UA" w:eastAsia="en-US"/>
        </w:rPr>
        <w:t>Здоров'я суспільства</w:t>
      </w:r>
      <w:r w:rsidRPr="002E6ECA">
        <w:rPr>
          <w:rFonts w:eastAsiaTheme="minorHAnsi"/>
          <w:sz w:val="28"/>
          <w:szCs w:val="28"/>
          <w:lang w:val="uk-UA" w:eastAsia="en-US"/>
        </w:rPr>
        <w:t>. 2016. Т. 5. № 3-4. C. 64-68.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Бесєдіна О. А., Колпакова Т. М., Даниленко Г. М. Проблеми погіршення стану здоров'я дітей і підлітків в умовах навчального закладу. Актуальні проблеми і основні напрямки розвитку профілактичної науки і практики. Харків, 1997. С. 51-55.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Богачова О.</w:t>
      </w:r>
      <w:r w:rsidRPr="002E6ECA">
        <w:rPr>
          <w:sz w:val="28"/>
          <w:szCs w:val="28"/>
          <w:lang w:val="uk-UA"/>
        </w:rPr>
        <w:t> </w:t>
      </w:r>
      <w:r w:rsidRPr="002E6ECA">
        <w:rPr>
          <w:rFonts w:eastAsiaTheme="minorHAnsi"/>
          <w:sz w:val="28"/>
          <w:szCs w:val="28"/>
          <w:lang w:val="uk-UA" w:eastAsia="en-US"/>
        </w:rPr>
        <w:t>С. та ін. Медицина граничних станів: 30-річний досвід психогігієнічних досліджень; за ред. В.М. Лісового, В.О.</w:t>
      </w:r>
      <w:r w:rsidRPr="002E6ECA">
        <w:rPr>
          <w:rFonts w:eastAsiaTheme="minorHAnsi"/>
          <w:sz w:val="28"/>
          <w:szCs w:val="28"/>
          <w:lang w:val="uk-UA"/>
        </w:rPr>
        <w:t> </w:t>
      </w:r>
      <w:r w:rsidRPr="002E6ECA">
        <w:rPr>
          <w:rFonts w:eastAsiaTheme="minorHAnsi"/>
          <w:sz w:val="28"/>
          <w:szCs w:val="28"/>
          <w:lang w:val="uk-UA" w:eastAsia="en-US"/>
        </w:rPr>
        <w:t>Коробчанського. Харків; Одеса: Прес-кур'єр, 2016. 518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Боднар</w:t>
      </w:r>
      <w:r w:rsidRPr="002E6ECA">
        <w:rPr>
          <w:rFonts w:eastAsiaTheme="minorHAnsi"/>
          <w:sz w:val="28"/>
          <w:szCs w:val="28"/>
          <w:lang w:val="uk-UA"/>
        </w:rPr>
        <w:t> </w:t>
      </w:r>
      <w:r w:rsidRPr="002E6ECA">
        <w:rPr>
          <w:rFonts w:eastAsiaTheme="minorHAnsi"/>
          <w:sz w:val="28"/>
          <w:szCs w:val="28"/>
          <w:lang w:val="uk-UA" w:eastAsia="en-US"/>
        </w:rPr>
        <w:t xml:space="preserve">І. Р., Римар О. В., Соловей А. В., Маланчук Г. Г., Дацків П. П. Об’єктивні критерії для визначення функціонально-резервних можливостей учнів середнього шкільного віку. </w:t>
      </w:r>
      <w:r w:rsidRPr="002E6ECA">
        <w:rPr>
          <w:rFonts w:eastAsiaTheme="minorHAnsi"/>
          <w:i/>
          <w:sz w:val="28"/>
          <w:szCs w:val="28"/>
          <w:lang w:val="uk-UA" w:eastAsia="en-US"/>
        </w:rPr>
        <w:t>Педагогіка психологія та медико-біологічні проблеми фізичного виховання і спорту</w:t>
      </w:r>
      <w:r w:rsidRPr="002E6ECA">
        <w:rPr>
          <w:rFonts w:eastAsiaTheme="minorHAnsi"/>
          <w:sz w:val="28"/>
          <w:szCs w:val="28"/>
          <w:lang w:val="uk-UA" w:eastAsia="en-US"/>
        </w:rPr>
        <w:t>. 2015. № 11. С. 11-19.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Боднар І.</w:t>
      </w:r>
      <w:r w:rsidRPr="002E6ECA">
        <w:rPr>
          <w:sz w:val="28"/>
          <w:szCs w:val="28"/>
          <w:lang w:val="uk-UA"/>
        </w:rPr>
        <w:t> </w:t>
      </w:r>
      <w:r w:rsidRPr="002E6ECA">
        <w:rPr>
          <w:rFonts w:eastAsiaTheme="minorHAnsi"/>
          <w:sz w:val="28"/>
          <w:szCs w:val="28"/>
          <w:lang w:val="uk-UA" w:eastAsia="en-US"/>
        </w:rPr>
        <w:t>Р., Кіндзера А.</w:t>
      </w:r>
      <w:r w:rsidRPr="002E6ECA">
        <w:rPr>
          <w:sz w:val="28"/>
          <w:szCs w:val="28"/>
          <w:lang w:val="uk-UA"/>
        </w:rPr>
        <w:t> </w:t>
      </w:r>
      <w:r w:rsidRPr="002E6ECA">
        <w:rPr>
          <w:rFonts w:eastAsiaTheme="minorHAnsi"/>
          <w:sz w:val="28"/>
          <w:szCs w:val="28"/>
          <w:lang w:val="uk-UA" w:eastAsia="en-US"/>
        </w:rPr>
        <w:t xml:space="preserve">Б. Дозвілля українських школярів і місце рухової активності у ньому. </w:t>
      </w:r>
      <w:r w:rsidRPr="002E6ECA">
        <w:rPr>
          <w:rFonts w:eastAsiaTheme="minorHAnsi"/>
          <w:i/>
          <w:sz w:val="28"/>
          <w:szCs w:val="28"/>
          <w:lang w:val="uk-UA" w:eastAsia="en-US"/>
        </w:rPr>
        <w:t>Педагогіка, психологія та медико-біологічні проблеми фізичного виховання і спорту</w:t>
      </w:r>
      <w:r w:rsidRPr="002E6ECA">
        <w:rPr>
          <w:rFonts w:eastAsiaTheme="minorHAnsi"/>
          <w:sz w:val="28"/>
          <w:szCs w:val="28"/>
          <w:lang w:val="uk-UA" w:eastAsia="en-US"/>
        </w:rPr>
        <w:t>. 2016. № 5. С. 10-18. doi:10.15561/18189172.2016.0502.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Бойченко М.</w:t>
      </w:r>
      <w:r w:rsidRPr="002E6ECA">
        <w:rPr>
          <w:sz w:val="28"/>
          <w:szCs w:val="28"/>
          <w:lang w:val="uk-UA"/>
        </w:rPr>
        <w:t> </w:t>
      </w:r>
      <w:r w:rsidRPr="002E6ECA">
        <w:rPr>
          <w:rFonts w:eastAsiaTheme="minorHAnsi"/>
          <w:sz w:val="28"/>
          <w:szCs w:val="28"/>
          <w:lang w:val="uk-UA" w:eastAsia="en-US"/>
        </w:rPr>
        <w:t xml:space="preserve">А. Діяльність міжнародних організацій у сфері освіти обдарованих і талановитих школярів. </w:t>
      </w:r>
      <w:r w:rsidRPr="002E6ECA">
        <w:rPr>
          <w:rFonts w:eastAsiaTheme="minorHAnsi"/>
          <w:i/>
          <w:sz w:val="28"/>
          <w:szCs w:val="28"/>
          <w:lang w:val="uk-UA" w:eastAsia="en-US"/>
        </w:rPr>
        <w:t>Педагогічні науки: теорія, історія, інноваційні технології</w:t>
      </w:r>
      <w:r w:rsidRPr="002E6ECA">
        <w:rPr>
          <w:rFonts w:eastAsiaTheme="minorHAnsi"/>
          <w:sz w:val="28"/>
          <w:szCs w:val="28"/>
          <w:lang w:val="uk-UA" w:eastAsia="en-US"/>
        </w:rPr>
        <w:t>. 2015. № 5. С. 33-40.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Бочавер А.</w:t>
      </w:r>
      <w:r w:rsidRPr="002E6ECA">
        <w:rPr>
          <w:sz w:val="28"/>
          <w:szCs w:val="28"/>
          <w:lang w:val="uk-UA"/>
        </w:rPr>
        <w:t> </w:t>
      </w:r>
      <w:r w:rsidRPr="002E6ECA">
        <w:rPr>
          <w:rFonts w:eastAsiaTheme="minorHAnsi"/>
          <w:sz w:val="28"/>
          <w:szCs w:val="28"/>
          <w:lang w:val="uk-UA" w:eastAsia="en-US"/>
        </w:rPr>
        <w:t>А., Третьякова Т.</w:t>
      </w:r>
      <w:r w:rsidRPr="002E6ECA">
        <w:rPr>
          <w:sz w:val="28"/>
          <w:szCs w:val="28"/>
          <w:lang w:val="uk-UA"/>
        </w:rPr>
        <w:t> </w:t>
      </w:r>
      <w:r w:rsidRPr="002E6ECA">
        <w:rPr>
          <w:rFonts w:eastAsiaTheme="minorHAnsi"/>
          <w:sz w:val="28"/>
          <w:szCs w:val="28"/>
          <w:lang w:val="uk-UA" w:eastAsia="en-US"/>
        </w:rPr>
        <w:t xml:space="preserve">В. Принципы построения профилактических программ для подростков. </w:t>
      </w:r>
      <w:r w:rsidRPr="002E6ECA">
        <w:rPr>
          <w:rFonts w:eastAsiaTheme="minorHAnsi"/>
          <w:bCs/>
          <w:i/>
          <w:sz w:val="28"/>
          <w:szCs w:val="28"/>
          <w:lang w:val="uk-UA" w:eastAsia="en-US"/>
        </w:rPr>
        <w:t>Психолого-педагогические исследования</w:t>
      </w:r>
      <w:r w:rsidRPr="002E6ECA">
        <w:rPr>
          <w:rFonts w:eastAsiaTheme="minorHAnsi"/>
          <w:sz w:val="28"/>
          <w:szCs w:val="28"/>
          <w:lang w:val="uk-UA" w:eastAsia="en-US"/>
        </w:rPr>
        <w:t xml:space="preserve">. </w:t>
      </w:r>
      <w:hyperlink r:id="rId105" w:history="1">
        <w:r w:rsidRPr="002E6ECA">
          <w:rPr>
            <w:rFonts w:eastAsiaTheme="minorHAnsi"/>
            <w:sz w:val="28"/>
            <w:szCs w:val="28"/>
            <w:lang w:val="uk-UA" w:eastAsia="en-US"/>
          </w:rPr>
          <w:t>2014. Том 6. № 1.</w:t>
        </w:r>
      </w:hyperlink>
      <w:r w:rsidRPr="002E6ECA">
        <w:rPr>
          <w:rFonts w:eastAsiaTheme="minorHAnsi"/>
          <w:sz w:val="28"/>
          <w:szCs w:val="28"/>
          <w:lang w:val="uk-UA" w:eastAsia="en-US"/>
        </w:rPr>
        <w:t xml:space="preserve"> С. 108-116. URL:</w:t>
      </w:r>
      <w:r w:rsidRPr="002E6ECA">
        <w:rPr>
          <w:rFonts w:eastAsiaTheme="minorHAnsi"/>
          <w:sz w:val="28"/>
          <w:szCs w:val="28"/>
          <w:lang w:val="uk-UA"/>
        </w:rPr>
        <w:t> </w:t>
      </w:r>
      <w:r w:rsidRPr="002E6ECA">
        <w:rPr>
          <w:rFonts w:eastAsiaTheme="minorHAnsi"/>
          <w:sz w:val="28"/>
          <w:szCs w:val="28"/>
          <w:lang w:val="uk-UA" w:eastAsia="en-US"/>
        </w:rPr>
        <w:t>http://psyedu.ru/journal/2014/1/Bochaver_Tretjakova.phtml.</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Буров А.</w:t>
      </w:r>
      <w:r w:rsidRPr="002E6ECA">
        <w:rPr>
          <w:sz w:val="28"/>
          <w:szCs w:val="28"/>
          <w:lang w:val="uk-UA"/>
        </w:rPr>
        <w:t> </w:t>
      </w:r>
      <w:r w:rsidRPr="002E6ECA">
        <w:rPr>
          <w:rFonts w:eastAsiaTheme="minorHAnsi"/>
          <w:sz w:val="28"/>
          <w:szCs w:val="28"/>
          <w:lang w:val="uk-UA" w:eastAsia="en-US"/>
        </w:rPr>
        <w:t xml:space="preserve">В. Корреляционный анализ взаимосвязей  между индивидуально-психологическими особенностями детей и показателями </w:t>
      </w:r>
      <w:r w:rsidRPr="002E6ECA">
        <w:rPr>
          <w:rFonts w:eastAsiaTheme="minorHAnsi"/>
          <w:sz w:val="28"/>
          <w:szCs w:val="28"/>
          <w:lang w:val="uk-UA" w:eastAsia="en-US"/>
        </w:rPr>
        <w:lastRenderedPageBreak/>
        <w:t xml:space="preserve">адаптации к школьному обучению. </w:t>
      </w:r>
      <w:r w:rsidRPr="002E6ECA">
        <w:rPr>
          <w:rFonts w:eastAsiaTheme="minorHAnsi"/>
          <w:i/>
          <w:sz w:val="28"/>
          <w:szCs w:val="28"/>
          <w:lang w:val="uk-UA" w:eastAsia="en-US"/>
        </w:rPr>
        <w:t>Конценпт</w:t>
      </w:r>
      <w:r w:rsidRPr="002E6ECA">
        <w:rPr>
          <w:rFonts w:eastAsiaTheme="minorHAnsi"/>
          <w:sz w:val="28"/>
          <w:szCs w:val="28"/>
          <w:lang w:val="uk-UA" w:eastAsia="en-US"/>
        </w:rPr>
        <w:t>. 2014. № 07 (июль). С. 6. ART</w:t>
      </w:r>
      <w:r w:rsidRPr="002E6ECA">
        <w:rPr>
          <w:rFonts w:eastAsiaTheme="minorHAnsi"/>
          <w:sz w:val="28"/>
          <w:szCs w:val="28"/>
          <w:lang w:val="uk-UA"/>
        </w:rPr>
        <w:t> </w:t>
      </w:r>
      <w:r w:rsidRPr="002E6ECA">
        <w:rPr>
          <w:rFonts w:eastAsiaTheme="minorHAnsi"/>
          <w:sz w:val="28"/>
          <w:szCs w:val="28"/>
          <w:lang w:val="uk-UA" w:eastAsia="en-US"/>
        </w:rPr>
        <w:t>14193. - 0,4 п. л. - URL: http://e-koncept. ru/2014/14193. htm. - Гос. рег. Эл № ФС 77-49965. -ISSN 2304-120X.</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Буц М. А. </w:t>
      </w:r>
      <w:r w:rsidRPr="002E6ECA">
        <w:rPr>
          <w:rFonts w:eastAsiaTheme="minorHAnsi"/>
          <w:bCs/>
          <w:sz w:val="28"/>
          <w:szCs w:val="28"/>
          <w:lang w:val="uk-UA" w:eastAsia="en-US"/>
        </w:rPr>
        <w:t>Формування культури здорового харчування школярів</w:t>
      </w:r>
      <w:r w:rsidRPr="002E6ECA">
        <w:rPr>
          <w:rFonts w:eastAsiaTheme="minorHAnsi"/>
          <w:sz w:val="28"/>
          <w:szCs w:val="28"/>
          <w:lang w:val="uk-UA" w:eastAsia="en-US"/>
        </w:rPr>
        <w:t xml:space="preserve">. </w:t>
      </w:r>
      <w:hyperlink r:id="rId106" w:tooltip="Періодичне видання" w:history="1">
        <w:r w:rsidRPr="002E6ECA">
          <w:rPr>
            <w:rFonts w:eastAsiaTheme="minorHAnsi"/>
            <w:i/>
            <w:sz w:val="28"/>
            <w:szCs w:val="28"/>
            <w:lang w:val="uk-UA" w:eastAsia="en-US"/>
          </w:rPr>
          <w:t>Молодий вчений</w:t>
        </w:r>
      </w:hyperlink>
      <w:r w:rsidRPr="002E6ECA">
        <w:rPr>
          <w:rFonts w:eastAsiaTheme="minorHAnsi"/>
          <w:sz w:val="28"/>
          <w:szCs w:val="28"/>
          <w:lang w:val="uk-UA" w:eastAsia="en-US"/>
        </w:rPr>
        <w:t>. 2017. № 9.1. С. 13-16. URL: http://nbuv.gov.ua/UJRN/ molv_2017_9.1_6.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rPr>
        <w:t>Валевська</w:t>
      </w:r>
      <w:r w:rsidRPr="002E6ECA">
        <w:rPr>
          <w:sz w:val="28"/>
          <w:szCs w:val="28"/>
          <w:lang w:val="uk-UA"/>
        </w:rPr>
        <w:t> </w:t>
      </w:r>
      <w:r w:rsidRPr="002E6ECA">
        <w:rPr>
          <w:sz w:val="28"/>
          <w:szCs w:val="28"/>
        </w:rPr>
        <w:t>Л.</w:t>
      </w:r>
      <w:r w:rsidRPr="002E6ECA">
        <w:rPr>
          <w:sz w:val="28"/>
          <w:szCs w:val="28"/>
          <w:lang w:val="uk-UA"/>
        </w:rPr>
        <w:t> </w:t>
      </w:r>
      <w:r w:rsidRPr="002E6ECA">
        <w:rPr>
          <w:sz w:val="28"/>
          <w:szCs w:val="28"/>
        </w:rPr>
        <w:t>О., Соколовська</w:t>
      </w:r>
      <w:r w:rsidRPr="002E6ECA">
        <w:rPr>
          <w:sz w:val="28"/>
          <w:szCs w:val="28"/>
          <w:lang w:val="uk-UA"/>
        </w:rPr>
        <w:t> </w:t>
      </w:r>
      <w:r w:rsidRPr="002E6ECA">
        <w:rPr>
          <w:sz w:val="28"/>
          <w:szCs w:val="28"/>
        </w:rPr>
        <w:t>О.</w:t>
      </w:r>
      <w:r w:rsidRPr="002E6ECA">
        <w:rPr>
          <w:sz w:val="28"/>
          <w:szCs w:val="28"/>
          <w:lang w:val="uk-UA"/>
        </w:rPr>
        <w:t> </w:t>
      </w:r>
      <w:r w:rsidRPr="002E6ECA">
        <w:rPr>
          <w:sz w:val="28"/>
          <w:szCs w:val="28"/>
        </w:rPr>
        <w:t>Г.</w:t>
      </w:r>
      <w:r w:rsidRPr="002E6ECA">
        <w:rPr>
          <w:sz w:val="28"/>
          <w:szCs w:val="28"/>
          <w:lang w:val="uk-UA"/>
        </w:rPr>
        <w:t xml:space="preserve"> С</w:t>
      </w:r>
      <w:r w:rsidRPr="002E6ECA">
        <w:rPr>
          <w:sz w:val="28"/>
          <w:szCs w:val="28"/>
        </w:rPr>
        <w:t>творення оздоровчих харчових продуктів</w:t>
      </w:r>
      <w:r w:rsidRPr="002E6ECA">
        <w:rPr>
          <w:rFonts w:eastAsiaTheme="minorHAnsi"/>
          <w:sz w:val="28"/>
          <w:szCs w:val="28"/>
          <w:lang w:val="uk-UA" w:eastAsia="en-US"/>
        </w:rPr>
        <w:t xml:space="preserve">. </w:t>
      </w:r>
      <w:r w:rsidRPr="002E6ECA">
        <w:rPr>
          <w:i/>
          <w:sz w:val="28"/>
          <w:szCs w:val="28"/>
        </w:rPr>
        <w:t>Проблеми формування здорового способу життя у молоді</w:t>
      </w:r>
      <w:r w:rsidRPr="002E6ECA">
        <w:rPr>
          <w:i/>
          <w:sz w:val="28"/>
          <w:szCs w:val="28"/>
          <w:lang w:val="uk-UA"/>
        </w:rPr>
        <w:t xml:space="preserve"> :</w:t>
      </w:r>
      <w:r w:rsidRPr="002E6ECA">
        <w:rPr>
          <w:sz w:val="28"/>
          <w:szCs w:val="28"/>
        </w:rPr>
        <w:t xml:space="preserve"> Х</w:t>
      </w:r>
      <w:r w:rsidRPr="002E6ECA">
        <w:rPr>
          <w:sz w:val="28"/>
          <w:szCs w:val="28"/>
          <w:lang w:val="uk-UA"/>
        </w:rPr>
        <w:t xml:space="preserve"> </w:t>
      </w:r>
      <w:r w:rsidRPr="002E6ECA">
        <w:rPr>
          <w:sz w:val="28"/>
          <w:szCs w:val="28"/>
        </w:rPr>
        <w:t>Всеукраїнськ</w:t>
      </w:r>
      <w:r w:rsidRPr="002E6ECA">
        <w:rPr>
          <w:sz w:val="28"/>
          <w:szCs w:val="28"/>
          <w:lang w:val="uk-UA"/>
        </w:rPr>
        <w:t>а</w:t>
      </w:r>
      <w:r w:rsidRPr="002E6ECA">
        <w:rPr>
          <w:sz w:val="28"/>
          <w:szCs w:val="28"/>
        </w:rPr>
        <w:t xml:space="preserve"> науково-практичн</w:t>
      </w:r>
      <w:r w:rsidRPr="002E6ECA">
        <w:rPr>
          <w:sz w:val="28"/>
          <w:szCs w:val="28"/>
          <w:lang w:val="uk-UA"/>
        </w:rPr>
        <w:t>а</w:t>
      </w:r>
      <w:r w:rsidRPr="002E6ECA">
        <w:rPr>
          <w:sz w:val="28"/>
          <w:szCs w:val="28"/>
        </w:rPr>
        <w:t xml:space="preserve"> конференці</w:t>
      </w:r>
      <w:r w:rsidRPr="002E6ECA">
        <w:rPr>
          <w:sz w:val="28"/>
          <w:szCs w:val="28"/>
          <w:lang w:val="uk-UA"/>
        </w:rPr>
        <w:t xml:space="preserve">я </w:t>
      </w:r>
      <w:r w:rsidRPr="002E6ECA">
        <w:rPr>
          <w:sz w:val="28"/>
          <w:szCs w:val="28"/>
        </w:rPr>
        <w:t>молодих учених та студентів з міжнародною участю</w:t>
      </w:r>
      <w:r w:rsidRPr="002E6ECA">
        <w:rPr>
          <w:i/>
          <w:sz w:val="28"/>
          <w:szCs w:val="28"/>
          <w:lang w:val="uk-UA"/>
        </w:rPr>
        <w:t xml:space="preserve">, </w:t>
      </w:r>
      <w:r w:rsidRPr="002E6ECA">
        <w:rPr>
          <w:sz w:val="28"/>
          <w:szCs w:val="28"/>
          <w:lang w:val="uk-UA"/>
        </w:rPr>
        <w:t>м. Одеса,</w:t>
      </w:r>
      <w:r w:rsidRPr="002E6ECA">
        <w:rPr>
          <w:i/>
          <w:sz w:val="28"/>
          <w:szCs w:val="28"/>
          <w:lang w:val="uk-UA"/>
        </w:rPr>
        <w:t xml:space="preserve"> </w:t>
      </w:r>
      <w:r w:rsidRPr="002E6ECA">
        <w:rPr>
          <w:sz w:val="28"/>
          <w:szCs w:val="28"/>
        </w:rPr>
        <w:t>29</w:t>
      </w:r>
      <w:r w:rsidRPr="002E6ECA">
        <w:rPr>
          <w:sz w:val="28"/>
          <w:szCs w:val="28"/>
          <w:lang w:val="uk-UA"/>
        </w:rPr>
        <w:t xml:space="preserve"> </w:t>
      </w:r>
      <w:r w:rsidRPr="002E6ECA">
        <w:rPr>
          <w:sz w:val="28"/>
          <w:szCs w:val="28"/>
        </w:rPr>
        <w:t>вересня - 1 жовтня</w:t>
      </w:r>
      <w:r w:rsidRPr="002E6ECA">
        <w:rPr>
          <w:sz w:val="28"/>
          <w:szCs w:val="28"/>
          <w:lang w:val="uk-UA"/>
        </w:rPr>
        <w:t xml:space="preserve"> </w:t>
      </w:r>
      <w:r w:rsidRPr="002E6ECA">
        <w:rPr>
          <w:sz w:val="28"/>
          <w:szCs w:val="28"/>
        </w:rPr>
        <w:t>2017 р.</w:t>
      </w:r>
      <w:r w:rsidRPr="002E6ECA">
        <w:rPr>
          <w:sz w:val="28"/>
          <w:szCs w:val="28"/>
          <w:lang w:val="uk-UA"/>
        </w:rPr>
        <w:t xml:space="preserve"> Одеса, 2017. С. 183-184.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Варич Л. А., Сорокина Ю. В. Особенности психофизиологической адаптации учащихся младшего школьного возраста. </w:t>
      </w:r>
      <w:r w:rsidRPr="002E6ECA">
        <w:rPr>
          <w:rFonts w:eastAsiaTheme="minorHAnsi"/>
          <w:i/>
          <w:sz w:val="28"/>
          <w:szCs w:val="28"/>
          <w:lang w:val="uk-UA" w:eastAsia="en-US"/>
        </w:rPr>
        <w:t>Вестник Кемеровского государственного университета</w:t>
      </w:r>
      <w:r w:rsidRPr="002E6ECA">
        <w:rPr>
          <w:rFonts w:eastAsiaTheme="minorHAnsi"/>
          <w:sz w:val="28"/>
          <w:szCs w:val="28"/>
          <w:lang w:val="uk-UA" w:eastAsia="en-US"/>
        </w:rPr>
        <w:t>. 2017. № 2. С. 17-122.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Василькевич Я. Освіта обдарованих дітей: тенденції та виклики сьогодення. </w:t>
      </w:r>
      <w:r w:rsidRPr="002E6ECA">
        <w:rPr>
          <w:rFonts w:eastAsiaTheme="minorHAnsi"/>
          <w:i/>
          <w:sz w:val="28"/>
          <w:szCs w:val="28"/>
          <w:lang w:val="uk-UA" w:eastAsia="en-US"/>
        </w:rPr>
        <w:t>Рідна школа</w:t>
      </w:r>
      <w:r w:rsidRPr="002E6ECA">
        <w:rPr>
          <w:rFonts w:eastAsiaTheme="minorHAnsi"/>
          <w:sz w:val="28"/>
          <w:szCs w:val="28"/>
          <w:lang w:val="uk-UA" w:eastAsia="en-US"/>
        </w:rPr>
        <w:t>. 2015. № 11-12 (листопад-грудень). С. 35-39.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Васюк С. Н. Адаптация первоклассников к школе. </w:t>
      </w:r>
      <w:hyperlink r:id="rId107" w:history="1">
        <w:r w:rsidRPr="002E6ECA">
          <w:rPr>
            <w:rFonts w:eastAsiaTheme="minorHAnsi"/>
            <w:i/>
            <w:sz w:val="28"/>
            <w:szCs w:val="28"/>
            <w:lang w:val="uk-UA" w:eastAsia="en-US"/>
          </w:rPr>
          <w:t>Вопросы науки и образования</w:t>
        </w:r>
      </w:hyperlink>
      <w:r w:rsidRPr="002E6ECA">
        <w:rPr>
          <w:rFonts w:eastAsiaTheme="minorHAnsi"/>
          <w:sz w:val="28"/>
          <w:szCs w:val="28"/>
          <w:lang w:val="uk-UA" w:eastAsia="en-US"/>
        </w:rPr>
        <w:t>. 2018. № 5. С. 19-26.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Ващенко О. М. Організаційно-педагогічні особливості побудови здоров’язбережувального освітнього середовища початкової школи. </w:t>
      </w:r>
      <w:r w:rsidRPr="002E6ECA">
        <w:rPr>
          <w:rFonts w:eastAsiaTheme="minorHAnsi"/>
          <w:i/>
          <w:sz w:val="28"/>
          <w:szCs w:val="28"/>
          <w:lang w:val="uk-UA" w:eastAsia="en-US"/>
        </w:rPr>
        <w:t>Тенденції та перспективи розвитку науки і освіти в умовах глобалізації</w:t>
      </w:r>
      <w:r w:rsidRPr="002E6ECA">
        <w:rPr>
          <w:rFonts w:eastAsiaTheme="minorHAnsi"/>
          <w:sz w:val="28"/>
          <w:szCs w:val="28"/>
          <w:lang w:val="uk-UA" w:eastAsia="en-US"/>
        </w:rPr>
        <w:t xml:space="preserve">. 2016. № 15. С. 44-48.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Венцель Л. Р. Состояние здоровья интеллектуально одаренных детей : автореф. дисс. ... канд. мед. наук : 14.00.09. Алматы, 1999. 32 с. URL: http://medical-diss.com/medicina/sostoyanie-zdorovya-intellektualno-odarennyh-detey.</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Височина І. Л. Рівень адаптації як базисна характеристика стану здоров’я:можливості оцінки та прогнозування дезадаптивних порушень. </w:t>
      </w:r>
      <w:hyperlink r:id="rId108" w:tooltip="Періодичне видання" w:history="1">
        <w:r w:rsidRPr="002E6ECA">
          <w:rPr>
            <w:rFonts w:eastAsiaTheme="minorHAnsi"/>
            <w:i/>
            <w:sz w:val="28"/>
            <w:szCs w:val="28"/>
            <w:lang w:val="uk-UA" w:eastAsia="en-US"/>
          </w:rPr>
          <w:t>Медичні перспективи</w:t>
        </w:r>
      </w:hyperlink>
      <w:r w:rsidRPr="002E6ECA">
        <w:rPr>
          <w:rFonts w:eastAsiaTheme="minorHAnsi"/>
          <w:sz w:val="28"/>
          <w:szCs w:val="28"/>
          <w:lang w:val="uk-UA" w:eastAsia="en-US"/>
        </w:rPr>
        <w:t>. 2015. Т. 20. № 3. С. 48-55.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Вихарева Е. Г., Винярская И. В., Третьякова Т. В., Черников В. В. Взаимосвязь показателей качества жизни и школьной успеваемости подростков. </w:t>
      </w:r>
      <w:r w:rsidRPr="002E6ECA">
        <w:rPr>
          <w:rFonts w:eastAsiaTheme="minorHAnsi"/>
          <w:i/>
          <w:sz w:val="28"/>
          <w:szCs w:val="28"/>
          <w:lang w:val="uk-UA" w:eastAsia="en-US"/>
        </w:rPr>
        <w:t>Российский педиатрический журнал</w:t>
      </w:r>
      <w:r w:rsidRPr="002E6ECA">
        <w:rPr>
          <w:rFonts w:eastAsiaTheme="minorHAnsi"/>
          <w:sz w:val="28"/>
          <w:szCs w:val="28"/>
          <w:lang w:val="uk-UA" w:eastAsia="en-US"/>
        </w:rPr>
        <w:t>. 2017. № 20 (2). С. 90-93. doi: http://dx.doi.org/10.18821/1560-9561-2017-20 (2) 90-93.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Власенко А. В., Долгих В. В., Рычкова Л. В., Родионова А. Н. Методы немедикаментозной коррекции психосоматических расстройств у одаренных детей. </w:t>
      </w:r>
      <w:r w:rsidRPr="002E6ECA">
        <w:rPr>
          <w:rFonts w:eastAsiaTheme="minorHAnsi"/>
          <w:i/>
          <w:sz w:val="28"/>
          <w:szCs w:val="28"/>
          <w:lang w:val="uk-UA" w:eastAsia="en-US"/>
        </w:rPr>
        <w:t>Бюллетень ВСНЦ СО РАМН</w:t>
      </w:r>
      <w:r w:rsidRPr="002E6ECA">
        <w:rPr>
          <w:rFonts w:eastAsiaTheme="minorHAnsi"/>
          <w:sz w:val="28"/>
          <w:szCs w:val="28"/>
          <w:lang w:val="uk-UA" w:eastAsia="en-US"/>
        </w:rPr>
        <w:t>. 2011. № 5 (81). С. 13-15.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Волкова</w:t>
      </w:r>
      <w:r w:rsidRPr="002E6ECA">
        <w:rPr>
          <w:rFonts w:eastAsiaTheme="minorHAnsi"/>
          <w:sz w:val="28"/>
          <w:szCs w:val="28"/>
          <w:lang w:val="uk-UA"/>
        </w:rPr>
        <w:t> </w:t>
      </w:r>
      <w:r w:rsidRPr="002E6ECA">
        <w:rPr>
          <w:rFonts w:eastAsiaTheme="minorHAnsi"/>
          <w:sz w:val="28"/>
          <w:szCs w:val="28"/>
          <w:lang w:val="uk-UA" w:eastAsia="en-US"/>
        </w:rPr>
        <w:t xml:space="preserve">Ю. В. Аналіз захворюваності дитячого населення, що мешкає в промисловому мегаполісі. </w:t>
      </w:r>
      <w:r w:rsidRPr="002E6ECA">
        <w:rPr>
          <w:rFonts w:eastAsiaTheme="minorHAnsi"/>
          <w:i/>
          <w:sz w:val="28"/>
          <w:szCs w:val="28"/>
          <w:lang w:val="uk-UA" w:eastAsia="en-US"/>
        </w:rPr>
        <w:t>Вісник проблем біології і медицини</w:t>
      </w:r>
      <w:r w:rsidRPr="002E6ECA">
        <w:rPr>
          <w:rFonts w:eastAsiaTheme="minorHAnsi"/>
          <w:sz w:val="28"/>
          <w:szCs w:val="28"/>
          <w:lang w:val="uk-UA" w:eastAsia="en-US"/>
        </w:rPr>
        <w:t>. 2019. № 1 Т. 1 (148). С.81-85.</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Выготский</w:t>
      </w:r>
      <w:r w:rsidRPr="002E6ECA">
        <w:rPr>
          <w:rFonts w:eastAsiaTheme="minorHAnsi"/>
          <w:sz w:val="28"/>
          <w:szCs w:val="28"/>
          <w:lang w:val="uk-UA"/>
        </w:rPr>
        <w:t> </w:t>
      </w:r>
      <w:r w:rsidRPr="002E6ECA">
        <w:rPr>
          <w:rFonts w:eastAsiaTheme="minorHAnsi"/>
          <w:spacing w:val="-2"/>
          <w:sz w:val="28"/>
          <w:szCs w:val="28"/>
          <w:lang w:val="uk-UA" w:eastAsia="en-US"/>
        </w:rPr>
        <w:t>Л. С. Психология развития человека. Москва. 2005. 136 с.</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z w:val="28"/>
          <w:szCs w:val="28"/>
          <w:shd w:val="clear" w:color="auto" w:fill="FFFFFF"/>
          <w:lang w:val="uk-UA" w:eastAsia="en-US"/>
        </w:rPr>
        <w:t>Гавриш І</w:t>
      </w:r>
      <w:r w:rsidRPr="002E6ECA">
        <w:rPr>
          <w:rFonts w:eastAsiaTheme="minorHAnsi"/>
          <w:spacing w:val="-2"/>
          <w:sz w:val="28"/>
          <w:szCs w:val="28"/>
          <w:shd w:val="clear" w:color="auto" w:fill="FFFFFF"/>
          <w:lang w:val="uk-UA" w:eastAsia="en-US"/>
        </w:rPr>
        <w:t xml:space="preserve">. В. Ткачов А. С. Теоретико-методологічні основи реалізації компетентнісно орієнтованої освіти обдарованих учнів у межах науково-педагогічного проекту «Інтелект України». </w:t>
      </w:r>
      <w:r w:rsidRPr="002E6ECA">
        <w:rPr>
          <w:rFonts w:eastAsiaTheme="minorHAnsi"/>
          <w:i/>
          <w:spacing w:val="-2"/>
          <w:sz w:val="28"/>
          <w:szCs w:val="28"/>
          <w:shd w:val="clear" w:color="auto" w:fill="FFFFFF"/>
          <w:lang w:val="uk-UA" w:eastAsia="en-US"/>
        </w:rPr>
        <w:t>Педагогіка формування творчої особистості у вищій і загальноосвітній школах</w:t>
      </w:r>
      <w:r w:rsidRPr="002E6ECA">
        <w:rPr>
          <w:rFonts w:eastAsiaTheme="minorHAnsi"/>
          <w:spacing w:val="-2"/>
          <w:sz w:val="28"/>
          <w:szCs w:val="28"/>
          <w:shd w:val="clear" w:color="auto" w:fill="FFFFFF"/>
          <w:lang w:val="uk-UA" w:eastAsia="en-US"/>
        </w:rPr>
        <w:t>. 2017. Вип. 55. С. 133-141.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Гальперин П. Я. Лекции по психологии / под ред. и с предисл. А. И. Подольского. Москва. 2002. 226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Гатиятуллина</w:t>
      </w:r>
      <w:r w:rsidRPr="002E6ECA">
        <w:rPr>
          <w:rFonts w:eastAsiaTheme="minorHAnsi"/>
          <w:sz w:val="28"/>
          <w:szCs w:val="28"/>
          <w:lang w:val="uk-UA"/>
        </w:rPr>
        <w:t> </w:t>
      </w:r>
      <w:r w:rsidRPr="002E6ECA">
        <w:rPr>
          <w:rFonts w:eastAsiaTheme="minorHAnsi"/>
          <w:sz w:val="28"/>
          <w:szCs w:val="28"/>
          <w:lang w:val="uk-UA" w:eastAsia="en-US"/>
        </w:rPr>
        <w:t xml:space="preserve">Л. Р., Малиевский В. А., Винярская И. В., Коновалова Г. М. Показатели качества жизни детей младшего школьного возраста в республике Башкортостан. </w:t>
      </w:r>
      <w:r w:rsidRPr="002E6ECA">
        <w:rPr>
          <w:rFonts w:eastAsiaTheme="minorHAnsi"/>
          <w:i/>
          <w:sz w:val="28"/>
          <w:szCs w:val="28"/>
          <w:lang w:val="uk-UA" w:eastAsia="en-US"/>
        </w:rPr>
        <w:t>Российский педиатрический журнал</w:t>
      </w:r>
      <w:r w:rsidRPr="002E6ECA">
        <w:rPr>
          <w:rFonts w:eastAsiaTheme="minorHAnsi"/>
          <w:sz w:val="28"/>
          <w:szCs w:val="28"/>
          <w:lang w:val="uk-UA" w:eastAsia="en-US"/>
        </w:rPr>
        <w:t>. 2014. № 5 (17). C. 34-38. ISSN: 1560-9561.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Геза А. В. Застосування кібернетики в медицині. </w:t>
      </w:r>
      <w:r w:rsidRPr="002E6ECA">
        <w:rPr>
          <w:rFonts w:eastAsiaTheme="minorHAnsi"/>
          <w:i/>
          <w:sz w:val="28"/>
          <w:szCs w:val="28"/>
          <w:lang w:val="uk-UA" w:eastAsia="en-US"/>
        </w:rPr>
        <w:t>Вісник Нац. техн. ун-ту "ХПІ"</w:t>
      </w:r>
      <w:r w:rsidRPr="002E6ECA">
        <w:rPr>
          <w:rFonts w:eastAsiaTheme="minorHAnsi"/>
          <w:sz w:val="28"/>
          <w:szCs w:val="28"/>
          <w:lang w:val="uk-UA" w:eastAsia="en-US"/>
        </w:rPr>
        <w:t>: зб. наук. пр. Темат. вип.: Історія науки і техніки. Харків: НТУ "ХПІ". 2013. № 68 (1041). С. 40-45.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Герри К. Д., Байдин В. М. Источники искажений в самооценке здоровья. </w:t>
      </w:r>
      <w:r w:rsidRPr="002E6ECA">
        <w:rPr>
          <w:rFonts w:eastAsiaTheme="minorHAnsi"/>
          <w:i/>
          <w:sz w:val="28"/>
          <w:szCs w:val="28"/>
          <w:lang w:val="uk-UA" w:eastAsia="en-US"/>
        </w:rPr>
        <w:t>Фармакоэкономика. Современная фармакоэкономика и фармакоэпидемиология</w:t>
      </w:r>
      <w:r w:rsidRPr="002E6ECA">
        <w:rPr>
          <w:rFonts w:eastAsiaTheme="minorHAnsi"/>
          <w:sz w:val="28"/>
          <w:szCs w:val="28"/>
          <w:lang w:val="uk-UA" w:eastAsia="en-US"/>
        </w:rPr>
        <w:t>. 2017. Т. 10. № 4 С. 31-36. https://doi.org/10.17749/2070-4909.2017.10.4.031-036.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lang w:val="uk-UA" w:eastAsia="en-US"/>
        </w:rPr>
        <w:t>Гилева О. Б Психофизиологические основы успешности учебной деятельности: монография. Екатеринбург. 2012. 271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Гирш Я. В., Герасимчик О. А. Роль и место биоимпедансного анализа в оценке состава тела детей и подростков с различной массой тела. </w:t>
      </w:r>
      <w:r w:rsidRPr="002E6ECA">
        <w:rPr>
          <w:rFonts w:eastAsiaTheme="minorHAnsi"/>
          <w:i/>
          <w:sz w:val="28"/>
          <w:szCs w:val="28"/>
          <w:lang w:val="uk-UA" w:eastAsia="en-US"/>
        </w:rPr>
        <w:t>Бюллетень сибирской медицины</w:t>
      </w:r>
      <w:r w:rsidRPr="002E6ECA">
        <w:rPr>
          <w:rFonts w:eastAsiaTheme="minorHAnsi"/>
          <w:sz w:val="28"/>
          <w:szCs w:val="28"/>
          <w:lang w:val="uk-UA" w:eastAsia="en-US"/>
        </w:rPr>
        <w:t>. 2018. № 17 (2). С. 121-132. DOI: 10.20538/1682-0363-2018-2-121-132.</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 xml:space="preserve">Гладкая В. С., Грицинская В. Л. Индексная оценка физического развития сельских школьников. </w:t>
      </w:r>
      <w:r w:rsidRPr="002E6ECA">
        <w:rPr>
          <w:rFonts w:eastAsiaTheme="minorHAnsi"/>
          <w:i/>
          <w:spacing w:val="-2"/>
          <w:sz w:val="28"/>
          <w:szCs w:val="28"/>
          <w:lang w:val="uk-UA" w:eastAsia="en-US"/>
        </w:rPr>
        <w:t>Мать и дитя в Кузбассе.</w:t>
      </w:r>
      <w:r w:rsidRPr="002E6ECA">
        <w:rPr>
          <w:rFonts w:eastAsiaTheme="minorHAnsi"/>
          <w:sz w:val="28"/>
          <w:szCs w:val="28"/>
          <w:lang w:val="uk-UA"/>
        </w:rPr>
        <w:t> </w:t>
      </w:r>
      <w:r w:rsidRPr="002E6ECA">
        <w:rPr>
          <w:rFonts w:eastAsiaTheme="minorHAnsi"/>
          <w:spacing w:val="-2"/>
          <w:sz w:val="28"/>
          <w:szCs w:val="28"/>
          <w:lang w:val="uk-UA" w:eastAsia="en-US"/>
        </w:rPr>
        <w:t>2017. №3 (70). С. 36-39.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Гозак</w:t>
      </w:r>
      <w:r w:rsidRPr="002E6ECA">
        <w:rPr>
          <w:rFonts w:eastAsiaTheme="minorHAnsi"/>
          <w:sz w:val="28"/>
          <w:szCs w:val="28"/>
          <w:lang w:val="uk-UA"/>
        </w:rPr>
        <w:t> </w:t>
      </w:r>
      <w:r w:rsidRPr="002E6ECA">
        <w:rPr>
          <w:rFonts w:eastAsiaTheme="minorHAnsi"/>
          <w:sz w:val="28"/>
          <w:szCs w:val="28"/>
          <w:lang w:val="uk-UA" w:eastAsia="en-US"/>
        </w:rPr>
        <w:t xml:space="preserve">С. В. Вплив чинників навчального процесу на показники здоров'я школярів. </w:t>
      </w:r>
      <w:r w:rsidRPr="002E6ECA">
        <w:rPr>
          <w:rFonts w:eastAsiaTheme="minorHAnsi"/>
          <w:i/>
          <w:sz w:val="28"/>
          <w:szCs w:val="28"/>
          <w:lang w:val="uk-UA" w:eastAsia="en-US"/>
        </w:rPr>
        <w:t>Environment &amp; Health</w:t>
      </w:r>
      <w:r w:rsidRPr="002E6ECA">
        <w:rPr>
          <w:rFonts w:eastAsiaTheme="minorHAnsi"/>
          <w:sz w:val="28"/>
          <w:szCs w:val="28"/>
          <w:lang w:val="uk-UA" w:eastAsia="en-US"/>
        </w:rPr>
        <w:t xml:space="preserve">. 2012. № 3. С. 17-20.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Гозак С. В. Гігієнічна оцінка впровадження вальдорфської педагогічної технології в загальноосвітніх навчальних закладах України: автореф. дис. … канд. мед. наук: 14.02.01. Київ, 2006. 23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Гозак С. В. Єлізарова О. Т., Шумак О. В., Філоненко О. О. Залежність розумової працездатності учнів середнього шкільного віку від організації режиму дня. </w:t>
      </w:r>
      <w:r w:rsidRPr="002E6ECA">
        <w:rPr>
          <w:rFonts w:eastAsiaTheme="minorHAnsi"/>
          <w:i/>
          <w:sz w:val="28"/>
          <w:szCs w:val="28"/>
          <w:lang w:val="uk-UA" w:eastAsia="en-US"/>
        </w:rPr>
        <w:t>Молодий вчений</w:t>
      </w:r>
      <w:r w:rsidRPr="002E6ECA">
        <w:rPr>
          <w:rFonts w:eastAsiaTheme="minorHAnsi"/>
          <w:sz w:val="28"/>
          <w:szCs w:val="28"/>
          <w:lang w:val="uk-UA" w:eastAsia="en-US"/>
        </w:rPr>
        <w:t>. 2016. № 9.1 (36.1). С. 50-54.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Гозак С. В. Здоров’я дітей в умовах сучасних викликів. Міні-лекція на XIV Всеукраїнському фестивалі здоров’я. 20</w:t>
      </w:r>
      <w:r w:rsidRPr="002E6ECA">
        <w:rPr>
          <w:rFonts w:eastAsiaTheme="minorHAnsi"/>
          <w:sz w:val="28"/>
          <w:szCs w:val="28"/>
          <w:lang w:eastAsia="en-US"/>
        </w:rPr>
        <w:t>20</w:t>
      </w:r>
      <w:r w:rsidRPr="002E6ECA">
        <w:rPr>
          <w:rFonts w:eastAsiaTheme="minorHAnsi"/>
          <w:sz w:val="28"/>
          <w:szCs w:val="28"/>
          <w:lang w:val="uk-UA" w:eastAsia="en-US"/>
        </w:rPr>
        <w:t>. URL: http://www.health.gov.ua/www.nsf/all/u03-01-03-03?opendocument.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Гозак С. В., Єлізарова О. Т., Станкевич Т. В., Парац А. М. Фактичне харчування сучасних школярів та його вплив на розумову працездатність і втому. </w:t>
      </w:r>
      <w:r w:rsidRPr="002E6ECA">
        <w:rPr>
          <w:rFonts w:eastAsiaTheme="minorHAnsi"/>
          <w:i/>
          <w:sz w:val="28"/>
          <w:szCs w:val="28"/>
          <w:lang w:val="uk-UA" w:eastAsia="en-US"/>
        </w:rPr>
        <w:t>Environment &amp; Health</w:t>
      </w:r>
      <w:r w:rsidRPr="002E6ECA">
        <w:rPr>
          <w:rFonts w:eastAsiaTheme="minorHAnsi"/>
          <w:sz w:val="28"/>
          <w:szCs w:val="28"/>
          <w:lang w:val="uk-UA" w:eastAsia="en-US"/>
        </w:rPr>
        <w:t xml:space="preserve">. 2017. № 3 С. 29-33. </w:t>
      </w:r>
      <w:hyperlink r:id="rId109" w:tgtFrame="_blank" w:history="1">
        <w:r w:rsidRPr="002E6ECA">
          <w:rPr>
            <w:rFonts w:eastAsiaTheme="minorHAnsi"/>
            <w:sz w:val="28"/>
            <w:szCs w:val="28"/>
            <w:lang w:val="uk-UA" w:eastAsia="en-US"/>
          </w:rPr>
          <w:t>https://doi.org/10.32402/dovkil2017.03.029</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Гозак С.</w:t>
      </w:r>
      <w:r w:rsidRPr="002E6ECA">
        <w:rPr>
          <w:rFonts w:eastAsiaTheme="minorHAnsi"/>
          <w:sz w:val="28"/>
          <w:szCs w:val="28"/>
          <w:lang w:val="uk-UA"/>
        </w:rPr>
        <w:t> </w:t>
      </w:r>
      <w:r w:rsidRPr="002E6ECA">
        <w:rPr>
          <w:rFonts w:eastAsiaTheme="minorHAnsi"/>
          <w:sz w:val="28"/>
          <w:szCs w:val="28"/>
          <w:lang w:val="uk-UA" w:eastAsia="en-US"/>
        </w:rPr>
        <w:t xml:space="preserve">В., Єлізарова О. Т., Станкевич Т. В., Парац А. М. Тривалість нічного сну школярів як гігієнічна проблема. </w:t>
      </w:r>
      <w:r w:rsidRPr="002E6ECA">
        <w:rPr>
          <w:rFonts w:eastAsiaTheme="minorHAnsi"/>
          <w:i/>
          <w:sz w:val="28"/>
          <w:szCs w:val="28"/>
          <w:lang w:val="uk-UA" w:eastAsia="en-US"/>
        </w:rPr>
        <w:t>Environment &amp; Health</w:t>
      </w:r>
      <w:r w:rsidRPr="002E6ECA">
        <w:rPr>
          <w:rFonts w:eastAsiaTheme="minorHAnsi"/>
          <w:sz w:val="28"/>
          <w:szCs w:val="28"/>
          <w:lang w:val="uk-UA" w:eastAsia="en-US"/>
        </w:rPr>
        <w:t xml:space="preserve">. 2018. № 1. С. 68-72.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Calibri"/>
          <w:sz w:val="28"/>
          <w:szCs w:val="28"/>
          <w:lang w:val="uk-UA" w:eastAsia="en-US"/>
        </w:rPr>
        <w:t>Г</w:t>
      </w:r>
      <w:r w:rsidRPr="002E6ECA">
        <w:rPr>
          <w:rFonts w:eastAsiaTheme="minorHAnsi"/>
          <w:sz w:val="28"/>
          <w:szCs w:val="28"/>
          <w:lang w:val="uk-UA" w:eastAsia="en-US"/>
        </w:rPr>
        <w:t>озак</w:t>
      </w:r>
      <w:r w:rsidRPr="002E6ECA">
        <w:rPr>
          <w:rFonts w:eastAsia="Calibri"/>
          <w:sz w:val="28"/>
          <w:szCs w:val="28"/>
          <w:lang w:val="uk-UA" w:eastAsia="en-US"/>
        </w:rPr>
        <w:t> С</w:t>
      </w:r>
      <w:r w:rsidRPr="002E6ECA">
        <w:rPr>
          <w:rFonts w:eastAsiaTheme="minorHAnsi"/>
          <w:sz w:val="28"/>
          <w:szCs w:val="28"/>
          <w:lang w:val="uk-UA" w:eastAsia="en-US"/>
        </w:rPr>
        <w:t>.</w:t>
      </w:r>
      <w:r w:rsidRPr="002E6ECA">
        <w:rPr>
          <w:sz w:val="28"/>
          <w:szCs w:val="28"/>
          <w:lang w:val="uk-UA"/>
        </w:rPr>
        <w:t> </w:t>
      </w:r>
      <w:r w:rsidRPr="002E6ECA">
        <w:rPr>
          <w:rFonts w:eastAsia="Calibri"/>
          <w:sz w:val="28"/>
          <w:szCs w:val="28"/>
          <w:lang w:val="uk-UA" w:eastAsia="en-US"/>
        </w:rPr>
        <w:t>В</w:t>
      </w:r>
      <w:r w:rsidRPr="002E6ECA">
        <w:rPr>
          <w:rFonts w:eastAsiaTheme="minorHAnsi"/>
          <w:sz w:val="28"/>
          <w:szCs w:val="28"/>
          <w:lang w:val="uk-UA" w:eastAsia="en-US"/>
        </w:rPr>
        <w:t>. Удосконалення гігієнічних принципів формування здоров’язберігаючих технологій організації навчального процесу в загальноосвітніх навчальних закладах: автореф. дис. … д. мед. наук: 14.02.01. Київ, 2014. 65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Гозак С., Шумак О., Філоненко О., Балачук Ю. Розробка нових рангових шкал важкості навчальних предметів у ЗНЗ. </w:t>
      </w:r>
      <w:r w:rsidRPr="002E6ECA">
        <w:rPr>
          <w:rFonts w:eastAsiaTheme="minorHAnsi"/>
          <w:i/>
          <w:sz w:val="28"/>
          <w:szCs w:val="28"/>
          <w:lang w:val="uk-UA" w:eastAsia="en-US"/>
        </w:rPr>
        <w:t xml:space="preserve">Педагогічні науки: </w:t>
      </w:r>
      <w:r w:rsidRPr="002E6ECA">
        <w:rPr>
          <w:rFonts w:eastAsiaTheme="minorHAnsi"/>
          <w:i/>
          <w:sz w:val="28"/>
          <w:szCs w:val="28"/>
          <w:lang w:val="uk-UA" w:eastAsia="en-US"/>
        </w:rPr>
        <w:lastRenderedPageBreak/>
        <w:t>теорія, історія, інноваційні технології : науковий журнал / МОН України, Сумський держ. пед. ун-т ім. А. С. Макаренка</w:t>
      </w:r>
      <w:r w:rsidRPr="002E6ECA">
        <w:rPr>
          <w:rFonts w:eastAsiaTheme="minorHAnsi"/>
          <w:sz w:val="28"/>
          <w:szCs w:val="28"/>
          <w:lang w:val="uk-UA" w:eastAsia="en-US"/>
        </w:rPr>
        <w:t>. 2016. № 3 (57). С. 104-115.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Голубнича Г. І. Гігієнічна оцінка впровадження системи освіти академічно обдарованих дітей молодшого шкільного віку: автореф. дис. … канд. мед. наук: 14.02.01, Київ, 2020. 28 с.</w:t>
      </w:r>
    </w:p>
    <w:p w:rsidR="00020FED" w:rsidRPr="002E6ECA" w:rsidRDefault="00020FED" w:rsidP="00020FED">
      <w:pPr>
        <w:numPr>
          <w:ilvl w:val="0"/>
          <w:numId w:val="72"/>
        </w:numPr>
        <w:spacing w:line="360" w:lineRule="auto"/>
        <w:ind w:left="0" w:firstLine="709"/>
        <w:contextualSpacing/>
        <w:jc w:val="both"/>
        <w:rPr>
          <w:rFonts w:eastAsiaTheme="minorHAnsi"/>
          <w:spacing w:val="-4"/>
          <w:sz w:val="28"/>
          <w:szCs w:val="28"/>
          <w:lang w:val="uk-UA" w:eastAsia="en-US"/>
        </w:rPr>
      </w:pPr>
      <w:r w:rsidRPr="002E6ECA">
        <w:rPr>
          <w:rFonts w:eastAsiaTheme="minorHAnsi"/>
          <w:spacing w:val="-4"/>
          <w:sz w:val="28"/>
          <w:szCs w:val="28"/>
          <w:lang w:val="uk-UA" w:eastAsia="en-US"/>
        </w:rPr>
        <w:t>Гребнюк М. П., Вітріщак С.</w:t>
      </w:r>
      <w:r w:rsidRPr="002E6ECA">
        <w:rPr>
          <w:rFonts w:eastAsiaTheme="minorHAnsi"/>
          <w:sz w:val="28"/>
          <w:szCs w:val="28"/>
          <w:lang w:val="uk-UA"/>
        </w:rPr>
        <w:t> </w:t>
      </w:r>
      <w:r w:rsidRPr="002E6ECA">
        <w:rPr>
          <w:rFonts w:eastAsiaTheme="minorHAnsi"/>
          <w:spacing w:val="-4"/>
          <w:sz w:val="28"/>
          <w:szCs w:val="28"/>
          <w:lang w:val="uk-UA" w:eastAsia="en-US"/>
        </w:rPr>
        <w:t xml:space="preserve">В. Соціально-медичні фактори ризику для здоров’я дитячого населення. </w:t>
      </w:r>
      <w:r w:rsidRPr="002E6ECA">
        <w:rPr>
          <w:rFonts w:eastAsiaTheme="minorHAnsi"/>
          <w:i/>
          <w:spacing w:val="-4"/>
          <w:sz w:val="28"/>
          <w:szCs w:val="28"/>
          <w:lang w:val="uk-UA" w:eastAsia="en-US"/>
        </w:rPr>
        <w:t>Охорона здоров’я України</w:t>
      </w:r>
      <w:r w:rsidRPr="002E6ECA">
        <w:rPr>
          <w:rFonts w:eastAsiaTheme="minorHAnsi"/>
          <w:spacing w:val="-4"/>
          <w:sz w:val="28"/>
          <w:szCs w:val="28"/>
          <w:lang w:val="uk-UA" w:eastAsia="en-US"/>
        </w:rPr>
        <w:t>. 2002. № 3-4. С. 12-14.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Грицина О. П., Транковская Л. В., Лисецкая Е. А., Тарасенко Г. А. Особенности режима и качества сна современных школьников. </w:t>
      </w:r>
      <w:r w:rsidRPr="002E6ECA">
        <w:rPr>
          <w:rFonts w:eastAsiaTheme="minorHAnsi"/>
          <w:i/>
          <w:sz w:val="28"/>
          <w:szCs w:val="28"/>
          <w:lang w:val="uk-UA" w:eastAsia="en-US"/>
        </w:rPr>
        <w:t>Профилактическая медицина</w:t>
      </w:r>
      <w:r w:rsidRPr="002E6ECA">
        <w:rPr>
          <w:rFonts w:eastAsiaTheme="minorHAnsi"/>
          <w:sz w:val="28"/>
          <w:szCs w:val="28"/>
          <w:lang w:val="uk-UA" w:eastAsia="en-US"/>
        </w:rPr>
        <w:t>. 2019. № 2 (78). С. 13-16. DOI: 10.5281/zenodo.3262052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Грицинская В. Л., Гладкая В. С. Оценка физического развития девочек-школьниц г. Санкт-Петербурга с использованием интернациональных нормативов. </w:t>
      </w:r>
      <w:r w:rsidRPr="002E6ECA">
        <w:rPr>
          <w:rFonts w:eastAsiaTheme="minorHAnsi"/>
          <w:i/>
          <w:sz w:val="28"/>
          <w:szCs w:val="28"/>
          <w:lang w:val="uk-UA" w:eastAsia="en-US"/>
        </w:rPr>
        <w:t>Мать и дитя в Кузбассе</w:t>
      </w:r>
      <w:r w:rsidRPr="002E6ECA">
        <w:rPr>
          <w:rFonts w:eastAsiaTheme="minorHAnsi"/>
          <w:sz w:val="28"/>
          <w:szCs w:val="28"/>
          <w:lang w:val="uk-UA" w:eastAsia="en-US"/>
        </w:rPr>
        <w:t>. 2018. № 1 (72). С. 85-89.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Гурбо Т., Юримяэ Т., Юримяэ Я. Сравнительный анализ некоторых методов определения компонентов состава тела детей. </w:t>
      </w:r>
      <w:r w:rsidRPr="002E6ECA">
        <w:rPr>
          <w:rFonts w:eastAsiaTheme="minorHAnsi"/>
          <w:i/>
          <w:sz w:val="28"/>
          <w:szCs w:val="28"/>
          <w:lang w:val="uk-UA" w:eastAsia="en-US"/>
        </w:rPr>
        <w:t>Вестник Московского университета. Серия XXIII Антропология</w:t>
      </w:r>
      <w:r w:rsidRPr="002E6ECA">
        <w:rPr>
          <w:rFonts w:eastAsiaTheme="minorHAnsi"/>
          <w:sz w:val="28"/>
          <w:szCs w:val="28"/>
          <w:lang w:val="uk-UA" w:eastAsia="en-US"/>
        </w:rPr>
        <w:t>. 2009. № 2. С. 29-36.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Гущук І. В. </w:t>
      </w:r>
      <w:r w:rsidRPr="002E6ECA">
        <w:rPr>
          <w:rFonts w:eastAsiaTheme="minorHAnsi"/>
          <w:iCs/>
          <w:sz w:val="28"/>
          <w:szCs w:val="28"/>
          <w:lang w:val="uk-UA" w:eastAsia="en-US"/>
        </w:rPr>
        <w:t xml:space="preserve">Чи запрацює в Україні державна система соціально-гігієнічного моніторингу? </w:t>
      </w:r>
      <w:r w:rsidRPr="002E6ECA">
        <w:rPr>
          <w:rFonts w:eastAsiaTheme="minorHAnsi"/>
          <w:i/>
          <w:sz w:val="28"/>
          <w:szCs w:val="28"/>
          <w:lang w:val="uk-UA" w:eastAsia="en-US"/>
        </w:rPr>
        <w:t>Екологічні та гігієнічні проблеми сфери життєдіяльності людини</w:t>
      </w:r>
      <w:r w:rsidRPr="002E6ECA">
        <w:rPr>
          <w:rFonts w:eastAsiaTheme="minorHAnsi"/>
          <w:sz w:val="28"/>
          <w:szCs w:val="28"/>
          <w:lang w:val="uk-UA" w:eastAsia="en-US"/>
        </w:rPr>
        <w:t xml:space="preserve"> : науково-практична конференція з міжнародною участю, 12 березня 2019 р. С. 53-55.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Давыдок А. М., Титова А. М. Актуальные вопросы ранней коррекции социально-психологической адаптации младших школьников. </w:t>
      </w:r>
      <w:r w:rsidRPr="002E6ECA">
        <w:rPr>
          <w:rFonts w:eastAsiaTheme="minorHAnsi"/>
          <w:i/>
          <w:sz w:val="28"/>
          <w:szCs w:val="28"/>
          <w:lang w:val="uk-UA" w:eastAsia="en-US"/>
        </w:rPr>
        <w:t>Environment &amp; Health</w:t>
      </w:r>
      <w:r w:rsidRPr="002E6ECA">
        <w:rPr>
          <w:rFonts w:eastAsiaTheme="minorHAnsi"/>
          <w:sz w:val="28"/>
          <w:szCs w:val="28"/>
          <w:lang w:val="uk-UA" w:eastAsia="en-US"/>
        </w:rPr>
        <w:t>. 2013. № 2 (65). С. 43-46.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Даниленко</w:t>
      </w:r>
      <w:r w:rsidRPr="002E6ECA">
        <w:rPr>
          <w:rFonts w:eastAsiaTheme="minorHAnsi"/>
          <w:sz w:val="28"/>
          <w:szCs w:val="28"/>
          <w:lang w:val="uk-UA"/>
        </w:rPr>
        <w:t> </w:t>
      </w:r>
      <w:r w:rsidRPr="002E6ECA">
        <w:rPr>
          <w:rFonts w:eastAsiaTheme="minorHAnsi"/>
          <w:sz w:val="28"/>
          <w:szCs w:val="28"/>
          <w:lang w:val="uk-UA" w:eastAsia="en-US"/>
        </w:rPr>
        <w:t>Г.</w:t>
      </w:r>
      <w:r w:rsidRPr="002E6ECA">
        <w:rPr>
          <w:rFonts w:eastAsiaTheme="minorHAnsi"/>
          <w:sz w:val="28"/>
          <w:szCs w:val="28"/>
          <w:lang w:val="uk-UA"/>
        </w:rPr>
        <w:t> </w:t>
      </w:r>
      <w:r w:rsidRPr="002E6ECA">
        <w:rPr>
          <w:rFonts w:eastAsiaTheme="minorHAnsi"/>
          <w:sz w:val="28"/>
          <w:szCs w:val="28"/>
          <w:lang w:val="uk-UA" w:eastAsia="en-US"/>
        </w:rPr>
        <w:t>М., Подрігалo</w:t>
      </w:r>
      <w:r w:rsidRPr="002E6ECA">
        <w:rPr>
          <w:rFonts w:eastAsiaTheme="minorHAnsi"/>
          <w:sz w:val="28"/>
          <w:szCs w:val="28"/>
          <w:lang w:val="uk-UA"/>
        </w:rPr>
        <w:t> </w:t>
      </w:r>
      <w:r w:rsidRPr="002E6ECA">
        <w:rPr>
          <w:rFonts w:eastAsiaTheme="minorHAnsi"/>
          <w:sz w:val="28"/>
          <w:szCs w:val="28"/>
          <w:lang w:val="uk-UA" w:eastAsia="en-US"/>
        </w:rPr>
        <w:t>Л.</w:t>
      </w:r>
      <w:r w:rsidRPr="002E6ECA">
        <w:rPr>
          <w:rFonts w:eastAsiaTheme="minorHAnsi"/>
          <w:sz w:val="28"/>
          <w:szCs w:val="28"/>
          <w:lang w:val="uk-UA"/>
        </w:rPr>
        <w:t> </w:t>
      </w:r>
      <w:r w:rsidRPr="002E6ECA">
        <w:rPr>
          <w:rFonts w:eastAsiaTheme="minorHAnsi"/>
          <w:sz w:val="28"/>
          <w:szCs w:val="28"/>
          <w:lang w:val="uk-UA" w:eastAsia="en-US"/>
        </w:rPr>
        <w:t xml:space="preserve">В., Авдієвська O. Г. Гігієнічні та медико-соціальні особливості збереження здоров'я учнів закладів загальної середньoї освіти у сучасній родині. </w:t>
      </w:r>
      <w:r w:rsidRPr="002E6ECA">
        <w:rPr>
          <w:rFonts w:eastAsiaTheme="minorHAnsi"/>
          <w:i/>
          <w:sz w:val="28"/>
          <w:szCs w:val="28"/>
          <w:lang w:val="uk-UA" w:eastAsia="en-US"/>
        </w:rPr>
        <w:t>Environment &amp; Health</w:t>
      </w:r>
      <w:r w:rsidRPr="002E6ECA">
        <w:rPr>
          <w:rFonts w:eastAsiaTheme="minorHAnsi"/>
          <w:sz w:val="28"/>
          <w:szCs w:val="28"/>
          <w:lang w:val="uk-UA" w:eastAsia="en-US"/>
        </w:rPr>
        <w:t>. 2019. № 4 (93).</w:t>
      </w:r>
      <w:r w:rsidRPr="002E6ECA">
        <w:rPr>
          <w:rFonts w:eastAsiaTheme="minorHAnsi"/>
          <w:sz w:val="28"/>
          <w:szCs w:val="28"/>
          <w:lang w:val="uk-UA"/>
        </w:rPr>
        <w:t> </w:t>
      </w:r>
      <w:r w:rsidRPr="002E6ECA">
        <w:rPr>
          <w:rFonts w:eastAsiaTheme="minorHAnsi"/>
          <w:sz w:val="28"/>
          <w:szCs w:val="28"/>
          <w:lang w:val="uk-UA" w:eastAsia="en-US"/>
        </w:rPr>
        <w:t>С.</w:t>
      </w:r>
      <w:r w:rsidRPr="002E6ECA">
        <w:rPr>
          <w:rFonts w:eastAsiaTheme="minorHAnsi"/>
          <w:sz w:val="28"/>
          <w:szCs w:val="28"/>
          <w:lang w:val="uk-UA"/>
        </w:rPr>
        <w:t> </w:t>
      </w:r>
      <w:r w:rsidRPr="002E6ECA">
        <w:rPr>
          <w:rFonts w:eastAsiaTheme="minorHAnsi"/>
          <w:sz w:val="28"/>
          <w:szCs w:val="28"/>
          <w:lang w:val="uk-UA" w:eastAsia="en-US"/>
        </w:rPr>
        <w:t xml:space="preserve">24-30. </w:t>
      </w:r>
      <w:hyperlink r:id="rId110" w:tgtFrame="_blank" w:history="1">
        <w:r w:rsidRPr="002E6ECA">
          <w:rPr>
            <w:rFonts w:eastAsiaTheme="minorHAnsi"/>
            <w:sz w:val="28"/>
            <w:szCs w:val="28"/>
            <w:lang w:val="uk-UA" w:eastAsia="en-US"/>
          </w:rPr>
          <w:t>https://doi.org/10.32402/dovkil2019.04.024</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sz w:val="28"/>
          <w:szCs w:val="28"/>
          <w:shd w:val="clear" w:color="auto" w:fill="FFFFFF"/>
          <w:lang w:val="uk-UA" w:eastAsia="en-US"/>
        </w:rPr>
        <w:t>Даниленко</w:t>
      </w:r>
      <w:r w:rsidRPr="002E6ECA">
        <w:rPr>
          <w:rFonts w:eastAsiaTheme="minorHAnsi"/>
          <w:sz w:val="28"/>
          <w:szCs w:val="28"/>
          <w:lang w:val="uk-UA"/>
        </w:rPr>
        <w:t> </w:t>
      </w:r>
      <w:r w:rsidRPr="002E6ECA">
        <w:rPr>
          <w:rFonts w:eastAsiaTheme="minorHAnsi"/>
          <w:bCs/>
          <w:sz w:val="28"/>
          <w:szCs w:val="28"/>
          <w:shd w:val="clear" w:color="auto" w:fill="FFFFFF"/>
          <w:lang w:val="uk-UA" w:eastAsia="en-US"/>
        </w:rPr>
        <w:t>Г.</w:t>
      </w:r>
      <w:r w:rsidRPr="002E6ECA">
        <w:rPr>
          <w:rFonts w:eastAsiaTheme="minorHAnsi"/>
          <w:sz w:val="28"/>
          <w:szCs w:val="28"/>
          <w:lang w:val="uk-UA"/>
        </w:rPr>
        <w:t> </w:t>
      </w:r>
      <w:r w:rsidRPr="002E6ECA">
        <w:rPr>
          <w:rFonts w:eastAsiaTheme="minorHAnsi"/>
          <w:bCs/>
          <w:sz w:val="28"/>
          <w:szCs w:val="28"/>
          <w:shd w:val="clear" w:color="auto" w:fill="FFFFFF"/>
          <w:lang w:val="uk-UA" w:eastAsia="en-US"/>
        </w:rPr>
        <w:t xml:space="preserve">М. Гігієнічні основи системної оптимізації формування здоров'я дітей в умовах загальноосвітнього навчального закладу: </w:t>
      </w:r>
      <w:r w:rsidRPr="002E6ECA">
        <w:rPr>
          <w:rFonts w:eastAsiaTheme="minorHAnsi"/>
          <w:bCs/>
          <w:sz w:val="28"/>
          <w:szCs w:val="28"/>
          <w:shd w:val="clear" w:color="auto" w:fill="FFFFFF"/>
          <w:lang w:val="uk-UA" w:eastAsia="en-US"/>
        </w:rPr>
        <w:lastRenderedPageBreak/>
        <w:t>дис... д-ра мед. наук: 14.02.01, Інститут охорони здоров'я дітей і підлітків АМН України. Х., 2007. 414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Даниленко Г. М. Комплексна скринінг-оцінка стану здоров'я школярів та чинників, що на нього впливають в умовах загальноосвітнього навчального закладу: метод. рек. / уклад. Г.</w:t>
      </w:r>
      <w:r w:rsidRPr="002E6ECA">
        <w:rPr>
          <w:rFonts w:eastAsiaTheme="minorHAnsi"/>
          <w:sz w:val="28"/>
          <w:szCs w:val="28"/>
          <w:lang w:val="uk-UA"/>
        </w:rPr>
        <w:t> </w:t>
      </w:r>
      <w:r w:rsidRPr="002E6ECA">
        <w:rPr>
          <w:rFonts w:eastAsiaTheme="minorHAnsi"/>
          <w:sz w:val="28"/>
          <w:szCs w:val="28"/>
          <w:lang w:val="uk-UA" w:eastAsia="en-US"/>
        </w:rPr>
        <w:t>М. Даниленко, Г.</w:t>
      </w:r>
      <w:r w:rsidRPr="002E6ECA">
        <w:rPr>
          <w:rFonts w:eastAsiaTheme="minorHAnsi"/>
          <w:sz w:val="28"/>
          <w:szCs w:val="28"/>
          <w:lang w:val="uk-UA"/>
        </w:rPr>
        <w:t> </w:t>
      </w:r>
      <w:r w:rsidRPr="002E6ECA">
        <w:rPr>
          <w:rFonts w:eastAsiaTheme="minorHAnsi"/>
          <w:sz w:val="28"/>
          <w:szCs w:val="28"/>
          <w:lang w:val="uk-UA" w:eastAsia="en-US"/>
        </w:rPr>
        <w:t>А. Бориско, Л. В. Подрігало. Київ, 2005. 32 с., дод. Б1, Б2.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Даниленко</w:t>
      </w:r>
      <w:r w:rsidRPr="002E6ECA">
        <w:rPr>
          <w:rFonts w:eastAsiaTheme="minorHAnsi"/>
          <w:sz w:val="28"/>
          <w:szCs w:val="28"/>
          <w:lang w:val="uk-UA"/>
        </w:rPr>
        <w:t> </w:t>
      </w:r>
      <w:r w:rsidRPr="002E6ECA">
        <w:rPr>
          <w:rFonts w:eastAsiaTheme="minorHAnsi"/>
          <w:sz w:val="28"/>
          <w:szCs w:val="28"/>
          <w:lang w:val="uk-UA" w:eastAsia="en-US"/>
        </w:rPr>
        <w:t>Г. М., Летяго Г.</w:t>
      </w:r>
      <w:r w:rsidRPr="002E6ECA">
        <w:rPr>
          <w:rFonts w:eastAsiaTheme="minorHAnsi"/>
          <w:sz w:val="28"/>
          <w:szCs w:val="28"/>
          <w:lang w:val="uk-UA"/>
        </w:rPr>
        <w:t> </w:t>
      </w:r>
      <w:r w:rsidRPr="002E6ECA">
        <w:rPr>
          <w:rFonts w:eastAsiaTheme="minorHAnsi"/>
          <w:sz w:val="28"/>
          <w:szCs w:val="28"/>
          <w:lang w:val="uk-UA" w:eastAsia="en-US"/>
        </w:rPr>
        <w:t>В., Водолажський</w:t>
      </w:r>
      <w:r w:rsidRPr="002E6ECA">
        <w:rPr>
          <w:rFonts w:eastAsiaTheme="minorHAnsi"/>
          <w:sz w:val="28"/>
          <w:szCs w:val="28"/>
          <w:lang w:val="uk-UA"/>
        </w:rPr>
        <w:t> </w:t>
      </w:r>
      <w:r w:rsidRPr="002E6ECA">
        <w:rPr>
          <w:rFonts w:eastAsiaTheme="minorHAnsi"/>
          <w:sz w:val="28"/>
          <w:szCs w:val="28"/>
          <w:lang w:val="uk-UA" w:eastAsia="en-US"/>
        </w:rPr>
        <w:t xml:space="preserve">М. Л., Авдієвська О. Г., Савєльєва Л. М. </w:t>
      </w:r>
      <w:r w:rsidRPr="002E6ECA">
        <w:rPr>
          <w:rFonts w:eastAsiaTheme="minorHAnsi"/>
          <w:bCs/>
          <w:sz w:val="28"/>
          <w:szCs w:val="28"/>
          <w:lang w:val="uk-UA" w:eastAsia="en-US"/>
        </w:rPr>
        <w:t>Особливості харчування студентської молоді як важливого компонента здоров'язберігаючої поведінки</w:t>
      </w:r>
      <w:r w:rsidRPr="002E6ECA">
        <w:rPr>
          <w:rFonts w:eastAsiaTheme="minorHAnsi"/>
          <w:sz w:val="28"/>
          <w:szCs w:val="28"/>
          <w:lang w:val="uk-UA" w:eastAsia="en-US"/>
        </w:rPr>
        <w:t xml:space="preserve">. </w:t>
      </w:r>
      <w:hyperlink r:id="rId111" w:tooltip="Періодичне видання" w:history="1">
        <w:r w:rsidRPr="002E6ECA">
          <w:rPr>
            <w:rFonts w:eastAsiaTheme="minorHAnsi"/>
            <w:i/>
            <w:sz w:val="28"/>
            <w:szCs w:val="28"/>
            <w:lang w:val="uk-UA" w:eastAsia="en-US"/>
          </w:rPr>
          <w:t>Молодий вчений</w:t>
        </w:r>
      </w:hyperlink>
      <w:r w:rsidRPr="002E6ECA">
        <w:rPr>
          <w:rFonts w:eastAsiaTheme="minorHAnsi"/>
          <w:sz w:val="28"/>
          <w:szCs w:val="28"/>
          <w:lang w:val="uk-UA" w:eastAsia="en-US"/>
        </w:rPr>
        <w:t>. 2018.</w:t>
      </w:r>
      <w:r w:rsidRPr="002E6ECA">
        <w:rPr>
          <w:rFonts w:eastAsiaTheme="minorHAnsi"/>
          <w:sz w:val="28"/>
          <w:szCs w:val="28"/>
          <w:lang w:val="uk-UA"/>
        </w:rPr>
        <w:t xml:space="preserve"> </w:t>
      </w:r>
      <w:r w:rsidRPr="002E6ECA">
        <w:rPr>
          <w:rFonts w:eastAsiaTheme="minorHAnsi"/>
          <w:sz w:val="28"/>
          <w:szCs w:val="28"/>
          <w:lang w:val="uk-UA" w:eastAsia="en-US"/>
        </w:rPr>
        <w:t>№ 8 (2). С. 293-297. URL: http://nbuv.gov.ua/UJRN/molv_2018_8%282%29__16.</w:t>
      </w:r>
    </w:p>
    <w:p w:rsidR="00020FED" w:rsidRPr="002E6ECA" w:rsidRDefault="00020FED" w:rsidP="00020FED">
      <w:pPr>
        <w:pStyle w:val="a3"/>
        <w:numPr>
          <w:ilvl w:val="0"/>
          <w:numId w:val="72"/>
        </w:numPr>
        <w:spacing w:line="360" w:lineRule="auto"/>
        <w:ind w:left="0" w:firstLine="709"/>
        <w:jc w:val="both"/>
        <w:rPr>
          <w:rStyle w:val="aa"/>
          <w:i w:val="0"/>
          <w:iCs w:val="0"/>
          <w:sz w:val="28"/>
          <w:szCs w:val="28"/>
          <w:lang w:val="uk-UA"/>
        </w:rPr>
      </w:pPr>
      <w:r w:rsidRPr="002E6ECA">
        <w:rPr>
          <w:sz w:val="28"/>
          <w:szCs w:val="28"/>
          <w:lang w:val="uk-UA"/>
        </w:rPr>
        <w:t xml:space="preserve">Даниленко Г. М., Міхановська Н. Г., Сотнікова-Мелешкіна Ж. В., Голубнича Г. І. Комплексний підхід щодо визначення психофізіологічної складової шкільної дезадаптації у молодших школярів за різних систем освіти. </w:t>
      </w:r>
      <w:r w:rsidRPr="002E6ECA">
        <w:rPr>
          <w:i/>
          <w:sz w:val="28"/>
          <w:szCs w:val="28"/>
        </w:rPr>
        <w:t>East</w:t>
      </w:r>
      <w:r w:rsidRPr="002E6ECA">
        <w:rPr>
          <w:i/>
          <w:sz w:val="28"/>
          <w:szCs w:val="28"/>
          <w:lang w:val="uk-UA"/>
        </w:rPr>
        <w:t xml:space="preserve"> </w:t>
      </w:r>
      <w:r w:rsidRPr="002E6ECA">
        <w:rPr>
          <w:i/>
          <w:sz w:val="28"/>
          <w:szCs w:val="28"/>
        </w:rPr>
        <w:t>European</w:t>
      </w:r>
      <w:r w:rsidRPr="002E6ECA">
        <w:rPr>
          <w:i/>
          <w:sz w:val="28"/>
          <w:szCs w:val="28"/>
          <w:lang w:val="uk-UA"/>
        </w:rPr>
        <w:t xml:space="preserve"> </w:t>
      </w:r>
      <w:r w:rsidRPr="002E6ECA">
        <w:rPr>
          <w:i/>
          <w:sz w:val="28"/>
          <w:szCs w:val="28"/>
        </w:rPr>
        <w:t>Scientific</w:t>
      </w:r>
      <w:r w:rsidRPr="002E6ECA">
        <w:rPr>
          <w:i/>
          <w:sz w:val="28"/>
          <w:szCs w:val="28"/>
          <w:lang w:val="uk-UA"/>
        </w:rPr>
        <w:t xml:space="preserve"> </w:t>
      </w:r>
      <w:r w:rsidRPr="002E6ECA">
        <w:rPr>
          <w:i/>
          <w:sz w:val="28"/>
          <w:szCs w:val="28"/>
        </w:rPr>
        <w:t>Journal</w:t>
      </w:r>
      <w:r w:rsidRPr="002E6ECA">
        <w:rPr>
          <w:sz w:val="28"/>
          <w:szCs w:val="28"/>
          <w:lang w:val="uk-UA"/>
        </w:rPr>
        <w:t>. 2019. № 6 (46). Ч. 2. С. 16-22.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Даниленко</w:t>
      </w:r>
      <w:r w:rsidRPr="002E6ECA">
        <w:rPr>
          <w:rFonts w:eastAsiaTheme="minorHAnsi"/>
          <w:sz w:val="28"/>
          <w:szCs w:val="28"/>
          <w:lang w:val="uk-UA"/>
        </w:rPr>
        <w:t> </w:t>
      </w:r>
      <w:r w:rsidRPr="002E6ECA">
        <w:rPr>
          <w:rFonts w:eastAsiaTheme="minorHAnsi"/>
          <w:sz w:val="28"/>
          <w:szCs w:val="28"/>
          <w:lang w:val="uk-UA" w:eastAsia="en-US"/>
        </w:rPr>
        <w:t>Г. М., Пересипкіна Т. В., Меркулова Т. В., Сидоренко Т.</w:t>
      </w:r>
      <w:r w:rsidRPr="002E6ECA">
        <w:rPr>
          <w:rFonts w:eastAsiaTheme="minorHAnsi"/>
          <w:sz w:val="28"/>
          <w:szCs w:val="28"/>
          <w:lang w:val="uk-UA"/>
        </w:rPr>
        <w:t> </w:t>
      </w:r>
      <w:r w:rsidRPr="002E6ECA">
        <w:rPr>
          <w:rFonts w:eastAsiaTheme="minorHAnsi"/>
          <w:sz w:val="28"/>
          <w:szCs w:val="28"/>
          <w:lang w:val="uk-UA" w:eastAsia="en-US"/>
        </w:rPr>
        <w:t>П., Голубнича Г. І. Методи визначення донозологічних порушень здоров’я учнівської молоді під час навчання: метод. рек. Харків, 2019. 16 с.</w:t>
      </w:r>
    </w:p>
    <w:p w:rsidR="00020FED" w:rsidRPr="002E6ECA" w:rsidRDefault="00020FED" w:rsidP="00020FED">
      <w:pPr>
        <w:pStyle w:val="a3"/>
        <w:numPr>
          <w:ilvl w:val="0"/>
          <w:numId w:val="72"/>
        </w:numPr>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w:t>
      </w:r>
      <w:r w:rsidRPr="002E6ECA">
        <w:rPr>
          <w:sz w:val="28"/>
          <w:szCs w:val="28"/>
        </w:rPr>
        <w:t xml:space="preserve">Багаторічна динаміка антропометричних показників фізичного розвитку школярів м. Харкова. </w:t>
      </w:r>
      <w:r w:rsidRPr="002E6ECA">
        <w:rPr>
          <w:bCs/>
          <w:i/>
          <w:sz w:val="28"/>
          <w:szCs w:val="28"/>
          <w:lang w:val="uk-UA"/>
        </w:rPr>
        <w:t xml:space="preserve">Актуальні питання фізіології, патології та організації медичного забезпечення дітей шкільного віку та підлітків. Прогнозування формування хронічної соматичної патології : </w:t>
      </w:r>
      <w:r w:rsidRPr="002E6ECA">
        <w:rPr>
          <w:sz w:val="28"/>
          <w:szCs w:val="28"/>
          <w:lang w:val="uk-UA"/>
        </w:rPr>
        <w:t>науково-практична конференція з міжнародною участю, м. Харків, 14-15 листопада 2019 р. Харків, 2019. № 2. С. 83-84.</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Даниленко Г. М., Сотнікова-Мелешкіна Ж. В. Визначення провідної патології щодо ризику підвищення захворюваності у навчальному </w:t>
      </w:r>
      <w:r w:rsidRPr="002E6ECA">
        <w:rPr>
          <w:sz w:val="28"/>
          <w:szCs w:val="28"/>
        </w:rPr>
        <w:t>колективі: метод. ре</w:t>
      </w:r>
      <w:r w:rsidRPr="002E6ECA">
        <w:rPr>
          <w:sz w:val="28"/>
          <w:szCs w:val="28"/>
          <w:lang w:val="uk-UA"/>
        </w:rPr>
        <w:t>к</w:t>
      </w:r>
      <w:r w:rsidRPr="002E6ECA">
        <w:rPr>
          <w:sz w:val="28"/>
          <w:szCs w:val="28"/>
        </w:rPr>
        <w:t>. Харків: ДУ «ІОЗДП НАМН». 2020. 28 с.</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Даниленко Г. М., Сотнікова-Мелешкіна Ж. В. </w:t>
      </w:r>
      <w:r w:rsidRPr="002E6ECA">
        <w:rPr>
          <w:sz w:val="28"/>
          <w:szCs w:val="28"/>
        </w:rPr>
        <w:t xml:space="preserve">Вплив інтенсивного зорового навантаження під час дистанційного навчання на якість життя, що пов’язана зі здоров’ям учнів базової школи. </w:t>
      </w:r>
      <w:r w:rsidRPr="002E6ECA">
        <w:rPr>
          <w:i/>
          <w:sz w:val="28"/>
          <w:szCs w:val="28"/>
          <w:lang w:val="uk-UA"/>
        </w:rPr>
        <w:t xml:space="preserve">Фізичні фактори довкілля і їх вплив </w:t>
      </w:r>
      <w:r w:rsidRPr="002E6ECA">
        <w:rPr>
          <w:i/>
          <w:sz w:val="28"/>
          <w:szCs w:val="28"/>
          <w:lang w:val="uk-UA"/>
        </w:rPr>
        <w:lastRenderedPageBreak/>
        <w:t xml:space="preserve">на формування здоров’я населення України </w:t>
      </w:r>
      <w:r w:rsidRPr="002E6ECA">
        <w:rPr>
          <w:sz w:val="28"/>
          <w:szCs w:val="28"/>
          <w:lang w:val="uk-UA"/>
        </w:rPr>
        <w:t>: шістнадцяті Марзєєвські читання, м. Київ, 12-13 листопада 2020 р. Київ, 2020. С. 192-194.</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eastAsia="uk-UA"/>
        </w:rPr>
        <w:t>Даниленко</w:t>
      </w:r>
      <w:r w:rsidRPr="002E6ECA">
        <w:rPr>
          <w:sz w:val="28"/>
          <w:szCs w:val="28"/>
          <w:lang w:val="uk-UA"/>
        </w:rPr>
        <w:t> </w:t>
      </w:r>
      <w:r w:rsidRPr="002E6ECA">
        <w:rPr>
          <w:sz w:val="28"/>
          <w:szCs w:val="28"/>
          <w:lang w:val="uk-UA" w:eastAsia="uk-UA"/>
        </w:rPr>
        <w:t>Г.</w:t>
      </w:r>
      <w:r w:rsidRPr="002E6ECA">
        <w:rPr>
          <w:sz w:val="28"/>
          <w:szCs w:val="28"/>
          <w:lang w:val="uk-UA"/>
        </w:rPr>
        <w:t> </w:t>
      </w:r>
      <w:r w:rsidRPr="002E6ECA">
        <w:rPr>
          <w:sz w:val="28"/>
          <w:szCs w:val="28"/>
          <w:lang w:val="uk-UA" w:eastAsia="uk-UA"/>
        </w:rPr>
        <w:t>М., 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 xml:space="preserve">В. </w:t>
      </w:r>
      <w:r w:rsidRPr="002E6ECA">
        <w:rPr>
          <w:sz w:val="28"/>
          <w:szCs w:val="28"/>
        </w:rPr>
        <w:t xml:space="preserve">Вплив компонентів режиму дня на суб’єктивну та об’єктивну оцінку здоров’я учнями середнього шкільного віку. </w:t>
      </w:r>
      <w:r w:rsidRPr="002E6ECA">
        <w:rPr>
          <w:bCs/>
          <w:i/>
          <w:sz w:val="28"/>
          <w:szCs w:val="28"/>
          <w:lang w:val="uk-UA"/>
        </w:rPr>
        <w:t xml:space="preserve">Актуальні питання фізіології, патології та організації медичного забезпечення дітей шкільного віку та підлітків : </w:t>
      </w:r>
      <w:r w:rsidRPr="002E6ECA">
        <w:rPr>
          <w:bCs/>
          <w:sz w:val="28"/>
          <w:szCs w:val="28"/>
          <w:lang w:val="uk-UA"/>
        </w:rPr>
        <w:t>науково-практична конференція з міжнародною участю, м. Харків, 17-18 грудня 2020 р. Харків, 2020. С. 73-74.</w:t>
      </w:r>
    </w:p>
    <w:p w:rsidR="00020FED" w:rsidRPr="002E6ECA" w:rsidRDefault="00020FED" w:rsidP="00020FED">
      <w:pPr>
        <w:pStyle w:val="a3"/>
        <w:numPr>
          <w:ilvl w:val="0"/>
          <w:numId w:val="72"/>
        </w:numPr>
        <w:spacing w:line="360" w:lineRule="auto"/>
        <w:ind w:left="0" w:firstLine="709"/>
        <w:jc w:val="both"/>
        <w:rPr>
          <w:rStyle w:val="a8"/>
          <w:sz w:val="28"/>
          <w:szCs w:val="28"/>
        </w:rPr>
      </w:pPr>
      <w:r w:rsidRPr="002E6ECA">
        <w:rPr>
          <w:sz w:val="28"/>
          <w:szCs w:val="28"/>
          <w:lang w:val="uk-UA"/>
        </w:rPr>
        <w:t>Даниленко Г. М., Сотнікова-Мелешкіна Ж. В.</w:t>
      </w:r>
      <w:r w:rsidRPr="002E6ECA">
        <w:rPr>
          <w:sz w:val="28"/>
          <w:szCs w:val="28"/>
          <w:lang w:val="uk-UA" w:eastAsia="uk-UA"/>
        </w:rPr>
        <w:t xml:space="preserve"> </w:t>
      </w:r>
      <w:r w:rsidRPr="002E6ECA">
        <w:rPr>
          <w:sz w:val="28"/>
          <w:szCs w:val="28"/>
          <w:lang w:eastAsia="uk-UA"/>
        </w:rPr>
        <w:t>Вплив організації освітнього процесу на розумову працездатність учнів базової школи</w:t>
      </w:r>
      <w:r w:rsidRPr="002E6ECA">
        <w:rPr>
          <w:bCs/>
          <w:sz w:val="28"/>
          <w:szCs w:val="28"/>
          <w:shd w:val="clear" w:color="auto" w:fill="FFFFFF"/>
        </w:rPr>
        <w:t xml:space="preserve">. </w:t>
      </w:r>
      <w:r w:rsidRPr="002E6ECA">
        <w:rPr>
          <w:bCs/>
          <w:i/>
          <w:sz w:val="28"/>
          <w:szCs w:val="28"/>
          <w:shd w:val="clear" w:color="auto" w:fill="FFFFFF"/>
        </w:rPr>
        <w:t xml:space="preserve">Вісник Вінницького національного медичного університету. </w:t>
      </w:r>
      <w:r w:rsidRPr="002E6ECA">
        <w:rPr>
          <w:bCs/>
          <w:sz w:val="28"/>
          <w:szCs w:val="28"/>
          <w:shd w:val="clear" w:color="auto" w:fill="FFFFFF"/>
        </w:rPr>
        <w:t>2020. № 3</w:t>
      </w:r>
      <w:r w:rsidRPr="002E6ECA">
        <w:rPr>
          <w:bCs/>
          <w:sz w:val="28"/>
          <w:szCs w:val="28"/>
          <w:shd w:val="clear" w:color="auto" w:fill="FFFFFF"/>
          <w:lang w:val="uk-UA"/>
        </w:rPr>
        <w:t xml:space="preserve"> </w:t>
      </w:r>
      <w:r w:rsidRPr="002E6ECA">
        <w:rPr>
          <w:bCs/>
          <w:sz w:val="28"/>
          <w:szCs w:val="28"/>
          <w:shd w:val="clear" w:color="auto" w:fill="FFFFFF"/>
        </w:rPr>
        <w:t xml:space="preserve">(Т. 24). С. 431-441. </w:t>
      </w:r>
      <w:r w:rsidRPr="002E6ECA">
        <w:rPr>
          <w:bCs/>
          <w:sz w:val="28"/>
          <w:szCs w:val="28"/>
        </w:rPr>
        <w:t xml:space="preserve">DOI: 10.31393/reports-vnmedical-2020-24(3)-15. </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Даниленко Г. М., Сотнікова-Мелешкіна Ж. В. </w:t>
      </w:r>
      <w:r w:rsidRPr="002E6ECA">
        <w:rPr>
          <w:sz w:val="28"/>
          <w:szCs w:val="28"/>
        </w:rPr>
        <w:t xml:space="preserve">Самооцінка здоров’я та якості життя як критерій визначення соціальної нерівності серед дітей та підлітків. </w:t>
      </w:r>
      <w:r w:rsidRPr="002E6ECA">
        <w:rPr>
          <w:i/>
          <w:sz w:val="28"/>
          <w:szCs w:val="28"/>
          <w:lang w:val="uk-UA"/>
        </w:rPr>
        <w:t xml:space="preserve">Нові нерівності – нові конфлікти: шляхи подолання : </w:t>
      </w:r>
      <w:r w:rsidRPr="002E6ECA">
        <w:rPr>
          <w:sz w:val="28"/>
          <w:szCs w:val="28"/>
          <w:lang w:val="uk-UA"/>
        </w:rPr>
        <w:t>тези доповідей та виступів учасників ІІІ Конгресу Соціологічної асоціації України, м. Харків, 12-13 жовтня 2017 р. Харків, 2017. С. 433-435.</w:t>
      </w:r>
    </w:p>
    <w:p w:rsidR="00020FED" w:rsidRPr="002E6ECA" w:rsidRDefault="00020FED" w:rsidP="00020FED">
      <w:pPr>
        <w:pStyle w:val="a3"/>
        <w:numPr>
          <w:ilvl w:val="0"/>
          <w:numId w:val="72"/>
        </w:numPr>
        <w:spacing w:line="360" w:lineRule="auto"/>
        <w:ind w:left="0" w:firstLine="709"/>
        <w:jc w:val="both"/>
        <w:rPr>
          <w:spacing w:val="-6"/>
          <w:sz w:val="28"/>
          <w:szCs w:val="28"/>
        </w:rPr>
      </w:pPr>
      <w:r w:rsidRPr="002E6ECA">
        <w:rPr>
          <w:spacing w:val="-6"/>
          <w:sz w:val="28"/>
          <w:szCs w:val="28"/>
          <w:lang w:val="uk-UA"/>
        </w:rPr>
        <w:t xml:space="preserve">Даниленко Г. М., Сотнікова-Мелешкіна Ж. В., Кіндрук М. О. </w:t>
      </w:r>
      <w:r w:rsidRPr="002E6ECA">
        <w:rPr>
          <w:spacing w:val="-6"/>
          <w:sz w:val="28"/>
          <w:szCs w:val="28"/>
        </w:rPr>
        <w:t xml:space="preserve">Вплив технологічної досконалості педагогічної інновації на формування коморбідних станів у учнів основної школи. </w:t>
      </w:r>
      <w:r w:rsidRPr="002E6ECA">
        <w:rPr>
          <w:i/>
          <w:spacing w:val="-6"/>
          <w:sz w:val="28"/>
          <w:szCs w:val="28"/>
          <w:lang w:val="uk-UA"/>
        </w:rPr>
        <w:t xml:space="preserve">Актуальні питання фізіології, патології та організації медичного забезпечення дітей шкільного віку та підлітків. Проблемні питання коморбідних станів у дітей та підлітків : </w:t>
      </w:r>
      <w:r w:rsidRPr="002E6ECA">
        <w:rPr>
          <w:bCs/>
          <w:spacing w:val="-6"/>
          <w:sz w:val="28"/>
          <w:szCs w:val="28"/>
          <w:lang w:val="uk-UA"/>
        </w:rPr>
        <w:t>науково-практична конференція з міжнародною участю</w:t>
      </w:r>
      <w:r w:rsidRPr="002E6ECA">
        <w:rPr>
          <w:spacing w:val="-6"/>
          <w:sz w:val="28"/>
          <w:szCs w:val="28"/>
          <w:lang w:val="uk-UA"/>
        </w:rPr>
        <w:t>, м. Харків, 16-17 листопада 2017 р. Харків, 2017. С. 53-55.</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Даниленко Г. М., Сотнікова-Мелешкіна Ж. В., Кіндрук М. О. </w:t>
      </w:r>
      <w:r w:rsidRPr="002E6ECA">
        <w:rPr>
          <w:sz w:val="28"/>
          <w:szCs w:val="28"/>
        </w:rPr>
        <w:t>Розумова працездатність учнів середньої школи в умовах інтенсифікації освітнього процесу</w:t>
      </w:r>
      <w:r w:rsidRPr="002E6ECA">
        <w:rPr>
          <w:i/>
          <w:sz w:val="28"/>
          <w:szCs w:val="28"/>
        </w:rPr>
        <w:t xml:space="preserve">. </w:t>
      </w:r>
      <w:r w:rsidRPr="002E6ECA">
        <w:rPr>
          <w:i/>
          <w:sz w:val="28"/>
          <w:szCs w:val="28"/>
          <w:lang w:val="uk-UA"/>
        </w:rPr>
        <w:t xml:space="preserve">Актуальні проблеми громадського здоров’я : </w:t>
      </w:r>
      <w:r w:rsidRPr="002E6ECA">
        <w:rPr>
          <w:sz w:val="28"/>
          <w:szCs w:val="28"/>
          <w:lang w:val="uk-UA"/>
        </w:rPr>
        <w:t>Х Всеукраїнська конференція з міжнародною участю «Освіта і здоров’я</w:t>
      </w:r>
      <w:r w:rsidRPr="002E6ECA">
        <w:rPr>
          <w:spacing w:val="-2"/>
          <w:sz w:val="28"/>
          <w:szCs w:val="28"/>
          <w:lang w:val="uk-UA"/>
        </w:rPr>
        <w:t>», м.</w:t>
      </w:r>
      <w:r w:rsidRPr="002E6ECA">
        <w:rPr>
          <w:sz w:val="28"/>
          <w:szCs w:val="28"/>
          <w:lang w:val="uk-UA"/>
        </w:rPr>
        <w:t> </w:t>
      </w:r>
      <w:r w:rsidRPr="002E6ECA">
        <w:rPr>
          <w:spacing w:val="-2"/>
          <w:sz w:val="28"/>
          <w:szCs w:val="28"/>
          <w:lang w:val="uk-UA"/>
        </w:rPr>
        <w:t>Суми</w:t>
      </w:r>
      <w:r w:rsidRPr="002E6ECA">
        <w:rPr>
          <w:sz w:val="28"/>
          <w:szCs w:val="28"/>
          <w:lang w:val="uk-UA"/>
        </w:rPr>
        <w:t>, 7-8 квітня 2020 р. Суми, 2020. С. 89-90.</w:t>
      </w:r>
    </w:p>
    <w:p w:rsidR="00020FED" w:rsidRPr="002E6ECA" w:rsidRDefault="00020FED" w:rsidP="00020FED">
      <w:pPr>
        <w:pStyle w:val="a3"/>
        <w:numPr>
          <w:ilvl w:val="0"/>
          <w:numId w:val="72"/>
        </w:numPr>
        <w:spacing w:line="360" w:lineRule="auto"/>
        <w:ind w:left="0" w:firstLine="709"/>
        <w:jc w:val="both"/>
        <w:rPr>
          <w:sz w:val="28"/>
          <w:szCs w:val="28"/>
        </w:rPr>
      </w:pPr>
      <w:r w:rsidRPr="002E6ECA">
        <w:rPr>
          <w:rStyle w:val="tlid-translation"/>
          <w:sz w:val="28"/>
          <w:szCs w:val="28"/>
          <w:lang w:val="uk-UA"/>
        </w:rPr>
        <w:t>Даниленко</w:t>
      </w:r>
      <w:r w:rsidRPr="002E6ECA">
        <w:rPr>
          <w:sz w:val="28"/>
          <w:szCs w:val="28"/>
          <w:lang w:val="uk-UA"/>
        </w:rPr>
        <w:t> </w:t>
      </w:r>
      <w:r w:rsidRPr="002E6ECA">
        <w:rPr>
          <w:rStyle w:val="tlid-translation"/>
          <w:sz w:val="28"/>
          <w:szCs w:val="28"/>
          <w:lang w:val="uk-UA"/>
        </w:rPr>
        <w:t>Г.</w:t>
      </w:r>
      <w:r w:rsidRPr="002E6ECA">
        <w:rPr>
          <w:sz w:val="28"/>
          <w:szCs w:val="28"/>
          <w:lang w:val="uk-UA"/>
        </w:rPr>
        <w:t> </w:t>
      </w:r>
      <w:r w:rsidRPr="002E6ECA">
        <w:rPr>
          <w:rStyle w:val="tlid-translation"/>
          <w:sz w:val="28"/>
          <w:szCs w:val="28"/>
          <w:lang w:val="uk-UA"/>
        </w:rPr>
        <w:t>М., Сотнікова-Мелешкіна</w:t>
      </w:r>
      <w:r w:rsidRPr="002E6ECA">
        <w:rPr>
          <w:sz w:val="28"/>
          <w:szCs w:val="28"/>
          <w:lang w:val="uk-UA"/>
        </w:rPr>
        <w:t> </w:t>
      </w:r>
      <w:r w:rsidRPr="002E6ECA">
        <w:rPr>
          <w:rStyle w:val="tlid-translation"/>
          <w:sz w:val="28"/>
          <w:szCs w:val="28"/>
          <w:lang w:val="uk-UA"/>
        </w:rPr>
        <w:t>Ж.</w:t>
      </w:r>
      <w:r w:rsidRPr="002E6ECA">
        <w:rPr>
          <w:sz w:val="28"/>
          <w:szCs w:val="28"/>
          <w:lang w:val="uk-UA"/>
        </w:rPr>
        <w:t> </w:t>
      </w:r>
      <w:r w:rsidRPr="002E6ECA">
        <w:rPr>
          <w:rStyle w:val="tlid-translation"/>
          <w:sz w:val="28"/>
          <w:szCs w:val="28"/>
          <w:lang w:val="uk-UA"/>
        </w:rPr>
        <w:t>В., Романова</w:t>
      </w:r>
      <w:r w:rsidRPr="002E6ECA">
        <w:rPr>
          <w:sz w:val="28"/>
          <w:szCs w:val="28"/>
          <w:lang w:val="uk-UA"/>
        </w:rPr>
        <w:t> </w:t>
      </w:r>
      <w:r w:rsidRPr="002E6ECA">
        <w:rPr>
          <w:rStyle w:val="tlid-translation"/>
          <w:sz w:val="28"/>
          <w:szCs w:val="28"/>
          <w:lang w:val="uk-UA"/>
        </w:rPr>
        <w:t>Н.</w:t>
      </w:r>
      <w:r w:rsidRPr="002E6ECA">
        <w:rPr>
          <w:sz w:val="28"/>
          <w:szCs w:val="28"/>
          <w:lang w:val="uk-UA"/>
        </w:rPr>
        <w:t> </w:t>
      </w:r>
      <w:r w:rsidRPr="002E6ECA">
        <w:rPr>
          <w:rStyle w:val="tlid-translation"/>
          <w:sz w:val="28"/>
          <w:szCs w:val="28"/>
          <w:lang w:val="uk-UA"/>
        </w:rPr>
        <w:t>Г.</w:t>
      </w:r>
      <w:r w:rsidRPr="002E6ECA">
        <w:rPr>
          <w:sz w:val="28"/>
          <w:szCs w:val="28"/>
          <w:lang w:val="uk-UA" w:eastAsia="uk-UA"/>
        </w:rPr>
        <w:t xml:space="preserve"> </w:t>
      </w:r>
      <w:r w:rsidRPr="002E6ECA">
        <w:rPr>
          <w:sz w:val="28"/>
          <w:szCs w:val="28"/>
          <w:lang w:eastAsia="uk-UA"/>
        </w:rPr>
        <w:t xml:space="preserve">Формування навичок здорового способу життя у школярів із різним ставленням </w:t>
      </w:r>
      <w:r w:rsidRPr="002E6ECA">
        <w:rPr>
          <w:sz w:val="28"/>
          <w:szCs w:val="28"/>
          <w:lang w:eastAsia="uk-UA"/>
        </w:rPr>
        <w:lastRenderedPageBreak/>
        <w:t>до освітнього закладу</w:t>
      </w:r>
      <w:r w:rsidRPr="002E6ECA">
        <w:rPr>
          <w:i/>
          <w:sz w:val="28"/>
          <w:szCs w:val="28"/>
          <w:lang w:eastAsia="uk-UA"/>
        </w:rPr>
        <w:t xml:space="preserve">. </w:t>
      </w:r>
      <w:r w:rsidRPr="002E6ECA">
        <w:rPr>
          <w:i/>
          <w:sz w:val="28"/>
          <w:szCs w:val="28"/>
          <w:lang w:val="uk-UA"/>
        </w:rPr>
        <w:t xml:space="preserve">Громадське здоров’я в Україні: проблеми та способи їх вирішення : </w:t>
      </w:r>
      <w:r w:rsidRPr="002E6ECA">
        <w:rPr>
          <w:sz w:val="28"/>
          <w:szCs w:val="28"/>
          <w:lang w:val="uk-UA"/>
        </w:rPr>
        <w:t>ІІІ науково-практична конференція з міжнародною участю, м. Харків, 05 листопада 2020 р. Харків, 2020. С. 22-23.</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Даниленко Г. М., Сотнікова-Мелешкіна Ж. В., Шкурапет Н. І., Міхановська Н. Г. </w:t>
      </w:r>
      <w:r w:rsidRPr="002E6ECA">
        <w:rPr>
          <w:sz w:val="28"/>
          <w:szCs w:val="28"/>
        </w:rPr>
        <w:t xml:space="preserve">Якість життя, що пов’язана зі здоров’ям учнів базової школи в умовах обмеженої фізичної та соціальної активності. </w:t>
      </w:r>
      <w:r w:rsidRPr="002E6ECA">
        <w:rPr>
          <w:i/>
          <w:sz w:val="28"/>
          <w:szCs w:val="28"/>
        </w:rPr>
        <w:t>Вісник соціальної гігієни та організації охорони здоров’я України</w:t>
      </w:r>
      <w:r w:rsidRPr="002E6ECA">
        <w:rPr>
          <w:sz w:val="28"/>
          <w:szCs w:val="28"/>
        </w:rPr>
        <w:t>. 2020. № 3. С. 28-33. DOI:</w:t>
      </w:r>
      <w:r w:rsidRPr="002E6ECA">
        <w:rPr>
          <w:sz w:val="28"/>
          <w:szCs w:val="28"/>
          <w:lang w:val="uk-UA"/>
        </w:rPr>
        <w:t> </w:t>
      </w:r>
      <w:r w:rsidRPr="002E6ECA">
        <w:rPr>
          <w:sz w:val="28"/>
          <w:szCs w:val="28"/>
        </w:rPr>
        <w:t xml:space="preserve">https://doi.org/10.11603/1681-2786.2020.3.11618.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Даниленко Г.</w:t>
      </w:r>
      <w:r w:rsidRPr="002E6ECA">
        <w:rPr>
          <w:rFonts w:eastAsiaTheme="minorHAnsi"/>
          <w:sz w:val="28"/>
          <w:szCs w:val="28"/>
          <w:lang w:val="uk-UA"/>
        </w:rPr>
        <w:t> </w:t>
      </w:r>
      <w:r w:rsidRPr="002E6ECA">
        <w:rPr>
          <w:rFonts w:eastAsiaTheme="minorHAnsi"/>
          <w:sz w:val="28"/>
          <w:szCs w:val="28"/>
          <w:lang w:val="uk-UA" w:eastAsia="en-US"/>
        </w:rPr>
        <w:t>Н., Голубничая</w:t>
      </w:r>
      <w:r w:rsidRPr="002E6ECA">
        <w:rPr>
          <w:rFonts w:eastAsiaTheme="minorHAnsi"/>
          <w:sz w:val="28"/>
          <w:szCs w:val="28"/>
          <w:lang w:val="uk-UA"/>
        </w:rPr>
        <w:t> </w:t>
      </w:r>
      <w:r w:rsidRPr="002E6ECA">
        <w:rPr>
          <w:rFonts w:eastAsiaTheme="minorHAnsi"/>
          <w:sz w:val="28"/>
          <w:szCs w:val="28"/>
          <w:lang w:val="uk-UA" w:eastAsia="en-US"/>
        </w:rPr>
        <w:t>Г.</w:t>
      </w:r>
      <w:r w:rsidRPr="002E6ECA">
        <w:rPr>
          <w:rFonts w:eastAsiaTheme="minorHAnsi"/>
          <w:sz w:val="28"/>
          <w:szCs w:val="28"/>
          <w:lang w:val="uk-UA"/>
        </w:rPr>
        <w:t> </w:t>
      </w:r>
      <w:r w:rsidRPr="002E6ECA">
        <w:rPr>
          <w:rFonts w:eastAsiaTheme="minorHAnsi"/>
          <w:sz w:val="28"/>
          <w:szCs w:val="28"/>
          <w:lang w:val="uk-UA" w:eastAsia="en-US"/>
        </w:rPr>
        <w:t xml:space="preserve">И., Щербакова Е. А., Пономарева Л. И., Серебренникова О. А. Медико-социальные проблемы сохранения здоровья академически одаренных детей в начальной школе. </w:t>
      </w:r>
      <w:r w:rsidRPr="002E6ECA">
        <w:rPr>
          <w:rFonts w:eastAsiaTheme="minorHAnsi"/>
          <w:i/>
          <w:sz w:val="28"/>
          <w:szCs w:val="28"/>
          <w:lang w:val="uk-UA" w:eastAsia="en-US"/>
        </w:rPr>
        <w:t>Здоровье и окружающая среда</w:t>
      </w:r>
      <w:r w:rsidRPr="002E6ECA">
        <w:rPr>
          <w:rFonts w:eastAsiaTheme="minorHAnsi"/>
          <w:sz w:val="28"/>
          <w:szCs w:val="28"/>
          <w:lang w:val="uk-UA" w:eastAsia="en-US"/>
        </w:rPr>
        <w:t>. 2014. Т. 2. № 24. С. 118-122. ISSN: 2076-3778.</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Даниленко Г. М., Міхановська Н. Г., Сотнікова-Мелешкіна Ж. В., Штриголь Д. В., Луценко О. Л., Островська А. Є., Романова Н. Г. Скринінг-оцінка психосоціального функціонування та якості життя, що пов’язана зі здоров’ям у школярів: метод. рек. Харків: ДУ «ІОЗДП НАМН», Харківський національний університет імені В.Н. Каразіна. </w:t>
      </w:r>
      <w:r w:rsidRPr="002E6ECA">
        <w:rPr>
          <w:sz w:val="28"/>
          <w:szCs w:val="28"/>
        </w:rPr>
        <w:t>2021. 28 с.</w:t>
      </w:r>
    </w:p>
    <w:p w:rsidR="00020FED" w:rsidRPr="002E6ECA" w:rsidRDefault="00020FED" w:rsidP="00020FED">
      <w:pPr>
        <w:numPr>
          <w:ilvl w:val="0"/>
          <w:numId w:val="72"/>
        </w:numPr>
        <w:spacing w:line="360" w:lineRule="auto"/>
        <w:ind w:left="0" w:firstLine="709"/>
        <w:contextualSpacing/>
        <w:jc w:val="both"/>
        <w:rPr>
          <w:rFonts w:eastAsiaTheme="minorHAnsi"/>
          <w:spacing w:val="-6"/>
          <w:sz w:val="28"/>
          <w:szCs w:val="28"/>
          <w:lang w:val="uk-UA" w:eastAsia="en-US"/>
        </w:rPr>
      </w:pPr>
      <w:r w:rsidRPr="002E6ECA">
        <w:rPr>
          <w:rFonts w:eastAsiaTheme="minorHAnsi"/>
          <w:spacing w:val="-6"/>
          <w:sz w:val="28"/>
          <w:szCs w:val="28"/>
          <w:lang w:val="uk-UA" w:eastAsia="en-US"/>
        </w:rPr>
        <w:t xml:space="preserve">Долгих В. В., Рычкова Л. В., Поляков В. М., Бугун О. В., Родионова А. Н., Давыдов А. В. Некоторые аспекты состояния здоровья одаренных школьников. </w:t>
      </w:r>
      <w:r w:rsidRPr="002E6ECA">
        <w:rPr>
          <w:rFonts w:eastAsiaTheme="minorHAnsi"/>
          <w:i/>
          <w:spacing w:val="-6"/>
          <w:sz w:val="28"/>
          <w:szCs w:val="28"/>
          <w:lang w:val="uk-UA" w:eastAsia="en-US"/>
        </w:rPr>
        <w:t>Бюллетень ВСНЦ СО РАМН</w:t>
      </w:r>
      <w:r w:rsidRPr="002E6ECA">
        <w:rPr>
          <w:rFonts w:eastAsiaTheme="minorHAnsi"/>
          <w:spacing w:val="-6"/>
          <w:sz w:val="28"/>
          <w:szCs w:val="28"/>
          <w:lang w:val="uk-UA" w:eastAsia="en-US"/>
        </w:rPr>
        <w:t>. 2012. № 5-1 (87). Часть 1. С. 217-219.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shd w:val="clear" w:color="auto" w:fill="FFFFFF"/>
          <w:lang w:val="uk-UA" w:eastAsia="en-US"/>
        </w:rPr>
        <w:t>Заікіна Г.</w:t>
      </w:r>
      <w:r w:rsidRPr="002E6ECA">
        <w:rPr>
          <w:sz w:val="28"/>
          <w:szCs w:val="28"/>
          <w:lang w:val="uk-UA"/>
        </w:rPr>
        <w:t> </w:t>
      </w:r>
      <w:r w:rsidRPr="002E6ECA">
        <w:rPr>
          <w:rFonts w:eastAsiaTheme="minorHAnsi"/>
          <w:sz w:val="28"/>
          <w:szCs w:val="28"/>
          <w:shd w:val="clear" w:color="auto" w:fill="FFFFFF"/>
          <w:lang w:val="uk-UA" w:eastAsia="en-US"/>
        </w:rPr>
        <w:t xml:space="preserve">Л. Психофізіологічна "ціна" як критерій ефективності організації навчального процесу в умовах надмірних інформаційних навантажень школярів. </w:t>
      </w:r>
      <w:r w:rsidRPr="002E6ECA">
        <w:rPr>
          <w:rFonts w:eastAsiaTheme="minorHAnsi"/>
          <w:i/>
          <w:sz w:val="28"/>
          <w:szCs w:val="28"/>
          <w:shd w:val="clear" w:color="auto" w:fill="FFFFFF"/>
          <w:lang w:val="uk-UA" w:eastAsia="en-US"/>
        </w:rPr>
        <w:t>Молодий вчений</w:t>
      </w:r>
      <w:r w:rsidRPr="002E6ECA">
        <w:rPr>
          <w:rFonts w:eastAsiaTheme="minorHAnsi"/>
          <w:sz w:val="28"/>
          <w:szCs w:val="28"/>
          <w:shd w:val="clear" w:color="auto" w:fill="FFFFFF"/>
          <w:lang w:val="uk-UA" w:eastAsia="en-US"/>
        </w:rPr>
        <w:t>. 2016. № 11.1. С. 40-43.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sz w:val="28"/>
          <w:szCs w:val="28"/>
          <w:lang w:val="uk-UA" w:eastAsia="en-US"/>
        </w:rPr>
        <w:t xml:space="preserve">Закон України Про забезпечення </w:t>
      </w:r>
      <w:r w:rsidRPr="002E6ECA">
        <w:rPr>
          <w:rFonts w:eastAsiaTheme="minorHAnsi"/>
          <w:sz w:val="28"/>
          <w:szCs w:val="28"/>
          <w:lang w:val="uk-UA" w:eastAsia="en-US"/>
        </w:rPr>
        <w:t xml:space="preserve">санітарного та епідемічного благополуччя населення. URL: https://zakon.rada.gov.ua/laws/show/4004-12#Text.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Закон України Про освіту (Відомості Верховної Ради (ВВР), 2017, № 38-39, ст.380). URL: https://zakon.rada.gov.ua/laws/show/2145-19#Text.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Закон України Про повну загальну середню освіту (Відомості Верховної Ради (ВВР), 2020, № 31, ст.226). URL: https://zakon.rada.gov.ua/laws/show/463-20#Text.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Здоровьесберегающие технологии в общеобразовательной школе: методология анализа, формы, методы, опыт применения: методические рекомендации / [под ред. М.</w:t>
      </w:r>
      <w:r w:rsidRPr="002E6ECA">
        <w:rPr>
          <w:rFonts w:eastAsiaTheme="minorHAnsi"/>
          <w:sz w:val="28"/>
          <w:szCs w:val="28"/>
          <w:lang w:val="uk-UA"/>
        </w:rPr>
        <w:t> </w:t>
      </w:r>
      <w:r w:rsidRPr="002E6ECA">
        <w:rPr>
          <w:rFonts w:eastAsiaTheme="minorHAnsi"/>
          <w:sz w:val="28"/>
          <w:szCs w:val="28"/>
          <w:lang w:val="uk-UA" w:eastAsia="en-US"/>
        </w:rPr>
        <w:t>М. Безруких, В.</w:t>
      </w:r>
      <w:r w:rsidRPr="002E6ECA">
        <w:rPr>
          <w:rFonts w:eastAsiaTheme="minorHAnsi"/>
          <w:sz w:val="28"/>
          <w:szCs w:val="28"/>
          <w:lang w:val="uk-UA"/>
        </w:rPr>
        <w:t> </w:t>
      </w:r>
      <w:r w:rsidRPr="002E6ECA">
        <w:rPr>
          <w:rFonts w:eastAsiaTheme="minorHAnsi"/>
          <w:sz w:val="28"/>
          <w:szCs w:val="28"/>
          <w:lang w:val="uk-UA" w:eastAsia="en-US"/>
        </w:rPr>
        <w:t xml:space="preserve">Д. Сонькина]. М.: Триада фарм. 2002. 114 с.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Зорина И. Г. Социально-гигиенический мониторинг состояния здоровья школьников и факторов среды как методологическая основа определения приоритетов профилактики в различных видах образовательных организаций: автореф. дис. … д. мед. наук: 14.02.01. Москва, 2013. 39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iCs/>
          <w:sz w:val="28"/>
          <w:szCs w:val="28"/>
          <w:lang w:val="uk-UA" w:eastAsia="en-US"/>
        </w:rPr>
        <w:t xml:space="preserve">Зорина И. Г., </w:t>
      </w:r>
      <w:hyperlink r:id="rId112" w:history="1">
        <w:r w:rsidRPr="002E6ECA">
          <w:rPr>
            <w:rFonts w:eastAsiaTheme="minorHAnsi"/>
            <w:iCs/>
            <w:sz w:val="28"/>
            <w:szCs w:val="28"/>
            <w:lang w:val="uk-UA" w:eastAsia="en-US"/>
          </w:rPr>
          <w:t>Макарова В. В.</w:t>
        </w:r>
      </w:hyperlink>
      <w:r w:rsidRPr="002E6ECA">
        <w:rPr>
          <w:rFonts w:eastAsiaTheme="minorHAnsi"/>
          <w:iCs/>
          <w:sz w:val="28"/>
          <w:szCs w:val="28"/>
          <w:lang w:val="uk-UA" w:eastAsia="en-US"/>
        </w:rPr>
        <w:t xml:space="preserve"> Социально-гигиенический мониторинг как основа управления в контрольно-надзорной деятельности Роспотребнадзора. </w:t>
      </w:r>
      <w:hyperlink r:id="rId113" w:history="1">
        <w:r w:rsidRPr="002E6ECA">
          <w:rPr>
            <w:rFonts w:eastAsiaTheme="minorHAnsi"/>
            <w:sz w:val="28"/>
            <w:szCs w:val="28"/>
            <w:lang w:val="uk-UA" w:eastAsia="en-US"/>
          </w:rPr>
          <w:t>Г</w:t>
        </w:r>
        <w:r w:rsidRPr="002E6ECA">
          <w:rPr>
            <w:rFonts w:eastAsiaTheme="minorHAnsi"/>
            <w:i/>
            <w:sz w:val="28"/>
            <w:szCs w:val="28"/>
            <w:lang w:val="uk-UA" w:eastAsia="en-US"/>
          </w:rPr>
          <w:t>игиена и санитария</w:t>
        </w:r>
      </w:hyperlink>
      <w:r w:rsidRPr="002E6ECA">
        <w:rPr>
          <w:rFonts w:eastAsiaTheme="minorHAnsi"/>
          <w:sz w:val="28"/>
          <w:szCs w:val="28"/>
          <w:lang w:val="uk-UA" w:eastAsia="en-US"/>
        </w:rPr>
        <w:t xml:space="preserve">. </w:t>
      </w:r>
      <w:r w:rsidRPr="002E6ECA">
        <w:rPr>
          <w:rFonts w:eastAsiaTheme="minorHAnsi"/>
          <w:iCs/>
          <w:sz w:val="28"/>
          <w:szCs w:val="28"/>
          <w:lang w:val="uk-UA" w:eastAsia="en-US"/>
        </w:rPr>
        <w:t xml:space="preserve">2020. </w:t>
      </w:r>
      <w:r w:rsidRPr="002E6ECA">
        <w:rPr>
          <w:rFonts w:eastAsiaTheme="minorHAnsi"/>
          <w:sz w:val="28"/>
          <w:szCs w:val="28"/>
          <w:lang w:val="uk-UA" w:eastAsia="en-US"/>
        </w:rPr>
        <w:t>Том 99. № 1. С. 13-19. https://doi.org/10.47470/0016-9900-2020-99-1-13-19.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Зосимов А. Н. Системный анализ в медицине / А.</w:t>
      </w:r>
      <w:r w:rsidRPr="002E6ECA">
        <w:rPr>
          <w:rFonts w:eastAsiaTheme="minorHAnsi"/>
          <w:sz w:val="28"/>
          <w:szCs w:val="28"/>
          <w:lang w:val="uk-UA"/>
        </w:rPr>
        <w:t> </w:t>
      </w:r>
      <w:r w:rsidRPr="002E6ECA">
        <w:rPr>
          <w:rFonts w:eastAsiaTheme="minorHAnsi"/>
          <w:sz w:val="28"/>
          <w:szCs w:val="28"/>
          <w:lang w:val="uk-UA" w:eastAsia="en-US"/>
        </w:rPr>
        <w:t>Н. Зосимов, В. П. Голик. Х.: Торнадо, 2000. 78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Івахно О. П., Козярін І. П., Чорна В. В., Махнюк В. М.</w:t>
      </w:r>
      <w:r w:rsidRPr="002E6ECA">
        <w:rPr>
          <w:rFonts w:eastAsiaTheme="minorHAnsi"/>
          <w:bCs/>
          <w:sz w:val="28"/>
          <w:szCs w:val="28"/>
          <w:lang w:val="uk-UA" w:eastAsia="en-US"/>
        </w:rPr>
        <w:t xml:space="preserve"> Динаміка стану здоров’я дитячого населення за останні роки реформування медичної сфери України. </w:t>
      </w:r>
      <w:hyperlink r:id="rId114" w:tooltip="Періодичне видання" w:history="1">
        <w:r w:rsidRPr="002E6ECA">
          <w:rPr>
            <w:rFonts w:eastAsiaTheme="minorHAnsi"/>
            <w:bCs/>
            <w:i/>
            <w:sz w:val="28"/>
            <w:szCs w:val="28"/>
            <w:lang w:val="uk-UA" w:eastAsia="en-US"/>
          </w:rPr>
          <w:t>Збірник наукових праць співробітників НМАПО ім. П. Л. Шупика</w:t>
        </w:r>
      </w:hyperlink>
      <w:r w:rsidRPr="002E6ECA">
        <w:rPr>
          <w:rFonts w:eastAsiaTheme="minorHAnsi"/>
          <w:bCs/>
          <w:sz w:val="28"/>
          <w:szCs w:val="28"/>
          <w:lang w:val="uk-UA" w:eastAsia="en-US"/>
        </w:rPr>
        <w:t xml:space="preserve">. 2015. Вип. 24 (3). С. 446-453. </w:t>
      </w:r>
      <w:r w:rsidRPr="002E6ECA">
        <w:rPr>
          <w:rFonts w:eastAsiaTheme="minorHAnsi"/>
          <w:sz w:val="28"/>
          <w:szCs w:val="28"/>
          <w:lang w:val="uk-UA" w:eastAsia="en-US"/>
        </w:rPr>
        <w:t>URL</w:t>
      </w:r>
      <w:r w:rsidRPr="002E6ECA">
        <w:rPr>
          <w:rFonts w:eastAsiaTheme="minorHAnsi"/>
          <w:bCs/>
          <w:sz w:val="28"/>
          <w:szCs w:val="28"/>
          <w:lang w:val="uk-UA" w:eastAsia="en-US"/>
        </w:rPr>
        <w:t>: </w:t>
      </w:r>
      <w:hyperlink r:id="rId115" w:history="1">
        <w:r w:rsidRPr="002E6ECA">
          <w:rPr>
            <w:rFonts w:eastAsiaTheme="minorHAnsi"/>
            <w:bCs/>
            <w:sz w:val="28"/>
            <w:szCs w:val="28"/>
            <w:lang w:val="uk-UA" w:eastAsia="en-US"/>
          </w:rPr>
          <w:t>http://nbuv.gov.ua/UJRN/Znpsnmapo_2015_24(3)__76</w:t>
        </w:r>
      </w:hyperlink>
      <w:r w:rsidRPr="002E6ECA">
        <w:rPr>
          <w:rFonts w:eastAsiaTheme="minorHAnsi"/>
          <w:bCs/>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Іонова О. М. Формування здоров'я особистості: досвід Вальдорфської школи. </w:t>
      </w:r>
      <w:r w:rsidRPr="002E6ECA">
        <w:rPr>
          <w:rFonts w:eastAsiaTheme="minorHAnsi"/>
          <w:i/>
          <w:sz w:val="28"/>
          <w:szCs w:val="28"/>
          <w:lang w:val="uk-UA" w:eastAsia="en-US"/>
        </w:rPr>
        <w:t>Педагогіка, психологія та медико-біологічні проблеми фізичного виховання і спорту</w:t>
      </w:r>
      <w:r w:rsidRPr="002E6ECA">
        <w:rPr>
          <w:rFonts w:eastAsiaTheme="minorHAnsi"/>
          <w:sz w:val="28"/>
          <w:szCs w:val="28"/>
          <w:lang w:val="uk-UA" w:eastAsia="en-US"/>
        </w:rPr>
        <w:t>. 2013. № 10. С. 35-40. doi:10.6084/m9.figshare.775337.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Калиниченко Д. О. Здоров’язбережувальні технології як складова навчально-виховного процесу сучасної школи. </w:t>
      </w:r>
      <w:r w:rsidRPr="002E6ECA">
        <w:rPr>
          <w:rFonts w:eastAsiaTheme="minorHAnsi"/>
          <w:i/>
          <w:sz w:val="28"/>
          <w:szCs w:val="28"/>
          <w:lang w:val="uk-UA" w:eastAsia="en-US"/>
        </w:rPr>
        <w:t>Молодий вчений</w:t>
      </w:r>
      <w:r w:rsidRPr="002E6ECA">
        <w:rPr>
          <w:rFonts w:eastAsiaTheme="minorHAnsi"/>
          <w:sz w:val="28"/>
          <w:szCs w:val="28"/>
          <w:lang w:val="uk-UA" w:eastAsia="en-US"/>
        </w:rPr>
        <w:t>. 2016. № 11.1 (38.1). С. 52-55.</w:t>
      </w:r>
    </w:p>
    <w:p w:rsidR="00020FED" w:rsidRPr="002E6ECA" w:rsidRDefault="00020FED" w:rsidP="00020FED">
      <w:pPr>
        <w:numPr>
          <w:ilvl w:val="0"/>
          <w:numId w:val="72"/>
        </w:numPr>
        <w:spacing w:line="360" w:lineRule="auto"/>
        <w:ind w:left="0" w:firstLine="709"/>
        <w:contextualSpacing/>
        <w:jc w:val="both"/>
        <w:rPr>
          <w:rFonts w:eastAsia="TimesNewRomanPSMT"/>
          <w:sz w:val="28"/>
          <w:szCs w:val="28"/>
          <w:lang w:val="uk-UA" w:eastAsia="en-US"/>
        </w:rPr>
      </w:pPr>
      <w:r w:rsidRPr="002E6ECA">
        <w:rPr>
          <w:rFonts w:eastAsia="TimesNewRomanPSMT"/>
          <w:sz w:val="28"/>
          <w:szCs w:val="28"/>
          <w:lang w:val="uk-UA" w:eastAsia="en-US"/>
        </w:rPr>
        <w:t xml:space="preserve">Калиниченко И. А., Заикина А. Л., Латина А. А. Факторы психофизиологической «цены» познавательной деятельности учащихся с высокой успеваемостью обучения и различной интенсивностью двигательной </w:t>
      </w:r>
      <w:r w:rsidRPr="002E6ECA">
        <w:rPr>
          <w:rFonts w:eastAsia="TimesNewRomanPSMT"/>
          <w:sz w:val="28"/>
          <w:szCs w:val="28"/>
          <w:lang w:val="uk-UA" w:eastAsia="en-US"/>
        </w:rPr>
        <w:lastRenderedPageBreak/>
        <w:t xml:space="preserve">активности. </w:t>
      </w:r>
      <w:r w:rsidRPr="002E6ECA">
        <w:rPr>
          <w:rFonts w:eastAsia="TimesNewRomanPSMT"/>
          <w:i/>
          <w:sz w:val="28"/>
          <w:szCs w:val="28"/>
          <w:lang w:val="uk-UA" w:eastAsia="en-US"/>
        </w:rPr>
        <w:t>Известия Гомельского государственного университета имени Ф. Скорины</w:t>
      </w:r>
      <w:r w:rsidRPr="002E6ECA">
        <w:rPr>
          <w:rFonts w:eastAsia="TimesNewRomanPSMT"/>
          <w:sz w:val="28"/>
          <w:szCs w:val="28"/>
          <w:lang w:val="uk-UA" w:eastAsia="en-US"/>
        </w:rPr>
        <w:t>. 2019. № 5 (116). С. 36-41.</w:t>
      </w:r>
    </w:p>
    <w:p w:rsidR="00020FED" w:rsidRPr="002E6ECA" w:rsidRDefault="00020FED" w:rsidP="00020FED">
      <w:pPr>
        <w:numPr>
          <w:ilvl w:val="0"/>
          <w:numId w:val="72"/>
        </w:numPr>
        <w:spacing w:line="360" w:lineRule="auto"/>
        <w:ind w:left="0" w:firstLine="709"/>
        <w:contextualSpacing/>
        <w:jc w:val="both"/>
        <w:rPr>
          <w:rFonts w:eastAsia="TimesNewRomanPSMT"/>
          <w:sz w:val="28"/>
          <w:szCs w:val="28"/>
          <w:lang w:val="uk-UA" w:eastAsia="en-US"/>
        </w:rPr>
      </w:pPr>
      <w:r w:rsidRPr="002E6ECA">
        <w:rPr>
          <w:rFonts w:eastAsia="TimesNewRomanPSMT"/>
          <w:sz w:val="28"/>
          <w:szCs w:val="28"/>
          <w:lang w:val="uk-UA" w:eastAsia="en-US"/>
        </w:rPr>
        <w:t>Калиниченко І.</w:t>
      </w:r>
      <w:r w:rsidRPr="002E6ECA">
        <w:rPr>
          <w:rFonts w:eastAsia="TimesNewRomanPSMT"/>
          <w:sz w:val="28"/>
          <w:szCs w:val="28"/>
          <w:lang w:val="uk-UA"/>
        </w:rPr>
        <w:t> </w:t>
      </w:r>
      <w:r w:rsidRPr="002E6ECA">
        <w:rPr>
          <w:rFonts w:eastAsia="TimesNewRomanPSMT"/>
          <w:sz w:val="28"/>
          <w:szCs w:val="28"/>
          <w:lang w:val="uk-UA" w:eastAsia="en-US"/>
        </w:rPr>
        <w:t xml:space="preserve">О. Гігієнічні аспекти збереження здоров’я школярів. </w:t>
      </w:r>
      <w:r w:rsidRPr="002E6ECA">
        <w:rPr>
          <w:rFonts w:eastAsia="TimesNewRomanPSMT"/>
          <w:i/>
          <w:sz w:val="28"/>
          <w:szCs w:val="28"/>
          <w:lang w:val="uk-UA" w:eastAsia="en-US"/>
        </w:rPr>
        <w:t>Молодий вчений</w:t>
      </w:r>
      <w:r w:rsidRPr="002E6ECA">
        <w:rPr>
          <w:rFonts w:eastAsia="TimesNewRomanPSMT"/>
          <w:sz w:val="28"/>
          <w:szCs w:val="28"/>
          <w:lang w:val="uk-UA" w:eastAsia="en-US"/>
        </w:rPr>
        <w:t>. 2016. № 11.1 (38.1). С. 56-59.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Калиниченко І.</w:t>
      </w:r>
      <w:r w:rsidRPr="002E6ECA">
        <w:rPr>
          <w:rFonts w:eastAsiaTheme="minorHAnsi"/>
          <w:sz w:val="28"/>
          <w:szCs w:val="28"/>
          <w:lang w:val="uk-UA"/>
        </w:rPr>
        <w:t> </w:t>
      </w:r>
      <w:r w:rsidRPr="002E6ECA">
        <w:rPr>
          <w:rFonts w:eastAsiaTheme="minorHAnsi"/>
          <w:sz w:val="28"/>
          <w:szCs w:val="28"/>
          <w:lang w:val="uk-UA" w:eastAsia="en-US"/>
        </w:rPr>
        <w:t xml:space="preserve">О., Колесник А. С. Міжсекторальна взаємодія у галузі громадського здоров’я щодо формування здоров’язбережувального освітнього середовища. </w:t>
      </w:r>
      <w:r w:rsidRPr="002E6ECA">
        <w:rPr>
          <w:rFonts w:eastAsiaTheme="minorHAnsi"/>
          <w:i/>
          <w:sz w:val="28"/>
          <w:szCs w:val="28"/>
          <w:lang w:val="uk-UA" w:eastAsia="en-US"/>
        </w:rPr>
        <w:t xml:space="preserve">Актуальні питання громадського здоров’я таекологічної безпеки України : </w:t>
      </w:r>
      <w:r w:rsidRPr="002E6ECA">
        <w:rPr>
          <w:rFonts w:eastAsiaTheme="minorHAnsi"/>
          <w:sz w:val="28"/>
          <w:szCs w:val="28"/>
          <w:lang w:val="uk-UA" w:eastAsia="en-US"/>
        </w:rPr>
        <w:t>науково-практична конференція присвячена чотирнадцятим марзєєвським читанням, 17-18 жовтня 2019 р. Зб. тез доп., Вип. 19. С. 202-204.</w:t>
      </w:r>
    </w:p>
    <w:p w:rsidR="00020FED" w:rsidRPr="002E6ECA" w:rsidRDefault="00020FED" w:rsidP="00020FED">
      <w:pPr>
        <w:numPr>
          <w:ilvl w:val="0"/>
          <w:numId w:val="72"/>
        </w:numPr>
        <w:spacing w:line="360" w:lineRule="auto"/>
        <w:ind w:left="0" w:firstLine="709"/>
        <w:contextualSpacing/>
        <w:jc w:val="both"/>
        <w:rPr>
          <w:rFonts w:eastAsia="TimesNewRomanPSMT"/>
          <w:sz w:val="28"/>
          <w:szCs w:val="28"/>
          <w:lang w:val="uk-UA" w:eastAsia="en-US"/>
        </w:rPr>
      </w:pPr>
      <w:r w:rsidRPr="002E6ECA">
        <w:rPr>
          <w:rFonts w:eastAsia="TimesNewRomanPSMT"/>
          <w:sz w:val="28"/>
          <w:szCs w:val="28"/>
          <w:lang w:val="uk-UA" w:eastAsia="en-US"/>
        </w:rPr>
        <w:t>Калиниченко</w:t>
      </w:r>
      <w:r w:rsidRPr="002E6ECA">
        <w:rPr>
          <w:rFonts w:eastAsia="TimesNewRomanPSMT"/>
          <w:sz w:val="28"/>
          <w:szCs w:val="28"/>
          <w:lang w:val="uk-UA"/>
        </w:rPr>
        <w:t> </w:t>
      </w:r>
      <w:r w:rsidRPr="002E6ECA">
        <w:rPr>
          <w:rFonts w:eastAsia="TimesNewRomanPSMT"/>
          <w:sz w:val="28"/>
          <w:szCs w:val="28"/>
          <w:lang w:val="uk-UA" w:eastAsia="en-US"/>
        </w:rPr>
        <w:t xml:space="preserve">І. О., Стеценко О. В., Стеценко Н. М., Стефаник Т. Ф. Оцінка стану здоров'я школярів загальноосвітніх навчальних закладів різного типу. </w:t>
      </w:r>
      <w:r w:rsidRPr="002E6ECA">
        <w:rPr>
          <w:rFonts w:eastAsia="TimesNewRomanPSMT"/>
          <w:i/>
          <w:sz w:val="28"/>
          <w:szCs w:val="28"/>
          <w:lang w:val="uk-UA" w:eastAsia="en-US"/>
        </w:rPr>
        <w:t>Вісник Сумського державного університету</w:t>
      </w:r>
      <w:r w:rsidRPr="002E6ECA">
        <w:rPr>
          <w:rFonts w:eastAsia="TimesNewRomanPSMT"/>
          <w:sz w:val="28"/>
          <w:szCs w:val="28"/>
          <w:lang w:val="uk-UA" w:eastAsia="en-US"/>
        </w:rPr>
        <w:t xml:space="preserve">. </w:t>
      </w:r>
      <w:r w:rsidRPr="002E6ECA">
        <w:rPr>
          <w:rFonts w:eastAsia="TimesNewRomanPSMT"/>
          <w:i/>
          <w:sz w:val="28"/>
          <w:szCs w:val="28"/>
          <w:lang w:val="uk-UA" w:eastAsia="en-US"/>
        </w:rPr>
        <w:t>Серія Медицина</w:t>
      </w:r>
      <w:r w:rsidRPr="002E6ECA">
        <w:rPr>
          <w:rFonts w:eastAsia="TimesNewRomanPSMT"/>
          <w:sz w:val="28"/>
          <w:szCs w:val="28"/>
          <w:lang w:val="uk-UA" w:eastAsia="en-US"/>
        </w:rPr>
        <w:t>. 2012. № 1. С. 172-177.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Камінська Т. М. Оптимізація системи профілактичних заходів та реабілітація порушень стану здоров’я дітей шкільного віку: автореф. дис. … д. мед. наук: 14.01.10, Київ. 2016. 42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Карабан О. М., Вороньжев І. О., Ткач С. І. Громадське здоров’я: питання щодо проведення соціально-гігієнічного моніторингу. </w:t>
      </w:r>
      <w:r w:rsidRPr="002E6ECA">
        <w:rPr>
          <w:rFonts w:eastAsiaTheme="minorHAnsi"/>
          <w:i/>
          <w:sz w:val="28"/>
          <w:szCs w:val="28"/>
          <w:lang w:val="uk-UA" w:eastAsia="en-US"/>
        </w:rPr>
        <w:t>Проблеми безперервної медичної освіти та науки</w:t>
      </w:r>
      <w:r w:rsidRPr="002E6ECA">
        <w:rPr>
          <w:rFonts w:eastAsiaTheme="minorHAnsi"/>
          <w:sz w:val="28"/>
          <w:szCs w:val="28"/>
          <w:lang w:val="uk-UA" w:eastAsia="en-US"/>
        </w:rPr>
        <w:t>. 2019. № 4 (36). С. 5-10.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Карданова Е. Ю., Иванова А. Е., Сергоманов П. А., Канонир Т. Н., Антипкина И. В., Кайкы Д. Н. Обобщенные типы развития первоклассников на входе в школу По материалам исследования iPIPS. </w:t>
      </w:r>
      <w:r w:rsidRPr="002E6ECA">
        <w:rPr>
          <w:rFonts w:eastAsiaTheme="minorHAnsi"/>
          <w:i/>
          <w:sz w:val="28"/>
          <w:szCs w:val="28"/>
          <w:lang w:val="uk-UA" w:eastAsia="en-US"/>
        </w:rPr>
        <w:t>Вопросы образования</w:t>
      </w:r>
      <w:r w:rsidRPr="002E6ECA">
        <w:rPr>
          <w:rFonts w:eastAsiaTheme="minorHAnsi"/>
          <w:sz w:val="28"/>
          <w:szCs w:val="28"/>
          <w:lang w:val="uk-UA" w:eastAsia="en-US"/>
        </w:rPr>
        <w:t>. 2018. № 1. С. 8-37. DOI: 10.17323/1814-9545-2018-1-8-37.</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Кашкалда Д. А., Косовцова А. В., Турчина С. И., Сухова Л. Л., Сотникова-Мелешкина Ж. В. </w:t>
      </w:r>
      <w:r w:rsidRPr="002E6ECA">
        <w:rPr>
          <w:sz w:val="28"/>
          <w:szCs w:val="28"/>
        </w:rPr>
        <w:t xml:space="preserve">Особенности процессов свободнорадикального окисления и антиоксидантной защиты у мальчиков-подростков с гипоандрогенией в зависимости от функционального состояния щитовидной железы. </w:t>
      </w:r>
      <w:r w:rsidRPr="002E6ECA">
        <w:rPr>
          <w:i/>
          <w:sz w:val="28"/>
          <w:szCs w:val="28"/>
        </w:rPr>
        <w:t>Проблеми ендокринної патології</w:t>
      </w:r>
      <w:r w:rsidRPr="002E6ECA">
        <w:rPr>
          <w:sz w:val="28"/>
          <w:szCs w:val="28"/>
        </w:rPr>
        <w:t>. 2020. № 1. С. 30-35. doi:10.21856/j-PEP.2020.1.04.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Квашніна Л. В., Величко М. І. Методика визначення рівня здоров'я і адаптаційних можливостей дитячого організму. </w:t>
      </w:r>
      <w:r w:rsidRPr="002E6ECA">
        <w:rPr>
          <w:rFonts w:eastAsiaTheme="minorHAnsi"/>
          <w:i/>
          <w:sz w:val="28"/>
          <w:szCs w:val="28"/>
          <w:lang w:val="uk-UA" w:eastAsia="en-US"/>
        </w:rPr>
        <w:t>Перинатологія і педіатрія</w:t>
      </w:r>
      <w:r w:rsidRPr="002E6ECA">
        <w:rPr>
          <w:rFonts w:eastAsiaTheme="minorHAnsi"/>
          <w:sz w:val="28"/>
          <w:szCs w:val="28"/>
          <w:lang w:val="uk-UA" w:eastAsia="en-US"/>
        </w:rPr>
        <w:t>. 2000. № 2. С. 49-52.</w:t>
      </w:r>
    </w:p>
    <w:p w:rsidR="00020FED" w:rsidRPr="002E6ECA" w:rsidRDefault="00020FED" w:rsidP="00020FED">
      <w:pPr>
        <w:numPr>
          <w:ilvl w:val="0"/>
          <w:numId w:val="72"/>
        </w:numPr>
        <w:spacing w:line="360" w:lineRule="auto"/>
        <w:ind w:left="0" w:firstLine="709"/>
        <w:contextualSpacing/>
        <w:jc w:val="both"/>
        <w:rPr>
          <w:rFonts w:eastAsiaTheme="minorHAnsi"/>
          <w:spacing w:val="-4"/>
          <w:sz w:val="28"/>
          <w:szCs w:val="28"/>
          <w:lang w:val="uk-UA" w:eastAsia="en-US"/>
        </w:rPr>
      </w:pPr>
      <w:r w:rsidRPr="002E6ECA">
        <w:rPr>
          <w:rFonts w:eastAsiaTheme="minorHAnsi"/>
          <w:spacing w:val="-4"/>
          <w:sz w:val="28"/>
          <w:szCs w:val="28"/>
          <w:lang w:val="uk-UA" w:eastAsia="en-US"/>
        </w:rPr>
        <w:t xml:space="preserve">Кисельов К. Ю. </w:t>
      </w:r>
      <w:r w:rsidRPr="002E6ECA">
        <w:rPr>
          <w:rFonts w:eastAsiaTheme="minorHAnsi"/>
          <w:bCs/>
          <w:spacing w:val="-4"/>
          <w:sz w:val="28"/>
          <w:szCs w:val="28"/>
          <w:lang w:val="uk-UA" w:eastAsia="en-US"/>
        </w:rPr>
        <w:t>Статистичний аналіз споживання продуктів харчування населенням України</w:t>
      </w:r>
      <w:r w:rsidRPr="002E6ECA">
        <w:rPr>
          <w:rFonts w:eastAsiaTheme="minorHAnsi"/>
          <w:spacing w:val="-4"/>
          <w:sz w:val="28"/>
          <w:szCs w:val="28"/>
          <w:lang w:val="uk-UA" w:eastAsia="en-US"/>
        </w:rPr>
        <w:t xml:space="preserve">. </w:t>
      </w:r>
      <w:hyperlink r:id="rId116" w:tooltip="Періодичне видання" w:history="1">
        <w:r w:rsidRPr="002E6ECA">
          <w:rPr>
            <w:rFonts w:eastAsiaTheme="minorHAnsi"/>
            <w:i/>
            <w:spacing w:val="-4"/>
            <w:sz w:val="28"/>
            <w:szCs w:val="28"/>
            <w:lang w:val="uk-UA" w:eastAsia="en-US"/>
          </w:rPr>
          <w:t>Вісник Харківського національного університету імені В. Н. Каразіна. Серія Економічна</w:t>
        </w:r>
      </w:hyperlink>
      <w:r w:rsidRPr="002E6ECA">
        <w:rPr>
          <w:rFonts w:eastAsiaTheme="minorHAnsi"/>
          <w:spacing w:val="-4"/>
          <w:sz w:val="28"/>
          <w:szCs w:val="28"/>
          <w:lang w:val="uk-UA" w:eastAsia="en-US"/>
        </w:rPr>
        <w:t xml:space="preserve">. 2014. № 1096 (87). С. 95-100.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iCs/>
          <w:sz w:val="28"/>
          <w:szCs w:val="28"/>
          <w:lang w:val="uk-UA" w:eastAsia="en-US"/>
        </w:rPr>
        <w:t xml:space="preserve">Козярін І. П., Івахно О. П., Нємцева Ю. В. </w:t>
      </w:r>
      <w:r w:rsidRPr="002E6ECA">
        <w:rPr>
          <w:rFonts w:eastAsiaTheme="minorHAnsi"/>
          <w:bCs/>
          <w:sz w:val="28"/>
          <w:szCs w:val="28"/>
          <w:lang w:val="uk-UA" w:eastAsia="en-US"/>
        </w:rPr>
        <w:t xml:space="preserve">Фактори ризку у формуванні здоров’я сучасного покоління дітей. </w:t>
      </w:r>
      <w:r w:rsidRPr="002E6ECA">
        <w:rPr>
          <w:rFonts w:eastAsiaTheme="minorHAnsi"/>
          <w:i/>
          <w:sz w:val="28"/>
          <w:szCs w:val="28"/>
          <w:lang w:val="uk-UA" w:eastAsia="en-US"/>
        </w:rPr>
        <w:t>Зб. наук. спраць співробіт. НМАПО імені П.Л. Шупика</w:t>
      </w:r>
      <w:r w:rsidRPr="002E6ECA">
        <w:rPr>
          <w:rFonts w:eastAsiaTheme="minorHAnsi"/>
          <w:sz w:val="28"/>
          <w:szCs w:val="28"/>
          <w:lang w:val="uk-UA" w:eastAsia="en-US"/>
        </w:rPr>
        <w:t xml:space="preserve">. 2014. № 23 (4). С. 170-175. </w:t>
      </w:r>
    </w:p>
    <w:p w:rsidR="00020FED" w:rsidRPr="002E6ECA" w:rsidRDefault="00020FED" w:rsidP="00020FED">
      <w:pPr>
        <w:numPr>
          <w:ilvl w:val="0"/>
          <w:numId w:val="72"/>
        </w:numPr>
        <w:spacing w:line="360" w:lineRule="auto"/>
        <w:ind w:left="0" w:firstLine="709"/>
        <w:contextualSpacing/>
        <w:jc w:val="both"/>
        <w:rPr>
          <w:rFonts w:eastAsiaTheme="minorHAnsi"/>
          <w:spacing w:val="-4"/>
          <w:sz w:val="28"/>
          <w:szCs w:val="28"/>
          <w:lang w:val="uk-UA" w:eastAsia="en-US"/>
        </w:rPr>
      </w:pPr>
      <w:r w:rsidRPr="002E6ECA">
        <w:rPr>
          <w:rFonts w:eastAsiaTheme="minorHAnsi"/>
          <w:spacing w:val="-4"/>
          <w:sz w:val="28"/>
          <w:szCs w:val="28"/>
          <w:lang w:val="uk-UA" w:eastAsia="en-US"/>
        </w:rPr>
        <w:t>Концепція реалізації науково-педагогічного проекту «Інтелект України» в основній школі : Додаток 2 до наказу Міністерства освіти і науки, молоді та спорту України від 10.07.2012 № 797 / Міністерство освіти і науки, молоді та спорту України. URL:https://zakon.rada.gov.ua/rada/show/en/v0797736-12.</w:t>
      </w:r>
    </w:p>
    <w:p w:rsidR="00020FED" w:rsidRPr="002E6ECA" w:rsidRDefault="00020FED" w:rsidP="00020FED">
      <w:pPr>
        <w:numPr>
          <w:ilvl w:val="0"/>
          <w:numId w:val="72"/>
        </w:numPr>
        <w:spacing w:line="360" w:lineRule="auto"/>
        <w:ind w:left="0" w:firstLine="709"/>
        <w:contextualSpacing/>
        <w:jc w:val="both"/>
        <w:rPr>
          <w:rFonts w:eastAsiaTheme="minorHAnsi"/>
          <w:b/>
          <w:bCs/>
          <w:sz w:val="28"/>
          <w:szCs w:val="28"/>
          <w:lang w:val="uk-UA" w:eastAsia="en-US"/>
        </w:rPr>
      </w:pPr>
      <w:r w:rsidRPr="002E6ECA">
        <w:rPr>
          <w:rFonts w:eastAsiaTheme="minorHAnsi"/>
          <w:sz w:val="28"/>
          <w:szCs w:val="28"/>
          <w:lang w:val="uk-UA" w:eastAsia="en-US"/>
        </w:rPr>
        <w:t>Корнієнко В. І., Гусєв О. Ю., Герасіна О. В., Щокін В. П. Теорія систем керування: підручник. М-во освіти і науки України, Нац. гірн. ун-т. Дніпро: НГУ, 2017. 497 с.</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lang w:val="uk-UA" w:eastAsia="en-US"/>
        </w:rPr>
      </w:pPr>
      <w:r w:rsidRPr="002E6ECA">
        <w:rPr>
          <w:rFonts w:eastAsiaTheme="minorHAnsi"/>
          <w:bCs/>
          <w:sz w:val="28"/>
          <w:szCs w:val="28"/>
          <w:lang w:val="uk-UA" w:eastAsia="en-US"/>
        </w:rPr>
        <w:t xml:space="preserve">Коробчанський В. О., Богачова О. С. Вплив умов навчання на стан здоров’я підлітків -учнів професійного аграрного ліцею. </w:t>
      </w:r>
      <w:hyperlink r:id="rId117" w:tgtFrame="_blank" w:tooltip="Періодичне видання" w:history="1">
        <w:r w:rsidRPr="002E6ECA">
          <w:rPr>
            <w:rFonts w:eastAsiaTheme="minorHAnsi"/>
            <w:bCs/>
            <w:i/>
            <w:sz w:val="28"/>
            <w:szCs w:val="28"/>
            <w:lang w:val="uk-UA" w:eastAsia="en-US"/>
          </w:rPr>
          <w:t>Medical science of Ukraine</w:t>
        </w:r>
      </w:hyperlink>
      <w:r w:rsidRPr="002E6ECA">
        <w:rPr>
          <w:rFonts w:eastAsiaTheme="minorHAnsi"/>
          <w:bCs/>
          <w:sz w:val="28"/>
          <w:szCs w:val="28"/>
          <w:lang w:val="uk-UA" w:eastAsia="en-US"/>
        </w:rPr>
        <w:t>. 2017. №. 13. 3-4. С. 63. http://nbuv.gov.ua/UJRN/nvnmu_2017_13_3-4_12.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Коцур Н. Формування здоров’язбережувального простору в загальноосвітніх навчальних закладах. Рідна школа. 2012. № 11. С. 60 -65.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Кочурова</w:t>
      </w:r>
      <w:r w:rsidRPr="002E6ECA">
        <w:rPr>
          <w:rFonts w:eastAsiaTheme="minorHAnsi"/>
          <w:sz w:val="28"/>
          <w:szCs w:val="28"/>
          <w:lang w:val="uk-UA"/>
        </w:rPr>
        <w:t> </w:t>
      </w:r>
      <w:r w:rsidRPr="002E6ECA">
        <w:rPr>
          <w:rFonts w:eastAsiaTheme="minorHAnsi"/>
          <w:sz w:val="28"/>
          <w:szCs w:val="28"/>
          <w:lang w:val="uk-UA" w:eastAsia="en-US"/>
        </w:rPr>
        <w:t xml:space="preserve">О. И., Синюк О. А. Развитие одаренных детей в условиях общеобразовательной школы. </w:t>
      </w:r>
      <w:r w:rsidRPr="002E6ECA">
        <w:rPr>
          <w:rFonts w:eastAsiaTheme="minorHAnsi"/>
          <w:i/>
          <w:sz w:val="28"/>
          <w:szCs w:val="28"/>
          <w:lang w:val="uk-UA" w:eastAsia="en-US"/>
        </w:rPr>
        <w:t>Эксперимент и инновации в школе</w:t>
      </w:r>
      <w:r w:rsidRPr="002E6ECA">
        <w:rPr>
          <w:rFonts w:eastAsiaTheme="minorHAnsi"/>
          <w:sz w:val="28"/>
          <w:szCs w:val="28"/>
          <w:lang w:val="uk-UA" w:eastAsia="en-US"/>
        </w:rPr>
        <w:t xml:space="preserve">. 2012. № 2012/3. С. 19-24.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Криштопа</w:t>
      </w:r>
      <w:r w:rsidRPr="002E6ECA">
        <w:rPr>
          <w:rFonts w:eastAsiaTheme="minorHAnsi"/>
          <w:sz w:val="28"/>
          <w:szCs w:val="28"/>
          <w:lang w:val="uk-UA"/>
        </w:rPr>
        <w:t> </w:t>
      </w:r>
      <w:r w:rsidRPr="002E6ECA">
        <w:rPr>
          <w:rFonts w:eastAsiaTheme="minorHAnsi"/>
          <w:sz w:val="28"/>
          <w:szCs w:val="28"/>
          <w:lang w:val="uk-UA" w:eastAsia="en-US"/>
        </w:rPr>
        <w:t>Б. П., Огнєв</w:t>
      </w:r>
      <w:r w:rsidRPr="002E6ECA">
        <w:rPr>
          <w:rFonts w:eastAsiaTheme="minorHAnsi"/>
          <w:sz w:val="28"/>
          <w:szCs w:val="28"/>
          <w:lang w:val="uk-UA"/>
        </w:rPr>
        <w:t> </w:t>
      </w:r>
      <w:r w:rsidRPr="002E6ECA">
        <w:rPr>
          <w:rFonts w:eastAsiaTheme="minorHAnsi"/>
          <w:sz w:val="28"/>
          <w:szCs w:val="28"/>
          <w:lang w:val="uk-UA" w:eastAsia="en-US"/>
        </w:rPr>
        <w:t>В. А., Лічман Л. Ю., Горачук В. В., Чумак Л. І., Брич</w:t>
      </w:r>
      <w:r w:rsidRPr="002E6ECA">
        <w:rPr>
          <w:rFonts w:eastAsiaTheme="minorHAnsi"/>
          <w:sz w:val="28"/>
          <w:szCs w:val="28"/>
          <w:lang w:val="uk-UA"/>
        </w:rPr>
        <w:t> </w:t>
      </w:r>
      <w:r w:rsidRPr="002E6ECA">
        <w:rPr>
          <w:rFonts w:eastAsiaTheme="minorHAnsi"/>
          <w:sz w:val="28"/>
          <w:szCs w:val="28"/>
          <w:lang w:val="uk-UA" w:eastAsia="en-US"/>
        </w:rPr>
        <w:t xml:space="preserve">В. В. Адаптація опитувальника «Quality Of Life In Childhood Epilepsy Questionnaire Qolce: Parent Form» до національних умов. </w:t>
      </w:r>
      <w:r w:rsidRPr="002E6ECA">
        <w:rPr>
          <w:rFonts w:eastAsiaTheme="minorHAnsi"/>
          <w:i/>
          <w:sz w:val="28"/>
          <w:szCs w:val="28"/>
          <w:lang w:val="uk-UA" w:eastAsia="en-US"/>
        </w:rPr>
        <w:t>Здоров'я нації</w:t>
      </w:r>
      <w:r w:rsidRPr="002E6ECA">
        <w:rPr>
          <w:rFonts w:eastAsiaTheme="minorHAnsi"/>
          <w:sz w:val="28"/>
          <w:szCs w:val="28"/>
          <w:lang w:val="uk-UA" w:eastAsia="en-US"/>
        </w:rPr>
        <w:t>. 2011. № 3 (19). С. 151-159.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Круцевич Т., Пангелова Н. Раціональна рухова активність як фактор підвищення розумової працездатності школярів. </w:t>
      </w:r>
      <w:hyperlink r:id="rId118" w:tooltip="Періодичне видання" w:history="1">
        <w:r w:rsidRPr="002E6ECA">
          <w:rPr>
            <w:rFonts w:eastAsiaTheme="minorHAnsi"/>
            <w:i/>
            <w:sz w:val="28"/>
            <w:szCs w:val="28"/>
            <w:lang w:val="uk-UA" w:eastAsia="en-US"/>
          </w:rPr>
          <w:t>Спортивний вісник Придніпров'я</w:t>
        </w:r>
      </w:hyperlink>
      <w:r w:rsidRPr="002E6ECA">
        <w:rPr>
          <w:rFonts w:eastAsiaTheme="minorHAnsi"/>
          <w:sz w:val="28"/>
          <w:szCs w:val="28"/>
          <w:lang w:val="uk-UA" w:eastAsia="en-US"/>
        </w:rPr>
        <w:t>. 2014. № 2. С. 73-76.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Крылова А. С. Психолого-педагогические аспекты адаптации первоклассников к обучению в школе. </w:t>
      </w:r>
      <w:hyperlink r:id="rId119" w:history="1">
        <w:r w:rsidRPr="002E6ECA">
          <w:rPr>
            <w:rFonts w:eastAsiaTheme="minorHAnsi"/>
            <w:i/>
            <w:sz w:val="28"/>
            <w:szCs w:val="28"/>
            <w:lang w:val="uk-UA" w:eastAsia="en-US"/>
          </w:rPr>
          <w:t>Academy</w:t>
        </w:r>
      </w:hyperlink>
      <w:r w:rsidRPr="002E6ECA">
        <w:rPr>
          <w:rFonts w:eastAsiaTheme="minorHAnsi"/>
          <w:sz w:val="28"/>
          <w:szCs w:val="28"/>
          <w:lang w:val="uk-UA" w:eastAsia="en-US"/>
        </w:rPr>
        <w:t>. 2017. С. 68-69.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Кубекова А. С., Шагина И. Р., Смахтина</w:t>
      </w:r>
      <w:r w:rsidRPr="002E6ECA">
        <w:rPr>
          <w:rFonts w:eastAsiaTheme="minorHAnsi"/>
          <w:sz w:val="28"/>
          <w:szCs w:val="28"/>
          <w:lang w:val="uk-UA"/>
        </w:rPr>
        <w:t> </w:t>
      </w:r>
      <w:r w:rsidRPr="002E6ECA">
        <w:rPr>
          <w:rFonts w:eastAsiaTheme="minorHAnsi"/>
          <w:sz w:val="28"/>
          <w:szCs w:val="28"/>
          <w:lang w:val="uk-UA" w:eastAsia="en-US"/>
        </w:rPr>
        <w:t xml:space="preserve">Т. А. Анализ самооценки здоровья студентов медицинского университета. </w:t>
      </w:r>
      <w:r w:rsidRPr="002E6ECA">
        <w:rPr>
          <w:rFonts w:eastAsiaTheme="minorHAnsi"/>
          <w:i/>
          <w:sz w:val="28"/>
          <w:szCs w:val="28"/>
          <w:lang w:val="uk-UA" w:eastAsia="en-US"/>
        </w:rPr>
        <w:t>Гуманитарные, социально-экономические и общественные науки</w:t>
      </w:r>
      <w:r w:rsidRPr="002E6ECA">
        <w:rPr>
          <w:rFonts w:eastAsiaTheme="minorHAnsi"/>
          <w:sz w:val="28"/>
          <w:szCs w:val="28"/>
          <w:lang w:val="uk-UA" w:eastAsia="en-US"/>
        </w:rPr>
        <w:t>. 2019. № 10. С. 83-86. https://doi: 10.23672/SAE.2019.10.38998.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Кузнецов В. Д., Зубцов Ю. Н., Терехин С. П., Калишев М. Г. Гигиеническая оценка образа жизни учащейся молодежи в современных условиях. </w:t>
      </w:r>
      <w:r w:rsidRPr="002E6ECA">
        <w:rPr>
          <w:rFonts w:eastAsiaTheme="minorHAnsi"/>
          <w:i/>
          <w:sz w:val="28"/>
          <w:szCs w:val="28"/>
          <w:lang w:val="uk-UA" w:eastAsia="en-US"/>
        </w:rPr>
        <w:t>Медицина и экология</w:t>
      </w:r>
      <w:r w:rsidRPr="002E6ECA">
        <w:rPr>
          <w:rFonts w:eastAsiaTheme="minorHAnsi"/>
          <w:sz w:val="28"/>
          <w:szCs w:val="28"/>
          <w:lang w:val="uk-UA" w:eastAsia="en-US"/>
        </w:rPr>
        <w:t xml:space="preserve">. 2017. № 3. С. 78-83.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bCs/>
          <w:iCs/>
          <w:kern w:val="36"/>
          <w:sz w:val="28"/>
          <w:szCs w:val="28"/>
          <w:lang w:val="uk-UA"/>
        </w:rPr>
        <w:t xml:space="preserve">Куинджи Н. Н., Зорина И. Г. Опыт применения социально-гигиенического мониторинга в гигиене детей и подростков. </w:t>
      </w:r>
      <w:hyperlink r:id="rId120" w:history="1">
        <w:r w:rsidRPr="002E6ECA">
          <w:rPr>
            <w:rFonts w:eastAsiaTheme="minorHAnsi"/>
            <w:i/>
            <w:sz w:val="28"/>
            <w:szCs w:val="28"/>
            <w:lang w:val="uk-UA" w:eastAsia="en-US"/>
          </w:rPr>
          <w:t>Гигиена и санитария</w:t>
        </w:r>
      </w:hyperlink>
      <w:r w:rsidRPr="002E6ECA">
        <w:rPr>
          <w:rFonts w:eastAsiaTheme="minorHAnsi"/>
          <w:sz w:val="28"/>
          <w:szCs w:val="28"/>
          <w:lang w:val="uk-UA" w:eastAsia="en-US"/>
        </w:rPr>
        <w:t>. 2012. № 4. С.53.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Кучма В. Р., Сухарева Л. М., Рапопорт И. К., Шубочкина Е. И., Скоблина Н. А., Милушкина О. Ю. Популяционное здоровье детского населения, риски здоровью и санитарно-эпидемиологическое благополучие обучающихся: проблемы, пути решения, технологии деятельности. </w:t>
      </w:r>
      <w:r w:rsidRPr="002E6ECA">
        <w:rPr>
          <w:rFonts w:eastAsiaTheme="minorHAnsi"/>
          <w:i/>
          <w:sz w:val="28"/>
          <w:szCs w:val="28"/>
          <w:lang w:val="uk-UA" w:eastAsia="en-US"/>
        </w:rPr>
        <w:t>Гигиена и санитария</w:t>
      </w:r>
      <w:r w:rsidRPr="002E6ECA">
        <w:rPr>
          <w:rFonts w:eastAsiaTheme="minorHAnsi"/>
          <w:sz w:val="28"/>
          <w:szCs w:val="28"/>
          <w:lang w:val="uk-UA" w:eastAsia="en-US"/>
        </w:rPr>
        <w:t>. 2017. Т. 96. № 10. С. 990-995. DOI: http://dx.doi.org/10.18821/0016-9900-2017-96-10-990.</w:t>
      </w:r>
    </w:p>
    <w:p w:rsidR="00020FED" w:rsidRPr="002E6ECA" w:rsidRDefault="00020FED" w:rsidP="00020FED">
      <w:pPr>
        <w:numPr>
          <w:ilvl w:val="0"/>
          <w:numId w:val="72"/>
        </w:numPr>
        <w:spacing w:line="360" w:lineRule="auto"/>
        <w:ind w:left="0" w:firstLine="709"/>
        <w:contextualSpacing/>
        <w:jc w:val="both"/>
        <w:rPr>
          <w:rFonts w:eastAsia="Calibri"/>
          <w:spacing w:val="-2"/>
          <w:sz w:val="28"/>
          <w:szCs w:val="28"/>
          <w:lang w:val="uk-UA" w:eastAsia="en-US"/>
        </w:rPr>
      </w:pPr>
      <w:r w:rsidRPr="002E6ECA">
        <w:rPr>
          <w:rFonts w:eastAsiaTheme="minorHAnsi"/>
          <w:spacing w:val="-2"/>
          <w:sz w:val="28"/>
          <w:szCs w:val="28"/>
          <w:lang w:val="uk-UA" w:eastAsia="en-US"/>
        </w:rPr>
        <w:t>Лазаренко</w:t>
      </w:r>
      <w:r w:rsidRPr="002E6ECA">
        <w:rPr>
          <w:rFonts w:eastAsiaTheme="minorHAnsi"/>
          <w:sz w:val="28"/>
          <w:szCs w:val="28"/>
          <w:lang w:val="uk-UA"/>
        </w:rPr>
        <w:t> </w:t>
      </w:r>
      <w:r w:rsidRPr="002E6ECA">
        <w:rPr>
          <w:rFonts w:eastAsiaTheme="minorHAnsi"/>
          <w:spacing w:val="-2"/>
          <w:sz w:val="28"/>
          <w:szCs w:val="28"/>
          <w:lang w:val="uk-UA" w:eastAsia="en-US"/>
        </w:rPr>
        <w:t xml:space="preserve">К. П., Завгородній І. В. Психогігієнічна оцінка стану адаптації дітей з патологією опорно-рухового апарату (огляд літератури). </w:t>
      </w:r>
      <w:r w:rsidRPr="002E6ECA">
        <w:rPr>
          <w:rFonts w:eastAsiaTheme="minorHAnsi"/>
          <w:i/>
          <w:spacing w:val="-2"/>
          <w:sz w:val="28"/>
          <w:szCs w:val="28"/>
          <w:lang w:val="uk-UA" w:eastAsia="en-US"/>
        </w:rPr>
        <w:t>Environment &amp; Health</w:t>
      </w:r>
      <w:r w:rsidRPr="002E6ECA">
        <w:rPr>
          <w:rFonts w:eastAsiaTheme="minorHAnsi"/>
          <w:spacing w:val="-2"/>
          <w:sz w:val="28"/>
          <w:szCs w:val="28"/>
          <w:lang w:val="uk-UA" w:eastAsia="en-US"/>
        </w:rPr>
        <w:t xml:space="preserve">. 2017. № 2. С. 71-75. URL: http://nbuv.gov.ua/UJRN/ dtz_2017_2_17.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Лейтес Н. С. Возрастная одаренность и индивидуальные различия: Избранные труды. Москва. 2003. 464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Лозинский А. С., Булычева Е. В. Особенности биологической адаптации первоклассников с различным уровнем готовности к обучению в школе. </w:t>
      </w:r>
      <w:r w:rsidRPr="002E6ECA">
        <w:rPr>
          <w:rFonts w:eastAsiaTheme="minorHAnsi"/>
          <w:i/>
          <w:sz w:val="28"/>
          <w:szCs w:val="28"/>
          <w:lang w:val="uk-UA" w:eastAsia="en-US"/>
        </w:rPr>
        <w:t>Вестник ОГУ</w:t>
      </w:r>
      <w:r w:rsidRPr="002E6ECA">
        <w:rPr>
          <w:rFonts w:eastAsiaTheme="minorHAnsi"/>
          <w:sz w:val="28"/>
          <w:szCs w:val="28"/>
          <w:lang w:val="uk-UA" w:eastAsia="en-US"/>
        </w:rPr>
        <w:t>. 2011. № 16 (135). С. 303-304.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Лук А.</w:t>
      </w:r>
      <w:r w:rsidRPr="002E6ECA">
        <w:rPr>
          <w:rFonts w:eastAsiaTheme="minorHAnsi"/>
          <w:sz w:val="28"/>
          <w:szCs w:val="28"/>
          <w:lang w:val="uk-UA"/>
        </w:rPr>
        <w:t> </w:t>
      </w:r>
      <w:r w:rsidRPr="002E6ECA">
        <w:rPr>
          <w:rFonts w:eastAsiaTheme="minorHAnsi"/>
          <w:sz w:val="28"/>
          <w:szCs w:val="28"/>
          <w:lang w:val="uk-UA" w:eastAsia="en-US"/>
        </w:rPr>
        <w:t>Н. Очерки эвристической психологии. Москва. 2011. 228 с.</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Лук’янова</w:t>
      </w:r>
      <w:r w:rsidRPr="002E6ECA">
        <w:rPr>
          <w:rFonts w:eastAsiaTheme="minorHAnsi"/>
          <w:sz w:val="28"/>
          <w:szCs w:val="28"/>
          <w:lang w:val="uk-UA"/>
        </w:rPr>
        <w:t> </w:t>
      </w:r>
      <w:r w:rsidRPr="002E6ECA">
        <w:rPr>
          <w:rFonts w:eastAsiaTheme="minorHAnsi"/>
          <w:spacing w:val="-2"/>
          <w:sz w:val="28"/>
          <w:szCs w:val="28"/>
          <w:lang w:val="uk-UA" w:eastAsia="en-US"/>
        </w:rPr>
        <w:t xml:space="preserve">О. М. Проблеми здоров’я здорової дитини та наукові аспекти профілактики його порушень. </w:t>
      </w:r>
      <w:r w:rsidRPr="002E6ECA">
        <w:rPr>
          <w:rFonts w:eastAsiaTheme="minorHAnsi"/>
          <w:i/>
          <w:spacing w:val="-2"/>
          <w:sz w:val="28"/>
          <w:szCs w:val="28"/>
          <w:lang w:val="uk-UA" w:eastAsia="en-US"/>
        </w:rPr>
        <w:t>Мистецтво лікування</w:t>
      </w:r>
      <w:r w:rsidRPr="002E6ECA">
        <w:rPr>
          <w:rFonts w:eastAsiaTheme="minorHAnsi"/>
          <w:spacing w:val="-2"/>
          <w:sz w:val="28"/>
          <w:szCs w:val="28"/>
          <w:lang w:val="uk-UA" w:eastAsia="en-US"/>
        </w:rPr>
        <w:t>. 2005. № 2. С. 6-15.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Ляпина</w:t>
      </w:r>
      <w:r w:rsidRPr="002E6ECA">
        <w:rPr>
          <w:rFonts w:eastAsiaTheme="minorHAnsi"/>
          <w:sz w:val="28"/>
          <w:szCs w:val="28"/>
          <w:lang w:val="uk-UA"/>
        </w:rPr>
        <w:t> </w:t>
      </w:r>
      <w:r w:rsidRPr="002E6ECA">
        <w:rPr>
          <w:rFonts w:eastAsiaTheme="minorHAnsi"/>
          <w:sz w:val="28"/>
          <w:szCs w:val="28"/>
          <w:lang w:val="uk-UA" w:eastAsia="en-US"/>
        </w:rPr>
        <w:t>А.</w:t>
      </w:r>
      <w:r w:rsidRPr="002E6ECA">
        <w:rPr>
          <w:rFonts w:eastAsiaTheme="minorHAnsi"/>
          <w:sz w:val="28"/>
          <w:szCs w:val="28"/>
          <w:lang w:val="uk-UA"/>
        </w:rPr>
        <w:t> </w:t>
      </w:r>
      <w:r w:rsidRPr="002E6ECA">
        <w:rPr>
          <w:rFonts w:eastAsiaTheme="minorHAnsi"/>
          <w:sz w:val="28"/>
          <w:szCs w:val="28"/>
          <w:lang w:val="uk-UA" w:eastAsia="en-US"/>
        </w:rPr>
        <w:t>В. Гигиеническая оценка программ развивающего обучения в начальной школе : автореф. дисс. ... канд. мед. наук : 14.00.07. Ростов-на-Дону, 2005. 28 с. URL: http://medical-diss.com/medicina/gigienicheskaya-otsenka-programm-razvivayuschego-obucheniya-d-b-elkonina-v-v-davydova-i-l-v-zankova-v-nachalnoy-shkole#ixzz6Ajpml8tc.</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Лясота Т.</w:t>
      </w:r>
      <w:r w:rsidRPr="002E6ECA">
        <w:rPr>
          <w:rFonts w:eastAsiaTheme="minorHAnsi"/>
          <w:sz w:val="28"/>
          <w:szCs w:val="28"/>
          <w:lang w:val="uk-UA"/>
        </w:rPr>
        <w:t> </w:t>
      </w:r>
      <w:r w:rsidRPr="002E6ECA">
        <w:rPr>
          <w:rFonts w:eastAsiaTheme="minorHAnsi"/>
          <w:sz w:val="28"/>
          <w:szCs w:val="28"/>
          <w:lang w:val="uk-UA" w:eastAsia="en-US"/>
        </w:rPr>
        <w:t xml:space="preserve">І. Інтегруючий вплив рухової активності на адаптацію дітей молодшого шкільного віку. </w:t>
      </w:r>
      <w:r w:rsidRPr="002E6ECA">
        <w:rPr>
          <w:rFonts w:eastAsiaTheme="minorHAnsi"/>
          <w:i/>
          <w:sz w:val="28"/>
          <w:szCs w:val="28"/>
          <w:lang w:val="uk-UA" w:eastAsia="en-US"/>
        </w:rPr>
        <w:t>Проблеми фізичного виховання і спорту</w:t>
      </w:r>
      <w:r w:rsidRPr="002E6ECA">
        <w:rPr>
          <w:rFonts w:eastAsiaTheme="minorHAnsi"/>
          <w:sz w:val="28"/>
          <w:szCs w:val="28"/>
          <w:lang w:val="uk-UA" w:eastAsia="en-US"/>
        </w:rPr>
        <w:t>. 2010. № 11 / 2010. С. 61-63.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Мамешина М. Стан фізичного здоров’я школярів 7-8-х класів загальноосвітньої школи. </w:t>
      </w:r>
      <w:r w:rsidRPr="002E6ECA">
        <w:rPr>
          <w:rFonts w:eastAsiaTheme="minorHAnsi"/>
          <w:i/>
          <w:sz w:val="28"/>
          <w:szCs w:val="28"/>
          <w:lang w:val="uk-UA" w:eastAsia="en-US"/>
        </w:rPr>
        <w:t>Слобожанський науково-спортивний вісник</w:t>
      </w:r>
      <w:r w:rsidRPr="002E6ECA">
        <w:rPr>
          <w:rFonts w:eastAsiaTheme="minorHAnsi"/>
          <w:sz w:val="28"/>
          <w:szCs w:val="28"/>
          <w:lang w:val="uk-UA" w:eastAsia="en-US"/>
        </w:rPr>
        <w:t>. 2016. № 5</w:t>
      </w:r>
      <w:r w:rsidRPr="002E6ECA">
        <w:rPr>
          <w:rFonts w:eastAsiaTheme="minorHAnsi"/>
          <w:sz w:val="28"/>
          <w:szCs w:val="28"/>
          <w:lang w:val="uk-UA"/>
        </w:rPr>
        <w:t> </w:t>
      </w:r>
      <w:r w:rsidRPr="002E6ECA">
        <w:rPr>
          <w:rFonts w:eastAsiaTheme="minorHAnsi"/>
          <w:sz w:val="28"/>
          <w:szCs w:val="28"/>
          <w:lang w:val="uk-UA" w:eastAsia="en-US"/>
        </w:rPr>
        <w:t>(55). С. 47-52. DOI: https://doi.org/10.15391/snsv.2016-5.008.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Марушко Ю. В., Таринська О. Л.</w:t>
      </w:r>
      <w:r w:rsidRPr="002E6ECA">
        <w:rPr>
          <w:rFonts w:eastAsiaTheme="minorHAnsi"/>
          <w:bCs/>
          <w:sz w:val="28"/>
          <w:szCs w:val="28"/>
          <w:lang w:val="uk-UA" w:eastAsia="en-US"/>
        </w:rPr>
        <w:t xml:space="preserve"> До питання харчування студентської молоді як чинника здорового способу життя</w:t>
      </w:r>
      <w:r w:rsidRPr="002E6ECA">
        <w:rPr>
          <w:rFonts w:eastAsiaTheme="minorHAnsi"/>
          <w:sz w:val="28"/>
          <w:szCs w:val="28"/>
          <w:lang w:val="uk-UA" w:eastAsia="en-US"/>
        </w:rPr>
        <w:t xml:space="preserve">. </w:t>
      </w:r>
      <w:hyperlink r:id="rId121" w:tooltip="Періодичне видання" w:history="1">
        <w:r w:rsidRPr="002E6ECA">
          <w:rPr>
            <w:rFonts w:eastAsiaTheme="minorHAnsi"/>
            <w:i/>
            <w:sz w:val="28"/>
            <w:szCs w:val="28"/>
            <w:lang w:val="uk-UA" w:eastAsia="en-US"/>
          </w:rPr>
          <w:t>Збірник наукових праць співробітників НМАПО ім. П. Л. Шупика</w:t>
        </w:r>
      </w:hyperlink>
      <w:r w:rsidRPr="002E6ECA">
        <w:rPr>
          <w:rFonts w:eastAsiaTheme="minorHAnsi"/>
          <w:sz w:val="28"/>
          <w:szCs w:val="28"/>
          <w:lang w:val="uk-UA" w:eastAsia="en-US"/>
        </w:rPr>
        <w:t xml:space="preserve">. 2013. Вип. 22 (3). С. 247-254. URL: </w:t>
      </w:r>
      <w:hyperlink r:id="rId122" w:history="1">
        <w:r w:rsidRPr="002E6ECA">
          <w:rPr>
            <w:rFonts w:eastAsiaTheme="minorHAnsi"/>
            <w:sz w:val="28"/>
            <w:szCs w:val="28"/>
            <w:lang w:val="uk-UA" w:eastAsia="en-US"/>
          </w:rPr>
          <w:t>http://nbuv.gov.ua/UJRN/Znpsnmapo_2013_22%283%29__38</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Матасар В. І. Сучасні підходи до оптимізації харчування як засоби корекції морфофункціональних показників. </w:t>
      </w:r>
      <w:r w:rsidRPr="002E6ECA">
        <w:rPr>
          <w:rFonts w:eastAsiaTheme="minorHAnsi"/>
          <w:i/>
          <w:sz w:val="28"/>
          <w:szCs w:val="28"/>
          <w:lang w:val="uk-UA" w:eastAsia="en-US"/>
        </w:rPr>
        <w:t>Семейная медицина</w:t>
      </w:r>
      <w:r w:rsidRPr="002E6ECA">
        <w:rPr>
          <w:rFonts w:eastAsiaTheme="minorHAnsi"/>
          <w:sz w:val="28"/>
          <w:szCs w:val="28"/>
          <w:lang w:val="uk-UA" w:eastAsia="en-US"/>
        </w:rPr>
        <w:t xml:space="preserve">. 2014. № 1 (51). С. </w:t>
      </w:r>
      <w:r w:rsidRPr="002E6ECA">
        <w:rPr>
          <w:rFonts w:eastAsiaTheme="minorHAnsi"/>
          <w:bCs/>
          <w:sz w:val="28"/>
          <w:szCs w:val="28"/>
          <w:lang w:val="uk-UA" w:eastAsia="en-US"/>
        </w:rPr>
        <w:t xml:space="preserve">81-84. </w:t>
      </w:r>
      <w:r w:rsidRPr="002E6ECA">
        <w:rPr>
          <w:rFonts w:eastAsiaTheme="minorHAnsi"/>
          <w:sz w:val="28"/>
          <w:szCs w:val="28"/>
          <w:lang w:val="uk-UA" w:eastAsia="en-US"/>
        </w:rPr>
        <w:t xml:space="preserve">URL: </w:t>
      </w:r>
      <w:r w:rsidRPr="002E6ECA">
        <w:rPr>
          <w:rFonts w:eastAsiaTheme="minorHAnsi"/>
          <w:bCs/>
          <w:sz w:val="28"/>
          <w:szCs w:val="28"/>
          <w:lang w:val="uk-UA" w:eastAsia="en-US"/>
        </w:rPr>
        <w:t>http://nbuv.gov.ua/UJRN/simmed_2014_1_18.</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Методика оцінки якості життя, пов'язаної зі здоров'ям у дітей середнього шкільного віку: А. с. 99290; зареєстр. </w:t>
      </w:r>
      <w:r w:rsidRPr="002E6ECA">
        <w:rPr>
          <w:sz w:val="28"/>
          <w:szCs w:val="28"/>
        </w:rPr>
        <w:t>31.08.2020, Бюл. № 60.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sz w:val="28"/>
          <w:szCs w:val="28"/>
          <w:lang w:val="uk-UA"/>
        </w:rPr>
        <w:t>Методики гігієнічної оцінки організації навчального процесу у загальноосвітніх навчальних закл</w:t>
      </w:r>
      <w:r w:rsidRPr="002E6ECA">
        <w:rPr>
          <w:rFonts w:eastAsiaTheme="minorHAnsi"/>
          <w:sz w:val="28"/>
          <w:szCs w:val="28"/>
          <w:lang w:val="uk-UA" w:eastAsia="en-US"/>
        </w:rPr>
        <w:t>адах : методичні рекомендації. / Н. С.</w:t>
      </w:r>
      <w:r w:rsidRPr="002E6ECA">
        <w:rPr>
          <w:rFonts w:eastAsiaTheme="minorHAnsi"/>
          <w:sz w:val="28"/>
          <w:szCs w:val="28"/>
          <w:lang w:val="uk-UA"/>
        </w:rPr>
        <w:t> </w:t>
      </w:r>
      <w:r w:rsidRPr="002E6ECA">
        <w:rPr>
          <w:rFonts w:eastAsiaTheme="minorHAnsi"/>
          <w:sz w:val="28"/>
          <w:szCs w:val="28"/>
          <w:lang w:val="uk-UA" w:eastAsia="en-US"/>
        </w:rPr>
        <w:t xml:space="preserve">Полька та ін. Міністерство охорони здоров'я України Національна академія медичних наук України Український центр наукової медичної інформації та патентно-ліцензійної роботи. К., 2015. </w:t>
      </w:r>
      <w:r w:rsidRPr="002E6ECA">
        <w:rPr>
          <w:sz w:val="28"/>
          <w:szCs w:val="28"/>
          <w:lang w:val="uk-UA"/>
        </w:rPr>
        <w:t>38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Милушкина О. Ю., Скоблина Н. А., Маркелова С. В., Татаринчик А. А., Бокарева</w:t>
      </w:r>
      <w:r w:rsidRPr="002E6ECA">
        <w:rPr>
          <w:rFonts w:eastAsiaTheme="minorHAnsi"/>
          <w:sz w:val="28"/>
          <w:szCs w:val="28"/>
          <w:lang w:val="uk-UA"/>
        </w:rPr>
        <w:t> </w:t>
      </w:r>
      <w:r w:rsidRPr="002E6ECA">
        <w:rPr>
          <w:rFonts w:eastAsiaTheme="minorHAnsi"/>
          <w:sz w:val="28"/>
          <w:szCs w:val="28"/>
          <w:lang w:val="uk-UA" w:eastAsia="en-US"/>
        </w:rPr>
        <w:t xml:space="preserve">Н. А., Федотов Д. М. Оценка рисков здоровью </w:t>
      </w:r>
      <w:r w:rsidRPr="002E6ECA">
        <w:rPr>
          <w:rFonts w:eastAsiaTheme="minorHAnsi"/>
          <w:sz w:val="28"/>
          <w:szCs w:val="28"/>
          <w:lang w:val="uk-UA" w:eastAsia="en-US"/>
        </w:rPr>
        <w:lastRenderedPageBreak/>
        <w:t xml:space="preserve">школьников и студентов при воздействии обучающих и досуговых информационно-коммуникационных технологий. </w:t>
      </w:r>
      <w:r w:rsidRPr="002E6ECA">
        <w:rPr>
          <w:rFonts w:eastAsiaTheme="minorHAnsi"/>
          <w:i/>
          <w:sz w:val="28"/>
          <w:szCs w:val="28"/>
          <w:lang w:val="uk-UA" w:eastAsia="en-US"/>
        </w:rPr>
        <w:t>Анализ риска здоровью: социальные, экономические факторы</w:t>
      </w:r>
      <w:r w:rsidRPr="002E6ECA">
        <w:rPr>
          <w:rFonts w:eastAsiaTheme="minorHAnsi"/>
          <w:sz w:val="28"/>
          <w:szCs w:val="28"/>
          <w:lang w:val="uk-UA" w:eastAsia="en-US"/>
        </w:rPr>
        <w:t>. 2019. № 3. С. 135-143. DOI: 10.21668/health.risk/ 2019.3.16.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Мироненко</w:t>
      </w:r>
      <w:r w:rsidRPr="002E6ECA">
        <w:rPr>
          <w:rFonts w:eastAsiaTheme="minorHAnsi"/>
          <w:sz w:val="28"/>
          <w:szCs w:val="28"/>
          <w:lang w:val="uk-UA"/>
        </w:rPr>
        <w:t> </w:t>
      </w:r>
      <w:r w:rsidRPr="002E6ECA">
        <w:rPr>
          <w:rFonts w:eastAsiaTheme="minorHAnsi"/>
          <w:sz w:val="28"/>
          <w:szCs w:val="28"/>
          <w:lang w:val="uk-UA" w:eastAsia="en-US"/>
        </w:rPr>
        <w:t xml:space="preserve">С. Г. Шляхи адаптації до шкільного навантаження дітей молодшого шкільного віку. </w:t>
      </w:r>
      <w:r w:rsidRPr="002E6ECA">
        <w:rPr>
          <w:rFonts w:eastAsiaTheme="minorHAnsi"/>
          <w:i/>
          <w:sz w:val="28"/>
          <w:szCs w:val="28"/>
          <w:lang w:val="uk-UA" w:eastAsia="en-US"/>
        </w:rPr>
        <w:t>Вісник проблем біології і медицини</w:t>
      </w:r>
      <w:r w:rsidRPr="002E6ECA">
        <w:rPr>
          <w:rFonts w:eastAsiaTheme="minorHAnsi"/>
          <w:sz w:val="28"/>
          <w:szCs w:val="28"/>
          <w:lang w:val="uk-UA" w:eastAsia="en-US"/>
        </w:rPr>
        <w:t>. 2016. № 1. Т. 1 (126). С. 72-75.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Мізюк М. І., Суслик З. Б., Єремчук Я. О. Особливості розумової працездатності та успішності учнів старших класів, які розпочали навчання з шести та семирічного віку. </w:t>
      </w:r>
      <w:r w:rsidRPr="002E6ECA">
        <w:rPr>
          <w:rFonts w:eastAsiaTheme="minorHAnsi"/>
          <w:i/>
          <w:sz w:val="28"/>
          <w:szCs w:val="28"/>
          <w:lang w:val="uk-UA" w:eastAsia="en-US"/>
        </w:rPr>
        <w:t>Environment &amp; Health</w:t>
      </w:r>
      <w:r w:rsidRPr="002E6ECA">
        <w:rPr>
          <w:rFonts w:eastAsiaTheme="minorHAnsi"/>
          <w:sz w:val="28"/>
          <w:szCs w:val="28"/>
          <w:lang w:val="uk-UA" w:eastAsia="en-US"/>
        </w:rPr>
        <w:t xml:space="preserve">. 2018. № 1. С. 73-76. </w:t>
      </w:r>
      <w:r w:rsidRPr="002E6ECA">
        <w:rPr>
          <w:sz w:val="28"/>
          <w:szCs w:val="28"/>
        </w:rPr>
        <w:t>DOI</w:t>
      </w:r>
      <w:r w:rsidRPr="002E6ECA">
        <w:rPr>
          <w:sz w:val="28"/>
          <w:szCs w:val="28"/>
          <w:lang w:val="uk-UA"/>
        </w:rPr>
        <w:t>: </w:t>
      </w:r>
      <w:hyperlink r:id="rId123" w:tgtFrame="_blank" w:history="1">
        <w:r w:rsidRPr="002E6ECA">
          <w:rPr>
            <w:rFonts w:eastAsiaTheme="minorHAnsi"/>
            <w:sz w:val="28"/>
            <w:szCs w:val="28"/>
            <w:lang w:val="uk-UA" w:eastAsia="en-US"/>
          </w:rPr>
          <w:t>https://doi.org/10.32402/dovkil2018.01.073</w:t>
        </w:r>
      </w:hyperlink>
      <w:r w:rsidRPr="002E6ECA">
        <w:rPr>
          <w:rFonts w:eastAsiaTheme="minorHAnsi"/>
          <w:sz w:val="28"/>
          <w:szCs w:val="28"/>
          <w:lang w:val="uk-UA" w:eastAsia="en-US"/>
        </w:rPr>
        <w:t>.</w:t>
      </w:r>
    </w:p>
    <w:p w:rsidR="00020FED" w:rsidRPr="002E6ECA" w:rsidRDefault="00020FED" w:rsidP="00020FED">
      <w:pPr>
        <w:pStyle w:val="a3"/>
        <w:numPr>
          <w:ilvl w:val="0"/>
          <w:numId w:val="72"/>
        </w:numPr>
        <w:spacing w:line="360" w:lineRule="auto"/>
        <w:ind w:left="0" w:firstLine="709"/>
        <w:jc w:val="both"/>
        <w:rPr>
          <w:bCs/>
          <w:sz w:val="28"/>
          <w:szCs w:val="28"/>
          <w:lang w:val="uk-UA"/>
        </w:rPr>
      </w:pPr>
      <w:r w:rsidRPr="002E6ECA">
        <w:rPr>
          <w:sz w:val="28"/>
          <w:szCs w:val="28"/>
          <w:lang w:val="uk-UA"/>
        </w:rPr>
        <w:t xml:space="preserve">Міхановська Н. Г., Сотнікова-Мелешкіна Ж. В., Островська Г. Є., Штриголь Д. В. Скринінговий аналіз психосоціального функціонування молодших школярів в умовах навчального закладу. </w:t>
      </w:r>
      <w:r w:rsidRPr="002E6ECA">
        <w:rPr>
          <w:i/>
          <w:sz w:val="28"/>
          <w:szCs w:val="28"/>
        </w:rPr>
        <w:t>EUMJ</w:t>
      </w:r>
      <w:r w:rsidRPr="002E6ECA">
        <w:rPr>
          <w:i/>
          <w:sz w:val="28"/>
          <w:szCs w:val="28"/>
          <w:lang w:val="uk-UA"/>
        </w:rPr>
        <w:t>.</w:t>
      </w:r>
      <w:r w:rsidRPr="002E6ECA">
        <w:rPr>
          <w:sz w:val="28"/>
          <w:szCs w:val="28"/>
          <w:lang w:val="uk-UA"/>
        </w:rPr>
        <w:t xml:space="preserve"> 2020. № 8 (4). Р. 351-359. </w:t>
      </w:r>
      <w:r w:rsidRPr="002E6ECA">
        <w:rPr>
          <w:sz w:val="28"/>
          <w:szCs w:val="28"/>
        </w:rPr>
        <w:t>DOI</w:t>
      </w:r>
      <w:r w:rsidRPr="002E6ECA">
        <w:rPr>
          <w:sz w:val="28"/>
          <w:szCs w:val="28"/>
          <w:lang w:val="uk-UA"/>
        </w:rPr>
        <w:t xml:space="preserve">: </w:t>
      </w:r>
      <w:r w:rsidRPr="002E6ECA">
        <w:rPr>
          <w:sz w:val="28"/>
          <w:szCs w:val="28"/>
        </w:rPr>
        <w:t>https</w:t>
      </w:r>
      <w:r w:rsidRPr="002E6ECA">
        <w:rPr>
          <w:sz w:val="28"/>
          <w:szCs w:val="28"/>
          <w:lang w:val="uk-UA"/>
        </w:rPr>
        <w:t>://</w:t>
      </w:r>
      <w:r w:rsidRPr="002E6ECA">
        <w:rPr>
          <w:sz w:val="28"/>
          <w:szCs w:val="28"/>
        </w:rPr>
        <w:t>doi</w:t>
      </w:r>
      <w:r w:rsidRPr="002E6ECA">
        <w:rPr>
          <w:sz w:val="28"/>
          <w:szCs w:val="28"/>
          <w:lang w:val="uk-UA"/>
        </w:rPr>
        <w:t>.</w:t>
      </w:r>
      <w:r w:rsidRPr="002E6ECA">
        <w:rPr>
          <w:sz w:val="28"/>
          <w:szCs w:val="28"/>
        </w:rPr>
        <w:t>org</w:t>
      </w:r>
      <w:r w:rsidRPr="002E6ECA">
        <w:rPr>
          <w:sz w:val="28"/>
          <w:szCs w:val="28"/>
          <w:lang w:val="uk-UA"/>
        </w:rPr>
        <w:t>/10.21272/</w:t>
      </w:r>
      <w:r w:rsidRPr="002E6ECA">
        <w:rPr>
          <w:sz w:val="28"/>
          <w:szCs w:val="28"/>
        </w:rPr>
        <w:t>eumj</w:t>
      </w:r>
      <w:r w:rsidRPr="002E6ECA">
        <w:rPr>
          <w:sz w:val="28"/>
          <w:szCs w:val="28"/>
          <w:lang w:val="uk-UA"/>
        </w:rPr>
        <w:t>.2020;8(4):351-359.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Міхановська</w:t>
      </w:r>
      <w:r w:rsidRPr="002E6ECA">
        <w:rPr>
          <w:rFonts w:eastAsiaTheme="minorHAnsi"/>
          <w:sz w:val="28"/>
          <w:szCs w:val="28"/>
          <w:lang w:val="uk-UA"/>
        </w:rPr>
        <w:t> </w:t>
      </w:r>
      <w:r w:rsidRPr="002E6ECA">
        <w:rPr>
          <w:rFonts w:eastAsiaTheme="minorHAnsi"/>
          <w:sz w:val="28"/>
          <w:szCs w:val="28"/>
          <w:lang w:val="uk-UA" w:eastAsia="en-US"/>
        </w:rPr>
        <w:t>Н.</w:t>
      </w:r>
      <w:r w:rsidRPr="002E6ECA">
        <w:rPr>
          <w:rFonts w:eastAsiaTheme="minorHAnsi"/>
          <w:sz w:val="28"/>
          <w:szCs w:val="28"/>
          <w:lang w:val="uk-UA"/>
        </w:rPr>
        <w:t> </w:t>
      </w:r>
      <w:r w:rsidRPr="002E6ECA">
        <w:rPr>
          <w:rFonts w:eastAsiaTheme="minorHAnsi"/>
          <w:sz w:val="28"/>
          <w:szCs w:val="28"/>
          <w:lang w:val="uk-UA" w:eastAsia="en-US"/>
        </w:rPr>
        <w:t>Г., Штриголь</w:t>
      </w:r>
      <w:r w:rsidRPr="002E6ECA">
        <w:rPr>
          <w:rFonts w:eastAsiaTheme="minorHAnsi"/>
          <w:sz w:val="28"/>
          <w:szCs w:val="28"/>
          <w:lang w:val="uk-UA"/>
        </w:rPr>
        <w:t> </w:t>
      </w:r>
      <w:r w:rsidRPr="002E6ECA">
        <w:rPr>
          <w:rFonts w:eastAsiaTheme="minorHAnsi"/>
          <w:sz w:val="28"/>
          <w:szCs w:val="28"/>
          <w:lang w:val="uk-UA" w:eastAsia="en-US"/>
        </w:rPr>
        <w:t>Д. В., Луценко</w:t>
      </w:r>
      <w:r w:rsidRPr="002E6ECA">
        <w:rPr>
          <w:rFonts w:eastAsiaTheme="minorHAnsi"/>
          <w:sz w:val="28"/>
          <w:szCs w:val="28"/>
          <w:lang w:val="uk-UA"/>
        </w:rPr>
        <w:t> </w:t>
      </w:r>
      <w:r w:rsidRPr="002E6ECA">
        <w:rPr>
          <w:rFonts w:eastAsiaTheme="minorHAnsi"/>
          <w:sz w:val="28"/>
          <w:szCs w:val="28"/>
          <w:lang w:val="uk-UA" w:eastAsia="en-US"/>
        </w:rPr>
        <w:t>О.</w:t>
      </w:r>
      <w:r w:rsidRPr="002E6ECA">
        <w:rPr>
          <w:rFonts w:eastAsiaTheme="minorHAnsi"/>
          <w:sz w:val="28"/>
          <w:szCs w:val="28"/>
          <w:lang w:val="uk-UA"/>
        </w:rPr>
        <w:t> </w:t>
      </w:r>
      <w:r w:rsidRPr="002E6ECA">
        <w:rPr>
          <w:rFonts w:eastAsiaTheme="minorHAnsi"/>
          <w:sz w:val="28"/>
          <w:szCs w:val="28"/>
          <w:lang w:val="uk-UA" w:eastAsia="en-US"/>
        </w:rPr>
        <w:t>Л., Куратченко І. Є. Психодіагностичний комплекс для оцінки наслідків домашнього насильства дітей: методичний посібник. Харків: PP «КП»УкрСіч» 2019. 130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Морозова О., Варецька О., Джонс Д., Чікуква П., Салюк Т. Моніторинг та оцінка програм і проектів: практичний посібник. Київ, «Оранта», 2008. 144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Москвяк Н. В. Особливості морфологічного розвитку європейських школярів на початковому етапі навчання. </w:t>
      </w:r>
      <w:r w:rsidRPr="002E6ECA">
        <w:rPr>
          <w:rFonts w:eastAsiaTheme="minorHAnsi"/>
          <w:i/>
          <w:sz w:val="28"/>
          <w:szCs w:val="28"/>
          <w:lang w:val="uk-UA" w:eastAsia="en-US"/>
        </w:rPr>
        <w:t>Environment &amp; Health</w:t>
      </w:r>
      <w:r w:rsidRPr="002E6ECA">
        <w:rPr>
          <w:rFonts w:eastAsiaTheme="minorHAnsi"/>
          <w:sz w:val="28"/>
          <w:szCs w:val="28"/>
          <w:lang w:val="uk-UA" w:eastAsia="en-US"/>
        </w:rPr>
        <w:t>. 2017. № 1. С.</w:t>
      </w:r>
      <w:r w:rsidRPr="002E6ECA">
        <w:rPr>
          <w:sz w:val="28"/>
          <w:szCs w:val="28"/>
          <w:lang w:val="en-US"/>
        </w:rPr>
        <w:t> </w:t>
      </w:r>
      <w:r w:rsidRPr="002E6ECA">
        <w:rPr>
          <w:rFonts w:eastAsiaTheme="minorHAnsi"/>
          <w:sz w:val="28"/>
          <w:szCs w:val="28"/>
          <w:lang w:val="uk-UA" w:eastAsia="en-US"/>
        </w:rPr>
        <w:t>46-49.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Москвяк Н. В. Особливості психоемоційного стану та розумова працездатність молодших школярів. </w:t>
      </w:r>
      <w:r w:rsidRPr="002E6ECA">
        <w:rPr>
          <w:rFonts w:eastAsiaTheme="minorHAnsi"/>
          <w:i/>
          <w:sz w:val="28"/>
          <w:szCs w:val="28"/>
          <w:lang w:val="uk-UA" w:eastAsia="en-US"/>
        </w:rPr>
        <w:t>Environment &amp; Health</w:t>
      </w:r>
      <w:r w:rsidRPr="002E6ECA">
        <w:rPr>
          <w:rFonts w:eastAsiaTheme="minorHAnsi"/>
          <w:sz w:val="28"/>
          <w:szCs w:val="28"/>
          <w:lang w:val="uk-UA" w:eastAsia="en-US"/>
        </w:rPr>
        <w:t>. 2013. № 2. C. 46-49.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Мостова О. П. Особливості перебігу процесів психофізіологічної та психічної адаптації та проблемні питання оцінки стану здоров’я учнів шкільного віку. </w:t>
      </w:r>
      <w:hyperlink r:id="rId124" w:tooltip="Періодичне видання" w:history="1">
        <w:r w:rsidRPr="002E6ECA">
          <w:rPr>
            <w:rFonts w:eastAsiaTheme="minorHAnsi"/>
            <w:i/>
            <w:sz w:val="28"/>
            <w:szCs w:val="28"/>
            <w:lang w:val="uk-UA" w:eastAsia="en-US"/>
          </w:rPr>
          <w:t>Здоровье ребенка</w:t>
        </w:r>
      </w:hyperlink>
      <w:r w:rsidRPr="002E6ECA">
        <w:rPr>
          <w:rFonts w:eastAsiaTheme="minorHAnsi"/>
          <w:sz w:val="28"/>
          <w:szCs w:val="28"/>
          <w:lang w:val="uk-UA" w:eastAsia="en-US"/>
        </w:rPr>
        <w:t>. 2013. № 3. С. 69-73.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Мочалова Г. О. Стан здоров’я інтелектуально обдарованих дітей: дис. ... канд. мед. наук: 14.01.10. Харків, 2012. 180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Навчальні програми. Педагогічна технологія «Росток». URL:</w:t>
      </w:r>
      <w:r w:rsidRPr="002E6ECA">
        <w:rPr>
          <w:rFonts w:eastAsiaTheme="minorHAnsi"/>
          <w:sz w:val="28"/>
          <w:szCs w:val="28"/>
          <w:lang w:val="uk-UA"/>
        </w:rPr>
        <w:t> </w:t>
      </w:r>
      <w:r w:rsidRPr="002E6ECA">
        <w:rPr>
          <w:rFonts w:eastAsiaTheme="minorHAnsi"/>
          <w:sz w:val="28"/>
          <w:szCs w:val="28"/>
          <w:lang w:val="uk-UA" w:eastAsia="en-US"/>
        </w:rPr>
        <w:t>https://rostok.org.ua/navchalni-prohramy/.</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Нагаева</w:t>
      </w:r>
      <w:r w:rsidRPr="002E6ECA">
        <w:rPr>
          <w:rFonts w:eastAsiaTheme="minorHAnsi"/>
          <w:sz w:val="28"/>
          <w:szCs w:val="28"/>
          <w:lang w:val="uk-UA"/>
        </w:rPr>
        <w:t> </w:t>
      </w:r>
      <w:r w:rsidRPr="002E6ECA">
        <w:rPr>
          <w:rFonts w:eastAsiaTheme="minorHAnsi"/>
          <w:sz w:val="28"/>
          <w:szCs w:val="28"/>
          <w:lang w:val="uk-UA" w:eastAsia="en-US"/>
        </w:rPr>
        <w:t xml:space="preserve">Т. А., Балашева И. И., Закирова Л. М., Семенова А. А. Особенности социально психологической адаптации первоклассников. </w:t>
      </w:r>
      <w:r w:rsidRPr="002E6ECA">
        <w:rPr>
          <w:rFonts w:eastAsiaTheme="minorHAnsi"/>
          <w:i/>
          <w:sz w:val="28"/>
          <w:szCs w:val="28"/>
          <w:lang w:val="uk-UA" w:eastAsia="en-US"/>
        </w:rPr>
        <w:t>Мать и дитя в Кузбассе</w:t>
      </w:r>
      <w:r w:rsidRPr="002E6ECA">
        <w:rPr>
          <w:rFonts w:eastAsiaTheme="minorHAnsi"/>
          <w:sz w:val="28"/>
          <w:szCs w:val="28"/>
          <w:lang w:val="uk-UA" w:eastAsia="en-US"/>
        </w:rPr>
        <w:t>. 2011. № 4 (47). 2011. С. 30-32.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Наказ 1073 від 03.09.2017 </w:t>
      </w:r>
      <w:r w:rsidRPr="002E6ECA">
        <w:rPr>
          <w:rFonts w:eastAsiaTheme="minorHAnsi"/>
          <w:bCs/>
          <w:sz w:val="28"/>
          <w:szCs w:val="28"/>
          <w:lang w:val="uk-UA" w:eastAsia="en-US"/>
        </w:rPr>
        <w:t xml:space="preserve">Міністерства охорони здоров’я України Про затвердження Норм фізіологічних потреб населення України в основних харчових речовинах і енергії. </w:t>
      </w:r>
      <w:r w:rsidRPr="002E6ECA">
        <w:rPr>
          <w:rFonts w:eastAsiaTheme="minorHAnsi"/>
          <w:sz w:val="28"/>
          <w:szCs w:val="28"/>
          <w:lang w:val="uk-UA" w:eastAsia="en-US"/>
        </w:rPr>
        <w:t xml:space="preserve">URL: https://zakon.rada.gov.ua/laws/show/z1206-17#Text.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Наказ міністерства освіти і науки України від 20 квітня 2018 р. 405 Про затвердження типової освітньої програми закладів загальної середньої освіти ІІ ступеня. URL: https://mon.gov.ua/ua/npa/pro-zatverdzhennya-tipovoyi-osvitnoyi-programi-zakladiv-zagalnoyi-serednoyi-osviti-ii-stupenya.</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lang w:val="uk-UA" w:eastAsia="en-US"/>
        </w:rPr>
        <w:t xml:space="preserve">Наказ Міністерства охорони здоров'я України </w:t>
      </w:r>
      <w:r w:rsidRPr="002E6ECA">
        <w:rPr>
          <w:bCs/>
          <w:sz w:val="28"/>
          <w:szCs w:val="28"/>
          <w:lang w:val="uk-UA" w:eastAsia="en-US"/>
        </w:rPr>
        <w:t xml:space="preserve">2205 від 25.09.2020 </w:t>
      </w:r>
      <w:r w:rsidRPr="002E6ECA">
        <w:rPr>
          <w:sz w:val="28"/>
          <w:szCs w:val="28"/>
          <w:lang w:val="uk-UA" w:eastAsia="en-US"/>
        </w:rPr>
        <w:t xml:space="preserve">Про затвердження Санітарного регламенту для закладів загальної середньої освіти. </w:t>
      </w:r>
      <w:r w:rsidRPr="002E6ECA">
        <w:rPr>
          <w:rFonts w:eastAsiaTheme="minorHAnsi"/>
          <w:sz w:val="28"/>
          <w:szCs w:val="28"/>
          <w:lang w:val="uk-UA" w:eastAsia="en-US"/>
        </w:rPr>
        <w:t>URL: https://zakon.rada.gov.ua/laws/show/z1111-20#Text.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Наказ Міністерства </w:t>
      </w:r>
      <w:r w:rsidRPr="002E6ECA">
        <w:rPr>
          <w:rFonts w:eastAsiaTheme="minorHAnsi"/>
          <w:bCs/>
          <w:sz w:val="28"/>
          <w:szCs w:val="28"/>
          <w:lang w:val="uk-UA" w:eastAsia="en-US"/>
        </w:rPr>
        <w:t xml:space="preserve">охорони здоров'я України 55 від 03.02.2009 Про затвердження протоколів лікування дітей з ендокринними захворюваннями. https://zakon.rada.gov.ua/rada/show/v0055282-09#Text.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Намазова-Баранова Л. С., Елецкая К. А., Кайтукова Е. В., Макарова С. Г. Оценка физического развития детей среднего и старшего школьного возраста: анализ результатов одномоментного исследования. </w:t>
      </w:r>
      <w:r w:rsidRPr="002E6ECA">
        <w:rPr>
          <w:rFonts w:eastAsiaTheme="minorHAnsi"/>
          <w:i/>
          <w:sz w:val="28"/>
          <w:szCs w:val="28"/>
          <w:lang w:val="uk-UA" w:eastAsia="en-US"/>
        </w:rPr>
        <w:t>Педиатрическая фармакология</w:t>
      </w:r>
      <w:r w:rsidRPr="002E6ECA">
        <w:rPr>
          <w:rFonts w:eastAsiaTheme="minorHAnsi"/>
          <w:sz w:val="28"/>
          <w:szCs w:val="28"/>
          <w:lang w:val="uk-UA" w:eastAsia="en-US"/>
        </w:rPr>
        <w:t xml:space="preserve">. 2018. № 15 (4). С. 333-342. </w:t>
      </w:r>
      <w:r w:rsidRPr="002E6ECA">
        <w:rPr>
          <w:sz w:val="28"/>
          <w:szCs w:val="28"/>
        </w:rPr>
        <w:t>DOI</w:t>
      </w:r>
      <w:r w:rsidRPr="002E6ECA">
        <w:rPr>
          <w:sz w:val="28"/>
          <w:szCs w:val="28"/>
          <w:lang w:val="uk-UA"/>
        </w:rPr>
        <w:t>: </w:t>
      </w:r>
      <w:hyperlink r:id="rId125" w:tgtFrame="_blank" w:history="1">
        <w:r w:rsidRPr="002E6ECA">
          <w:rPr>
            <w:rFonts w:eastAsiaTheme="minorHAnsi"/>
            <w:sz w:val="28"/>
            <w:szCs w:val="28"/>
            <w:lang w:val="uk-UA" w:eastAsia="en-US"/>
          </w:rPr>
          <w:t>https://doi.org/10.15690/pf.v15i4.1948</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Неділько В. П. Руденко С. А. Вплив стану здоров’я школярів на їх навнальну успішність. </w:t>
      </w:r>
      <w:r w:rsidRPr="002E6ECA">
        <w:rPr>
          <w:rFonts w:eastAsiaTheme="minorHAnsi"/>
          <w:i/>
          <w:sz w:val="28"/>
          <w:szCs w:val="28"/>
          <w:lang w:val="uk-UA" w:eastAsia="en-US"/>
        </w:rPr>
        <w:t>Здоровье ребенка</w:t>
      </w:r>
      <w:r w:rsidRPr="002E6ECA">
        <w:rPr>
          <w:rFonts w:eastAsiaTheme="minorHAnsi"/>
          <w:sz w:val="28"/>
          <w:szCs w:val="28"/>
          <w:lang w:val="uk-UA" w:eastAsia="en-US"/>
        </w:rPr>
        <w:t>. 2014. № 2 (53). С. 59-61.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Неділько В. П., Камінська Т. М., Руденко С. А. Шляхи покращення здоров’я школярів. Гігієна населених місць. К., 2004. Вип. 44. С. 546-549.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Нестеренко В. Г. </w:t>
      </w:r>
      <w:r w:rsidRPr="002E6ECA">
        <w:rPr>
          <w:rFonts w:eastAsiaTheme="minorHAnsi"/>
          <w:bCs/>
          <w:sz w:val="28"/>
          <w:szCs w:val="28"/>
          <w:lang w:val="uk-UA" w:eastAsia="en-US"/>
        </w:rPr>
        <w:t>Вплив медико-соціальних чинників на формування здоров'я академічно здібних дітей середнього шкільного віку:</w:t>
      </w:r>
      <w:r w:rsidRPr="002E6ECA">
        <w:rPr>
          <w:rFonts w:eastAsiaTheme="minorHAnsi"/>
          <w:sz w:val="28"/>
          <w:szCs w:val="28"/>
          <w:lang w:val="uk-UA" w:eastAsia="en-US"/>
        </w:rPr>
        <w:t xml:space="preserve"> автореф. дис. … к. мед. наук: 14.02.01, Х., 2019.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Нікіфорова Я. В. Взаємозв’язок харчової поведінки з метаболічними чинниками ризику. </w:t>
      </w:r>
      <w:r w:rsidRPr="002E6ECA">
        <w:rPr>
          <w:rFonts w:eastAsiaTheme="minorHAnsi"/>
          <w:i/>
          <w:sz w:val="28"/>
          <w:szCs w:val="28"/>
          <w:lang w:val="uk-UA" w:eastAsia="en-US"/>
        </w:rPr>
        <w:t>Сучасна гастроентерологія</w:t>
      </w:r>
      <w:r w:rsidRPr="002E6ECA">
        <w:rPr>
          <w:rFonts w:eastAsiaTheme="minorHAnsi"/>
          <w:sz w:val="28"/>
          <w:szCs w:val="28"/>
          <w:lang w:val="uk-UA" w:eastAsia="en-US"/>
        </w:rPr>
        <w:t>. 2015. № 3 (83). С. 113-121</w:t>
      </w:r>
      <w:r w:rsidRPr="002E6ECA">
        <w:rPr>
          <w:rFonts w:eastAsiaTheme="minorHAnsi"/>
          <w:bCs/>
          <w:sz w:val="28"/>
          <w:szCs w:val="28"/>
          <w:lang w:val="uk-UA" w:eastAsia="en-US"/>
        </w:rPr>
        <w:t xml:space="preserve">. </w:t>
      </w:r>
      <w:r w:rsidRPr="002E6ECA">
        <w:rPr>
          <w:rFonts w:eastAsiaTheme="minorHAnsi"/>
          <w:sz w:val="28"/>
          <w:szCs w:val="28"/>
          <w:lang w:val="uk-UA" w:eastAsia="en-US"/>
        </w:rPr>
        <w:t>URL: http://nbuv.gov.ua/UJRN/SGastro_2015_3_16.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Новик А. А., Ионова Т. И. Руководство по исследованию качества жизни в медицине. Практическое пособие / А. А. Новик. 2007. 320 с.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Нормативні документи забезпечення реалізації науково-педагогічного проекту «Інтелект України». Харків, 2016. 33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Няньковський С. Л. Пасічнюк І.</w:t>
      </w:r>
      <w:r w:rsidRPr="002E6ECA">
        <w:rPr>
          <w:rFonts w:eastAsiaTheme="minorHAnsi"/>
          <w:sz w:val="28"/>
          <w:szCs w:val="28"/>
          <w:lang w:val="uk-UA"/>
        </w:rPr>
        <w:t> </w:t>
      </w:r>
      <w:r w:rsidRPr="002E6ECA">
        <w:rPr>
          <w:rFonts w:eastAsiaTheme="minorHAnsi"/>
          <w:sz w:val="28"/>
          <w:szCs w:val="28"/>
          <w:lang w:val="uk-UA" w:eastAsia="en-US"/>
        </w:rPr>
        <w:t xml:space="preserve">П. Оцінка нутритивного статусу школярів 1-11 класів міста Львова. </w:t>
      </w:r>
      <w:r w:rsidRPr="002E6ECA">
        <w:rPr>
          <w:rFonts w:eastAsiaTheme="minorHAnsi"/>
          <w:i/>
          <w:sz w:val="28"/>
          <w:szCs w:val="28"/>
          <w:lang w:val="uk-UA" w:eastAsia="en-US"/>
        </w:rPr>
        <w:t>Здоровье ребенка</w:t>
      </w:r>
      <w:r w:rsidRPr="002E6ECA">
        <w:rPr>
          <w:rFonts w:eastAsiaTheme="minorHAnsi"/>
          <w:sz w:val="28"/>
          <w:szCs w:val="28"/>
          <w:lang w:val="uk-UA" w:eastAsia="en-US"/>
        </w:rPr>
        <w:t>. 2016. № 1 (69). С. 77-81.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Няньковський С. Л., Яцула М. С., Няньковська О. С., Титуса А. В. Динаміка стану здоров’я школярів в Україні за даними анкетного опитування. </w:t>
      </w:r>
      <w:r w:rsidRPr="002E6ECA">
        <w:rPr>
          <w:rFonts w:eastAsiaTheme="minorHAnsi"/>
          <w:i/>
          <w:sz w:val="28"/>
          <w:szCs w:val="28"/>
          <w:lang w:val="uk-UA" w:eastAsia="en-US"/>
        </w:rPr>
        <w:t>Здоров’я дитини</w:t>
      </w:r>
      <w:r w:rsidRPr="002E6ECA">
        <w:rPr>
          <w:rFonts w:eastAsiaTheme="minorHAnsi"/>
          <w:sz w:val="28"/>
          <w:szCs w:val="28"/>
          <w:lang w:val="uk-UA" w:eastAsia="en-US"/>
        </w:rPr>
        <w:t xml:space="preserve">. 2018. Т. 13. № 5. С. 425-431. doi: 10.22141/2224-0551.13.5.2018.141554.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Огнєв В. А., Помогайбо К. Г. Медико-соціальне обґрунтування моделі управління якістю життя дітей з ожирінням. </w:t>
      </w:r>
      <w:r w:rsidRPr="002E6ECA">
        <w:rPr>
          <w:rFonts w:eastAsiaTheme="minorHAnsi"/>
          <w:i/>
          <w:sz w:val="28"/>
          <w:szCs w:val="28"/>
          <w:lang w:val="uk-UA" w:eastAsia="en-US"/>
        </w:rPr>
        <w:t>Вісник соціальної гігієни та організації охорони здоров’я України</w:t>
      </w:r>
      <w:r w:rsidRPr="002E6ECA">
        <w:rPr>
          <w:rFonts w:eastAsiaTheme="minorHAnsi"/>
          <w:sz w:val="28"/>
          <w:szCs w:val="28"/>
          <w:lang w:val="uk-UA" w:eastAsia="en-US"/>
        </w:rPr>
        <w:t>. 2018. № 1 (75). С. 52-59.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sz w:val="28"/>
          <w:szCs w:val="28"/>
          <w:lang w:val="uk-UA" w:eastAsia="en-US"/>
        </w:rPr>
        <w:t xml:space="preserve">Одинцов А. И. Проблема интенсификации процесса обучения в современной педагогической науке. </w:t>
      </w:r>
      <w:r w:rsidRPr="002E6ECA">
        <w:rPr>
          <w:rFonts w:eastAsiaTheme="minorHAnsi"/>
          <w:bCs/>
          <w:i/>
          <w:sz w:val="28"/>
          <w:szCs w:val="28"/>
          <w:lang w:val="uk-UA" w:eastAsia="en-US"/>
        </w:rPr>
        <w:t>Молодой ученый</w:t>
      </w:r>
      <w:r w:rsidRPr="002E6ECA">
        <w:rPr>
          <w:rFonts w:eastAsiaTheme="minorHAnsi"/>
          <w:bCs/>
          <w:sz w:val="28"/>
          <w:szCs w:val="28"/>
          <w:lang w:val="uk-UA" w:eastAsia="en-US"/>
        </w:rPr>
        <w:t>. 2015. № 3 (83). С. 829-831. URL: https://moluch.ru/archive/83/15174/.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Окко Н. И., Чижова Ж. Г., Шестакова В. Н. Профилактическая работа по сохранению и укреплению здоровья одаренных и способных детей. </w:t>
      </w:r>
      <w:r w:rsidRPr="002E6ECA">
        <w:rPr>
          <w:rFonts w:eastAsiaTheme="minorHAnsi"/>
          <w:i/>
          <w:sz w:val="28"/>
          <w:szCs w:val="28"/>
          <w:lang w:val="uk-UA" w:eastAsia="en-US"/>
        </w:rPr>
        <w:t>Смоленский медицинский альманах</w:t>
      </w:r>
      <w:r w:rsidRPr="002E6ECA">
        <w:rPr>
          <w:rFonts w:eastAsiaTheme="minorHAnsi"/>
          <w:sz w:val="28"/>
          <w:szCs w:val="28"/>
          <w:lang w:val="uk-UA" w:eastAsia="en-US"/>
        </w:rPr>
        <w:t>. 2016. № 3. С. 153-157.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Окко Н. И., Чижова Ж. Г., Шестакова В. Н. Сравнительная характеристика динамики состояния здоровья детей с признаками одаренности. </w:t>
      </w:r>
      <w:r w:rsidRPr="002E6ECA">
        <w:rPr>
          <w:rFonts w:eastAsiaTheme="minorHAnsi"/>
          <w:i/>
          <w:sz w:val="28"/>
          <w:szCs w:val="28"/>
          <w:lang w:val="uk-UA" w:eastAsia="en-US"/>
        </w:rPr>
        <w:t>Вопросы практической педиатрии</w:t>
      </w:r>
      <w:r w:rsidRPr="002E6ECA">
        <w:rPr>
          <w:rFonts w:eastAsiaTheme="minorHAnsi"/>
          <w:sz w:val="28"/>
          <w:szCs w:val="28"/>
          <w:lang w:val="uk-UA" w:eastAsia="en-US"/>
        </w:rPr>
        <w:t>. 2012. № 4. С. 67-71.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Освітн</w:t>
      </w:r>
      <w:r w:rsidRPr="002E6ECA">
        <w:rPr>
          <w:rFonts w:eastAsiaTheme="minorHAnsi"/>
          <w:sz w:val="28"/>
          <w:szCs w:val="28"/>
          <w:lang w:eastAsia="en-US"/>
        </w:rPr>
        <w:t>я</w:t>
      </w:r>
      <w:r w:rsidRPr="002E6ECA">
        <w:rPr>
          <w:rFonts w:eastAsiaTheme="minorHAnsi"/>
          <w:sz w:val="28"/>
          <w:szCs w:val="28"/>
          <w:lang w:val="uk-UA" w:eastAsia="en-US"/>
        </w:rPr>
        <w:t xml:space="preserve"> програма «На крилах успіху». URL: htm </w:t>
      </w:r>
      <w:hyperlink r:id="rId126" w:history="1">
        <w:r w:rsidRPr="002E6ECA">
          <w:rPr>
            <w:rFonts w:eastAsiaTheme="minorHAnsi"/>
            <w:sz w:val="28"/>
            <w:szCs w:val="28"/>
            <w:lang w:val="uk-UA" w:eastAsia="en-US"/>
          </w:rPr>
          <w:t>https://nakrilahuspihu.com/</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Освітня програма початкової освіти «Світ, в якому я живу» / упоряд. С. І. Якименко. Тернопіль, 2018. 100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Осипенко Е. В. Самооценка здоровья и образа жизни школьниками Гомельского региона. </w:t>
      </w:r>
      <w:r w:rsidRPr="002E6ECA">
        <w:rPr>
          <w:rFonts w:eastAsiaTheme="minorHAnsi"/>
          <w:i/>
          <w:sz w:val="28"/>
          <w:szCs w:val="28"/>
          <w:lang w:val="uk-UA" w:eastAsia="en-US"/>
        </w:rPr>
        <w:t>Вестник Томского государственного университета</w:t>
      </w:r>
      <w:r w:rsidRPr="002E6ECA">
        <w:rPr>
          <w:rFonts w:eastAsiaTheme="minorHAnsi"/>
          <w:sz w:val="28"/>
          <w:szCs w:val="28"/>
          <w:lang w:val="uk-UA" w:eastAsia="en-US"/>
        </w:rPr>
        <w:t xml:space="preserve">. 2018. № 431. C. 166-169. </w:t>
      </w:r>
      <w:r w:rsidRPr="002E6ECA">
        <w:rPr>
          <w:sz w:val="28"/>
          <w:szCs w:val="28"/>
        </w:rPr>
        <w:t>DOI</w:t>
      </w:r>
      <w:r w:rsidRPr="002E6ECA">
        <w:rPr>
          <w:sz w:val="28"/>
          <w:szCs w:val="28"/>
          <w:lang w:val="uk-UA"/>
        </w:rPr>
        <w:t xml:space="preserve">: </w:t>
      </w:r>
      <w:r w:rsidRPr="002E6ECA">
        <w:rPr>
          <w:rFonts w:eastAsiaTheme="minorHAnsi"/>
          <w:sz w:val="28"/>
          <w:szCs w:val="28"/>
          <w:lang w:val="uk-UA" w:eastAsia="en-US"/>
        </w:rPr>
        <w:t>https://doi: 10.17223/15617793/431/22.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Оспанова Т. С., Оспанова В. Н., Лесовой И. А., Чернякова И. А., Котулевич Н. Я., Заозерская Н. В., Чернякова А. Е. Опыт изучения качества жизни в пропедевтической клинике: монография. Харьков: ХНМУ, 2017. 112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Оцінка якості життя учнів початкової школи, яка пов’язана з їх навчальною діяльністю . авт. св. № 97048. Реєстр. 03.04.2020.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Павленко В. В. Технологія розвивального навчання Д. Б. Ельконіна -В. В. Давидова Історичні аспекти, сучасний стан і перспективи розвитку системи дошкільної і початкової шкільної освіти : збірник науково-методичних праць / за заг. ред. О. О. Максимової, М. А. Федорової. Житомир, 2017. 378 с.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Павлова Ю. О. Якість життя та здоров’я дітей та молоді України. Слобожанський науково-спортивний вісник. 2015. № 2 (46). С. 148-153.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Пашкевич С. А. Гігієнічні особливості впливу внутрішньошкільних факторів на якість життя та здоров'я молодших школярів: дис... канд. мед. наук: 14.02.01. Х., 2008. 193 арк. арк. 166-193.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Пашкевич С. А., Даниленко Г. М., Бесєдіна О. А. Визначення рівня здоров’я першокласників на підставі комплексної оцінки адаптаційних можливостей організму. </w:t>
      </w:r>
      <w:r w:rsidRPr="002E6ECA">
        <w:rPr>
          <w:rFonts w:eastAsiaTheme="minorHAnsi"/>
          <w:i/>
          <w:sz w:val="28"/>
          <w:szCs w:val="28"/>
          <w:lang w:val="uk-UA" w:eastAsia="en-US"/>
        </w:rPr>
        <w:t>Вісник Харківського національного університету ім. В.Н.</w:t>
      </w:r>
      <w:r w:rsidRPr="002E6ECA">
        <w:rPr>
          <w:sz w:val="28"/>
          <w:szCs w:val="28"/>
          <w:lang w:val="uk-UA"/>
        </w:rPr>
        <w:t xml:space="preserve">  </w:t>
      </w:r>
      <w:r w:rsidRPr="002E6ECA">
        <w:rPr>
          <w:rFonts w:eastAsiaTheme="minorHAnsi"/>
          <w:i/>
          <w:sz w:val="28"/>
          <w:szCs w:val="28"/>
          <w:lang w:val="uk-UA" w:eastAsia="en-US"/>
        </w:rPr>
        <w:t>Каразіна</w:t>
      </w:r>
      <w:r w:rsidRPr="002E6ECA">
        <w:rPr>
          <w:rFonts w:eastAsiaTheme="minorHAnsi"/>
          <w:sz w:val="28"/>
          <w:szCs w:val="28"/>
          <w:lang w:val="uk-UA" w:eastAsia="en-US"/>
        </w:rPr>
        <w:t>. 2005. № 658. Сер.: Медицина. Вип. 10. С. 89-94.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Передерій О. Л. Вальдорфська педагогіка як гуманістично орієнтована система навчання та виховання школярів. </w:t>
      </w:r>
      <w:r w:rsidRPr="002E6ECA">
        <w:rPr>
          <w:rFonts w:eastAsiaTheme="minorHAnsi"/>
          <w:i/>
          <w:sz w:val="28"/>
          <w:szCs w:val="28"/>
          <w:lang w:val="uk-UA" w:eastAsia="en-US"/>
        </w:rPr>
        <w:t>Журнал науковий огляд</w:t>
      </w:r>
      <w:r w:rsidRPr="002E6ECA">
        <w:rPr>
          <w:rFonts w:eastAsiaTheme="minorHAnsi"/>
          <w:sz w:val="28"/>
          <w:szCs w:val="28"/>
          <w:lang w:val="uk-UA" w:eastAsia="en-US"/>
        </w:rPr>
        <w:t>. 2017. № 4 (36). С. 1-8.</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 xml:space="preserve">Петренко А. О. Здоров'я дітей в умовах сучасних навчальних технологій. URL: </w:t>
      </w:r>
      <w:hyperlink r:id="rId127" w:history="1">
        <w:r w:rsidRPr="002E6ECA">
          <w:rPr>
            <w:rFonts w:eastAsiaTheme="minorHAnsi"/>
            <w:spacing w:val="-2"/>
            <w:sz w:val="28"/>
            <w:szCs w:val="28"/>
            <w:lang w:val="uk-UA" w:eastAsia="en-US"/>
          </w:rPr>
          <w:t>http://repo.knmu.edu.ua/bitstream/123456789/24216/1/%D0% 9F% 0%B5%D1%82%D1%80%D0%B5%D0%BD%D0%BA%D0%BE%20%D0%90.pdf</w:t>
        </w:r>
      </w:hyperlink>
      <w:r w:rsidRPr="002E6ECA">
        <w:rPr>
          <w:rFonts w:eastAsiaTheme="minorHAnsi"/>
          <w:spacing w:val="-2"/>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Платонова А. Г. Методика скрининг-оценки физического развития детей по индексу Кетле. </w:t>
      </w:r>
      <w:r w:rsidRPr="002E6ECA">
        <w:rPr>
          <w:rFonts w:eastAsiaTheme="minorHAnsi"/>
          <w:i/>
          <w:sz w:val="28"/>
          <w:szCs w:val="28"/>
          <w:lang w:val="uk-UA" w:eastAsia="en-US"/>
        </w:rPr>
        <w:t>Гігієна населених місць: зб. наук. праць</w:t>
      </w:r>
      <w:r w:rsidRPr="002E6ECA">
        <w:rPr>
          <w:rFonts w:eastAsiaTheme="minorHAnsi"/>
          <w:sz w:val="28"/>
          <w:szCs w:val="28"/>
          <w:lang w:val="uk-UA" w:eastAsia="en-US"/>
        </w:rPr>
        <w:t>. 2012. № 60. С. 356-362.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Платонова А. Г., Подригало Л. В., Сокол К. М. </w:t>
      </w:r>
      <w:hyperlink r:id="rId128" w:history="1">
        <w:r w:rsidRPr="002E6ECA">
          <w:rPr>
            <w:rFonts w:eastAsiaTheme="minorHAnsi"/>
            <w:sz w:val="28"/>
            <w:szCs w:val="28"/>
            <w:lang w:val="uk-UA" w:eastAsia="en-US"/>
          </w:rPr>
          <w:t>Обоснование применения двигательной активности детей как критерия эффективности оздоровления и рекреации</w:t>
        </w:r>
      </w:hyperlink>
      <w:r w:rsidRPr="002E6ECA">
        <w:rPr>
          <w:rFonts w:eastAsiaTheme="minorHAnsi"/>
          <w:sz w:val="28"/>
          <w:szCs w:val="28"/>
          <w:lang w:val="uk-UA" w:eastAsia="en-US"/>
        </w:rPr>
        <w:t xml:space="preserve">. </w:t>
      </w:r>
      <w:r w:rsidRPr="002E6ECA">
        <w:rPr>
          <w:rFonts w:eastAsiaTheme="minorHAnsi"/>
          <w:i/>
          <w:sz w:val="28"/>
          <w:szCs w:val="28"/>
          <w:lang w:val="uk-UA" w:eastAsia="en-US"/>
        </w:rPr>
        <w:t>Pedagogy of Physical Culture and Sports</w:t>
      </w:r>
      <w:r w:rsidRPr="002E6ECA">
        <w:rPr>
          <w:rFonts w:eastAsiaTheme="minorHAnsi"/>
          <w:sz w:val="28"/>
          <w:szCs w:val="28"/>
          <w:lang w:val="uk-UA" w:eastAsia="en-US"/>
        </w:rPr>
        <w:t>. 2013. № 11. С.</w:t>
      </w:r>
      <w:r w:rsidRPr="002E6ECA">
        <w:rPr>
          <w:sz w:val="28"/>
          <w:szCs w:val="28"/>
          <w:lang w:val="en-US"/>
        </w:rPr>
        <w:t> </w:t>
      </w:r>
      <w:r w:rsidRPr="002E6ECA">
        <w:rPr>
          <w:rFonts w:eastAsiaTheme="minorHAnsi"/>
          <w:sz w:val="28"/>
          <w:szCs w:val="28"/>
          <w:lang w:val="uk-UA" w:eastAsia="en-US"/>
        </w:rPr>
        <w:t>72-76.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Плужнікова Т. В. Радченко Н. Р. Роль харчування у життєдіяльності студентів на прикладі студентів перших курсів ВДНЗУ «Українська медична стоматологічна академія» м. Полтава. </w:t>
      </w:r>
      <w:r w:rsidRPr="002E6ECA">
        <w:rPr>
          <w:rFonts w:eastAsiaTheme="minorHAnsi"/>
          <w:i/>
          <w:sz w:val="28"/>
          <w:szCs w:val="28"/>
          <w:lang w:val="uk-UA" w:eastAsia="en-US"/>
        </w:rPr>
        <w:t xml:space="preserve">Relevant issues of modern medicine: The experience of Рoland and Ukraine : </w:t>
      </w:r>
      <w:r w:rsidRPr="002E6ECA">
        <w:rPr>
          <w:rFonts w:eastAsiaTheme="minorHAnsi"/>
          <w:i/>
          <w:sz w:val="28"/>
          <w:szCs w:val="28"/>
          <w:lang w:val="en-US" w:eastAsia="en-US"/>
        </w:rPr>
        <w:t>international research and practice conference</w:t>
      </w:r>
      <w:r w:rsidRPr="002E6ECA">
        <w:rPr>
          <w:rFonts w:eastAsiaTheme="minorHAnsi"/>
          <w:sz w:val="28"/>
          <w:szCs w:val="28"/>
          <w:lang w:val="uk-UA" w:eastAsia="en-US"/>
        </w:rPr>
        <w:t>, October 20-21, 2017. Lublin, 2017. С. 160-162.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Погодина Е. В. Морфофункциональные показатели здоровья одаренных детей : автореф. дисс. ... канд. мед. наук : 14.00.09. Нижний Новгород, 2005. 28 с. URL: http://medical-diss.com/medicina/ morfofunktsionalnye-pokazateli-zdorovya-odarennyh-detey#ixzz6AjpGgA1I.</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Подригало Л. В., Даниленко Г. Н. Гигиеническое обоснование концепции здоровьесберегающего пространства коллектива в условиях общеобразовательной школы. </w:t>
      </w:r>
      <w:r w:rsidRPr="002E6ECA">
        <w:rPr>
          <w:rFonts w:eastAsiaTheme="minorHAnsi"/>
          <w:bCs/>
          <w:i/>
          <w:sz w:val="28"/>
          <w:szCs w:val="28"/>
          <w:lang w:val="uk-UA" w:eastAsia="en-US"/>
        </w:rPr>
        <w:t>Вісник Чернігівського національного педагогічного університету імені Т.Г. Шевченка</w:t>
      </w:r>
      <w:r w:rsidRPr="002E6ECA">
        <w:rPr>
          <w:rFonts w:eastAsiaTheme="minorHAnsi"/>
          <w:bCs/>
          <w:sz w:val="28"/>
          <w:szCs w:val="28"/>
          <w:lang w:val="uk-UA" w:eastAsia="en-US"/>
        </w:rPr>
        <w:t xml:space="preserve">. 2012. </w:t>
      </w:r>
      <w:r w:rsidRPr="002E6ECA">
        <w:rPr>
          <w:rFonts w:eastAsiaTheme="minorHAnsi"/>
          <w:sz w:val="28"/>
          <w:szCs w:val="28"/>
          <w:lang w:val="uk-UA" w:eastAsia="en-US"/>
        </w:rPr>
        <w:t xml:space="preserve">Т. ІІІ. Вип. 98. С. 19-22.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Подригало Л. В., Даниленко Г. Н. Донозологические состояния у детей, подростков и молодежи: диагностика, прогноз и гигиеническая коррекция: монография. НАМН Украины, Харьк. гос. акад. физ. культуры, ГУ «Ин-т охраны здоровья детей и подростков». Киев: Генеза, 2014. 199 c.</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Подригало Л. В., Даниленко Г. Н., Сотникова-Мелешкина Ж. В. и др. Нутрициология: учебное пособие. 2 е изд., испр. И доп. Х.: ХНУ имени В. Н. Каразина, 2017. 356 с. ISBN 978-966-285-449-7.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Подригало Л. В., Сотникова-Мелешкіна Ж. В., Авдиевская А. Г. Оценка индивидуального пищевого статуса организма. Х: ХНУ им.</w:t>
      </w:r>
      <w:r w:rsidRPr="002E6ECA">
        <w:rPr>
          <w:rFonts w:eastAsiaTheme="minorHAnsi"/>
          <w:sz w:val="28"/>
          <w:szCs w:val="28"/>
          <w:lang w:val="uk-UA"/>
        </w:rPr>
        <w:t> </w:t>
      </w:r>
      <w:r w:rsidRPr="002E6ECA">
        <w:rPr>
          <w:rFonts w:eastAsiaTheme="minorHAnsi"/>
          <w:sz w:val="28"/>
          <w:szCs w:val="28"/>
          <w:lang w:val="uk-UA" w:eastAsia="en-US"/>
        </w:rPr>
        <w:t>В. Н. Каразина, 2014. 24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Подрігало Л. В., Даниленко Г. М., Пашкевич С. А. Організація моніторингу здоров’я дітей як складова частина державного соціально-гігієнічного моніторингу: метод. вказ. Харків: ХДМУ, 2007. 24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Полякова А. Н., Селезнева Е. В., Денисова Н. Б., Позднякова Т. В. Средовые факторы образовательного учреждения и состояние здоровья учащихся. </w:t>
      </w:r>
      <w:r w:rsidRPr="002E6ECA">
        <w:rPr>
          <w:rFonts w:eastAsiaTheme="minorHAnsi"/>
          <w:i/>
          <w:sz w:val="28"/>
          <w:szCs w:val="28"/>
          <w:lang w:val="uk-UA" w:eastAsia="en-US"/>
        </w:rPr>
        <w:t>Вестник новых медицинских технологий. Электронный журнал</w:t>
      </w:r>
      <w:r w:rsidRPr="002E6ECA">
        <w:rPr>
          <w:rFonts w:eastAsiaTheme="minorHAnsi"/>
          <w:sz w:val="28"/>
          <w:szCs w:val="28"/>
          <w:lang w:val="uk-UA" w:eastAsia="en-US"/>
        </w:rPr>
        <w:t>. 2013. № 1. С. 242.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Полька Н. С., Гаркавий С. І. Рівень шкільної тривожності як критерій психоемоційної адаптації до умов навчання у загальноосвітніх закладах різних типів. </w:t>
      </w:r>
      <w:r w:rsidRPr="002E6ECA">
        <w:rPr>
          <w:rFonts w:eastAsiaTheme="minorHAnsi"/>
          <w:i/>
          <w:sz w:val="28"/>
          <w:szCs w:val="28"/>
          <w:lang w:val="uk-UA" w:eastAsia="en-US"/>
        </w:rPr>
        <w:t>Environment &amp; Health</w:t>
      </w:r>
      <w:r w:rsidRPr="002E6ECA">
        <w:rPr>
          <w:rFonts w:eastAsiaTheme="minorHAnsi"/>
          <w:sz w:val="28"/>
          <w:szCs w:val="28"/>
          <w:lang w:val="uk-UA" w:eastAsia="en-US"/>
        </w:rPr>
        <w:t>. 2009. № 3. С. 40-42.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Полька Н.</w:t>
      </w:r>
      <w:r w:rsidRPr="002E6ECA">
        <w:rPr>
          <w:sz w:val="28"/>
          <w:szCs w:val="28"/>
          <w:lang w:val="en-US"/>
        </w:rPr>
        <w:t> </w:t>
      </w:r>
      <w:r w:rsidRPr="002E6ECA">
        <w:rPr>
          <w:rFonts w:eastAsiaTheme="minorHAnsi"/>
          <w:sz w:val="28"/>
          <w:szCs w:val="28"/>
          <w:lang w:val="uk-UA" w:eastAsia="en-US"/>
        </w:rPr>
        <w:t>С., Гозак С.</w:t>
      </w:r>
      <w:r w:rsidRPr="002E6ECA">
        <w:rPr>
          <w:sz w:val="28"/>
          <w:szCs w:val="28"/>
          <w:lang w:val="en-US"/>
        </w:rPr>
        <w:t> </w:t>
      </w:r>
      <w:r w:rsidRPr="002E6ECA">
        <w:rPr>
          <w:rFonts w:eastAsiaTheme="minorHAnsi"/>
          <w:sz w:val="28"/>
          <w:szCs w:val="28"/>
          <w:lang w:val="uk-UA" w:eastAsia="en-US"/>
        </w:rPr>
        <w:t xml:space="preserve">В., Єлізарова О. Т., Антомонов М. Ю, Станкевич Т. В., Парац А. М. Методики прогнозування здоров'я міських підлітків з урахуванням їх рухової активності: метод. рек. Київ. 2019. 19 с.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Полька Н. С., Гозак С. В., Єлізарова О. Т., Парац А. М., Станкевич</w:t>
      </w:r>
      <w:r w:rsidRPr="002E6ECA">
        <w:rPr>
          <w:sz w:val="28"/>
          <w:szCs w:val="28"/>
          <w:lang w:val="en-US"/>
        </w:rPr>
        <w:t> </w:t>
      </w:r>
      <w:r w:rsidRPr="002E6ECA">
        <w:rPr>
          <w:rFonts w:eastAsiaTheme="minorHAnsi"/>
          <w:sz w:val="28"/>
          <w:szCs w:val="28"/>
          <w:lang w:val="uk-UA" w:eastAsia="en-US"/>
        </w:rPr>
        <w:t>Т.</w:t>
      </w:r>
      <w:r w:rsidRPr="002E6ECA">
        <w:rPr>
          <w:sz w:val="28"/>
          <w:szCs w:val="28"/>
          <w:lang w:val="en-US"/>
        </w:rPr>
        <w:t> </w:t>
      </w:r>
      <w:r w:rsidRPr="002E6ECA">
        <w:rPr>
          <w:rFonts w:eastAsiaTheme="minorHAnsi"/>
          <w:sz w:val="28"/>
          <w:szCs w:val="28"/>
          <w:lang w:val="uk-UA" w:eastAsia="en-US"/>
        </w:rPr>
        <w:t xml:space="preserve">В., Калиниченко І. О., Заїкіна Г. Л., Латіна Г. О. </w:t>
      </w:r>
      <w:r w:rsidRPr="002E6ECA">
        <w:rPr>
          <w:rFonts w:eastAsiaTheme="minorHAnsi"/>
          <w:bCs/>
          <w:sz w:val="28"/>
          <w:szCs w:val="28"/>
          <w:lang w:val="uk-UA" w:eastAsia="en-US"/>
        </w:rPr>
        <w:t>Розумова працездатність, навчальне навантаження та спосіб життя сучасних школярів: гігієнічні аспекти</w:t>
      </w:r>
      <w:r w:rsidRPr="002E6ECA">
        <w:rPr>
          <w:rFonts w:eastAsiaTheme="minorHAnsi"/>
          <w:sz w:val="28"/>
          <w:szCs w:val="28"/>
          <w:lang w:val="uk-UA" w:eastAsia="en-US"/>
        </w:rPr>
        <w:t>: монографія / ред.: Н. С. Полька, С. В. Гозак. НАМН України, ДУ "Ін-т громад. здоров'я ім. О.М. Марзєєва". Київ: Медінформ, 2018. 214 c. Бібліогр.: с. 185-210 укр.</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Полька Н. С., Гозак С. В., Єлізарова О. Т., Станкевич Т. В., Парац А. М. Новітній підхід до оцінювання здоров’я підлітків у гігієнічних дослідженнях. </w:t>
      </w:r>
      <w:hyperlink r:id="rId129" w:tooltip="Періодичне видання" w:history="1">
        <w:r w:rsidRPr="002E6ECA">
          <w:rPr>
            <w:rFonts w:eastAsiaTheme="minorHAnsi"/>
            <w:i/>
            <w:sz w:val="28"/>
            <w:szCs w:val="28"/>
            <w:lang w:val="uk-UA" w:eastAsia="en-US"/>
          </w:rPr>
          <w:t>Журнал Національної академії медичних наук України</w:t>
        </w:r>
      </w:hyperlink>
      <w:r w:rsidRPr="002E6ECA">
        <w:rPr>
          <w:rFonts w:eastAsiaTheme="minorHAnsi"/>
          <w:sz w:val="28"/>
          <w:szCs w:val="28"/>
          <w:lang w:val="uk-UA" w:eastAsia="en-US"/>
        </w:rPr>
        <w:t>. 2019. Т. 25. № 3. С. 337-339.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Полька Н. С., Лебединець Н. В. Фізіолого-гігієнічна оцінка фізичного та психічного здоров'я старшокласників інноваційного навчального закладу (семестрово-цикло-блочна система викладання). </w:t>
      </w:r>
      <w:r w:rsidRPr="002E6ECA">
        <w:rPr>
          <w:rFonts w:eastAsiaTheme="minorHAnsi"/>
          <w:i/>
          <w:sz w:val="28"/>
          <w:szCs w:val="28"/>
          <w:lang w:val="uk-UA" w:eastAsia="en-US"/>
        </w:rPr>
        <w:t>Environment &amp; Health</w:t>
      </w:r>
      <w:r w:rsidRPr="002E6ECA">
        <w:rPr>
          <w:rFonts w:eastAsiaTheme="minorHAnsi"/>
          <w:sz w:val="28"/>
          <w:szCs w:val="28"/>
          <w:lang w:val="uk-UA" w:eastAsia="en-US"/>
        </w:rPr>
        <w:t xml:space="preserve">. 2010. № 2. С. 38-42.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Полька Н. С., Яцковська Н. Я., Платонова А. Г. Гігієнічне забезпечення умов життєдіяльності дітей: проблеми та шляхи їх вирішення. </w:t>
      </w:r>
      <w:r w:rsidRPr="002E6ECA">
        <w:rPr>
          <w:rFonts w:eastAsiaTheme="minorHAnsi"/>
          <w:sz w:val="28"/>
          <w:szCs w:val="28"/>
          <w:lang w:val="uk-UA" w:eastAsia="en-US"/>
        </w:rPr>
        <w:lastRenderedPageBreak/>
        <w:t>Досвід та перспективи наукового супроводу проблем гігієнічної науки та практики: за ред. А. М. Сердюка. К., 2011. С. 70-79.</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 xml:space="preserve">Полька Н. С., Яцковська Н. Я., Платонова А. Г., Джуринська С. М., Шкуро В. В., Шкарбан К. С., Саєнко Г. М., Хутченко О. М. Особливості режиму дня учнів старшого шкільного віку. </w:t>
      </w:r>
      <w:r w:rsidRPr="002E6ECA">
        <w:rPr>
          <w:rFonts w:eastAsiaTheme="minorHAnsi"/>
          <w:i/>
          <w:spacing w:val="-2"/>
          <w:sz w:val="28"/>
          <w:szCs w:val="28"/>
          <w:lang w:val="uk-UA" w:eastAsia="en-US"/>
        </w:rPr>
        <w:t>Environment &amp; Health</w:t>
      </w:r>
      <w:r w:rsidRPr="002E6ECA">
        <w:rPr>
          <w:rFonts w:eastAsiaTheme="minorHAnsi"/>
          <w:spacing w:val="-2"/>
          <w:sz w:val="28"/>
          <w:szCs w:val="28"/>
          <w:lang w:val="uk-UA" w:eastAsia="en-US"/>
        </w:rPr>
        <w:t>. 2013. № 2. С.</w:t>
      </w:r>
      <w:r w:rsidRPr="002E6ECA">
        <w:rPr>
          <w:spacing w:val="-2"/>
          <w:sz w:val="28"/>
          <w:szCs w:val="28"/>
          <w:lang w:val="en-US"/>
        </w:rPr>
        <w:t> </w:t>
      </w:r>
      <w:r w:rsidRPr="002E6ECA">
        <w:rPr>
          <w:rFonts w:eastAsiaTheme="minorHAnsi"/>
          <w:spacing w:val="-2"/>
          <w:sz w:val="28"/>
          <w:szCs w:val="28"/>
          <w:lang w:val="uk-UA" w:eastAsia="en-US"/>
        </w:rPr>
        <w:t>30-35.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Полька</w:t>
      </w:r>
      <w:r w:rsidRPr="002E6ECA">
        <w:rPr>
          <w:rFonts w:eastAsiaTheme="minorHAnsi"/>
          <w:sz w:val="28"/>
          <w:szCs w:val="28"/>
          <w:lang w:val="uk-UA"/>
        </w:rPr>
        <w:t> </w:t>
      </w:r>
      <w:r w:rsidRPr="002E6ECA">
        <w:rPr>
          <w:rFonts w:eastAsiaTheme="minorHAnsi"/>
          <w:sz w:val="28"/>
          <w:szCs w:val="28"/>
          <w:lang w:val="uk-UA" w:eastAsia="en-US"/>
        </w:rPr>
        <w:t>Н. С., Гозак С. В., Єлізарова О. Т., Станкевич Т. В., Парац А. М., Новгородська Л. М Скринінгова оцінка адаптаційно-резервних можливостей дітей шкільного віку: методичні рекомендації. К. 2013. 22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Пономарьов Я. А. </w:t>
      </w:r>
      <w:hyperlink r:id="rId130" w:history="1">
        <w:r w:rsidRPr="002E6ECA">
          <w:rPr>
            <w:rFonts w:eastAsiaTheme="minorHAnsi"/>
            <w:sz w:val="28"/>
            <w:szCs w:val="28"/>
            <w:lang w:val="uk-UA" w:eastAsia="en-US"/>
          </w:rPr>
          <w:t>Психология творчества</w:t>
        </w:r>
      </w:hyperlink>
      <w:r w:rsidRPr="002E6ECA">
        <w:rPr>
          <w:rFonts w:eastAsiaTheme="minorHAnsi"/>
          <w:sz w:val="28"/>
          <w:szCs w:val="28"/>
          <w:lang w:val="uk-UA" w:eastAsia="en-US"/>
        </w:rPr>
        <w:t>. Москва. 2002. 320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Пономарьова Л. І. Особливості формування здоров’я сучасних школярів на різних етапах навчання. </w:t>
      </w:r>
      <w:r w:rsidRPr="002E6ECA">
        <w:rPr>
          <w:rFonts w:eastAsiaTheme="minorHAnsi"/>
          <w:i/>
          <w:sz w:val="28"/>
          <w:szCs w:val="28"/>
          <w:lang w:val="uk-UA" w:eastAsia="en-US"/>
        </w:rPr>
        <w:t>Здоровье ребенка</w:t>
      </w:r>
      <w:r w:rsidRPr="002E6ECA">
        <w:rPr>
          <w:rFonts w:eastAsiaTheme="minorHAnsi"/>
          <w:sz w:val="28"/>
          <w:szCs w:val="28"/>
          <w:lang w:val="uk-UA" w:eastAsia="en-US"/>
        </w:rPr>
        <w:t>. 2014. № 2 (53). С. 35-38.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Пономарьова Л. І., Кіндрук М.</w:t>
      </w:r>
      <w:r w:rsidRPr="002E6ECA">
        <w:rPr>
          <w:rFonts w:eastAsiaTheme="minorHAnsi"/>
          <w:sz w:val="28"/>
          <w:szCs w:val="28"/>
          <w:lang w:val="uk-UA"/>
        </w:rPr>
        <w:t> </w:t>
      </w:r>
      <w:r w:rsidRPr="002E6ECA">
        <w:rPr>
          <w:rFonts w:eastAsiaTheme="minorHAnsi"/>
          <w:sz w:val="28"/>
          <w:szCs w:val="28"/>
          <w:lang w:val="uk-UA" w:eastAsia="en-US"/>
        </w:rPr>
        <w:t xml:space="preserve">О. Здоров’я школярів в умовах інтенсифікації навчальної діяльності. </w:t>
      </w:r>
      <w:r w:rsidRPr="002E6ECA">
        <w:rPr>
          <w:rFonts w:eastAsiaTheme="minorHAnsi"/>
          <w:i/>
          <w:sz w:val="28"/>
          <w:szCs w:val="28"/>
          <w:lang w:val="uk-UA" w:eastAsia="en-US"/>
        </w:rPr>
        <w:t xml:space="preserve">Актуальні питання громадського здоров’я та екологічної безпеки України (чотирнадцяті Марзєєвські читання) : </w:t>
      </w:r>
      <w:r w:rsidRPr="002E6ECA">
        <w:rPr>
          <w:sz w:val="28"/>
          <w:szCs w:val="28"/>
          <w:lang w:val="uk-UA"/>
        </w:rPr>
        <w:t>науково-практична конференція</w:t>
      </w:r>
      <w:r w:rsidRPr="002E6ECA">
        <w:rPr>
          <w:rFonts w:eastAsiaTheme="minorHAnsi"/>
          <w:sz w:val="28"/>
          <w:szCs w:val="28"/>
          <w:lang w:val="uk-UA" w:eastAsia="en-US"/>
        </w:rPr>
        <w:t>, м. Харків, 11-12 жовтня 2018 р. Харків, 2018. Т. 18. С. 155-157.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Попов О. І., Ходаковська В. О., Бойко Л. Т., Семко Н. Г. Здоров'я дітей в умовах сучасних навчальних технологій. </w:t>
      </w:r>
      <w:r w:rsidRPr="002E6ECA">
        <w:rPr>
          <w:rFonts w:eastAsiaTheme="minorHAnsi"/>
          <w:i/>
          <w:sz w:val="28"/>
          <w:szCs w:val="28"/>
          <w:lang w:val="uk-UA" w:eastAsia="en-US"/>
        </w:rPr>
        <w:t>Гігієна населених місць</w:t>
      </w:r>
      <w:r w:rsidRPr="002E6ECA">
        <w:rPr>
          <w:rFonts w:eastAsiaTheme="minorHAnsi"/>
          <w:sz w:val="28"/>
          <w:szCs w:val="28"/>
          <w:lang w:val="uk-UA" w:eastAsia="en-US"/>
        </w:rPr>
        <w:t>. 2015. № 66. С. 200-203.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Попова Л. В., Фи Тхи Хиеу Представления об одаренности и особенностях одаренных детей (на материалах вьетнамской выборки). </w:t>
      </w:r>
      <w:r w:rsidRPr="002E6ECA">
        <w:rPr>
          <w:rFonts w:eastAsiaTheme="minorHAnsi"/>
          <w:i/>
          <w:sz w:val="28"/>
          <w:szCs w:val="28"/>
          <w:lang w:val="uk-UA" w:eastAsia="en-US"/>
        </w:rPr>
        <w:t>Преподаватель ХХ век</w:t>
      </w:r>
      <w:r w:rsidRPr="002E6ECA">
        <w:rPr>
          <w:rFonts w:eastAsiaTheme="minorHAnsi"/>
          <w:sz w:val="28"/>
          <w:szCs w:val="28"/>
          <w:lang w:val="uk-UA" w:eastAsia="en-US"/>
        </w:rPr>
        <w:t>. 2011. № 3. С. 343-350.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Попова Т. А., Иванова Е. В. Особенности и динамика адаптации, самооценки и учебных мотивов в первый год обучения в школе. </w:t>
      </w:r>
      <w:r w:rsidRPr="002E6ECA">
        <w:rPr>
          <w:rFonts w:eastAsiaTheme="minorHAnsi"/>
          <w:i/>
          <w:sz w:val="28"/>
          <w:szCs w:val="28"/>
          <w:lang w:val="uk-UA" w:eastAsia="en-US"/>
        </w:rPr>
        <w:t>Вестник ПГГПУ</w:t>
      </w:r>
      <w:r w:rsidRPr="002E6ECA">
        <w:rPr>
          <w:rFonts w:eastAsiaTheme="minorHAnsi"/>
          <w:sz w:val="28"/>
          <w:szCs w:val="28"/>
          <w:lang w:val="uk-UA" w:eastAsia="en-US"/>
        </w:rPr>
        <w:t xml:space="preserve">. </w:t>
      </w:r>
      <w:r w:rsidRPr="002E6ECA">
        <w:rPr>
          <w:rFonts w:eastAsiaTheme="minorHAnsi"/>
          <w:i/>
          <w:sz w:val="28"/>
          <w:szCs w:val="28"/>
          <w:lang w:val="uk-UA" w:eastAsia="en-US"/>
        </w:rPr>
        <w:t>Психологические и педагогические науки</w:t>
      </w:r>
      <w:r w:rsidRPr="002E6ECA">
        <w:rPr>
          <w:rFonts w:eastAsiaTheme="minorHAnsi"/>
          <w:sz w:val="28"/>
          <w:szCs w:val="28"/>
          <w:lang w:val="uk-UA" w:eastAsia="en-US"/>
        </w:rPr>
        <w:t xml:space="preserve">. 2018. Серия № 1. С. 66-74.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Портал міжнародної інноваційної гармонізуючої освіти. URL: </w:t>
      </w:r>
      <w:hyperlink r:id="rId131" w:history="1">
        <w:r w:rsidRPr="002E6ECA">
          <w:rPr>
            <w:rFonts w:eastAsiaTheme="minorHAnsi"/>
            <w:sz w:val="28"/>
            <w:szCs w:val="28"/>
            <w:lang w:val="uk-UA" w:eastAsia="en-US"/>
          </w:rPr>
          <w:t>http://гармонізуюча-освіта.org/index.html</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bCs/>
          <w:sz w:val="28"/>
          <w:szCs w:val="28"/>
          <w:lang w:val="uk-UA"/>
        </w:rPr>
        <w:t xml:space="preserve">Постанова </w:t>
      </w:r>
      <w:r w:rsidRPr="002E6ECA">
        <w:rPr>
          <w:sz w:val="28"/>
          <w:szCs w:val="28"/>
          <w:lang w:val="uk-UA"/>
        </w:rPr>
        <w:t xml:space="preserve">Кабінету Міністрів України </w:t>
      </w:r>
      <w:r w:rsidRPr="002E6ECA">
        <w:rPr>
          <w:rFonts w:eastAsiaTheme="minorHAnsi"/>
          <w:sz w:val="28"/>
          <w:szCs w:val="28"/>
          <w:lang w:val="uk-UA" w:eastAsia="en-US"/>
        </w:rPr>
        <w:t>182 від 22 лютого 2006 р. Про затвердження Порядку проведення державного соціально-гігієнічного моніторингу.</w:t>
      </w:r>
      <w:r w:rsidRPr="002E6ECA">
        <w:rPr>
          <w:rFonts w:eastAsiaTheme="minorHAnsi"/>
          <w:bCs/>
          <w:sz w:val="28"/>
          <w:szCs w:val="28"/>
          <w:lang w:val="uk-UA" w:eastAsia="en-US"/>
        </w:rPr>
        <w:t xml:space="preserve"> URL: https://www.qdpro.com.ua/document/23111.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Постанова </w:t>
      </w:r>
      <w:r w:rsidRPr="002E6ECA">
        <w:rPr>
          <w:sz w:val="28"/>
          <w:szCs w:val="28"/>
          <w:lang w:val="uk-UA"/>
        </w:rPr>
        <w:t>Кабінету Міністрів</w:t>
      </w:r>
      <w:r w:rsidRPr="002E6ECA">
        <w:rPr>
          <w:rFonts w:eastAsiaTheme="minorHAnsi"/>
          <w:sz w:val="28"/>
          <w:szCs w:val="28"/>
          <w:lang w:val="uk-UA" w:eastAsia="en-US"/>
        </w:rPr>
        <w:t xml:space="preserve"> України 348 від 29 березня 2017 р. Деякі питання Державної санітарно-епідеміологічної служби. URL: https://zakon.rada.gov.ua/laws/show/348-2017-%D0%BF#Text.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Постанова </w:t>
      </w:r>
      <w:r w:rsidRPr="002E6ECA">
        <w:rPr>
          <w:sz w:val="28"/>
          <w:szCs w:val="28"/>
          <w:lang w:val="uk-UA"/>
        </w:rPr>
        <w:t>Кабінету Міністрів</w:t>
      </w:r>
      <w:r w:rsidRPr="002E6ECA">
        <w:rPr>
          <w:rFonts w:eastAsiaTheme="minorHAnsi"/>
          <w:sz w:val="28"/>
          <w:szCs w:val="28"/>
          <w:lang w:val="uk-UA" w:eastAsia="en-US"/>
        </w:rPr>
        <w:t xml:space="preserve"> України 575 </w:t>
      </w:r>
      <w:r w:rsidRPr="002E6ECA">
        <w:rPr>
          <w:rFonts w:eastAsiaTheme="minorHAnsi"/>
          <w:bCs/>
          <w:sz w:val="28"/>
          <w:szCs w:val="28"/>
          <w:lang w:val="uk-UA" w:eastAsia="en-US"/>
        </w:rPr>
        <w:t>від 5 серпня 2015 р.</w:t>
      </w:r>
      <w:r w:rsidRPr="002E6ECA">
        <w:rPr>
          <w:rFonts w:eastAsiaTheme="minorHAnsi"/>
          <w:sz w:val="28"/>
          <w:szCs w:val="28"/>
          <w:lang w:val="uk-UA" w:eastAsia="en-US"/>
        </w:rPr>
        <w:t xml:space="preserve"> Про внесення змін до Положення про Міністерство охорони здоров'я України. URL: </w:t>
      </w:r>
      <w:hyperlink r:id="rId132" w:history="1">
        <w:r w:rsidRPr="002E6ECA">
          <w:rPr>
            <w:rFonts w:eastAsiaTheme="minorHAnsi"/>
            <w:sz w:val="28"/>
            <w:szCs w:val="28"/>
            <w:lang w:val="uk-UA" w:eastAsia="en-US"/>
          </w:rPr>
          <w:t>https://ips.ligazakon.net/document/view/KP150267?an=1&amp;ed=2019_11_27</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Постанова Кабінету міністрів України від 30 вересня 2020 р. 898 Про деякі питання державних стандартів повної загальної середньої освіти. URL: https://zakon.rada.gov.ua/laws/show/898-2020-%D0%BF#Text.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Про затвердження Критеріїв оцінки фізичного розвитку дітей шкільного віку. URL:</w:t>
      </w:r>
      <w:hyperlink r:id="rId133" w:history="1">
        <w:r w:rsidRPr="002E6ECA">
          <w:rPr>
            <w:rFonts w:eastAsiaTheme="minorHAnsi"/>
            <w:sz w:val="28"/>
            <w:szCs w:val="28"/>
            <w:lang w:val="uk-UA" w:eastAsia="en-US"/>
          </w:rPr>
          <w:t>http://search.ligazakon.ua/l_doc2.nsf/link1/RE24226.html</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Про затвердження типових освітніх програм для 1-2 класів закладів загальної середньої освіти. Наказ № 1272 Міністерства освіти і науки України. URL: </w:t>
      </w:r>
      <w:hyperlink r:id="rId134" w:tgtFrame="_blank" w:history="1">
        <w:r w:rsidRPr="002E6ECA">
          <w:rPr>
            <w:rFonts w:eastAsiaTheme="minorHAnsi"/>
            <w:sz w:val="28"/>
            <w:szCs w:val="28"/>
            <w:lang w:val="uk-UA" w:eastAsia="en-US"/>
          </w:rPr>
          <w:t>https://mon.gov.ua/ua/npa/pro-zatverdzhennya-tipovih-osvitnih-program-dlya-1-2-klasiv-zakladiv-zagalnoyi-serednoyi-osviti</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Прозар М. В. Адаптація учнів перших класів до навчальної діяльності в початковій школі. </w:t>
      </w:r>
      <w:r w:rsidRPr="002E6ECA">
        <w:rPr>
          <w:rFonts w:eastAsiaTheme="minorHAnsi"/>
          <w:i/>
          <w:sz w:val="28"/>
          <w:szCs w:val="28"/>
          <w:lang w:val="uk-UA" w:eastAsia="en-US"/>
        </w:rPr>
        <w:t>Дошкільна та початкова освіта. Наукові записки</w:t>
      </w:r>
      <w:r w:rsidRPr="002E6ECA">
        <w:rPr>
          <w:rFonts w:eastAsiaTheme="minorHAnsi"/>
          <w:sz w:val="28"/>
          <w:szCs w:val="28"/>
          <w:lang w:val="uk-UA" w:eastAsia="en-US"/>
        </w:rPr>
        <w:t>. 2015. Серія: 50 педагогіка. № 1. С. 49-55.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Растроста Г. Б. Збереження психічного здоров’я здібних та обдарованих дітей: метод. рек. для практичних психологів навчальних закладів. Суми, 2015. 46 с.</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Редька І. В., Даниленко Г. М., Сотнікова-Мелешкіна Ж. В., Михальчук О. Я. </w:t>
      </w:r>
      <w:r w:rsidRPr="002E6ECA">
        <w:rPr>
          <w:sz w:val="28"/>
          <w:szCs w:val="28"/>
        </w:rPr>
        <w:t xml:space="preserve">Особливості нейрокогнітивних процесів учнів основної школи за умов меритократичної освіти. </w:t>
      </w:r>
      <w:r w:rsidRPr="002E6ECA">
        <w:rPr>
          <w:i/>
          <w:sz w:val="28"/>
          <w:szCs w:val="28"/>
        </w:rPr>
        <w:t>Актуальні проблеми сучасної медицини: Вісник Української медичної стоматологічної академії</w:t>
      </w:r>
      <w:r w:rsidRPr="002E6ECA">
        <w:rPr>
          <w:sz w:val="28"/>
          <w:szCs w:val="28"/>
        </w:rPr>
        <w:t xml:space="preserve">. 2020. Т. 20. Вип. 4 (72). С. 146-150. DOI 10.31718/2077-1096.20.4.146.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Резніченко Г. І., Резніченко Ю. Г. Проблеми охорони здоров'я дітей та матерів на сучасному етапі та можливі шляхи їх вирішення. </w:t>
      </w:r>
      <w:r w:rsidRPr="002E6ECA">
        <w:rPr>
          <w:rFonts w:eastAsiaTheme="minorHAnsi"/>
          <w:i/>
          <w:sz w:val="28"/>
          <w:szCs w:val="28"/>
          <w:lang w:val="uk-UA" w:eastAsia="en-US"/>
        </w:rPr>
        <w:t>Современная педиатрия</w:t>
      </w:r>
      <w:r w:rsidRPr="002E6ECA">
        <w:rPr>
          <w:rFonts w:eastAsiaTheme="minorHAnsi"/>
          <w:sz w:val="28"/>
          <w:szCs w:val="28"/>
          <w:lang w:val="uk-UA" w:eastAsia="en-US"/>
        </w:rPr>
        <w:t>. 2005. № 2 (7). С. 25-28.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Резолюції ХІІ-го конгресу педіатрів України «Актуальні проблеми педіатрії» (10-12 жовтня 2017 року, Київ, XIII Конгресу педіатрів України «Актуальні проблеми педіатрії», 9-11 жовтня 2018р, 8-10 жовтня 2019 р).</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shd w:val="clear" w:color="auto" w:fill="FFFFFF"/>
          <w:lang w:val="uk-UA" w:eastAsia="en-US"/>
        </w:rPr>
        <w:t xml:space="preserve">Ременякина Е. И., Павлюченко И. И., Охременко О. С., Панасенкова Ю. С. Сравнительный анализ состояния про/-антиоксидантной защиты у пациентов с дисфункцией щитовидной железы различного генеза. </w:t>
      </w:r>
      <w:r w:rsidRPr="002E6ECA">
        <w:rPr>
          <w:rFonts w:eastAsiaTheme="minorHAnsi"/>
          <w:i/>
          <w:sz w:val="28"/>
          <w:szCs w:val="28"/>
          <w:shd w:val="clear" w:color="auto" w:fill="FFFFFF"/>
          <w:lang w:val="uk-UA" w:eastAsia="en-US"/>
        </w:rPr>
        <w:t>Современные проблемы науки и образования</w:t>
      </w:r>
      <w:r w:rsidRPr="002E6ECA">
        <w:rPr>
          <w:rFonts w:eastAsiaTheme="minorHAnsi"/>
          <w:sz w:val="28"/>
          <w:szCs w:val="28"/>
          <w:shd w:val="clear" w:color="auto" w:fill="FFFFFF"/>
          <w:lang w:val="uk-UA" w:eastAsia="en-US"/>
        </w:rPr>
        <w:t>. 2014. № 2. URL: </w:t>
      </w:r>
      <w:hyperlink r:id="rId135" w:history="1">
        <w:r w:rsidRPr="002E6ECA">
          <w:rPr>
            <w:rFonts w:eastAsiaTheme="minorHAnsi"/>
            <w:sz w:val="28"/>
            <w:szCs w:val="28"/>
            <w:shd w:val="clear" w:color="auto" w:fill="FFFFFF"/>
            <w:lang w:val="uk-UA" w:eastAsia="en-US"/>
          </w:rPr>
          <w:t>https://www.science-education.ru/ru/article/view?id=12596</w:t>
        </w:r>
      </w:hyperlink>
      <w:r w:rsidRPr="002E6ECA">
        <w:rPr>
          <w:rFonts w:eastAsiaTheme="minorHAnsi"/>
          <w:sz w:val="28"/>
          <w:szCs w:val="28"/>
          <w:shd w:val="clear" w:color="auto" w:fill="FFFFFF"/>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Рідковець С. Г. Оцінка варіабельності серцевого ритму залежно від рівня фізичного здоров'я. </w:t>
      </w:r>
      <w:r w:rsidRPr="002E6ECA">
        <w:rPr>
          <w:rFonts w:eastAsiaTheme="minorHAnsi"/>
          <w:i/>
          <w:sz w:val="28"/>
          <w:szCs w:val="28"/>
          <w:lang w:val="uk-UA" w:eastAsia="en-US"/>
        </w:rPr>
        <w:t>Environment &amp; Health</w:t>
      </w:r>
      <w:r w:rsidRPr="002E6ECA">
        <w:rPr>
          <w:rFonts w:eastAsiaTheme="minorHAnsi"/>
          <w:sz w:val="28"/>
          <w:szCs w:val="28"/>
          <w:lang w:val="uk-UA" w:eastAsia="en-US"/>
        </w:rPr>
        <w:t>. 2015. № 3. С. 36-39.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Рубинштейн С. Л. Основы общей психологии. Санкт-Петербург. 2000. 712 с.</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lang w:val="uk-UA" w:eastAsia="en-US"/>
        </w:rPr>
      </w:pPr>
      <w:r w:rsidRPr="002E6ECA">
        <w:rPr>
          <w:rFonts w:eastAsiaTheme="minorHAnsi"/>
          <w:sz w:val="28"/>
          <w:szCs w:val="28"/>
          <w:lang w:val="uk-UA" w:eastAsia="en-US"/>
        </w:rPr>
        <w:t xml:space="preserve">Рыжкова И. В., Петошина С. И., Тегалева Т. Д. Психосоциальное благополучие школьников Баренцева </w:t>
      </w:r>
      <w:r w:rsidRPr="002E6ECA">
        <w:rPr>
          <w:rFonts w:eastAsiaTheme="minorHAnsi"/>
          <w:sz w:val="28"/>
          <w:szCs w:val="28"/>
          <w:lang w:eastAsia="en-US"/>
        </w:rPr>
        <w:t>Е</w:t>
      </w:r>
      <w:r w:rsidRPr="002E6ECA">
        <w:rPr>
          <w:rFonts w:eastAsiaTheme="minorHAnsi"/>
          <w:sz w:val="28"/>
          <w:szCs w:val="28"/>
          <w:lang w:val="uk-UA" w:eastAsia="en-US"/>
        </w:rPr>
        <w:t xml:space="preserve">вро-Арктического региона (на материале международного научно-исследовательского проекта «Дети Арктики в интернет-сети: внедрение модели электронного здоровья школьников в Баренцевом регионе»). </w:t>
      </w:r>
      <w:r w:rsidRPr="002E6ECA">
        <w:rPr>
          <w:rFonts w:eastAsiaTheme="minorHAnsi"/>
          <w:i/>
          <w:sz w:val="28"/>
          <w:szCs w:val="28"/>
          <w:lang w:val="uk-UA" w:eastAsia="en-US"/>
        </w:rPr>
        <w:t>Интеграция образования</w:t>
      </w:r>
      <w:r w:rsidRPr="002E6ECA">
        <w:rPr>
          <w:rFonts w:eastAsiaTheme="minorHAnsi"/>
          <w:sz w:val="28"/>
          <w:szCs w:val="28"/>
          <w:lang w:val="uk-UA" w:eastAsia="en-US"/>
        </w:rPr>
        <w:t>. 2014. № 3 (76). С. 99-107. doi: 10.15507/inted.076.018.201403.099.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Рыжова В. С., Рыжова О. С. Психолого-педагогические условия подготовки кадров к работе с одаренными детьми. </w:t>
      </w:r>
      <w:hyperlink r:id="rId136" w:history="1">
        <w:r w:rsidRPr="002E6ECA">
          <w:rPr>
            <w:rFonts w:eastAsiaTheme="minorHAnsi"/>
            <w:i/>
            <w:sz w:val="28"/>
            <w:szCs w:val="28"/>
            <w:lang w:val="uk-UA" w:eastAsia="en-US"/>
          </w:rPr>
          <w:t>Всероссийская научно-практическая конференция с международным участием «Психолого-педагогическое сопровождение одаренного ребенка: проблемы, направления, подходы, условия»</w:t>
        </w:r>
      </w:hyperlink>
      <w:r w:rsidRPr="002E6ECA">
        <w:rPr>
          <w:rFonts w:eastAsiaTheme="minorHAnsi"/>
          <w:sz w:val="28"/>
          <w:szCs w:val="28"/>
          <w:lang w:val="uk-UA" w:eastAsia="en-US"/>
        </w:rPr>
        <w:t>. 2020. С. 254-260. doi:10.31483/r-75203.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Савінова К. Б. Медико-психологічні аспекти здоров'язберігаючих технологій у дітей молодшого шкільного віку: автореф. дис. ... канд. мед. наук : 14.01.10. Київ, 2019. -22 с. </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lang w:val="uk-UA" w:eastAsia="en-US"/>
        </w:rPr>
      </w:pPr>
      <w:r w:rsidRPr="002E6ECA">
        <w:rPr>
          <w:rFonts w:eastAsiaTheme="minorHAnsi"/>
          <w:sz w:val="28"/>
          <w:szCs w:val="28"/>
          <w:lang w:val="uk-UA" w:eastAsia="en-US"/>
        </w:rPr>
        <w:t xml:space="preserve">Саргош О. Д., Четверикова О. П., Катрушов А. В., </w:t>
      </w:r>
      <w:r w:rsidRPr="002E6ECA">
        <w:rPr>
          <w:rFonts w:eastAsiaTheme="minorHAnsi"/>
          <w:bCs/>
          <w:sz w:val="28"/>
          <w:szCs w:val="28"/>
          <w:lang w:val="uk-UA" w:eastAsia="en-US"/>
        </w:rPr>
        <w:t xml:space="preserve">Філатова В. Л. Аналіз стану здоров'я дітей шкільного віку в сучасних умовах. </w:t>
      </w:r>
      <w:r w:rsidRPr="002E6ECA">
        <w:rPr>
          <w:rFonts w:eastAsiaTheme="minorHAnsi"/>
          <w:bCs/>
          <w:i/>
          <w:sz w:val="28"/>
          <w:szCs w:val="28"/>
          <w:lang w:val="uk-UA" w:eastAsia="en-US"/>
        </w:rPr>
        <w:t>Медична наука в практику охорони здоров'я</w:t>
      </w:r>
      <w:r w:rsidRPr="002E6ECA">
        <w:rPr>
          <w:rFonts w:eastAsiaTheme="minorHAnsi"/>
          <w:bCs/>
          <w:sz w:val="28"/>
          <w:szCs w:val="28"/>
          <w:lang w:val="uk-UA" w:eastAsia="en-US"/>
        </w:rPr>
        <w:t xml:space="preserve"> : матеріали Всеукр. наук.-практ. конф. молодих учених, м. Полтава, 9 грудня 2016 р. Полтава, 2016. С. 53.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Саттаров А. Э. Индексы телосложения и физическое развитие подростков и юношей, проживающих в высокогорной сельской и городской местности. </w:t>
      </w:r>
      <w:r w:rsidRPr="002E6ECA">
        <w:rPr>
          <w:rFonts w:eastAsiaTheme="minorHAnsi"/>
          <w:i/>
          <w:sz w:val="28"/>
          <w:szCs w:val="28"/>
          <w:lang w:val="uk-UA" w:eastAsia="en-US"/>
        </w:rPr>
        <w:t>Современные проблемы науки и образования</w:t>
      </w:r>
      <w:r w:rsidRPr="002E6ECA">
        <w:rPr>
          <w:rFonts w:eastAsiaTheme="minorHAnsi"/>
          <w:sz w:val="28"/>
          <w:szCs w:val="28"/>
          <w:lang w:val="uk-UA" w:eastAsia="en-US"/>
        </w:rPr>
        <w:t>. 2015. № 6. С. 36-39.</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lang w:val="uk-UA" w:eastAsia="en-US"/>
        </w:rPr>
      </w:pPr>
      <w:r w:rsidRPr="002E6ECA">
        <w:rPr>
          <w:rFonts w:eastAsiaTheme="minorHAnsi"/>
          <w:bCs/>
          <w:sz w:val="28"/>
          <w:szCs w:val="28"/>
          <w:lang w:val="uk-UA" w:eastAsia="en-US"/>
        </w:rPr>
        <w:t>Свєтлова</w:t>
      </w:r>
      <w:r w:rsidRPr="002E6ECA">
        <w:rPr>
          <w:rFonts w:eastAsiaTheme="minorHAnsi"/>
          <w:sz w:val="28"/>
          <w:szCs w:val="28"/>
          <w:lang w:val="uk-UA"/>
        </w:rPr>
        <w:t> </w:t>
      </w:r>
      <w:r w:rsidRPr="002E6ECA">
        <w:rPr>
          <w:rFonts w:eastAsiaTheme="minorHAnsi"/>
          <w:bCs/>
          <w:sz w:val="28"/>
          <w:szCs w:val="28"/>
          <w:lang w:val="uk-UA" w:eastAsia="en-US"/>
        </w:rPr>
        <w:t xml:space="preserve">О. Д. Прогнозування динаміки патологічної ураженості дітей: перші результати. </w:t>
      </w:r>
      <w:r w:rsidRPr="002E6ECA">
        <w:rPr>
          <w:rFonts w:eastAsiaTheme="minorHAnsi"/>
          <w:bCs/>
          <w:i/>
          <w:sz w:val="28"/>
          <w:szCs w:val="28"/>
          <w:lang w:val="uk-UA" w:eastAsia="en-US"/>
        </w:rPr>
        <w:t>Environment &amp; Health</w:t>
      </w:r>
      <w:r w:rsidRPr="002E6ECA">
        <w:rPr>
          <w:rFonts w:eastAsiaTheme="minorHAnsi"/>
          <w:bCs/>
          <w:sz w:val="28"/>
          <w:szCs w:val="28"/>
          <w:lang w:val="uk-UA" w:eastAsia="en-US"/>
        </w:rPr>
        <w:t xml:space="preserve">. 2015. № 3. С. 61-63.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Сергета І. В., Тимощук О. В. Прогностична оцінка особливостей перебігу психофізіологічної і психічної адаптації учнів і студентів сучасних закладів освіти у контексті здійснення комплексної оцінки якості життя. </w:t>
      </w:r>
      <w:r w:rsidRPr="002E6ECA">
        <w:rPr>
          <w:rFonts w:eastAsiaTheme="minorHAnsi"/>
          <w:i/>
          <w:sz w:val="28"/>
          <w:szCs w:val="28"/>
          <w:lang w:val="uk-UA" w:eastAsia="en-US"/>
        </w:rPr>
        <w:t>Environment &amp; Health</w:t>
      </w:r>
      <w:r w:rsidRPr="002E6ECA">
        <w:rPr>
          <w:rFonts w:eastAsiaTheme="minorHAnsi"/>
          <w:sz w:val="28"/>
          <w:szCs w:val="28"/>
          <w:lang w:val="uk-UA" w:eastAsia="en-US"/>
        </w:rPr>
        <w:t>. 2019. № 4. С. 18-24. DOI: 10.32402/dovkil2019.04.018.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Сердюк А. М., Карташова С. С., Тимченко О. І. Інформаційно-статистична модель аналізу стану здоров'я населення. </w:t>
      </w:r>
      <w:r w:rsidRPr="002E6ECA">
        <w:rPr>
          <w:rFonts w:eastAsiaTheme="minorHAnsi"/>
          <w:i/>
          <w:sz w:val="28"/>
          <w:szCs w:val="28"/>
          <w:lang w:val="uk-UA" w:eastAsia="en-US"/>
        </w:rPr>
        <w:t>Environment &amp; Health</w:t>
      </w:r>
      <w:r w:rsidRPr="002E6ECA">
        <w:rPr>
          <w:rFonts w:eastAsiaTheme="minorHAnsi"/>
          <w:sz w:val="28"/>
          <w:szCs w:val="28"/>
          <w:lang w:val="uk-UA" w:eastAsia="en-US"/>
        </w:rPr>
        <w:t>. 2012. № 3. С 30-36.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Сетко Н. П., Лозинский А. С., Булычева Е. В. Особенности формирования адаптационных возможностей гимназистов-первоклассников. </w:t>
      </w:r>
      <w:r w:rsidRPr="002E6ECA">
        <w:rPr>
          <w:rFonts w:eastAsiaTheme="minorHAnsi"/>
          <w:i/>
          <w:sz w:val="28"/>
          <w:szCs w:val="28"/>
          <w:lang w:val="uk-UA" w:eastAsia="en-US"/>
        </w:rPr>
        <w:t>Гигиена и санитария</w:t>
      </w:r>
      <w:r w:rsidRPr="002E6ECA">
        <w:rPr>
          <w:rFonts w:eastAsiaTheme="minorHAnsi"/>
          <w:sz w:val="28"/>
          <w:szCs w:val="28"/>
          <w:lang w:val="uk-UA" w:eastAsia="en-US"/>
        </w:rPr>
        <w:t>. 2012. № 1/2012. С. 51-53.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Сидоренко Т. П., Бердник О. В. Ризик зниження рівня соматичного здоров'я здорових підлітків під впливом різних чинників. </w:t>
      </w:r>
      <w:r w:rsidRPr="002E6ECA">
        <w:rPr>
          <w:rFonts w:eastAsiaTheme="minorHAnsi"/>
          <w:i/>
          <w:sz w:val="28"/>
          <w:szCs w:val="28"/>
          <w:lang w:val="uk-UA" w:eastAsia="en-US"/>
        </w:rPr>
        <w:t>Environment &amp; Health</w:t>
      </w:r>
      <w:r w:rsidRPr="002E6ECA">
        <w:rPr>
          <w:rFonts w:eastAsiaTheme="minorHAnsi"/>
          <w:sz w:val="28"/>
          <w:szCs w:val="28"/>
          <w:lang w:val="uk-UA" w:eastAsia="en-US"/>
        </w:rPr>
        <w:t>. 2011. № 2. С. 71-74.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Сидорченко К. М. Стан здоров’я та шляхи його покращення у дітей шкільного віку у спеціальних медичних групах. </w:t>
      </w:r>
      <w:r w:rsidRPr="002E6ECA">
        <w:rPr>
          <w:rFonts w:eastAsiaTheme="minorHAnsi"/>
          <w:i/>
          <w:sz w:val="28"/>
          <w:szCs w:val="28"/>
          <w:lang w:val="uk-UA" w:eastAsia="en-US"/>
        </w:rPr>
        <w:t>Проблеми фізичного виховання і спорту</w:t>
      </w:r>
      <w:r w:rsidRPr="002E6ECA">
        <w:rPr>
          <w:rFonts w:eastAsiaTheme="minorHAnsi"/>
          <w:sz w:val="28"/>
          <w:szCs w:val="28"/>
          <w:lang w:val="uk-UA" w:eastAsia="en-US"/>
        </w:rPr>
        <w:t>. 2010. № 8. С. 80-82.</w:t>
      </w:r>
    </w:p>
    <w:p w:rsidR="00020FED" w:rsidRPr="002E6ECA" w:rsidRDefault="00020FED" w:rsidP="00020FED">
      <w:pPr>
        <w:numPr>
          <w:ilvl w:val="0"/>
          <w:numId w:val="72"/>
        </w:numPr>
        <w:spacing w:line="360" w:lineRule="auto"/>
        <w:ind w:left="0" w:firstLine="709"/>
        <w:contextualSpacing/>
        <w:jc w:val="both"/>
        <w:rPr>
          <w:rFonts w:eastAsia="TimesNewRomanPSMT"/>
          <w:sz w:val="28"/>
          <w:szCs w:val="28"/>
          <w:lang w:val="uk-UA" w:eastAsia="en-US"/>
        </w:rPr>
      </w:pPr>
      <w:r w:rsidRPr="002E6ECA">
        <w:rPr>
          <w:rFonts w:eastAsia="TimesNewRomanPSMT"/>
          <w:sz w:val="28"/>
          <w:szCs w:val="28"/>
          <w:lang w:val="uk-UA" w:eastAsia="en-US"/>
        </w:rPr>
        <w:t xml:space="preserve">Синоверська О. Б., Осадець Н. Б. </w:t>
      </w:r>
      <w:r w:rsidRPr="002E6ECA">
        <w:rPr>
          <w:rFonts w:eastAsia="TimesNewRomanPSMT"/>
          <w:bCs/>
          <w:sz w:val="28"/>
          <w:szCs w:val="28"/>
          <w:lang w:val="uk-UA" w:eastAsia="en-US"/>
        </w:rPr>
        <w:t xml:space="preserve">Шкільна дезадаптація у дітей: передумови розвитку, механізми виникнення та клінічні прояви. </w:t>
      </w:r>
      <w:r w:rsidRPr="002E6ECA">
        <w:rPr>
          <w:rFonts w:eastAsia="TimesNewRomanPSMT"/>
          <w:bCs/>
          <w:i/>
          <w:sz w:val="28"/>
          <w:szCs w:val="28"/>
          <w:lang w:val="uk-UA" w:eastAsia="en-US"/>
        </w:rPr>
        <w:t>Art of Medicine</w:t>
      </w:r>
      <w:r w:rsidRPr="002E6ECA">
        <w:rPr>
          <w:rFonts w:eastAsia="TimesNewRomanPSMT"/>
          <w:bCs/>
          <w:sz w:val="28"/>
          <w:szCs w:val="28"/>
          <w:lang w:val="uk-UA" w:eastAsia="en-US"/>
        </w:rPr>
        <w:t xml:space="preserve">. 2019. № 1 (9). С. 130-134. </w:t>
      </w:r>
      <w:r w:rsidRPr="002E6ECA">
        <w:rPr>
          <w:rFonts w:eastAsia="TimesNewRomanPSMT"/>
          <w:sz w:val="28"/>
          <w:szCs w:val="28"/>
          <w:lang w:val="uk-UA" w:eastAsia="en-US"/>
        </w:rPr>
        <w:t>DOI: 10.21802/artm.2019.1.9.130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Система активного формування здоров’я дітей і підлітків в умовах загальноосвітнього навчального закладу: метод. рек. Харків., 2002. 24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Скринінг-оцінка фізичного розвитку дітей 6-17 років за індексом Вервека. Інформаційний лист про нововведення в системі охорони здоров’я. 2012. № 55. 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Соколова</w:t>
      </w:r>
      <w:r w:rsidRPr="002E6ECA">
        <w:rPr>
          <w:rFonts w:eastAsiaTheme="minorHAnsi"/>
          <w:sz w:val="28"/>
          <w:szCs w:val="28"/>
          <w:lang w:val="uk-UA"/>
        </w:rPr>
        <w:t> </w:t>
      </w:r>
      <w:r w:rsidRPr="002E6ECA">
        <w:rPr>
          <w:rFonts w:eastAsiaTheme="minorHAnsi"/>
          <w:sz w:val="28"/>
          <w:szCs w:val="28"/>
          <w:lang w:val="uk-UA" w:eastAsia="en-US"/>
        </w:rPr>
        <w:t>И. М. Методы исследования адаптации студентов. Харьков, 2001. 276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Сонина О. Н. Адаптационный период первоклассников. </w:t>
      </w:r>
      <w:r w:rsidRPr="002E6ECA">
        <w:rPr>
          <w:rFonts w:eastAsiaTheme="minorHAnsi"/>
          <w:i/>
          <w:sz w:val="28"/>
          <w:szCs w:val="28"/>
          <w:lang w:val="uk-UA" w:eastAsia="en-US"/>
        </w:rPr>
        <w:t>Вестник науки и образования</w:t>
      </w:r>
      <w:r w:rsidRPr="002E6ECA">
        <w:rPr>
          <w:rFonts w:eastAsiaTheme="minorHAnsi"/>
          <w:sz w:val="28"/>
          <w:szCs w:val="28"/>
          <w:lang w:val="uk-UA" w:eastAsia="en-US"/>
        </w:rPr>
        <w:t>. 2018. № 2 (38). Т. 2. С. 73-75.</w:t>
      </w:r>
    </w:p>
    <w:p w:rsidR="00020FED" w:rsidRPr="002E6ECA" w:rsidRDefault="00020FED" w:rsidP="00020FED">
      <w:pPr>
        <w:pStyle w:val="a3"/>
        <w:numPr>
          <w:ilvl w:val="0"/>
          <w:numId w:val="72"/>
        </w:numPr>
        <w:spacing w:line="360" w:lineRule="auto"/>
        <w:ind w:left="0" w:firstLine="709"/>
        <w:jc w:val="both"/>
        <w:rPr>
          <w:rStyle w:val="a8"/>
          <w:spacing w:val="-2"/>
          <w:sz w:val="28"/>
          <w:szCs w:val="28"/>
        </w:rPr>
      </w:pPr>
      <w:r w:rsidRPr="002E6ECA">
        <w:rPr>
          <w:spacing w:val="-2"/>
          <w:sz w:val="28"/>
          <w:szCs w:val="28"/>
          <w:lang w:val="uk-UA"/>
        </w:rPr>
        <w:t xml:space="preserve">Сотнікова-Мелешкіна Ж. В. </w:t>
      </w:r>
      <w:r w:rsidRPr="002E6ECA">
        <w:rPr>
          <w:spacing w:val="-2"/>
          <w:sz w:val="28"/>
          <w:szCs w:val="28"/>
        </w:rPr>
        <w:t xml:space="preserve">Актуальні питання медичного супроводу інноваційних науково-педагогічних проєктів. </w:t>
      </w:r>
      <w:r w:rsidRPr="002E6ECA">
        <w:rPr>
          <w:i/>
          <w:spacing w:val="-2"/>
          <w:sz w:val="28"/>
          <w:szCs w:val="28"/>
          <w:lang w:eastAsia="uk-UA"/>
        </w:rPr>
        <w:t>Український журнал медицини, біології та спорту</w:t>
      </w:r>
      <w:r w:rsidRPr="002E6ECA">
        <w:rPr>
          <w:spacing w:val="-2"/>
          <w:sz w:val="28"/>
          <w:szCs w:val="28"/>
          <w:lang w:eastAsia="uk-UA"/>
        </w:rPr>
        <w:t xml:space="preserve">. </w:t>
      </w:r>
      <w:r w:rsidRPr="002E6ECA">
        <w:rPr>
          <w:rStyle w:val="HTML1"/>
          <w:spacing w:val="-2"/>
          <w:sz w:val="28"/>
          <w:szCs w:val="28"/>
        </w:rPr>
        <w:t>2020. № 5</w:t>
      </w:r>
      <w:r w:rsidRPr="002E6ECA">
        <w:rPr>
          <w:rStyle w:val="HTML1"/>
          <w:spacing w:val="-2"/>
          <w:sz w:val="28"/>
          <w:szCs w:val="28"/>
          <w:lang w:val="uk-UA"/>
        </w:rPr>
        <w:t xml:space="preserve"> </w:t>
      </w:r>
      <w:r w:rsidRPr="002E6ECA">
        <w:rPr>
          <w:rStyle w:val="HTML1"/>
          <w:spacing w:val="-2"/>
          <w:sz w:val="28"/>
          <w:szCs w:val="28"/>
        </w:rPr>
        <w:t xml:space="preserve">(6). С. 51-58. </w:t>
      </w:r>
      <w:r w:rsidRPr="002E6ECA">
        <w:rPr>
          <w:spacing w:val="-2"/>
          <w:sz w:val="28"/>
          <w:szCs w:val="28"/>
        </w:rPr>
        <w:t>https://jmbs.com.ua/archive/5/6/51. https://doi.org/10.26693/jmbs05.06.051.</w:t>
      </w:r>
    </w:p>
    <w:p w:rsidR="00020FED" w:rsidRPr="002E6ECA" w:rsidRDefault="00020FED" w:rsidP="00020FED">
      <w:pPr>
        <w:pStyle w:val="a3"/>
        <w:numPr>
          <w:ilvl w:val="0"/>
          <w:numId w:val="72"/>
        </w:numPr>
        <w:spacing w:line="360" w:lineRule="auto"/>
        <w:ind w:left="0" w:firstLine="709"/>
        <w:jc w:val="both"/>
        <w:rPr>
          <w:spacing w:val="-4"/>
          <w:sz w:val="28"/>
          <w:szCs w:val="28"/>
        </w:rPr>
      </w:pPr>
      <w:r w:rsidRPr="002E6ECA">
        <w:rPr>
          <w:spacing w:val="-4"/>
          <w:sz w:val="28"/>
          <w:szCs w:val="28"/>
          <w:lang w:val="uk-UA"/>
        </w:rPr>
        <w:t xml:space="preserve">Сотнікова-Мелешкіна Ж. В. </w:t>
      </w:r>
      <w:r w:rsidRPr="002E6ECA">
        <w:rPr>
          <w:spacing w:val="-4"/>
          <w:sz w:val="28"/>
          <w:szCs w:val="28"/>
          <w:shd w:val="clear" w:color="auto" w:fill="FFFFFF"/>
        </w:rPr>
        <w:t xml:space="preserve">Експрес-оцінка фізичного розвитку дітей шкільного віку за допомогою індексу маси тіла. </w:t>
      </w:r>
      <w:r w:rsidRPr="002E6ECA">
        <w:rPr>
          <w:i/>
          <w:spacing w:val="-4"/>
          <w:sz w:val="28"/>
          <w:szCs w:val="28"/>
        </w:rPr>
        <w:t>Український журнал дитячої ендокринології</w:t>
      </w:r>
      <w:r w:rsidRPr="002E6ECA">
        <w:rPr>
          <w:spacing w:val="-4"/>
          <w:sz w:val="28"/>
          <w:szCs w:val="28"/>
        </w:rPr>
        <w:t xml:space="preserve">. № 4. С. 31-36. DOI: https://doi.org/10.30978/UJPE2020-4-31. </w:t>
      </w:r>
    </w:p>
    <w:p w:rsidR="00020FED" w:rsidRPr="002E6ECA" w:rsidRDefault="00020FED" w:rsidP="00020FED">
      <w:pPr>
        <w:pStyle w:val="a3"/>
        <w:numPr>
          <w:ilvl w:val="0"/>
          <w:numId w:val="72"/>
        </w:numPr>
        <w:spacing w:line="360" w:lineRule="auto"/>
        <w:ind w:left="0" w:firstLine="709"/>
        <w:jc w:val="both"/>
        <w:rPr>
          <w:bCs/>
          <w:sz w:val="28"/>
          <w:szCs w:val="28"/>
        </w:rPr>
      </w:pPr>
      <w:r w:rsidRPr="002E6ECA">
        <w:rPr>
          <w:sz w:val="28"/>
          <w:szCs w:val="28"/>
          <w:lang w:val="uk-UA"/>
        </w:rPr>
        <w:t xml:space="preserve">Сотнікова-Мелешкіна Ж. В. </w:t>
      </w:r>
      <w:r w:rsidRPr="002E6ECA">
        <w:rPr>
          <w:bCs/>
          <w:sz w:val="28"/>
          <w:szCs w:val="28"/>
        </w:rPr>
        <w:t xml:space="preserve">Порівняльна характеристика впливу чинників ризику на суб’єктивну оцінку здоров’я школярів. </w:t>
      </w:r>
      <w:r w:rsidRPr="002E6ECA">
        <w:rPr>
          <w:bCs/>
          <w:i/>
          <w:iCs/>
          <w:sz w:val="28"/>
          <w:szCs w:val="28"/>
        </w:rPr>
        <w:t>Міжнародний медичний журнал</w:t>
      </w:r>
      <w:r w:rsidRPr="002E6ECA">
        <w:rPr>
          <w:bCs/>
          <w:iCs/>
          <w:sz w:val="28"/>
          <w:szCs w:val="28"/>
        </w:rPr>
        <w:t xml:space="preserve">. </w:t>
      </w:r>
      <w:r w:rsidRPr="002E6ECA">
        <w:rPr>
          <w:bCs/>
          <w:sz w:val="28"/>
          <w:szCs w:val="28"/>
        </w:rPr>
        <w:t>2020</w:t>
      </w:r>
      <w:r w:rsidRPr="002E6ECA">
        <w:rPr>
          <w:bCs/>
          <w:iCs/>
          <w:sz w:val="28"/>
          <w:szCs w:val="28"/>
        </w:rPr>
        <w:t>. № 4</w:t>
      </w:r>
      <w:r w:rsidRPr="002E6ECA">
        <w:rPr>
          <w:bCs/>
          <w:iCs/>
          <w:sz w:val="28"/>
          <w:szCs w:val="28"/>
          <w:lang w:val="uk-UA"/>
        </w:rPr>
        <w:t xml:space="preserve"> </w:t>
      </w:r>
      <w:r w:rsidRPr="002E6ECA">
        <w:rPr>
          <w:bCs/>
          <w:iCs/>
          <w:sz w:val="28"/>
          <w:szCs w:val="28"/>
        </w:rPr>
        <w:t xml:space="preserve">(104). С. 89-93. </w:t>
      </w:r>
      <w:r w:rsidRPr="002E6ECA">
        <w:rPr>
          <w:sz w:val="28"/>
          <w:szCs w:val="28"/>
        </w:rPr>
        <w:t xml:space="preserve">DOI: </w:t>
      </w:r>
      <w:r w:rsidRPr="002E6ECA">
        <w:rPr>
          <w:bCs/>
          <w:iCs/>
          <w:sz w:val="28"/>
          <w:szCs w:val="28"/>
        </w:rPr>
        <w:t>https://doi.org/10.37436/2308-5274-2020-4-16.</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w:t>
      </w:r>
      <w:r w:rsidRPr="002E6ECA">
        <w:rPr>
          <w:sz w:val="28"/>
          <w:szCs w:val="28"/>
        </w:rPr>
        <w:t xml:space="preserve">Скринінг-діагностика школярів як інструмент для визначення ризику виникнення неінфекційних захворювань у навчальному колективі. </w:t>
      </w:r>
      <w:r w:rsidRPr="002E6ECA">
        <w:rPr>
          <w:i/>
          <w:sz w:val="28"/>
          <w:szCs w:val="28"/>
        </w:rPr>
        <w:t>Проблеми безперервної медичної освіти та науки</w:t>
      </w:r>
      <w:r w:rsidRPr="002E6ECA">
        <w:rPr>
          <w:sz w:val="28"/>
          <w:szCs w:val="28"/>
        </w:rPr>
        <w:t>.</w:t>
      </w:r>
      <w:r w:rsidRPr="002E6ECA">
        <w:rPr>
          <w:rStyle w:val="aa"/>
          <w:sz w:val="28"/>
          <w:szCs w:val="28"/>
          <w:shd w:val="clear" w:color="auto" w:fill="FFFFFF"/>
        </w:rPr>
        <w:t xml:space="preserve"> </w:t>
      </w:r>
      <w:r w:rsidRPr="002E6ECA">
        <w:rPr>
          <w:sz w:val="28"/>
          <w:szCs w:val="28"/>
        </w:rPr>
        <w:t xml:space="preserve">2020. № 4. С. 55-60. https://doi.org/10.31071/promedosvity2020.04.055. </w:t>
      </w:r>
    </w:p>
    <w:p w:rsidR="00020FED" w:rsidRPr="002E6ECA" w:rsidRDefault="00020FED" w:rsidP="00020FED">
      <w:pPr>
        <w:pStyle w:val="a3"/>
        <w:numPr>
          <w:ilvl w:val="0"/>
          <w:numId w:val="72"/>
        </w:numPr>
        <w:spacing w:line="360" w:lineRule="auto"/>
        <w:ind w:left="0" w:firstLine="709"/>
        <w:jc w:val="both"/>
        <w:rPr>
          <w:rStyle w:val="aa"/>
          <w:i w:val="0"/>
          <w:iCs w:val="0"/>
          <w:sz w:val="28"/>
          <w:szCs w:val="28"/>
        </w:rPr>
      </w:pPr>
      <w:r w:rsidRPr="002E6ECA">
        <w:rPr>
          <w:sz w:val="28"/>
          <w:szCs w:val="28"/>
          <w:lang w:val="uk-UA"/>
        </w:rPr>
        <w:t xml:space="preserve">Сотнікова-Мелешкіна Ж. В., Авдієвська О. Г., Ісаєва Я. А. </w:t>
      </w:r>
      <w:r w:rsidRPr="002E6ECA">
        <w:rPr>
          <w:sz w:val="28"/>
          <w:szCs w:val="28"/>
        </w:rPr>
        <w:t xml:space="preserve">Характеристика харчового статусу учнівської молоді в системі профілактики неінфекційних захворювань. </w:t>
      </w:r>
      <w:r w:rsidRPr="002E6ECA">
        <w:rPr>
          <w:i/>
          <w:sz w:val="28"/>
          <w:szCs w:val="28"/>
        </w:rPr>
        <w:t>Проблеми безперервної медичної освіти та науки</w:t>
      </w:r>
      <w:r w:rsidRPr="002E6ECA">
        <w:rPr>
          <w:sz w:val="28"/>
          <w:szCs w:val="28"/>
        </w:rPr>
        <w:t>. 2018. № 4 (32). С. 27-31.</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eastAsia="uk-UA"/>
        </w:rPr>
        <w:t>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В., Даниленко</w:t>
      </w:r>
      <w:r w:rsidRPr="002E6ECA">
        <w:rPr>
          <w:sz w:val="28"/>
          <w:szCs w:val="28"/>
          <w:lang w:val="uk-UA"/>
        </w:rPr>
        <w:t> </w:t>
      </w:r>
      <w:r w:rsidRPr="002E6ECA">
        <w:rPr>
          <w:sz w:val="28"/>
          <w:szCs w:val="28"/>
          <w:lang w:val="uk-UA" w:eastAsia="uk-UA"/>
        </w:rPr>
        <w:t>Г.</w:t>
      </w:r>
      <w:r w:rsidRPr="002E6ECA">
        <w:rPr>
          <w:sz w:val="28"/>
          <w:szCs w:val="28"/>
          <w:lang w:val="uk-UA"/>
        </w:rPr>
        <w:t> </w:t>
      </w:r>
      <w:r w:rsidRPr="002E6ECA">
        <w:rPr>
          <w:sz w:val="28"/>
          <w:szCs w:val="28"/>
          <w:lang w:val="uk-UA" w:eastAsia="uk-UA"/>
        </w:rPr>
        <w:t>М.,</w:t>
      </w:r>
      <w:r w:rsidRPr="002E6ECA">
        <w:rPr>
          <w:sz w:val="28"/>
          <w:szCs w:val="28"/>
          <w:vertAlign w:val="superscript"/>
          <w:lang w:val="uk-UA" w:eastAsia="uk-UA"/>
        </w:rPr>
        <w:t xml:space="preserve"> </w:t>
      </w:r>
      <w:r w:rsidRPr="002E6ECA">
        <w:rPr>
          <w:sz w:val="28"/>
          <w:szCs w:val="28"/>
          <w:lang w:val="uk-UA" w:eastAsia="uk-UA"/>
        </w:rPr>
        <w:t>Авдієвська</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 xml:space="preserve">Г. </w:t>
      </w:r>
      <w:r w:rsidRPr="002E6ECA">
        <w:rPr>
          <w:sz w:val="28"/>
          <w:szCs w:val="28"/>
          <w:lang w:eastAsia="uk-UA"/>
        </w:rPr>
        <w:t xml:space="preserve">Вплив освітнього середовища на вибір групи харчових продуктів. </w:t>
      </w:r>
      <w:r w:rsidRPr="002E6ECA">
        <w:rPr>
          <w:i/>
          <w:spacing w:val="-4"/>
          <w:sz w:val="28"/>
          <w:szCs w:val="28"/>
          <w:lang w:val="uk-UA"/>
        </w:rPr>
        <w:t xml:space="preserve">Харчові добавки. Харчування здорової та хворої людини : </w:t>
      </w:r>
      <w:r w:rsidRPr="002E6ECA">
        <w:rPr>
          <w:spacing w:val="-4"/>
          <w:sz w:val="28"/>
          <w:szCs w:val="28"/>
          <w:lang w:val="uk-UA"/>
        </w:rPr>
        <w:t>ІХ Міжнародна науково-практична конференція, м. Кривий Ріг, 23 листопада 2020 р. Кривий Ріг, 2020. С. 152-153.</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Зінчук О. Г. </w:t>
      </w:r>
      <w:r w:rsidRPr="002E6ECA">
        <w:rPr>
          <w:sz w:val="28"/>
          <w:szCs w:val="28"/>
        </w:rPr>
        <w:t xml:space="preserve">Характеристика фізичного розвитку за даними біоімпедансометрії. </w:t>
      </w:r>
      <w:r w:rsidRPr="002E6ECA">
        <w:rPr>
          <w:i/>
          <w:sz w:val="28"/>
          <w:szCs w:val="28"/>
          <w:lang w:val="uk-UA"/>
        </w:rPr>
        <w:t xml:space="preserve">Сучасні тенденції у медичних та </w:t>
      </w:r>
      <w:r w:rsidRPr="002E6ECA">
        <w:rPr>
          <w:i/>
          <w:sz w:val="28"/>
          <w:szCs w:val="28"/>
          <w:lang w:val="uk-UA"/>
        </w:rPr>
        <w:lastRenderedPageBreak/>
        <w:t>фармацевтичних науках :</w:t>
      </w:r>
      <w:r w:rsidRPr="002E6ECA">
        <w:rPr>
          <w:sz w:val="28"/>
          <w:szCs w:val="28"/>
          <w:lang w:val="uk-UA"/>
        </w:rPr>
        <w:t xml:space="preserve"> міжнародна науково-практична конференція, м. Київ, 4-5 грудня 2020 р. Київ, 2020. С. 90-92.</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Кривонос К. А. </w:t>
      </w:r>
      <w:r w:rsidRPr="002E6ECA">
        <w:rPr>
          <w:sz w:val="28"/>
          <w:szCs w:val="28"/>
        </w:rPr>
        <w:t xml:space="preserve">Гігієнічний моніторинг атмосферного повітря як фактор забезпечення санітарно-епідемічного благополуччя та техногенно-екологічної безпеки дитячого населення мегаполісу. </w:t>
      </w:r>
      <w:r w:rsidRPr="002E6ECA">
        <w:rPr>
          <w:i/>
          <w:spacing w:val="-2"/>
          <w:sz w:val="28"/>
          <w:szCs w:val="28"/>
          <w:lang w:val="uk-UA"/>
        </w:rPr>
        <w:t>Проблеми техногенно-екологічної безпеки: освіта, наука, практика:</w:t>
      </w:r>
      <w:r w:rsidRPr="002E6ECA">
        <w:rPr>
          <w:spacing w:val="-2"/>
          <w:sz w:val="28"/>
          <w:szCs w:val="28"/>
          <w:lang w:val="uk-UA"/>
        </w:rPr>
        <w:t xml:space="preserve"> міжнародна науково-практична конференція</w:t>
      </w:r>
      <w:r w:rsidRPr="002E6ECA">
        <w:rPr>
          <w:sz w:val="28"/>
          <w:szCs w:val="28"/>
          <w:lang w:val="uk-UA"/>
        </w:rPr>
        <w:t>, м. Харків: НУЦЗУ, 21-22 листопада 2019 р. Харків, 2019. С. 254-255.</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Кривонос К. А., Деліч О. Б., Харченко Л. В., Калініна Н. В. </w:t>
      </w:r>
      <w:r w:rsidRPr="002E6ECA">
        <w:rPr>
          <w:sz w:val="28"/>
          <w:szCs w:val="28"/>
        </w:rPr>
        <w:t xml:space="preserve">Сучасні аспекти організації гігієнічного моніторингу атмосферного повітря як фактор забезпечення санітарно-епідемічного благополуччя дитячого населення мегаполісу. </w:t>
      </w:r>
      <w:r w:rsidRPr="002E6ECA">
        <w:rPr>
          <w:i/>
          <w:sz w:val="28"/>
          <w:szCs w:val="28"/>
        </w:rPr>
        <w:t>Actual problems of modern</w:t>
      </w:r>
      <w:r w:rsidRPr="002E6ECA">
        <w:rPr>
          <w:i/>
          <w:sz w:val="28"/>
          <w:szCs w:val="28"/>
          <w:lang w:eastAsia="uk-UA"/>
        </w:rPr>
        <w:t xml:space="preserve"> </w:t>
      </w:r>
      <w:r w:rsidRPr="002E6ECA">
        <w:rPr>
          <w:i/>
          <w:sz w:val="28"/>
          <w:szCs w:val="28"/>
        </w:rPr>
        <w:t>medicine</w:t>
      </w:r>
      <w:r w:rsidRPr="002E6ECA">
        <w:rPr>
          <w:sz w:val="28"/>
          <w:szCs w:val="28"/>
        </w:rPr>
        <w:t>. 2019. № 4. С. 64-72. DOI: 10.26565/2617-409X-2019-4-08.</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Лантух І. В. </w:t>
      </w:r>
      <w:r w:rsidRPr="002E6ECA">
        <w:rPr>
          <w:sz w:val="28"/>
          <w:szCs w:val="28"/>
        </w:rPr>
        <w:t xml:space="preserve">Медико-психологічні аспекти навчання академічно здібних та обдарованих дітей. </w:t>
      </w:r>
      <w:r w:rsidRPr="002E6ECA">
        <w:rPr>
          <w:i/>
          <w:sz w:val="28"/>
          <w:szCs w:val="28"/>
        </w:rPr>
        <w:t>Психіатрія, неврологія та медична психологія</w:t>
      </w:r>
      <w:r w:rsidRPr="002E6ECA">
        <w:rPr>
          <w:sz w:val="28"/>
          <w:szCs w:val="28"/>
        </w:rPr>
        <w:t xml:space="preserve">. 2020. Вип. 15. С. 95-101. DOI: 10.26565/2312-5675-2020-15-11. </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Мартиненко О. В. </w:t>
      </w:r>
      <w:r w:rsidRPr="002E6ECA">
        <w:rPr>
          <w:sz w:val="28"/>
          <w:szCs w:val="28"/>
        </w:rPr>
        <w:t xml:space="preserve">Мультиваріативний метод оцінки ефективності оптимізації режиму дня школярів. </w:t>
      </w:r>
      <w:r w:rsidRPr="002E6ECA">
        <w:rPr>
          <w:bCs/>
          <w:i/>
          <w:sz w:val="28"/>
          <w:szCs w:val="28"/>
          <w:shd w:val="clear" w:color="auto" w:fill="FFFFFF"/>
        </w:rPr>
        <w:t xml:space="preserve">Вісник Вінницького національного медичного університету. </w:t>
      </w:r>
      <w:r w:rsidRPr="002E6ECA">
        <w:rPr>
          <w:bCs/>
          <w:sz w:val="28"/>
          <w:szCs w:val="28"/>
          <w:shd w:val="clear" w:color="auto" w:fill="FFFFFF"/>
        </w:rPr>
        <w:t xml:space="preserve">2020. № </w:t>
      </w:r>
      <w:r w:rsidRPr="002E6ECA">
        <w:rPr>
          <w:sz w:val="28"/>
          <w:szCs w:val="28"/>
        </w:rPr>
        <w:t xml:space="preserve">4. С. </w:t>
      </w:r>
      <w:r w:rsidRPr="002E6ECA">
        <w:rPr>
          <w:sz w:val="28"/>
          <w:szCs w:val="28"/>
          <w:lang w:val="uk-UA"/>
        </w:rPr>
        <w:t>659-664</w:t>
      </w:r>
      <w:r w:rsidRPr="002E6ECA">
        <w:rPr>
          <w:sz w:val="28"/>
          <w:szCs w:val="28"/>
        </w:rPr>
        <w:t>. DOI: 10.31393/reports-vnmedical-2020-24(4)-11.</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eastAsia="uk-UA"/>
        </w:rPr>
        <w:t>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В., Мартиненко</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 xml:space="preserve">В. </w:t>
      </w:r>
      <w:r w:rsidRPr="002E6ECA">
        <w:rPr>
          <w:sz w:val="28"/>
          <w:szCs w:val="28"/>
          <w:lang w:eastAsia="uk-UA"/>
        </w:rPr>
        <w:t>Спосіб валідизації методики оцінки якості життя, що пов’язана зі здоров’ям школярів.</w:t>
      </w:r>
      <w:r w:rsidRPr="002E6ECA">
        <w:rPr>
          <w:sz w:val="28"/>
          <w:szCs w:val="28"/>
        </w:rPr>
        <w:t xml:space="preserve"> </w:t>
      </w:r>
      <w:r w:rsidRPr="002E6ECA">
        <w:rPr>
          <w:bCs/>
          <w:i/>
          <w:sz w:val="28"/>
          <w:szCs w:val="28"/>
        </w:rPr>
        <w:t>Клін. інформат. і Телемед</w:t>
      </w:r>
      <w:r w:rsidRPr="002E6ECA">
        <w:rPr>
          <w:bCs/>
          <w:sz w:val="28"/>
          <w:szCs w:val="28"/>
        </w:rPr>
        <w:t>. 2020. Т. 15. Вип. 16. С. 57-61. https://doi.org/10.31071/kit2020.16.16.</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Міхановська Н. Г., Островська Г. Є. </w:t>
      </w:r>
      <w:r w:rsidRPr="002E6ECA">
        <w:rPr>
          <w:sz w:val="28"/>
          <w:szCs w:val="28"/>
        </w:rPr>
        <w:t xml:space="preserve">Лонгітюдне дослідження якості життя, що пов’язана зі здоров’ям дітей молодшого шкільного віку. </w:t>
      </w:r>
      <w:r w:rsidRPr="002E6ECA">
        <w:rPr>
          <w:i/>
          <w:iCs/>
          <w:sz w:val="28"/>
          <w:szCs w:val="28"/>
        </w:rPr>
        <w:t>Клінічна та профілактична медицина</w:t>
      </w:r>
      <w:r w:rsidRPr="002E6ECA">
        <w:rPr>
          <w:sz w:val="28"/>
          <w:szCs w:val="28"/>
        </w:rPr>
        <w:t>. 2020. №</w:t>
      </w:r>
      <w:r w:rsidRPr="002E6ECA">
        <w:rPr>
          <w:sz w:val="28"/>
          <w:szCs w:val="28"/>
          <w:lang w:val="uk-UA"/>
        </w:rPr>
        <w:t> </w:t>
      </w:r>
      <w:r w:rsidRPr="002E6ECA">
        <w:rPr>
          <w:iCs/>
          <w:sz w:val="28"/>
          <w:szCs w:val="28"/>
        </w:rPr>
        <w:t>4</w:t>
      </w:r>
      <w:r w:rsidRPr="002E6ECA">
        <w:rPr>
          <w:iCs/>
          <w:sz w:val="28"/>
          <w:szCs w:val="28"/>
          <w:lang w:val="uk-UA"/>
        </w:rPr>
        <w:t> </w:t>
      </w:r>
      <w:r w:rsidRPr="002E6ECA">
        <w:rPr>
          <w:sz w:val="28"/>
          <w:szCs w:val="28"/>
        </w:rPr>
        <w:t xml:space="preserve">(14). С. 62-69. https://doi.org/10.31612/2616-4868.4(14).2020.05. </w:t>
      </w:r>
    </w:p>
    <w:p w:rsidR="00020FED" w:rsidRPr="002E6ECA" w:rsidRDefault="00020FED" w:rsidP="00020FED">
      <w:pPr>
        <w:pStyle w:val="a3"/>
        <w:numPr>
          <w:ilvl w:val="0"/>
          <w:numId w:val="72"/>
        </w:numPr>
        <w:spacing w:line="360" w:lineRule="auto"/>
        <w:ind w:left="0" w:firstLine="709"/>
        <w:jc w:val="both"/>
        <w:rPr>
          <w:bCs/>
          <w:spacing w:val="-4"/>
          <w:sz w:val="28"/>
          <w:szCs w:val="28"/>
        </w:rPr>
      </w:pPr>
      <w:r w:rsidRPr="002E6ECA">
        <w:rPr>
          <w:spacing w:val="-4"/>
          <w:sz w:val="28"/>
          <w:szCs w:val="28"/>
          <w:lang w:val="uk-UA"/>
        </w:rPr>
        <w:lastRenderedPageBreak/>
        <w:t xml:space="preserve">Сотнікова-Мелешкіна Ж. В., Міхановська Н. Г., Островська Г. Є., Романова Н. Г. </w:t>
      </w:r>
      <w:r w:rsidRPr="002E6ECA">
        <w:rPr>
          <w:spacing w:val="-4"/>
          <w:sz w:val="28"/>
          <w:szCs w:val="28"/>
        </w:rPr>
        <w:t xml:space="preserve">Якість життя, що пов’язана зі здоров’ям та психосоціальне функціонування школярів: скринінгові методи оцінки. </w:t>
      </w:r>
      <w:r w:rsidRPr="002E6ECA">
        <w:rPr>
          <w:i/>
          <w:spacing w:val="-4"/>
          <w:sz w:val="28"/>
          <w:szCs w:val="28"/>
        </w:rPr>
        <w:t>Вісник проблем біології і медицини</w:t>
      </w:r>
      <w:r w:rsidRPr="002E6ECA">
        <w:rPr>
          <w:spacing w:val="-4"/>
          <w:sz w:val="28"/>
          <w:szCs w:val="28"/>
        </w:rPr>
        <w:t xml:space="preserve">. 2020. Вип. 4 (158). С. 88-92. </w:t>
      </w:r>
      <w:r w:rsidRPr="002E6ECA">
        <w:rPr>
          <w:bCs/>
          <w:spacing w:val="-4"/>
          <w:sz w:val="28"/>
          <w:szCs w:val="28"/>
        </w:rPr>
        <w:t xml:space="preserve">DOI: </w:t>
      </w:r>
      <w:r w:rsidRPr="002E6ECA">
        <w:rPr>
          <w:spacing w:val="-4"/>
          <w:sz w:val="28"/>
          <w:szCs w:val="28"/>
        </w:rPr>
        <w:t xml:space="preserve">10.29254/2077-4214-2020-4-158-88-92. </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Сотнікова-Мелешкіна Ж. В., Островська Г. Є. </w:t>
      </w:r>
      <w:r w:rsidRPr="002E6ECA">
        <w:rPr>
          <w:sz w:val="28"/>
          <w:szCs w:val="28"/>
        </w:rPr>
        <w:t xml:space="preserve">Порівняльна характеристика показників якості життя учнів початкової школи за різних систем навчання. </w:t>
      </w:r>
      <w:r w:rsidRPr="002E6ECA">
        <w:rPr>
          <w:i/>
          <w:sz w:val="28"/>
          <w:szCs w:val="28"/>
          <w:lang w:val="uk-UA"/>
        </w:rPr>
        <w:t xml:space="preserve">Актуальні проблеми громадського здоров’я : </w:t>
      </w:r>
      <w:r w:rsidRPr="002E6ECA">
        <w:rPr>
          <w:sz w:val="28"/>
          <w:szCs w:val="28"/>
          <w:lang w:val="uk-UA"/>
        </w:rPr>
        <w:t>Х Всеукраїнська конференція з міжнародною участю «Освіта і здоров’я</w:t>
      </w:r>
      <w:r w:rsidRPr="002E6ECA">
        <w:rPr>
          <w:spacing w:val="-2"/>
          <w:sz w:val="28"/>
          <w:szCs w:val="28"/>
          <w:lang w:val="uk-UA"/>
        </w:rPr>
        <w:t>», м. Суми</w:t>
      </w:r>
      <w:r w:rsidRPr="002E6ECA">
        <w:rPr>
          <w:sz w:val="28"/>
          <w:szCs w:val="28"/>
          <w:lang w:val="uk-UA"/>
        </w:rPr>
        <w:t>, 7-8 квітня 2020 р. Суми, 2020. С. 149-151.</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rPr>
        <w:t>Спосіб автоматизованої оцінки фізичного розвитку дітей (комп’ютерна програма): А.</w:t>
      </w:r>
      <w:r w:rsidRPr="002E6ECA">
        <w:rPr>
          <w:sz w:val="28"/>
          <w:szCs w:val="28"/>
          <w:lang w:val="uk-UA"/>
        </w:rPr>
        <w:t> </w:t>
      </w:r>
      <w:r w:rsidRPr="002E6ECA">
        <w:rPr>
          <w:sz w:val="28"/>
          <w:szCs w:val="28"/>
        </w:rPr>
        <w:t>с. 101491 Україна; ріш. про реєстр. № 103210; заявл. 14.12.20; зареєстр. 28.12.20, Бюл. № 61.</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rPr>
        <w:t>Спосіб визначення індексу коморбідності навчального процесу. А.</w:t>
      </w:r>
      <w:r w:rsidRPr="002E6ECA">
        <w:rPr>
          <w:sz w:val="28"/>
          <w:szCs w:val="28"/>
          <w:lang w:val="uk-UA"/>
        </w:rPr>
        <w:t> </w:t>
      </w:r>
      <w:r w:rsidRPr="002E6ECA">
        <w:rPr>
          <w:sz w:val="28"/>
          <w:szCs w:val="28"/>
        </w:rPr>
        <w:t>с. 81235 Україна; ріш. про реєстр. № 82086; заявл. 18.07.18; зареєстр.</w:t>
      </w:r>
      <w:r w:rsidRPr="002E6ECA">
        <w:rPr>
          <w:sz w:val="28"/>
          <w:szCs w:val="28"/>
          <w:lang w:val="uk-UA"/>
        </w:rPr>
        <w:t> </w:t>
      </w:r>
      <w:r w:rsidRPr="002E6ECA">
        <w:rPr>
          <w:sz w:val="28"/>
          <w:szCs w:val="28"/>
        </w:rPr>
        <w:t>05.09.18, Бюл. № 51.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Спосіб комплексної гігієнічної оцінки формування та стану адаптації школярів: пат. 79614 Україна: № u201212872; заявл. 12.11.2012; опубл. 25.04.2013, бюл. № 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Спосіб оцінки рівня шкільної адаптації дітей: пат. 39018 Україна: № u200805774; заявл 05.05.2008; опубл 26.01.2009, бюл. № 2/2009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Спосіб оцінки стану здоров'я дітей шкільного віку за скринінг-тестами. пат. UA 35451 Україна: МПК (2006) А61В 5/00. № u200802011; заявл. 18.02.2008; опубл. 25.09.2008, Бюл. № 18. 6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Спосіб оцінки якості життя, зв`язаної зі здоров`ям молодших школярів. пат. 28576 Україна: МПК (2006) A61B 1/00 A61B 5/00. № u200709955; опубл. 10.12.2007, Бюл. № 20. 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bCs/>
          <w:sz w:val="28"/>
          <w:szCs w:val="28"/>
          <w:lang w:val="uk-UA"/>
        </w:rPr>
        <w:t xml:space="preserve">Сучасні </w:t>
      </w:r>
      <w:r w:rsidRPr="002E6ECA">
        <w:rPr>
          <w:sz w:val="28"/>
          <w:szCs w:val="28"/>
          <w:lang w:val="uk-UA"/>
        </w:rPr>
        <w:t>здоровʼязбережувальні</w:t>
      </w:r>
      <w:r w:rsidRPr="002E6ECA">
        <w:rPr>
          <w:rFonts w:eastAsiaTheme="minorHAnsi"/>
          <w:sz w:val="28"/>
          <w:szCs w:val="28"/>
          <w:lang w:val="uk-UA" w:eastAsia="en-US"/>
        </w:rPr>
        <w:t xml:space="preserve"> технології</w:t>
      </w:r>
      <w:r w:rsidRPr="002E6ECA">
        <w:rPr>
          <w:sz w:val="28"/>
          <w:szCs w:val="28"/>
          <w:lang w:val="uk-UA"/>
        </w:rPr>
        <w:t xml:space="preserve">: монографія / за загальною </w:t>
      </w:r>
      <w:r w:rsidRPr="002E6ECA">
        <w:rPr>
          <w:rFonts w:eastAsiaTheme="minorHAnsi"/>
          <w:sz w:val="28"/>
          <w:szCs w:val="28"/>
          <w:lang w:val="uk-UA" w:eastAsia="en-US"/>
        </w:rPr>
        <w:t>редакцією проф. Ю.</w:t>
      </w:r>
      <w:r w:rsidRPr="002E6ECA">
        <w:rPr>
          <w:rFonts w:eastAsiaTheme="minorHAnsi"/>
          <w:sz w:val="28"/>
          <w:szCs w:val="28"/>
          <w:lang w:val="uk-UA"/>
        </w:rPr>
        <w:t> </w:t>
      </w:r>
      <w:r w:rsidRPr="002E6ECA">
        <w:rPr>
          <w:rFonts w:eastAsiaTheme="minorHAnsi"/>
          <w:sz w:val="28"/>
          <w:szCs w:val="28"/>
          <w:lang w:val="uk-UA" w:eastAsia="en-US"/>
        </w:rPr>
        <w:t>Д. Бойчука. Харків, 2018.</w:t>
      </w:r>
      <w:r w:rsidRPr="002E6ECA">
        <w:rPr>
          <w:sz w:val="28"/>
          <w:szCs w:val="28"/>
          <w:lang w:val="uk-UA"/>
        </w:rPr>
        <w:t xml:space="preserve"> 724 с.ISBN 978-966-649-130-8.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Талызина Н. Ф. Педагогическая психология. Москва 2013. 288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 xml:space="preserve">Тарасова О. Л., Четверик О. Н., Федоров А. И., Зарченко П. Ю., Казин Э. М. Особенности психофизиологической адаптации учащихся в различных условиях обучения. </w:t>
      </w:r>
      <w:r w:rsidRPr="002E6ECA">
        <w:rPr>
          <w:rFonts w:eastAsiaTheme="minorHAnsi"/>
          <w:i/>
          <w:iCs/>
          <w:sz w:val="28"/>
          <w:szCs w:val="28"/>
          <w:lang w:val="uk-UA" w:eastAsia="en-US"/>
        </w:rPr>
        <w:t>Вестник Новосибирского государственного педагогического университета</w:t>
      </w:r>
      <w:r w:rsidRPr="002E6ECA">
        <w:rPr>
          <w:rFonts w:eastAsiaTheme="minorHAnsi"/>
          <w:iCs/>
          <w:sz w:val="28"/>
          <w:szCs w:val="28"/>
          <w:lang w:val="uk-UA" w:eastAsia="en-US"/>
        </w:rPr>
        <w:t>. 2016. Т. 6. № 1. С. 23-37</w:t>
      </w:r>
      <w:r w:rsidRPr="002E6ECA">
        <w:rPr>
          <w:rFonts w:eastAsiaTheme="minorHAnsi"/>
          <w:sz w:val="28"/>
          <w:szCs w:val="28"/>
          <w:lang w:val="uk-UA" w:eastAsia="en-US"/>
        </w:rPr>
        <w:t>. DOI: 10.15293/2226-3365.1601.02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Теплов Б. М. Психология и психофизиология индивидуальных различий: Избранные психологические труды. Москва. 2009. 226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sz w:val="28"/>
          <w:szCs w:val="28"/>
          <w:lang w:val="uk-UA" w:eastAsia="en-US"/>
        </w:rPr>
        <w:t>Тимощук О. В., Полька Н. С., Сергета І. В. Наукові основи комплексної гігієнічної оцінки якості життя та адаптаційних можливостей сучасної учнівської і студентської молоді / за ред. Н. С. Польки та І. В. Сергети. Вінниця: ТОВ «ТВОРИ». 2020. 272 с.</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Треумова С.</w:t>
      </w:r>
      <w:r w:rsidRPr="002E6ECA">
        <w:rPr>
          <w:rFonts w:eastAsiaTheme="minorHAnsi"/>
          <w:sz w:val="28"/>
          <w:szCs w:val="28"/>
          <w:lang w:val="uk-UA"/>
        </w:rPr>
        <w:t> </w:t>
      </w:r>
      <w:r w:rsidRPr="002E6ECA">
        <w:rPr>
          <w:rFonts w:eastAsiaTheme="minorHAnsi"/>
          <w:spacing w:val="-2"/>
          <w:sz w:val="28"/>
          <w:szCs w:val="28"/>
          <w:lang w:val="uk-UA" w:eastAsia="en-US"/>
        </w:rPr>
        <w:t xml:space="preserve">І., Петров Є. Є., Боряк В. П. Формування здорового образу життя. Актуальні проблеми сучасної медицини. </w:t>
      </w:r>
      <w:r w:rsidRPr="002E6ECA">
        <w:rPr>
          <w:rFonts w:eastAsiaTheme="minorHAnsi"/>
          <w:i/>
          <w:spacing w:val="-2"/>
          <w:sz w:val="28"/>
          <w:szCs w:val="28"/>
          <w:lang w:val="uk-UA" w:eastAsia="en-US"/>
        </w:rPr>
        <w:t>Вісник ВДНЗУ «Українська медична стоматологічна академія»</w:t>
      </w:r>
      <w:r w:rsidRPr="002E6ECA">
        <w:rPr>
          <w:rFonts w:eastAsiaTheme="minorHAnsi"/>
          <w:spacing w:val="-2"/>
          <w:sz w:val="28"/>
          <w:szCs w:val="28"/>
          <w:lang w:val="uk-UA" w:eastAsia="en-US"/>
        </w:rPr>
        <w:t xml:space="preserve">. 2015. Т. 15. № 2 (50). С. 49-53.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Трикозенко И. В. Перспективные подходы к развитию интеллектуального и творческого потенциала одаренных детей. </w:t>
      </w:r>
      <w:r w:rsidRPr="002E6ECA">
        <w:rPr>
          <w:rFonts w:eastAsiaTheme="minorHAnsi"/>
          <w:i/>
          <w:sz w:val="28"/>
          <w:szCs w:val="28"/>
          <w:lang w:val="uk-UA" w:eastAsia="en-US"/>
        </w:rPr>
        <w:t>Концепт</w:t>
      </w:r>
      <w:r w:rsidRPr="002E6ECA">
        <w:rPr>
          <w:rFonts w:eastAsiaTheme="minorHAnsi"/>
          <w:sz w:val="28"/>
          <w:szCs w:val="28"/>
          <w:lang w:val="uk-UA" w:eastAsia="en-US"/>
        </w:rPr>
        <w:t>. 2014. Спецвыпуск № 13. ART 14675. ISSN 2304-120X. URL: http://ekoncept.ru/2014/ 14675.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lang w:val="uk-UA"/>
        </w:rPr>
        <w:t>Указ</w:t>
      </w:r>
      <w:r w:rsidRPr="002E6ECA">
        <w:rPr>
          <w:sz w:val="28"/>
          <w:szCs w:val="28"/>
        </w:rPr>
        <w:t xml:space="preserve"> </w:t>
      </w:r>
      <w:r w:rsidRPr="002E6ECA">
        <w:rPr>
          <w:sz w:val="28"/>
          <w:szCs w:val="28"/>
          <w:lang w:val="uk-UA"/>
        </w:rPr>
        <w:t xml:space="preserve">президента України № 195/2020 від 25 травня 2020 року </w:t>
      </w:r>
      <w:r w:rsidRPr="002E6ECA">
        <w:rPr>
          <w:rStyle w:val="a4"/>
          <w:sz w:val="28"/>
          <w:szCs w:val="28"/>
          <w:lang w:val="uk-UA"/>
        </w:rPr>
        <w:t xml:space="preserve">Про </w:t>
      </w:r>
      <w:r w:rsidRPr="002E6ECA">
        <w:rPr>
          <w:rStyle w:val="a4"/>
          <w:b w:val="0"/>
          <w:sz w:val="28"/>
          <w:szCs w:val="28"/>
          <w:lang w:val="uk-UA"/>
        </w:rPr>
        <w:t xml:space="preserve">Національну стратегію розбудови безпечного і здорового освітнього середовища у новій українській школі. </w:t>
      </w:r>
      <w:r w:rsidRPr="002E6ECA">
        <w:rPr>
          <w:rFonts w:eastAsiaTheme="minorHAnsi"/>
          <w:sz w:val="28"/>
          <w:szCs w:val="28"/>
          <w:lang w:val="uk-UA" w:eastAsia="en-US"/>
        </w:rPr>
        <w:t>URL:</w:t>
      </w:r>
      <w:r w:rsidRPr="002E6ECA">
        <w:rPr>
          <w:rFonts w:eastAsiaTheme="minorHAnsi"/>
          <w:b/>
          <w:sz w:val="28"/>
          <w:szCs w:val="28"/>
          <w:lang w:val="uk-UA" w:eastAsia="en-US"/>
        </w:rPr>
        <w:t> </w:t>
      </w:r>
      <w:r w:rsidRPr="002E6ECA">
        <w:rPr>
          <w:rStyle w:val="a4"/>
          <w:b w:val="0"/>
          <w:sz w:val="28"/>
          <w:szCs w:val="28"/>
          <w:lang w:val="uk-UA"/>
        </w:rPr>
        <w:t>https://zakon.rada.gov.ua/</w:t>
      </w:r>
      <w:r w:rsidR="009A04FD" w:rsidRPr="002E6ECA">
        <w:rPr>
          <w:rStyle w:val="a4"/>
          <w:b w:val="0"/>
          <w:sz w:val="28"/>
          <w:szCs w:val="28"/>
          <w:lang w:val="uk-UA"/>
        </w:rPr>
        <w:t xml:space="preserve"> </w:t>
      </w:r>
      <w:r w:rsidRPr="002E6ECA">
        <w:rPr>
          <w:rStyle w:val="a4"/>
          <w:b w:val="0"/>
          <w:sz w:val="28"/>
          <w:szCs w:val="28"/>
          <w:lang w:val="uk-UA"/>
        </w:rPr>
        <w:t>laws/show/195/2020#Text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Федоренко В. І., Кіцула Л. М. Територіальні особливості фізичного розвитку школярів. </w:t>
      </w:r>
      <w:r w:rsidRPr="002E6ECA">
        <w:rPr>
          <w:rFonts w:eastAsiaTheme="minorHAnsi"/>
          <w:i/>
          <w:sz w:val="28"/>
          <w:szCs w:val="28"/>
          <w:lang w:val="uk-UA" w:eastAsia="en-US"/>
        </w:rPr>
        <w:t>Environment &amp; Health</w:t>
      </w:r>
      <w:r w:rsidRPr="002E6ECA">
        <w:rPr>
          <w:rFonts w:eastAsiaTheme="minorHAnsi"/>
          <w:sz w:val="28"/>
          <w:szCs w:val="28"/>
          <w:lang w:val="uk-UA" w:eastAsia="en-US"/>
        </w:rPr>
        <w:t>. 2015. № 2. С. 14-19. URL: </w:t>
      </w:r>
      <w:hyperlink r:id="rId137" w:history="1">
        <w:r w:rsidRPr="002E6ECA">
          <w:rPr>
            <w:rFonts w:eastAsiaTheme="minorHAnsi"/>
            <w:sz w:val="28"/>
            <w:szCs w:val="28"/>
            <w:lang w:val="uk-UA" w:eastAsia="en-US"/>
          </w:rPr>
          <w:t>http://nbuv.gov.ua/UJRN/dtz_2015_2_4</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Федоренко В. І., Риза Л.</w:t>
      </w:r>
      <w:r w:rsidRPr="002E6ECA">
        <w:rPr>
          <w:rFonts w:eastAsiaTheme="minorHAnsi"/>
          <w:sz w:val="28"/>
          <w:szCs w:val="28"/>
          <w:lang w:val="uk-UA"/>
        </w:rPr>
        <w:t> </w:t>
      </w:r>
      <w:r w:rsidRPr="002E6ECA">
        <w:rPr>
          <w:rFonts w:eastAsiaTheme="minorHAnsi"/>
          <w:sz w:val="28"/>
          <w:szCs w:val="28"/>
          <w:lang w:val="uk-UA" w:eastAsia="en-US"/>
        </w:rPr>
        <w:t>В., Козак</w:t>
      </w:r>
      <w:r w:rsidRPr="002E6ECA">
        <w:rPr>
          <w:rFonts w:eastAsiaTheme="minorHAnsi"/>
          <w:sz w:val="28"/>
          <w:szCs w:val="28"/>
          <w:lang w:val="uk-UA"/>
        </w:rPr>
        <w:t> </w:t>
      </w:r>
      <w:r w:rsidRPr="002E6ECA">
        <w:rPr>
          <w:rFonts w:eastAsiaTheme="minorHAnsi"/>
          <w:sz w:val="28"/>
          <w:szCs w:val="28"/>
          <w:lang w:val="uk-UA" w:eastAsia="en-US"/>
        </w:rPr>
        <w:t xml:space="preserve">Л. П., Кіцула Л. М. Динаміка фізичного розвитку молодших школярів м. Львова. Профілактична медицина. </w:t>
      </w:r>
      <w:r w:rsidRPr="002E6ECA">
        <w:rPr>
          <w:rFonts w:eastAsiaTheme="minorHAnsi"/>
          <w:i/>
          <w:sz w:val="28"/>
          <w:szCs w:val="28"/>
          <w:lang w:val="uk-UA" w:eastAsia="en-US"/>
        </w:rPr>
        <w:t>Медичні перспективи</w:t>
      </w:r>
      <w:r w:rsidRPr="002E6ECA">
        <w:rPr>
          <w:rFonts w:eastAsiaTheme="minorHAnsi"/>
          <w:sz w:val="28"/>
          <w:szCs w:val="28"/>
          <w:lang w:val="uk-UA" w:eastAsia="en-US"/>
        </w:rPr>
        <w:t xml:space="preserve">. 2016. № 16 (ХХІ). 4. С. 116-121.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lang w:val="uk-UA" w:eastAsia="en-US"/>
        </w:rPr>
        <w:t>Федорова Е. В.,</w:t>
      </w:r>
      <w:r w:rsidRPr="002E6ECA">
        <w:rPr>
          <w:rFonts w:eastAsiaTheme="minorHAnsi"/>
          <w:sz w:val="28"/>
          <w:szCs w:val="28"/>
        </w:rPr>
        <w:t xml:space="preserve"> </w:t>
      </w:r>
      <w:r w:rsidRPr="002E6ECA">
        <w:rPr>
          <w:rFonts w:eastAsiaTheme="minorHAnsi"/>
          <w:sz w:val="28"/>
          <w:szCs w:val="28"/>
          <w:lang w:val="uk-UA" w:eastAsia="en-US"/>
        </w:rPr>
        <w:t xml:space="preserve">Мельникова И. Е., Бабич М. С. Психофизиологические особенности адаптации пятиклассников с высокой и </w:t>
      </w:r>
      <w:r w:rsidRPr="002E6ECA">
        <w:rPr>
          <w:rFonts w:eastAsiaTheme="minorHAnsi"/>
          <w:sz w:val="28"/>
          <w:szCs w:val="28"/>
          <w:lang w:val="uk-UA" w:eastAsia="en-US"/>
        </w:rPr>
        <w:lastRenderedPageBreak/>
        <w:t xml:space="preserve">низкой успеваемостью к физической и интеллектуальной нагрузке. </w:t>
      </w:r>
      <w:r w:rsidRPr="002E6ECA">
        <w:rPr>
          <w:rFonts w:eastAsiaTheme="minorHAnsi"/>
          <w:i/>
          <w:sz w:val="28"/>
          <w:szCs w:val="28"/>
          <w:lang w:val="uk-UA" w:eastAsia="en-US"/>
        </w:rPr>
        <w:t>Природные факторы и социальные условия успешности обучения. СПб.: «САГА»</w:t>
      </w:r>
      <w:r w:rsidRPr="002E6ECA">
        <w:rPr>
          <w:rFonts w:eastAsiaTheme="minorHAnsi"/>
          <w:sz w:val="28"/>
          <w:szCs w:val="28"/>
          <w:lang w:val="uk-UA" w:eastAsia="en-US"/>
        </w:rPr>
        <w:t>. 2005. С. 134-140.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Фещенко Ю. І, Мостовой Ю. М., Бабійчук Ю. В. Процедура адаптації міжнародного опитувальника оцінки якості життя MOS SF-36 в Україні.Досвід застосування у хворих бронхіальною астмою. </w:t>
      </w:r>
      <w:r w:rsidRPr="002E6ECA">
        <w:rPr>
          <w:rFonts w:eastAsiaTheme="minorHAnsi"/>
          <w:i/>
          <w:sz w:val="28"/>
          <w:szCs w:val="28"/>
          <w:lang w:val="uk-UA" w:eastAsia="en-US"/>
        </w:rPr>
        <w:t>Український пульмунологічний журнал</w:t>
      </w:r>
      <w:r w:rsidRPr="002E6ECA">
        <w:rPr>
          <w:rFonts w:eastAsiaTheme="minorHAnsi"/>
          <w:sz w:val="28"/>
          <w:szCs w:val="28"/>
          <w:lang w:val="uk-UA" w:eastAsia="en-US"/>
        </w:rPr>
        <w:t>. 2002. № 3. С. 9-11. DOI: 10.31215/2306-4927.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Флянку И. П., Оглезнев Г. А., Приешкина А. Н. Характеристика умственной работоспособности школьников 12-14 лет в зависимости от уровня двигательной активности. </w:t>
      </w:r>
      <w:r w:rsidRPr="002E6ECA">
        <w:rPr>
          <w:rFonts w:eastAsiaTheme="minorHAnsi"/>
          <w:i/>
          <w:sz w:val="28"/>
          <w:szCs w:val="28"/>
          <w:lang w:val="uk-UA" w:eastAsia="en-US"/>
        </w:rPr>
        <w:t>Омский научный вестник</w:t>
      </w:r>
      <w:r w:rsidRPr="002E6ECA">
        <w:rPr>
          <w:rFonts w:eastAsiaTheme="minorHAnsi"/>
          <w:sz w:val="28"/>
          <w:szCs w:val="28"/>
          <w:lang w:val="uk-UA" w:eastAsia="en-US"/>
        </w:rPr>
        <w:t>. 2013. № (118). С. 99-102.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Хаустов М. М. Систематизація чинників ризику формування станів дезадаптації у студентів в сучасних умовах. </w:t>
      </w:r>
      <w:r w:rsidRPr="002E6ECA">
        <w:rPr>
          <w:rFonts w:eastAsiaTheme="minorHAnsi"/>
          <w:i/>
          <w:sz w:val="28"/>
          <w:szCs w:val="28"/>
          <w:lang w:val="uk-UA" w:eastAsia="en-US"/>
        </w:rPr>
        <w:t>Scientific journal «Sciencerise: medical science»</w:t>
      </w:r>
      <w:r w:rsidRPr="002E6ECA">
        <w:rPr>
          <w:rFonts w:eastAsiaTheme="minorHAnsi"/>
          <w:sz w:val="28"/>
          <w:szCs w:val="28"/>
          <w:lang w:val="uk-UA" w:eastAsia="en-US"/>
        </w:rPr>
        <w:t xml:space="preserve">. 2017. № 10 (18) 2017. С. 44-48. </w:t>
      </w:r>
      <w:r w:rsidRPr="002E6ECA">
        <w:rPr>
          <w:rFonts w:eastAsiaTheme="minorHAnsi"/>
          <w:bCs/>
          <w:sz w:val="28"/>
          <w:szCs w:val="28"/>
          <w:lang w:val="uk-UA" w:eastAsia="en-US"/>
        </w:rPr>
        <w:t>DOI: 10.15587/2519-4798.2017.113511.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Хачатрян Н. Л. Влияние стиля педагогического общения на процесс психологической адаптации первоклассников к школе. </w:t>
      </w:r>
      <w:r w:rsidRPr="002E6ECA">
        <w:rPr>
          <w:rFonts w:eastAsiaTheme="minorHAnsi"/>
          <w:i/>
          <w:sz w:val="28"/>
          <w:szCs w:val="28"/>
          <w:lang w:val="uk-UA" w:eastAsia="en-US"/>
        </w:rPr>
        <w:t>Муниципальное образование: инновации и эксперимент.</w:t>
      </w:r>
      <w:r w:rsidRPr="002E6ECA">
        <w:rPr>
          <w:rFonts w:eastAsiaTheme="minorHAnsi"/>
          <w:sz w:val="28"/>
          <w:szCs w:val="28"/>
          <w:lang w:val="uk-UA" w:eastAsia="en-US"/>
        </w:rPr>
        <w:t xml:space="preserve"> 2014. № 4. С. 34-35.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Хузиханов Ф. В., Мухаметдинова А. Изучение медико-биологических, медико-социологических и организационных факторов, влияющих на заболеваемость детей школьного возраста. </w:t>
      </w:r>
      <w:r w:rsidRPr="002E6ECA">
        <w:rPr>
          <w:rFonts w:eastAsiaTheme="minorHAnsi"/>
          <w:i/>
          <w:sz w:val="28"/>
          <w:szCs w:val="28"/>
          <w:lang w:val="uk-UA" w:eastAsia="en-US"/>
        </w:rPr>
        <w:t>Казанский медицинский журнал</w:t>
      </w:r>
      <w:r w:rsidRPr="002E6ECA">
        <w:rPr>
          <w:rFonts w:eastAsiaTheme="minorHAnsi"/>
          <w:sz w:val="28"/>
          <w:szCs w:val="28"/>
          <w:lang w:val="uk-UA" w:eastAsia="en-US"/>
        </w:rPr>
        <w:t>. 2018. Т. 99. № 3 (2018). С. 467-471. https://doi: 10.17816/KMJ2018-467.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bCs/>
          <w:iCs/>
          <w:sz w:val="28"/>
          <w:szCs w:val="28"/>
          <w:lang w:val="uk-UA" w:eastAsia="en-US"/>
        </w:rPr>
        <w:t xml:space="preserve">Циганенко О. І., Склярова Н. А. </w:t>
      </w:r>
      <w:r w:rsidRPr="002E6ECA">
        <w:rPr>
          <w:rFonts w:eastAsiaTheme="minorHAnsi"/>
          <w:bCs/>
          <w:sz w:val="28"/>
          <w:szCs w:val="28"/>
          <w:lang w:val="uk-UA" w:eastAsia="en-US"/>
        </w:rPr>
        <w:t>Оцінка харчового статусу дорослих осіб, які займаються фітнесом, у порівнянні з населенням України.</w:t>
      </w:r>
      <w:r w:rsidRPr="002E6ECA">
        <w:rPr>
          <w:rFonts w:eastAsiaTheme="minorHAnsi"/>
          <w:i/>
          <w:iCs/>
          <w:sz w:val="28"/>
          <w:szCs w:val="28"/>
          <w:lang w:val="uk-UA" w:eastAsia="en-US"/>
        </w:rPr>
        <w:t>Спортивна медицина</w:t>
      </w:r>
      <w:r w:rsidRPr="002E6ECA">
        <w:rPr>
          <w:rFonts w:eastAsiaTheme="minorHAnsi"/>
          <w:iCs/>
          <w:sz w:val="28"/>
          <w:szCs w:val="28"/>
          <w:lang w:val="uk-UA" w:eastAsia="en-US"/>
        </w:rPr>
        <w:t xml:space="preserve">. 2013. № 2. С. 85-90. </w:t>
      </w:r>
      <w:r w:rsidRPr="002E6ECA">
        <w:rPr>
          <w:rFonts w:eastAsiaTheme="minorHAnsi"/>
          <w:sz w:val="28"/>
          <w:szCs w:val="28"/>
          <w:lang w:val="uk-UA" w:eastAsia="en-US"/>
        </w:rPr>
        <w:t>URL:</w:t>
      </w:r>
      <w:r w:rsidRPr="002E6ECA">
        <w:rPr>
          <w:rFonts w:eastAsiaTheme="minorHAnsi"/>
          <w:iCs/>
          <w:sz w:val="28"/>
          <w:szCs w:val="28"/>
          <w:lang w:val="uk-UA" w:eastAsia="en-US"/>
        </w:rPr>
        <w:t>http://nbuv.gov.ua/UJRN/sm</w:t>
      </w:r>
      <w:r w:rsidRPr="002E6ECA">
        <w:rPr>
          <w:rFonts w:eastAsiaTheme="minorHAnsi"/>
          <w:iCs/>
          <w:sz w:val="28"/>
          <w:szCs w:val="28"/>
          <w:lang w:val="en-US" w:eastAsia="en-US"/>
        </w:rPr>
        <w:t>yb</w:t>
      </w:r>
      <w:r w:rsidRPr="002E6ECA">
        <w:rPr>
          <w:rFonts w:eastAsiaTheme="minorHAnsi"/>
          <w:iCs/>
          <w:sz w:val="28"/>
          <w:szCs w:val="28"/>
          <w:lang w:val="uk-UA" w:eastAsia="en-US"/>
        </w:rPr>
        <w:t>_2013_2_16.</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 xml:space="preserve">Цимбалару А. Дидактичні засади розвитку початкової освіти: варіативність програмового забезпечення. </w:t>
      </w:r>
      <w:r w:rsidRPr="002E6ECA">
        <w:rPr>
          <w:rFonts w:eastAsiaTheme="minorHAnsi"/>
          <w:i/>
          <w:spacing w:val="-2"/>
          <w:sz w:val="28"/>
          <w:szCs w:val="28"/>
          <w:lang w:val="uk-UA" w:eastAsia="en-US"/>
        </w:rPr>
        <w:t>Початкова школа</w:t>
      </w:r>
      <w:r w:rsidRPr="002E6ECA">
        <w:rPr>
          <w:rFonts w:eastAsiaTheme="minorHAnsi"/>
          <w:spacing w:val="-2"/>
          <w:sz w:val="28"/>
          <w:szCs w:val="28"/>
          <w:lang w:val="uk-UA" w:eastAsia="en-US"/>
        </w:rPr>
        <w:t>. 2018. № 7. С. 51-54.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Что такое одаренность: выявление и развитие одаренных детей. Классические тексты / под ред. А.М. Матюшкина, А.А. Матюшкиной. Москва. 2008. 258 с.</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lastRenderedPageBreak/>
        <w:t>Шадриков В. Д. Ментальное развитие человека. Москва. 2007. 284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Шаяхметова Р. Р., Тухватуллин Р. М. Факторы, влияющие на здоровье одаренных детей, и роль социальной среды. </w:t>
      </w:r>
      <w:r w:rsidRPr="002E6ECA">
        <w:rPr>
          <w:rFonts w:eastAsiaTheme="minorHAnsi"/>
          <w:i/>
          <w:sz w:val="28"/>
          <w:szCs w:val="28"/>
          <w:lang w:val="uk-UA" w:eastAsia="en-US"/>
        </w:rPr>
        <w:t>Вестник Башкирского университета</w:t>
      </w:r>
      <w:r w:rsidRPr="002E6ECA">
        <w:rPr>
          <w:rFonts w:eastAsiaTheme="minorHAnsi"/>
          <w:sz w:val="28"/>
          <w:szCs w:val="28"/>
          <w:lang w:val="uk-UA" w:eastAsia="en-US"/>
        </w:rPr>
        <w:t>. 2012. Т. 17. № 2. С. 1061-1065.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imesNewRoman"/>
          <w:bCs/>
          <w:sz w:val="28"/>
          <w:szCs w:val="28"/>
          <w:lang w:val="uk-UA" w:eastAsia="en-US"/>
        </w:rPr>
        <w:t xml:space="preserve">Шевырдяева К. С., </w:t>
      </w:r>
      <w:r w:rsidRPr="002E6ECA">
        <w:rPr>
          <w:rFonts w:eastAsia="TimesNewRoman"/>
          <w:sz w:val="28"/>
          <w:szCs w:val="28"/>
          <w:lang w:val="uk-UA" w:eastAsia="en-US"/>
        </w:rPr>
        <w:t xml:space="preserve">Лыгина М. А. </w:t>
      </w:r>
      <w:r w:rsidRPr="002E6ECA">
        <w:rPr>
          <w:rFonts w:eastAsia="TimesNewRoman"/>
          <w:bCs/>
          <w:sz w:val="28"/>
          <w:szCs w:val="28"/>
          <w:lang w:val="uk-UA" w:eastAsia="en-US"/>
        </w:rPr>
        <w:t xml:space="preserve">Изучение ориентации студентов на ведение здорового образа жизни и сформированности ценностного отношения студентов к здоровью. </w:t>
      </w:r>
      <w:r w:rsidRPr="002E6ECA">
        <w:rPr>
          <w:rFonts w:eastAsia="TimesNewRoman"/>
          <w:i/>
          <w:sz w:val="28"/>
          <w:szCs w:val="28"/>
          <w:lang w:val="uk-UA" w:eastAsia="en-US"/>
        </w:rPr>
        <w:t>Известия высших учебных заведений</w:t>
      </w:r>
      <w:r w:rsidRPr="002E6ECA">
        <w:rPr>
          <w:rFonts w:eastAsia="TimesNewRoman"/>
          <w:sz w:val="28"/>
          <w:szCs w:val="28"/>
          <w:lang w:val="uk-UA" w:eastAsia="en-US"/>
        </w:rPr>
        <w:t xml:space="preserve">. </w:t>
      </w:r>
      <w:r w:rsidRPr="002E6ECA">
        <w:rPr>
          <w:rFonts w:eastAsia="TimesNewRoman"/>
          <w:i/>
          <w:sz w:val="28"/>
          <w:szCs w:val="28"/>
          <w:lang w:val="uk-UA" w:eastAsia="en-US"/>
        </w:rPr>
        <w:t>Поволжский регион. Гуманитарные науки</w:t>
      </w:r>
      <w:r w:rsidRPr="002E6ECA">
        <w:rPr>
          <w:rFonts w:eastAsia="TimesNewRoman"/>
          <w:sz w:val="28"/>
          <w:szCs w:val="28"/>
          <w:lang w:val="uk-UA" w:eastAsia="en-US"/>
        </w:rPr>
        <w:t xml:space="preserve">. 2017. № 4 (44). С. 162-167. DOI: 10.21685/2072-3024-2017-4-17. </w:t>
      </w:r>
    </w:p>
    <w:p w:rsidR="00020FED" w:rsidRPr="002E6ECA" w:rsidRDefault="00020FED" w:rsidP="00020FED">
      <w:pPr>
        <w:numPr>
          <w:ilvl w:val="0"/>
          <w:numId w:val="72"/>
        </w:numPr>
        <w:spacing w:line="360" w:lineRule="auto"/>
        <w:ind w:left="0" w:firstLine="709"/>
        <w:contextualSpacing/>
        <w:jc w:val="both"/>
        <w:rPr>
          <w:rFonts w:eastAsiaTheme="minorHAnsi"/>
          <w:bCs/>
          <w:kern w:val="36"/>
          <w:sz w:val="28"/>
          <w:szCs w:val="28"/>
          <w:lang w:val="uk-UA" w:eastAsia="en-US"/>
        </w:rPr>
      </w:pPr>
      <w:r w:rsidRPr="002E6ECA">
        <w:rPr>
          <w:rFonts w:eastAsiaTheme="majorEastAsia"/>
          <w:bCs/>
          <w:sz w:val="28"/>
          <w:szCs w:val="28"/>
          <w:lang w:val="uk-UA" w:eastAsia="en-US"/>
        </w:rPr>
        <w:t>Шишова А. В.</w:t>
      </w:r>
      <w:r w:rsidRPr="002E6ECA">
        <w:rPr>
          <w:rFonts w:eastAsiaTheme="minorHAnsi"/>
          <w:bCs/>
          <w:kern w:val="36"/>
          <w:sz w:val="28"/>
          <w:szCs w:val="28"/>
          <w:lang w:val="uk-UA" w:eastAsia="en-US"/>
        </w:rPr>
        <w:t xml:space="preserve"> Формирование здоровья детей 7-11 лет и дифференцированная система медико-педагогического сопровождения при различных программах обучения:</w:t>
      </w:r>
      <w:r w:rsidRPr="002E6ECA">
        <w:rPr>
          <w:rFonts w:eastAsiaTheme="minorHAnsi"/>
          <w:sz w:val="28"/>
          <w:szCs w:val="28"/>
          <w:lang w:val="uk-UA" w:eastAsia="en-US"/>
        </w:rPr>
        <w:t xml:space="preserve"> автореф. дис. … д. мед. наук: </w:t>
      </w:r>
      <w:r w:rsidRPr="002E6ECA">
        <w:rPr>
          <w:rFonts w:eastAsiaTheme="minorHAnsi"/>
          <w:bCs/>
          <w:kern w:val="36"/>
          <w:sz w:val="28"/>
          <w:szCs w:val="28"/>
          <w:lang w:val="uk-UA" w:eastAsia="en-US"/>
        </w:rPr>
        <w:t xml:space="preserve">14.01.08.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Шиян О., Павлова Ю., Кудрик Л., Сороколіт Н., Микитюк О. Здорова школа: аспекти моніторингу : навч. посіб. / за наук. ред. Олени Шиян. Л. : Кольорове небо. 2013. 122 с. ISBN 966-8800-07-</w:t>
      </w:r>
      <w:hyperlink r:id="rId138" w:history="1">
        <w:r w:rsidRPr="002E6ECA">
          <w:rPr>
            <w:sz w:val="28"/>
            <w:szCs w:val="28"/>
            <w:lang w:val="uk-UA"/>
          </w:rPr>
          <w:t>https://www.google.com/url?sa=t&amp;rct=j&amp;q=&amp;esrc=s&amp;source=web&amp;cd=&amp;cad=rja&amp;uact=8&amp;ved=2ahUKEwjlzbDNw5DuAhUEgRoKHacwCAI4FBAWMAV6BAgLEAI&amp;url=http%3A%2F%2Frepository.ldufk.edu.ua%2Fbitstream%2F34606048%2F3118%2F1%2FZdorova_shkola_aspekty_monitoryngu.pdf&amp;usg=AOvVaw0FnvAV0OgOcMw7UUZHgHiL</w:t>
        </w:r>
      </w:hyperlink>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Шкляр А. С. Порівняльний аналіз компонентного складу маси тіла людини на етапах постнатального онтогенезу: віко-статеві закономірності. </w:t>
      </w:r>
      <w:r w:rsidRPr="002E6ECA">
        <w:rPr>
          <w:rFonts w:eastAsiaTheme="minorHAnsi"/>
          <w:i/>
          <w:sz w:val="28"/>
          <w:szCs w:val="28"/>
          <w:lang w:val="uk-UA" w:eastAsia="en-US"/>
        </w:rPr>
        <w:t>Вісник проблем біології і медицини</w:t>
      </w:r>
      <w:r w:rsidRPr="002E6ECA">
        <w:rPr>
          <w:rFonts w:eastAsiaTheme="minorHAnsi"/>
          <w:sz w:val="28"/>
          <w:szCs w:val="28"/>
          <w:lang w:val="uk-UA" w:eastAsia="en-US"/>
        </w:rPr>
        <w:t>. 2014. № 4. Т. 1 (113). С. 313-317.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shd w:val="clear" w:color="auto" w:fill="FFFFFF"/>
        </w:rPr>
        <w:t>Шлык</w:t>
      </w:r>
      <w:r w:rsidRPr="002E6ECA">
        <w:rPr>
          <w:sz w:val="28"/>
          <w:szCs w:val="28"/>
          <w:shd w:val="clear" w:color="auto" w:fill="FFFFFF"/>
          <w:lang w:val="uk-UA"/>
        </w:rPr>
        <w:t> </w:t>
      </w:r>
      <w:r w:rsidRPr="002E6ECA">
        <w:rPr>
          <w:sz w:val="28"/>
          <w:szCs w:val="28"/>
          <w:shd w:val="clear" w:color="auto" w:fill="FFFFFF"/>
        </w:rPr>
        <w:t>Н.</w:t>
      </w:r>
      <w:r w:rsidRPr="002E6ECA">
        <w:rPr>
          <w:sz w:val="28"/>
          <w:szCs w:val="28"/>
          <w:shd w:val="clear" w:color="auto" w:fill="FFFFFF"/>
          <w:lang w:val="uk-UA"/>
        </w:rPr>
        <w:t> </w:t>
      </w:r>
      <w:r w:rsidRPr="002E6ECA">
        <w:rPr>
          <w:sz w:val="28"/>
          <w:szCs w:val="28"/>
          <w:shd w:val="clear" w:color="auto" w:fill="FFFFFF"/>
        </w:rPr>
        <w:t>И. Сердечный ритм и тип регуляции у детей, подростков и спортсменов. Ижевск: Изд-во «Удмуртский университет», 2009. 259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Щербакова О. О. Психологічні особливості адаптації академічно здібних дітей до навчання у початковій школі: автореф. дис. …  канд. психол. наук: 19.00.07. Харків, 2015. 22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Щербакова О. О., Даниленко Г. М., Авдієвська О. Г. Медико-психологічний супровід учнів початкової школи в межах науково-педагогічного проекту «Інтелект України»: посібник. Харків, 2019. 446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Щудро С. А. </w:t>
      </w:r>
      <w:r w:rsidRPr="002E6ECA">
        <w:rPr>
          <w:rFonts w:eastAsiaTheme="minorHAnsi"/>
          <w:bCs/>
          <w:sz w:val="28"/>
          <w:szCs w:val="28"/>
          <w:lang w:val="uk-UA" w:eastAsia="en-US"/>
        </w:rPr>
        <w:t>Критеріальне значення соціально-гігієнічних чинників та умов навчання у формуванні здоров’я підлітків загальноосвітніх закладів у сучасних умовах:</w:t>
      </w:r>
      <w:r w:rsidRPr="002E6ECA">
        <w:rPr>
          <w:rFonts w:eastAsiaTheme="minorHAnsi"/>
          <w:sz w:val="28"/>
          <w:szCs w:val="28"/>
          <w:lang w:val="uk-UA" w:eastAsia="en-US"/>
        </w:rPr>
        <w:t xml:space="preserve"> автореф. дисс. ... док. мед. наук : 14.02.01. Київ, 2011. 39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Щудро С. А. Соціально-гігієнічний моніторинг як інтегральний підхід до обгрунтування здороов’язберігаючих технологій у школі. </w:t>
      </w:r>
      <w:r w:rsidRPr="002E6ECA">
        <w:rPr>
          <w:rFonts w:eastAsiaTheme="minorHAnsi"/>
          <w:i/>
          <w:sz w:val="28"/>
          <w:szCs w:val="28"/>
          <w:lang w:val="uk-UA" w:eastAsia="en-US"/>
        </w:rPr>
        <w:t>Медичні перспективи</w:t>
      </w:r>
      <w:r w:rsidRPr="002E6ECA">
        <w:rPr>
          <w:rFonts w:eastAsiaTheme="minorHAnsi"/>
          <w:sz w:val="28"/>
          <w:szCs w:val="28"/>
          <w:lang w:val="uk-UA" w:eastAsia="en-US"/>
        </w:rPr>
        <w:t>. 2008. Т. XIII. С. 104-108.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Щудро С. А., Мацуга О. М. Імовірнісна оцінка взаємозв’язку фізичного розвитку та якості життя підлітків. </w:t>
      </w:r>
      <w:r w:rsidRPr="002E6ECA">
        <w:rPr>
          <w:rFonts w:eastAsiaTheme="minorHAnsi"/>
          <w:i/>
          <w:sz w:val="28"/>
          <w:szCs w:val="28"/>
          <w:lang w:val="uk-UA" w:eastAsia="en-US"/>
        </w:rPr>
        <w:t>Медичні перспективи</w:t>
      </w:r>
      <w:r w:rsidRPr="002E6ECA">
        <w:rPr>
          <w:rFonts w:eastAsiaTheme="minorHAnsi"/>
          <w:sz w:val="28"/>
          <w:szCs w:val="28"/>
          <w:lang w:val="uk-UA" w:eastAsia="en-US"/>
        </w:rPr>
        <w:t xml:space="preserve">. 2006. Т. ХІ / 3 (90-річчяДДМА). С. 141-152.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Якунин Р. И. Проблема физического воспитания умственно одаренных детей. </w:t>
      </w:r>
      <w:r w:rsidRPr="002E6ECA">
        <w:rPr>
          <w:rFonts w:eastAsiaTheme="minorHAnsi"/>
          <w:i/>
          <w:sz w:val="28"/>
          <w:szCs w:val="28"/>
          <w:lang w:val="uk-UA" w:eastAsia="en-US"/>
        </w:rPr>
        <w:t>Известия Тульского государственного университета. Физическая культура. Спорт</w:t>
      </w:r>
      <w:r w:rsidRPr="002E6ECA">
        <w:rPr>
          <w:rFonts w:eastAsiaTheme="minorHAnsi"/>
          <w:sz w:val="28"/>
          <w:szCs w:val="28"/>
          <w:lang w:val="uk-UA" w:eastAsia="en-US"/>
        </w:rPr>
        <w:t>. 2013. № 2. С. 206-210.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Якушева Ю. І. Товщина шкірно-жирових складок, компонентного складу маси тіла та соматотипу у волейболісток. </w:t>
      </w:r>
      <w:r w:rsidRPr="002E6ECA">
        <w:rPr>
          <w:rFonts w:eastAsiaTheme="minorHAnsi"/>
          <w:i/>
          <w:sz w:val="28"/>
          <w:szCs w:val="28"/>
          <w:lang w:val="uk-UA" w:eastAsia="en-US"/>
        </w:rPr>
        <w:t>Вісник морфології</w:t>
      </w:r>
      <w:r w:rsidRPr="002E6ECA">
        <w:rPr>
          <w:rFonts w:eastAsiaTheme="minorHAnsi"/>
          <w:sz w:val="28"/>
          <w:szCs w:val="28"/>
          <w:lang w:val="uk-UA" w:eastAsia="en-US"/>
        </w:rPr>
        <w:t>. 2015. № 1. Т. 21. С. 209-213.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Ярова О. Б. Тенденції розвитку початкової освіти в країнах Європейського Союзу: дис. д. пед. наук: 13.00.01, Київ, 2018. 531 с.</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Яцула М. С. Проблеми діагностики та корекції шкільної дезадаптації у дітей молодшого шкільного віку </w:t>
      </w:r>
      <w:r w:rsidRPr="002E6ECA">
        <w:rPr>
          <w:rFonts w:eastAsiaTheme="minorHAnsi"/>
          <w:i/>
          <w:sz w:val="28"/>
          <w:szCs w:val="28"/>
          <w:lang w:val="uk-UA" w:eastAsia="en-US"/>
        </w:rPr>
        <w:t>Проблеми клінічної педіатрії</w:t>
      </w:r>
      <w:r w:rsidRPr="002E6ECA">
        <w:rPr>
          <w:rFonts w:eastAsiaTheme="minorHAnsi"/>
          <w:sz w:val="28"/>
          <w:szCs w:val="28"/>
          <w:lang w:val="uk-UA" w:eastAsia="en-US"/>
        </w:rPr>
        <w:t>. 2013. № 4 (22). С. 17-21.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Ящук О. М., Іванова О. Проблема навчання обдарованих дітей. URL: https://dspace.udpu.edu.ua/bitstream/6789/10068/1/Problema%20pidgotovky% 60%20obdarovany%60x%20ditej.pdf.</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39" w:history="1">
        <w:r w:rsidR="00020FED" w:rsidRPr="002E6ECA">
          <w:rPr>
            <w:rFonts w:eastAsiaTheme="minorHAnsi"/>
            <w:sz w:val="28"/>
            <w:szCs w:val="28"/>
            <w:lang w:val="uk-UA" w:eastAsia="en-US"/>
          </w:rPr>
          <w:t>Abdulrazzaq</w:t>
        </w:r>
        <w:r w:rsidR="00020FED" w:rsidRPr="002E6ECA">
          <w:rPr>
            <w:sz w:val="28"/>
            <w:szCs w:val="28"/>
            <w:lang w:val="uk-UA"/>
          </w:rPr>
          <w:t> </w:t>
        </w:r>
        <w:r w:rsidR="00020FED" w:rsidRPr="002E6ECA">
          <w:rPr>
            <w:rFonts w:eastAsiaTheme="minorHAnsi"/>
            <w:sz w:val="28"/>
            <w:szCs w:val="28"/>
            <w:lang w:val="uk-UA" w:eastAsia="en-US"/>
          </w:rPr>
          <w:t>Y.</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140" w:history="1">
        <w:r w:rsidR="00020FED" w:rsidRPr="002E6ECA">
          <w:rPr>
            <w:rFonts w:eastAsiaTheme="minorHAnsi"/>
            <w:sz w:val="28"/>
            <w:szCs w:val="28"/>
            <w:lang w:val="uk-UA" w:eastAsia="en-US"/>
          </w:rPr>
          <w:t>Nagelkerke</w:t>
        </w:r>
        <w:r w:rsidR="00020FED" w:rsidRPr="002E6ECA">
          <w:rPr>
            <w:sz w:val="28"/>
            <w:szCs w:val="28"/>
            <w:lang w:val="uk-UA"/>
          </w:rPr>
          <w:t> </w:t>
        </w:r>
        <w:r w:rsidR="00020FED" w:rsidRPr="002E6ECA">
          <w:rPr>
            <w:rFonts w:eastAsiaTheme="minorHAnsi"/>
            <w:sz w:val="28"/>
            <w:szCs w:val="28"/>
            <w:lang w:val="uk-UA" w:eastAsia="en-US"/>
          </w:rPr>
          <w:t>N</w:t>
        </w:r>
      </w:hyperlink>
      <w:r w:rsidR="00020FED" w:rsidRPr="002E6ECA">
        <w:rPr>
          <w:rFonts w:eastAsiaTheme="minorHAnsi"/>
          <w:sz w:val="28"/>
          <w:szCs w:val="28"/>
          <w:lang w:val="uk-UA" w:eastAsia="en-US"/>
        </w:rPr>
        <w:t xml:space="preserve">., </w:t>
      </w:r>
      <w:hyperlink r:id="rId141" w:history="1">
        <w:r w:rsidR="00020FED" w:rsidRPr="002E6ECA">
          <w:rPr>
            <w:rFonts w:eastAsiaTheme="minorHAnsi"/>
            <w:sz w:val="28"/>
            <w:szCs w:val="28"/>
            <w:lang w:val="uk-UA" w:eastAsia="en-US"/>
          </w:rPr>
          <w:t>Moussa</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UAE population reference standard charts for body mass index and skinfold thickness, at ages 0-18 years. </w:t>
      </w:r>
      <w:hyperlink r:id="rId142" w:tooltip="International journal of food sciences and nutrition." w:history="1">
        <w:r w:rsidR="00020FED" w:rsidRPr="002E6ECA">
          <w:rPr>
            <w:rFonts w:eastAsiaTheme="minorHAnsi"/>
            <w:i/>
            <w:sz w:val="28"/>
            <w:szCs w:val="28"/>
            <w:lang w:val="uk-UA" w:eastAsia="en-US"/>
          </w:rPr>
          <w:t>Int J Food Sci Nutr.</w:t>
        </w:r>
      </w:hyperlink>
      <w:r w:rsidR="00020FED" w:rsidRPr="002E6ECA">
        <w:rPr>
          <w:rFonts w:eastAsiaTheme="minorHAnsi"/>
          <w:sz w:val="28"/>
          <w:szCs w:val="28"/>
          <w:lang w:val="uk-UA" w:eastAsia="en-US"/>
        </w:rPr>
        <w:t xml:space="preserve">2011. Vol. 62 (7). Р. 692-702. doi: 10.3109/09637486.2011.567978.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Achenbach</w:t>
      </w:r>
      <w:r w:rsidRPr="002E6ECA">
        <w:rPr>
          <w:sz w:val="28"/>
          <w:szCs w:val="28"/>
          <w:lang w:val="uk-UA"/>
        </w:rPr>
        <w:t> </w:t>
      </w:r>
      <w:r w:rsidRPr="002E6ECA">
        <w:rPr>
          <w:rFonts w:eastAsiaTheme="minorHAnsi"/>
          <w:sz w:val="28"/>
          <w:szCs w:val="28"/>
          <w:lang w:val="uk-UA" w:eastAsia="en-US"/>
        </w:rPr>
        <w:t>T., Ivanova</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Y., Rescorla</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A., Turner</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 xml:space="preserve">V. Internalizing/externalizing problems: Review and recommendations for clinical and research applications. </w:t>
      </w:r>
      <w:r w:rsidRPr="002E6ECA">
        <w:rPr>
          <w:rFonts w:eastAsiaTheme="minorHAnsi"/>
          <w:i/>
          <w:sz w:val="28"/>
          <w:szCs w:val="28"/>
          <w:lang w:val="uk-UA" w:eastAsia="en-US"/>
        </w:rPr>
        <w:t>J Am Acad Child Adolesc Psychiatry</w:t>
      </w:r>
      <w:r w:rsidRPr="002E6ECA">
        <w:rPr>
          <w:rFonts w:eastAsiaTheme="minorHAnsi"/>
          <w:sz w:val="28"/>
          <w:szCs w:val="28"/>
          <w:lang w:val="uk-UA" w:eastAsia="en-US"/>
        </w:rPr>
        <w:t>. 2016. Vol. 55 (8). Р. 647-56. DOI:</w:t>
      </w:r>
      <w:hyperlink r:id="rId143" w:tgtFrame="_blank" w:history="1">
        <w:r w:rsidRPr="002E6ECA">
          <w:rPr>
            <w:rFonts w:eastAsiaTheme="minorHAnsi"/>
            <w:sz w:val="28"/>
            <w:szCs w:val="28"/>
            <w:lang w:val="uk-UA" w:eastAsia="en-US"/>
          </w:rPr>
          <w:t>10.1016/j.jaac.2016.05.012</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shd w:val="clear" w:color="auto" w:fill="FFFFFF"/>
          <w:lang w:val="uk-UA" w:eastAsia="en-US"/>
        </w:rPr>
        <w:t>Adekola</w:t>
      </w:r>
      <w:r w:rsidRPr="002E6ECA">
        <w:rPr>
          <w:sz w:val="28"/>
          <w:szCs w:val="28"/>
          <w:lang w:val="uk-UA"/>
        </w:rPr>
        <w:t> </w:t>
      </w:r>
      <w:r w:rsidRPr="002E6ECA">
        <w:rPr>
          <w:rFonts w:eastAsiaTheme="minorHAnsi"/>
          <w:sz w:val="28"/>
          <w:szCs w:val="28"/>
          <w:shd w:val="clear" w:color="auto" w:fill="FFFFFF"/>
          <w:lang w:val="uk-UA" w:eastAsia="en-US"/>
        </w:rPr>
        <w:t>S.</w:t>
      </w:r>
      <w:r w:rsidRPr="002E6ECA">
        <w:rPr>
          <w:sz w:val="28"/>
          <w:szCs w:val="28"/>
          <w:lang w:val="uk-UA"/>
        </w:rPr>
        <w:t> </w:t>
      </w:r>
      <w:r w:rsidRPr="002E6ECA">
        <w:rPr>
          <w:rFonts w:eastAsiaTheme="minorHAnsi"/>
          <w:sz w:val="28"/>
          <w:szCs w:val="28"/>
          <w:shd w:val="clear" w:color="auto" w:fill="FFFFFF"/>
          <w:lang w:val="uk-UA" w:eastAsia="en-US"/>
        </w:rPr>
        <w:t>A., Charles-Davies</w:t>
      </w:r>
      <w:r w:rsidRPr="002E6ECA">
        <w:rPr>
          <w:sz w:val="28"/>
          <w:szCs w:val="28"/>
          <w:lang w:val="uk-UA"/>
        </w:rPr>
        <w:t> </w:t>
      </w:r>
      <w:r w:rsidRPr="002E6ECA">
        <w:rPr>
          <w:rFonts w:eastAsiaTheme="minorHAnsi"/>
          <w:sz w:val="28"/>
          <w:szCs w:val="28"/>
          <w:shd w:val="clear" w:color="auto" w:fill="FFFFFF"/>
          <w:lang w:val="uk-UA" w:eastAsia="en-US"/>
        </w:rPr>
        <w:t>M.</w:t>
      </w:r>
      <w:r w:rsidRPr="002E6ECA">
        <w:rPr>
          <w:sz w:val="28"/>
          <w:szCs w:val="28"/>
          <w:lang w:val="uk-UA"/>
        </w:rPr>
        <w:t> </w:t>
      </w:r>
      <w:r w:rsidRPr="002E6ECA">
        <w:rPr>
          <w:rFonts w:eastAsiaTheme="minorHAnsi"/>
          <w:sz w:val="28"/>
          <w:szCs w:val="28"/>
          <w:shd w:val="clear" w:color="auto" w:fill="FFFFFF"/>
          <w:lang w:val="uk-UA" w:eastAsia="en-US"/>
        </w:rPr>
        <w:t>A., Onifade</w:t>
      </w:r>
      <w:r w:rsidRPr="002E6ECA">
        <w:rPr>
          <w:sz w:val="28"/>
          <w:szCs w:val="28"/>
          <w:lang w:val="uk-UA"/>
        </w:rPr>
        <w:t> </w:t>
      </w:r>
      <w:r w:rsidRPr="002E6ECA">
        <w:rPr>
          <w:rFonts w:eastAsiaTheme="minorHAnsi"/>
          <w:sz w:val="28"/>
          <w:szCs w:val="28"/>
          <w:shd w:val="clear" w:color="auto" w:fill="FFFFFF"/>
          <w:lang w:val="uk-UA" w:eastAsia="en-US"/>
        </w:rPr>
        <w:t>A.</w:t>
      </w:r>
      <w:r w:rsidRPr="002E6ECA">
        <w:rPr>
          <w:sz w:val="28"/>
          <w:szCs w:val="28"/>
          <w:lang w:val="uk-UA"/>
        </w:rPr>
        <w:t> </w:t>
      </w:r>
      <w:r w:rsidRPr="002E6ECA">
        <w:rPr>
          <w:rFonts w:eastAsiaTheme="minorHAnsi"/>
          <w:sz w:val="28"/>
          <w:szCs w:val="28"/>
          <w:shd w:val="clear" w:color="auto" w:fill="FFFFFF"/>
          <w:lang w:val="uk-UA" w:eastAsia="en-US"/>
        </w:rPr>
        <w:t>A., Okoli</w:t>
      </w:r>
      <w:r w:rsidRPr="002E6ECA">
        <w:rPr>
          <w:sz w:val="28"/>
          <w:szCs w:val="28"/>
          <w:lang w:val="uk-UA"/>
        </w:rPr>
        <w:t> </w:t>
      </w:r>
      <w:r w:rsidRPr="002E6ECA">
        <w:rPr>
          <w:rFonts w:eastAsiaTheme="minorHAnsi"/>
          <w:sz w:val="28"/>
          <w:szCs w:val="28"/>
          <w:shd w:val="clear" w:color="auto" w:fill="FFFFFF"/>
          <w:lang w:val="uk-UA" w:eastAsia="en-US"/>
        </w:rPr>
        <w:t>S.</w:t>
      </w:r>
      <w:r w:rsidRPr="002E6ECA">
        <w:rPr>
          <w:sz w:val="28"/>
          <w:szCs w:val="28"/>
          <w:lang w:val="uk-UA"/>
        </w:rPr>
        <w:t> </w:t>
      </w:r>
      <w:r w:rsidRPr="002E6ECA">
        <w:rPr>
          <w:rFonts w:eastAsiaTheme="minorHAnsi"/>
          <w:sz w:val="28"/>
          <w:szCs w:val="28"/>
          <w:shd w:val="clear" w:color="auto" w:fill="FFFFFF"/>
          <w:lang w:val="uk-UA" w:eastAsia="en-US"/>
        </w:rPr>
        <w:t xml:space="preserve">U. Oxidative Stress Biomarkers and Their Relationship with Testosterone in Male Auto Mechanics in Ibadan, Nigeria. </w:t>
      </w:r>
      <w:r w:rsidRPr="002E6ECA">
        <w:rPr>
          <w:rFonts w:eastAsiaTheme="minorHAnsi"/>
          <w:i/>
          <w:iCs/>
          <w:sz w:val="28"/>
          <w:szCs w:val="28"/>
          <w:shd w:val="clear" w:color="auto" w:fill="FFFFFF"/>
          <w:lang w:val="uk-UA" w:eastAsia="en-US"/>
        </w:rPr>
        <w:t>Brit J Med Med Res</w:t>
      </w:r>
      <w:r w:rsidRPr="002E6ECA">
        <w:rPr>
          <w:rFonts w:eastAsiaTheme="minorHAnsi"/>
          <w:sz w:val="28"/>
          <w:szCs w:val="28"/>
          <w:shd w:val="clear" w:color="auto" w:fill="FFFFFF"/>
          <w:lang w:val="uk-UA" w:eastAsia="en-US"/>
        </w:rPr>
        <w:t>. 2016. Vol. 12 (9). P. 1-11. DOI: 10.9734/BJMMR/2016/22350.</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44" w:history="1">
        <w:r w:rsidR="00020FED" w:rsidRPr="002E6ECA">
          <w:rPr>
            <w:rFonts w:eastAsiaTheme="minorHAnsi"/>
            <w:sz w:val="28"/>
            <w:szCs w:val="28"/>
            <w:lang w:val="uk-UA" w:eastAsia="en-US"/>
          </w:rPr>
          <w:t>Aggarwal</w:t>
        </w:r>
        <w:r w:rsidR="00020FED" w:rsidRPr="002E6ECA">
          <w:rPr>
            <w:sz w:val="28"/>
            <w:szCs w:val="28"/>
            <w:lang w:val="uk-UA"/>
          </w:rPr>
          <w:t> </w:t>
        </w:r>
        <w:r w:rsidR="00020FED" w:rsidRPr="002E6ECA">
          <w:rPr>
            <w:rFonts w:eastAsiaTheme="minorHAnsi"/>
            <w:sz w:val="28"/>
            <w:szCs w:val="28"/>
            <w:lang w:val="uk-UA" w:eastAsia="en-US"/>
          </w:rPr>
          <w:t>B</w:t>
        </w:r>
      </w:hyperlink>
      <w:r w:rsidR="00020FED" w:rsidRPr="002E6ECA">
        <w:rPr>
          <w:rFonts w:eastAsiaTheme="minorHAnsi"/>
          <w:sz w:val="28"/>
          <w:szCs w:val="28"/>
          <w:lang w:val="uk-UA" w:eastAsia="en-US"/>
        </w:rPr>
        <w:t xml:space="preserve">., </w:t>
      </w:r>
      <w:hyperlink r:id="rId145" w:history="1">
        <w:r w:rsidR="00020FED" w:rsidRPr="002E6ECA">
          <w:rPr>
            <w:rFonts w:eastAsiaTheme="minorHAnsi"/>
            <w:sz w:val="28"/>
            <w:szCs w:val="28"/>
            <w:lang w:val="uk-UA" w:eastAsia="en-US"/>
          </w:rPr>
          <w:t>Jain</w:t>
        </w:r>
        <w:r w:rsidR="00020FED" w:rsidRPr="002E6ECA">
          <w:rPr>
            <w:sz w:val="28"/>
            <w:szCs w:val="28"/>
            <w:lang w:val="uk-UA"/>
          </w:rPr>
          <w:t> </w:t>
        </w:r>
        <w:r w:rsidR="00020FED" w:rsidRPr="002E6ECA">
          <w:rPr>
            <w:rFonts w:eastAsiaTheme="minorHAnsi"/>
            <w:sz w:val="28"/>
            <w:szCs w:val="28"/>
            <w:lang w:val="uk-UA" w:eastAsia="en-US"/>
          </w:rPr>
          <w:t>V</w:t>
        </w:r>
      </w:hyperlink>
      <w:r w:rsidR="00020FED" w:rsidRPr="002E6ECA">
        <w:rPr>
          <w:rFonts w:eastAsiaTheme="minorHAnsi"/>
          <w:sz w:val="28"/>
          <w:szCs w:val="28"/>
          <w:lang w:val="uk-UA" w:eastAsia="en-US"/>
        </w:rPr>
        <w:t xml:space="preserve">. Obesity in children: Definition, etiology and approach. </w:t>
      </w:r>
      <w:hyperlink r:id="rId146" w:tooltip="Indian journal of pediatrics." w:history="1">
        <w:r w:rsidR="00020FED" w:rsidRPr="002E6ECA">
          <w:rPr>
            <w:rFonts w:eastAsiaTheme="minorHAnsi"/>
            <w:i/>
            <w:sz w:val="28"/>
            <w:szCs w:val="28"/>
            <w:lang w:val="uk-UA" w:eastAsia="en-US"/>
          </w:rPr>
          <w:t>Indian J Pediatr</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2018. Vol. 85 (6). Р. 463-471. doi: 10.1007/s12098-017-2531-x. </w:t>
      </w:r>
    </w:p>
    <w:p w:rsidR="00020FED" w:rsidRPr="002E6ECA" w:rsidRDefault="00020FED" w:rsidP="00020FED">
      <w:pPr>
        <w:numPr>
          <w:ilvl w:val="0"/>
          <w:numId w:val="72"/>
        </w:numPr>
        <w:spacing w:line="360" w:lineRule="auto"/>
        <w:ind w:left="0" w:firstLine="709"/>
        <w:contextualSpacing/>
        <w:jc w:val="both"/>
        <w:rPr>
          <w:rFonts w:eastAsiaTheme="minorHAnsi"/>
          <w:b/>
          <w:bCs/>
          <w:sz w:val="28"/>
          <w:szCs w:val="28"/>
          <w:lang w:val="uk-UA" w:eastAsia="en-US"/>
        </w:rPr>
      </w:pPr>
      <w:r w:rsidRPr="002E6ECA">
        <w:rPr>
          <w:rFonts w:eastAsiaTheme="minorHAnsi"/>
          <w:sz w:val="28"/>
          <w:szCs w:val="28"/>
          <w:lang w:val="uk-UA" w:eastAsia="en-US"/>
        </w:rPr>
        <w:t>Ahonen</w:t>
      </w:r>
      <w:r w:rsidRPr="002E6ECA">
        <w:rPr>
          <w:sz w:val="28"/>
          <w:szCs w:val="28"/>
          <w:lang w:val="uk-UA"/>
        </w:rPr>
        <w:t> </w:t>
      </w:r>
      <w:r w:rsidRPr="002E6ECA">
        <w:rPr>
          <w:rFonts w:eastAsiaTheme="minorHAnsi"/>
          <w:sz w:val="28"/>
          <w:szCs w:val="28"/>
          <w:lang w:val="uk-UA" w:eastAsia="en-US"/>
        </w:rPr>
        <w:t xml:space="preserve">A. </w:t>
      </w:r>
      <w:r w:rsidRPr="002E6ECA">
        <w:rPr>
          <w:rFonts w:eastAsiaTheme="minorHAnsi"/>
          <w:bCs/>
          <w:sz w:val="28"/>
          <w:szCs w:val="28"/>
          <w:lang w:val="uk-UA" w:eastAsia="en-US"/>
        </w:rPr>
        <w:t>Psychosocial well-being of schoolchildren in the Barents region : a comparison from the northern parts of Norway, Sweden and Finland and Northwest Russia</w:t>
      </w:r>
      <w:r w:rsidRPr="002E6ECA">
        <w:rPr>
          <w:rFonts w:eastAsiaTheme="minorHAnsi"/>
          <w:sz w:val="28"/>
          <w:szCs w:val="28"/>
          <w:lang w:val="uk-UA" w:eastAsia="en-US"/>
        </w:rPr>
        <w:t>. Doctoral thesis. Rovaniemi, Finland, University of Lapland, 2010.</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147" w:history="1">
        <w:r w:rsidR="00020FED" w:rsidRPr="002E6ECA">
          <w:rPr>
            <w:rFonts w:eastAsiaTheme="minorHAnsi"/>
            <w:sz w:val="28"/>
            <w:szCs w:val="28"/>
            <w:lang w:val="uk-UA" w:eastAsia="en-US"/>
          </w:rPr>
          <w:t>Alabi</w:t>
        </w:r>
      </w:hyperlink>
      <w:r w:rsidR="00020FED" w:rsidRPr="002E6ECA">
        <w:rPr>
          <w:sz w:val="28"/>
          <w:szCs w:val="28"/>
          <w:lang w:val="uk-UA"/>
        </w:rPr>
        <w:t> </w:t>
      </w:r>
      <w:r w:rsidR="00020FED" w:rsidRPr="002E6ECA">
        <w:rPr>
          <w:rFonts w:eastAsiaTheme="minorHAnsi"/>
          <w:sz w:val="28"/>
          <w:szCs w:val="28"/>
          <w:lang w:val="uk-UA" w:eastAsia="en-US"/>
        </w:rPr>
        <w:t>A.</w:t>
      </w:r>
      <w:r w:rsidR="00020FED" w:rsidRPr="002E6ECA">
        <w:rPr>
          <w:sz w:val="28"/>
          <w:szCs w:val="28"/>
          <w:lang w:val="uk-UA"/>
        </w:rPr>
        <w:t> </w:t>
      </w:r>
      <w:r w:rsidR="00020FED" w:rsidRPr="002E6ECA">
        <w:rPr>
          <w:rFonts w:eastAsiaTheme="minorHAnsi"/>
          <w:sz w:val="28"/>
          <w:szCs w:val="28"/>
          <w:lang w:val="uk-UA" w:eastAsia="en-US"/>
        </w:rPr>
        <w:t>S.,</w:t>
      </w:r>
      <w:hyperlink r:id="rId148" w:history="1">
        <w:r w:rsidR="00020FED" w:rsidRPr="002E6ECA">
          <w:rPr>
            <w:rFonts w:eastAsiaTheme="minorHAnsi"/>
            <w:sz w:val="28"/>
            <w:szCs w:val="28"/>
            <w:lang w:val="uk-UA" w:eastAsia="en-US"/>
          </w:rPr>
          <w:t xml:space="preserve"> Aribaba</w:t>
        </w:r>
      </w:hyperlink>
      <w:r w:rsidR="00020FED" w:rsidRPr="002E6ECA">
        <w:rPr>
          <w:sz w:val="28"/>
          <w:szCs w:val="28"/>
          <w:lang w:val="uk-UA"/>
        </w:rPr>
        <w:t> </w:t>
      </w:r>
      <w:r w:rsidR="00020FED" w:rsidRPr="002E6ECA">
        <w:rPr>
          <w:rFonts w:eastAsiaTheme="minorHAnsi"/>
          <w:sz w:val="28"/>
          <w:szCs w:val="28"/>
          <w:lang w:val="uk-UA" w:eastAsia="en-US"/>
        </w:rPr>
        <w:t>O.</w:t>
      </w:r>
      <w:r w:rsidR="00020FED" w:rsidRPr="002E6ECA">
        <w:rPr>
          <w:sz w:val="28"/>
          <w:szCs w:val="28"/>
          <w:lang w:val="uk-UA"/>
        </w:rPr>
        <w:t> </w:t>
      </w:r>
      <w:r w:rsidR="00020FED" w:rsidRPr="002E6ECA">
        <w:rPr>
          <w:rFonts w:eastAsiaTheme="minorHAnsi"/>
          <w:sz w:val="28"/>
          <w:szCs w:val="28"/>
          <w:lang w:val="uk-UA" w:eastAsia="en-US"/>
        </w:rPr>
        <w:t>T.,</w:t>
      </w:r>
      <w:hyperlink r:id="rId149" w:history="1">
        <w:r w:rsidR="00020FED" w:rsidRPr="002E6ECA">
          <w:rPr>
            <w:rFonts w:eastAsiaTheme="minorHAnsi"/>
            <w:sz w:val="28"/>
            <w:szCs w:val="28"/>
            <w:lang w:val="uk-UA" w:eastAsia="en-US"/>
          </w:rPr>
          <w:t xml:space="preserve"> Alabi</w:t>
        </w:r>
      </w:hyperlink>
      <w:r w:rsidR="00020FED" w:rsidRPr="002E6ECA">
        <w:rPr>
          <w:sz w:val="28"/>
          <w:szCs w:val="28"/>
          <w:lang w:val="uk-UA"/>
        </w:rPr>
        <w:t> </w:t>
      </w:r>
      <w:r w:rsidR="00020FED" w:rsidRPr="002E6ECA">
        <w:rPr>
          <w:rFonts w:eastAsiaTheme="minorHAnsi"/>
          <w:sz w:val="28"/>
          <w:szCs w:val="28"/>
          <w:lang w:val="uk-UA" w:eastAsia="en-US"/>
        </w:rPr>
        <w:t>A.</w:t>
      </w:r>
      <w:r w:rsidR="00020FED" w:rsidRPr="002E6ECA">
        <w:rPr>
          <w:sz w:val="28"/>
          <w:szCs w:val="28"/>
          <w:lang w:val="uk-UA"/>
        </w:rPr>
        <w:t> </w:t>
      </w:r>
      <w:r w:rsidR="00020FED" w:rsidRPr="002E6ECA">
        <w:rPr>
          <w:rFonts w:eastAsiaTheme="minorHAnsi"/>
          <w:sz w:val="28"/>
          <w:szCs w:val="28"/>
          <w:lang w:val="uk-UA" w:eastAsia="en-US"/>
        </w:rPr>
        <w:t>O.,</w:t>
      </w:r>
      <w:hyperlink r:id="rId150" w:history="1">
        <w:r w:rsidR="00020FED" w:rsidRPr="002E6ECA">
          <w:rPr>
            <w:rFonts w:eastAsiaTheme="minorHAnsi"/>
            <w:sz w:val="28"/>
            <w:szCs w:val="28"/>
            <w:lang w:val="uk-UA" w:eastAsia="en-US"/>
          </w:rPr>
          <w:t xml:space="preserve"> Ilo</w:t>
        </w:r>
      </w:hyperlink>
      <w:r w:rsidR="00020FED" w:rsidRPr="002E6ECA">
        <w:rPr>
          <w:sz w:val="28"/>
          <w:szCs w:val="28"/>
          <w:lang w:val="uk-UA"/>
        </w:rPr>
        <w:t> </w:t>
      </w:r>
      <w:r w:rsidR="00020FED" w:rsidRPr="002E6ECA">
        <w:rPr>
          <w:rFonts w:eastAsiaTheme="minorHAnsi"/>
          <w:sz w:val="28"/>
          <w:szCs w:val="28"/>
          <w:lang w:val="uk-UA" w:eastAsia="en-US"/>
        </w:rPr>
        <w:t>O.,</w:t>
      </w:r>
      <w:hyperlink r:id="rId151" w:history="1">
        <w:r w:rsidR="00020FED" w:rsidRPr="002E6ECA">
          <w:rPr>
            <w:rFonts w:eastAsiaTheme="minorHAnsi"/>
            <w:sz w:val="28"/>
            <w:szCs w:val="28"/>
            <w:lang w:val="uk-UA" w:eastAsia="en-US"/>
          </w:rPr>
          <w:t xml:space="preserve"> Onakoya</w:t>
        </w:r>
      </w:hyperlink>
      <w:r w:rsidR="00020FED" w:rsidRPr="002E6ECA">
        <w:rPr>
          <w:sz w:val="28"/>
          <w:szCs w:val="28"/>
          <w:lang w:val="uk-UA"/>
        </w:rPr>
        <w:t> </w:t>
      </w:r>
      <w:r w:rsidR="00020FED" w:rsidRPr="002E6ECA">
        <w:rPr>
          <w:rFonts w:eastAsiaTheme="minorHAnsi"/>
          <w:sz w:val="28"/>
          <w:szCs w:val="28"/>
          <w:lang w:val="uk-UA" w:eastAsia="en-US"/>
        </w:rPr>
        <w:t>A.</w:t>
      </w:r>
      <w:r w:rsidR="00020FED" w:rsidRPr="002E6ECA">
        <w:rPr>
          <w:sz w:val="28"/>
          <w:szCs w:val="28"/>
          <w:lang w:val="uk-UA"/>
        </w:rPr>
        <w:t> </w:t>
      </w:r>
      <w:r w:rsidR="00020FED" w:rsidRPr="002E6ECA">
        <w:rPr>
          <w:rFonts w:eastAsiaTheme="minorHAnsi"/>
          <w:sz w:val="28"/>
          <w:szCs w:val="28"/>
          <w:lang w:val="uk-UA" w:eastAsia="en-US"/>
        </w:rPr>
        <w:t>O.,</w:t>
      </w:r>
      <w:hyperlink r:id="rId152" w:history="1">
        <w:r w:rsidR="00020FED" w:rsidRPr="002E6ECA">
          <w:rPr>
            <w:rFonts w:eastAsiaTheme="minorHAnsi"/>
            <w:sz w:val="28"/>
            <w:szCs w:val="28"/>
            <w:lang w:val="uk-UA" w:eastAsia="en-US"/>
          </w:rPr>
          <w:t xml:space="preserve"> Akinsola</w:t>
        </w:r>
      </w:hyperlink>
      <w:r w:rsidR="00020FED" w:rsidRPr="002E6ECA">
        <w:rPr>
          <w:sz w:val="28"/>
          <w:szCs w:val="28"/>
          <w:lang w:val="uk-UA"/>
        </w:rPr>
        <w:t> </w:t>
      </w:r>
      <w:r w:rsidR="00020FED" w:rsidRPr="002E6ECA">
        <w:rPr>
          <w:rFonts w:eastAsiaTheme="minorHAnsi"/>
          <w:sz w:val="28"/>
          <w:szCs w:val="28"/>
          <w:lang w:val="uk-UA" w:eastAsia="en-US"/>
        </w:rPr>
        <w:t>F.</w:t>
      </w:r>
      <w:r w:rsidR="00020FED" w:rsidRPr="002E6ECA">
        <w:rPr>
          <w:sz w:val="28"/>
          <w:szCs w:val="28"/>
          <w:lang w:val="uk-UA"/>
        </w:rPr>
        <w:t> </w:t>
      </w:r>
      <w:r w:rsidR="00020FED" w:rsidRPr="002E6ECA">
        <w:rPr>
          <w:rFonts w:eastAsiaTheme="minorHAnsi"/>
          <w:sz w:val="28"/>
          <w:szCs w:val="28"/>
          <w:lang w:val="uk-UA" w:eastAsia="en-US"/>
        </w:rPr>
        <w:t xml:space="preserve">B. </w:t>
      </w:r>
      <w:r w:rsidR="00020FED" w:rsidRPr="002E6ECA">
        <w:rPr>
          <w:rFonts w:eastAsiaTheme="minorHAnsi"/>
          <w:bCs/>
          <w:sz w:val="28"/>
          <w:szCs w:val="28"/>
          <w:lang w:val="uk-UA" w:eastAsia="en-US"/>
        </w:rPr>
        <w:t xml:space="preserve">Visual impairment and ocular morbidities among schoolchildren in Southwest, Nigeria. </w:t>
      </w:r>
      <w:r w:rsidR="00020FED" w:rsidRPr="002E6ECA">
        <w:rPr>
          <w:rFonts w:eastAsiaTheme="minorHAnsi"/>
          <w:bCs/>
          <w:i/>
          <w:sz w:val="28"/>
          <w:szCs w:val="28"/>
          <w:lang w:val="uk-UA" w:eastAsia="en-US"/>
        </w:rPr>
        <w:t>Niger Postgrad Med J</w:t>
      </w:r>
      <w:r w:rsidR="00020FED" w:rsidRPr="002E6ECA">
        <w:rPr>
          <w:rFonts w:eastAsiaTheme="minorHAnsi"/>
          <w:bCs/>
          <w:sz w:val="28"/>
          <w:szCs w:val="28"/>
          <w:lang w:val="uk-UA" w:eastAsia="en-US"/>
        </w:rPr>
        <w:t xml:space="preserve">. 2018. Jul-Sep. Vol. 25 (3). P. 166-171. doi: 10.4103/npmj.npmj_85_18.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Alexander</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E., O'Boyle</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W., Benbow</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 xml:space="preserve">P. Developmentally advanced EEG alpha power in gifted male and female adolescents. </w:t>
      </w:r>
      <w:r w:rsidRPr="002E6ECA">
        <w:rPr>
          <w:rFonts w:eastAsiaTheme="minorHAnsi"/>
          <w:i/>
          <w:sz w:val="28"/>
          <w:szCs w:val="28"/>
          <w:lang w:val="uk-UA" w:eastAsia="en-US"/>
        </w:rPr>
        <w:t>Int J Psychophysiol</w:t>
      </w:r>
      <w:r w:rsidRPr="002E6ECA">
        <w:rPr>
          <w:rFonts w:eastAsiaTheme="minorHAnsi"/>
          <w:sz w:val="28"/>
          <w:szCs w:val="28"/>
          <w:lang w:val="uk-UA" w:eastAsia="en-US"/>
        </w:rPr>
        <w:t>. 1996. Vol. 23 (1-2). Р. 25-31. doi: 10.1016/0167-8760(96)00031-1.</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53" w:tooltip="Найти еще записи для этого автора" w:history="1">
        <w:r w:rsidR="00020FED" w:rsidRPr="002E6ECA">
          <w:rPr>
            <w:rFonts w:eastAsiaTheme="minorHAnsi"/>
            <w:sz w:val="28"/>
            <w:szCs w:val="28"/>
            <w:lang w:val="uk-UA" w:eastAsia="en-US"/>
          </w:rPr>
          <w:t>Allafi</w:t>
        </w:r>
        <w:r w:rsidR="00020FED" w:rsidRPr="002E6ECA">
          <w:rPr>
            <w:sz w:val="28"/>
            <w:szCs w:val="28"/>
            <w:lang w:val="uk-UA"/>
          </w:rPr>
          <w:t> </w:t>
        </w:r>
        <w:r w:rsidR="00020FED" w:rsidRPr="002E6ECA">
          <w:rPr>
            <w:rFonts w:eastAsiaTheme="minorHAnsi"/>
            <w:sz w:val="28"/>
            <w:szCs w:val="28"/>
            <w:lang w:val="uk-UA" w:eastAsia="en-US"/>
          </w:rPr>
          <w:t>A.</w:t>
        </w:r>
        <w:r w:rsidR="00020FED" w:rsidRPr="002E6ECA">
          <w:rPr>
            <w:sz w:val="28"/>
            <w:szCs w:val="28"/>
            <w:lang w:val="uk-UA"/>
          </w:rPr>
          <w:t> </w:t>
        </w:r>
        <w:r w:rsidR="00020FED" w:rsidRPr="002E6ECA">
          <w:rPr>
            <w:rFonts w:eastAsiaTheme="minorHAnsi"/>
            <w:sz w:val="28"/>
            <w:szCs w:val="28"/>
            <w:lang w:val="uk-UA" w:eastAsia="en-US"/>
          </w:rPr>
          <w:t>R</w:t>
        </w:r>
      </w:hyperlink>
      <w:r w:rsidR="00020FED" w:rsidRPr="002E6ECA">
        <w:rPr>
          <w:rFonts w:eastAsiaTheme="minorHAnsi"/>
          <w:sz w:val="28"/>
          <w:szCs w:val="28"/>
          <w:lang w:val="uk-UA" w:eastAsia="en-US"/>
        </w:rPr>
        <w:t xml:space="preserve">. Effects of rewards and pedometer-feedback on children's physical activity: a school-based intervention study. </w:t>
      </w:r>
      <w:r w:rsidR="00020FED" w:rsidRPr="002E6ECA">
        <w:rPr>
          <w:rFonts w:eastAsiaTheme="minorHAnsi"/>
          <w:i/>
          <w:sz w:val="28"/>
          <w:szCs w:val="28"/>
          <w:lang w:val="uk-UA" w:eastAsia="en-US"/>
        </w:rPr>
        <w:t>Progress in nutrition</w:t>
      </w:r>
      <w:r w:rsidR="00020FED" w:rsidRPr="002E6ECA">
        <w:rPr>
          <w:rFonts w:eastAsiaTheme="minorHAnsi"/>
          <w:sz w:val="28"/>
          <w:szCs w:val="28"/>
          <w:lang w:val="uk-UA" w:eastAsia="en-US"/>
        </w:rPr>
        <w:t>. 2020. Vol. 1 (22). P. 122-126. DOI: 10.23751/pn.v22i1.8117</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54" w:history="1">
        <w:r w:rsidR="00020FED" w:rsidRPr="002E6ECA">
          <w:rPr>
            <w:rFonts w:eastAsiaTheme="minorHAnsi"/>
            <w:sz w:val="28"/>
            <w:szCs w:val="28"/>
            <w:lang w:val="uk-UA" w:eastAsia="en-US"/>
          </w:rPr>
          <w:t>Antwi</w:t>
        </w:r>
        <w:r w:rsidR="00020FED" w:rsidRPr="002E6ECA">
          <w:rPr>
            <w:sz w:val="28"/>
            <w:szCs w:val="28"/>
            <w:lang w:val="uk-UA"/>
          </w:rPr>
          <w:t> </w:t>
        </w:r>
        <w:r w:rsidR="00020FED" w:rsidRPr="002E6ECA">
          <w:rPr>
            <w:rFonts w:eastAsiaTheme="minorHAnsi"/>
            <w:sz w:val="28"/>
            <w:szCs w:val="28"/>
            <w:lang w:val="uk-UA" w:eastAsia="en-US"/>
          </w:rPr>
          <w:t>F</w:t>
        </w:r>
      </w:hyperlink>
      <w:r w:rsidR="00020FED" w:rsidRPr="002E6ECA">
        <w:rPr>
          <w:rFonts w:eastAsiaTheme="minorHAnsi"/>
          <w:sz w:val="28"/>
          <w:szCs w:val="28"/>
          <w:lang w:val="uk-UA" w:eastAsia="en-US"/>
        </w:rPr>
        <w:t xml:space="preserve">., </w:t>
      </w:r>
      <w:hyperlink r:id="rId155" w:history="1">
        <w:r w:rsidR="00020FED" w:rsidRPr="002E6ECA">
          <w:rPr>
            <w:rFonts w:eastAsiaTheme="minorHAnsi"/>
            <w:sz w:val="28"/>
            <w:szCs w:val="28"/>
            <w:lang w:val="uk-UA" w:eastAsia="en-US"/>
          </w:rPr>
          <w:t>Fazylova</w:t>
        </w:r>
        <w:r w:rsidR="00020FED" w:rsidRPr="002E6ECA">
          <w:rPr>
            <w:sz w:val="28"/>
            <w:szCs w:val="28"/>
            <w:lang w:val="uk-UA"/>
          </w:rPr>
          <w:t> </w:t>
        </w:r>
        <w:r w:rsidR="00020FED" w:rsidRPr="002E6ECA">
          <w:rPr>
            <w:rFonts w:eastAsiaTheme="minorHAnsi"/>
            <w:sz w:val="28"/>
            <w:szCs w:val="28"/>
            <w:lang w:val="uk-UA" w:eastAsia="en-US"/>
          </w:rPr>
          <w:t>N</w:t>
        </w:r>
      </w:hyperlink>
      <w:r w:rsidR="00020FED" w:rsidRPr="002E6ECA">
        <w:rPr>
          <w:rFonts w:eastAsiaTheme="minorHAnsi"/>
          <w:sz w:val="28"/>
          <w:szCs w:val="28"/>
          <w:lang w:val="uk-UA" w:eastAsia="en-US"/>
        </w:rPr>
        <w:t xml:space="preserve">., </w:t>
      </w:r>
      <w:hyperlink r:id="rId156" w:history="1">
        <w:r w:rsidR="00020FED" w:rsidRPr="002E6ECA">
          <w:rPr>
            <w:rFonts w:eastAsiaTheme="minorHAnsi"/>
            <w:sz w:val="28"/>
            <w:szCs w:val="28"/>
            <w:lang w:val="uk-UA" w:eastAsia="en-US"/>
          </w:rPr>
          <w:t>Garcon</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C</w:t>
        </w:r>
      </w:hyperlink>
      <w:r w:rsidR="00020FED" w:rsidRPr="002E6ECA">
        <w:rPr>
          <w:rFonts w:eastAsiaTheme="minorHAnsi"/>
          <w:sz w:val="28"/>
          <w:szCs w:val="28"/>
          <w:lang w:val="uk-UA" w:eastAsia="en-US"/>
        </w:rPr>
        <w:t xml:space="preserve">., </w:t>
      </w:r>
      <w:hyperlink r:id="rId157" w:history="1">
        <w:r w:rsidR="00020FED" w:rsidRPr="002E6ECA">
          <w:rPr>
            <w:rFonts w:eastAsiaTheme="minorHAnsi"/>
            <w:sz w:val="28"/>
            <w:szCs w:val="28"/>
            <w:lang w:val="uk-UA" w:eastAsia="en-US"/>
          </w:rPr>
          <w:t>Lopez</w:t>
        </w:r>
        <w:r w:rsidR="00020FED" w:rsidRPr="002E6ECA">
          <w:rPr>
            <w:sz w:val="28"/>
            <w:szCs w:val="28"/>
            <w:lang w:val="uk-UA"/>
          </w:rPr>
          <w:t> </w:t>
        </w:r>
        <w:r w:rsidR="00020FED" w:rsidRPr="002E6ECA">
          <w:rPr>
            <w:rFonts w:eastAsiaTheme="minorHAnsi"/>
            <w:sz w:val="28"/>
            <w:szCs w:val="28"/>
            <w:lang w:val="uk-UA" w:eastAsia="en-US"/>
          </w:rPr>
          <w:t>L</w:t>
        </w:r>
      </w:hyperlink>
      <w:r w:rsidR="00020FED" w:rsidRPr="002E6ECA">
        <w:rPr>
          <w:rFonts w:eastAsiaTheme="minorHAnsi"/>
          <w:sz w:val="28"/>
          <w:szCs w:val="28"/>
          <w:lang w:val="uk-UA" w:eastAsia="en-US"/>
        </w:rPr>
        <w:t xml:space="preserve">., </w:t>
      </w:r>
      <w:hyperlink r:id="rId158" w:history="1">
        <w:r w:rsidR="00020FED" w:rsidRPr="002E6ECA">
          <w:rPr>
            <w:rFonts w:eastAsiaTheme="minorHAnsi"/>
            <w:sz w:val="28"/>
            <w:szCs w:val="28"/>
            <w:lang w:val="uk-UA" w:eastAsia="en-US"/>
          </w:rPr>
          <w:t>Rubiano</w:t>
        </w:r>
        <w:r w:rsidR="00020FED" w:rsidRPr="002E6ECA">
          <w:rPr>
            <w:sz w:val="28"/>
            <w:szCs w:val="28"/>
            <w:lang w:val="uk-UA"/>
          </w:rPr>
          <w:t> </w:t>
        </w:r>
        <w:r w:rsidR="00020FED" w:rsidRPr="002E6ECA">
          <w:rPr>
            <w:rFonts w:eastAsiaTheme="minorHAnsi"/>
            <w:sz w:val="28"/>
            <w:szCs w:val="28"/>
            <w:lang w:val="uk-UA" w:eastAsia="en-US"/>
          </w:rPr>
          <w:t>R</w:t>
        </w:r>
      </w:hyperlink>
      <w:r w:rsidR="00020FED" w:rsidRPr="002E6ECA">
        <w:rPr>
          <w:rFonts w:eastAsiaTheme="minorHAnsi"/>
          <w:sz w:val="28"/>
          <w:szCs w:val="28"/>
          <w:lang w:val="uk-UA" w:eastAsia="en-US"/>
        </w:rPr>
        <w:t xml:space="preserve">., </w:t>
      </w:r>
      <w:hyperlink r:id="rId159" w:history="1">
        <w:r w:rsidR="00020FED" w:rsidRPr="002E6ECA">
          <w:rPr>
            <w:rFonts w:eastAsiaTheme="minorHAnsi"/>
            <w:sz w:val="28"/>
            <w:szCs w:val="28"/>
            <w:lang w:val="uk-UA" w:eastAsia="en-US"/>
          </w:rPr>
          <w:t>Slyer</w:t>
        </w:r>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T</w:t>
        </w:r>
      </w:hyperlink>
      <w:r w:rsidR="00020FED" w:rsidRPr="002E6ECA">
        <w:rPr>
          <w:rFonts w:eastAsiaTheme="minorHAnsi"/>
          <w:sz w:val="28"/>
          <w:szCs w:val="28"/>
          <w:lang w:val="uk-UA" w:eastAsia="en-US"/>
        </w:rPr>
        <w:t xml:space="preserve">. The effectiveness of web-based programs on the reduction of childhood obesity in school-aged children: A systematic review. </w:t>
      </w:r>
      <w:hyperlink r:id="rId160" w:tooltip="JBI library of systematic reviews." w:history="1">
        <w:r w:rsidR="00020FED" w:rsidRPr="002E6ECA">
          <w:rPr>
            <w:rFonts w:eastAsiaTheme="minorHAnsi"/>
            <w:i/>
            <w:sz w:val="28"/>
            <w:szCs w:val="28"/>
            <w:lang w:val="uk-UA" w:eastAsia="en-US"/>
          </w:rPr>
          <w:t>JBI Libr Syst Rev</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2012. Vol. 10 (42 Suppl). Р. 1-14. DOI:</w:t>
      </w:r>
      <w:hyperlink r:id="rId161" w:tgtFrame="_blank" w:history="1">
        <w:r w:rsidR="00020FED" w:rsidRPr="002E6ECA">
          <w:rPr>
            <w:rFonts w:eastAsiaTheme="minorHAnsi"/>
            <w:sz w:val="28"/>
            <w:szCs w:val="28"/>
            <w:lang w:val="uk-UA" w:eastAsia="en-US"/>
          </w:rPr>
          <w:t>10.11124/jbisrir-2012-248</w:t>
        </w:r>
      </w:hyperlink>
      <w:r w:rsidR="00020FED"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Apouey</w:t>
      </w:r>
      <w:r w:rsidRPr="002E6ECA">
        <w:rPr>
          <w:sz w:val="28"/>
          <w:szCs w:val="28"/>
          <w:lang w:val="uk-UA"/>
        </w:rPr>
        <w:t> </w:t>
      </w:r>
      <w:r w:rsidRPr="002E6ECA">
        <w:rPr>
          <w:rFonts w:eastAsiaTheme="minorHAnsi"/>
          <w:sz w:val="28"/>
          <w:szCs w:val="28"/>
          <w:lang w:val="uk-UA" w:eastAsia="en-US"/>
        </w:rPr>
        <w:t>B.</w:t>
      </w:r>
      <w:r w:rsidRPr="002E6ECA">
        <w:rPr>
          <w:sz w:val="28"/>
          <w:szCs w:val="28"/>
          <w:lang w:val="uk-UA"/>
        </w:rPr>
        <w:t> </w:t>
      </w:r>
      <w:r w:rsidRPr="002E6ECA">
        <w:rPr>
          <w:rFonts w:eastAsiaTheme="minorHAnsi"/>
          <w:sz w:val="28"/>
          <w:szCs w:val="28"/>
          <w:lang w:val="uk-UA" w:eastAsia="en-US"/>
        </w:rPr>
        <w:t xml:space="preserve">H. Child physical development in the UK: the imprint of time and socioeconomic status. </w:t>
      </w:r>
      <w:r w:rsidRPr="002E6ECA">
        <w:rPr>
          <w:rFonts w:eastAsiaTheme="minorHAnsi"/>
          <w:i/>
          <w:sz w:val="28"/>
          <w:szCs w:val="28"/>
          <w:lang w:val="uk-UA" w:eastAsia="en-US"/>
        </w:rPr>
        <w:t>Public Health</w:t>
      </w:r>
      <w:r w:rsidRPr="002E6ECA">
        <w:rPr>
          <w:rFonts w:eastAsiaTheme="minorHAnsi"/>
          <w:sz w:val="28"/>
          <w:szCs w:val="28"/>
          <w:lang w:val="uk-UA" w:eastAsia="en-US"/>
        </w:rPr>
        <w:t>. 2016. Vol. 141. Р. 255-263. doi: 10.1016/j.puhe.2016.09.004.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Ardic</w:t>
      </w:r>
      <w:r w:rsidRPr="002E6ECA">
        <w:rPr>
          <w:sz w:val="28"/>
          <w:szCs w:val="28"/>
          <w:lang w:val="uk-UA"/>
        </w:rPr>
        <w:t> </w:t>
      </w:r>
      <w:r w:rsidRPr="002E6ECA">
        <w:rPr>
          <w:rFonts w:eastAsiaTheme="minorHAnsi"/>
          <w:sz w:val="28"/>
          <w:szCs w:val="28"/>
          <w:lang w:val="uk-UA" w:eastAsia="en-US"/>
        </w:rPr>
        <w:t>A., Esin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N. Factors Associated With Healthy Lifestyle Behaviors in a Sample of Turkish Adolescents: A School-Based Study. </w:t>
      </w:r>
      <w:r w:rsidRPr="002E6ECA">
        <w:rPr>
          <w:rFonts w:eastAsiaTheme="minorHAnsi"/>
          <w:i/>
          <w:sz w:val="28"/>
          <w:szCs w:val="28"/>
          <w:lang w:val="uk-UA" w:eastAsia="en-US"/>
        </w:rPr>
        <w:t>J Transcult Nurs</w:t>
      </w:r>
      <w:r w:rsidRPr="002E6ECA">
        <w:rPr>
          <w:rFonts w:eastAsiaTheme="minorHAnsi"/>
          <w:sz w:val="28"/>
          <w:szCs w:val="28"/>
          <w:lang w:val="uk-UA" w:eastAsia="en-US"/>
        </w:rPr>
        <w:t>. 2016. Vol. 27 (6). Р. 583-592. DOI: 10.1177/1043659615587585.</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62" w:history="1">
        <w:r w:rsidR="00020FED" w:rsidRPr="002E6ECA">
          <w:rPr>
            <w:rFonts w:eastAsiaTheme="minorHAnsi"/>
            <w:sz w:val="28"/>
            <w:szCs w:val="28"/>
            <w:lang w:val="uk-UA" w:eastAsia="en-US"/>
          </w:rPr>
          <w:t>Ariza</w:t>
        </w:r>
      </w:hyperlink>
      <w:r w:rsidR="00020FED" w:rsidRPr="002E6ECA">
        <w:rPr>
          <w:sz w:val="28"/>
          <w:szCs w:val="28"/>
          <w:lang w:val="uk-UA"/>
        </w:rPr>
        <w:t> </w:t>
      </w:r>
      <w:r w:rsidR="00020FED" w:rsidRPr="002E6ECA">
        <w:rPr>
          <w:rFonts w:eastAsiaTheme="minorHAnsi"/>
          <w:sz w:val="28"/>
          <w:szCs w:val="28"/>
          <w:lang w:val="uk-UA" w:eastAsia="en-US"/>
        </w:rPr>
        <w:t xml:space="preserve">C., </w:t>
      </w:r>
      <w:hyperlink r:id="rId163" w:history="1">
        <w:r w:rsidR="00020FED" w:rsidRPr="002E6ECA">
          <w:rPr>
            <w:rFonts w:eastAsiaTheme="minorHAnsi"/>
            <w:sz w:val="28"/>
            <w:szCs w:val="28"/>
            <w:lang w:val="uk-UA" w:eastAsia="en-US"/>
          </w:rPr>
          <w:t>Sánchez-Martínez</w:t>
        </w:r>
      </w:hyperlink>
      <w:r w:rsidR="00020FED" w:rsidRPr="002E6ECA">
        <w:rPr>
          <w:sz w:val="28"/>
          <w:szCs w:val="28"/>
          <w:lang w:val="uk-UA"/>
        </w:rPr>
        <w:t> </w:t>
      </w:r>
      <w:r w:rsidR="00020FED" w:rsidRPr="002E6ECA">
        <w:rPr>
          <w:rFonts w:eastAsiaTheme="minorHAnsi"/>
          <w:sz w:val="28"/>
          <w:szCs w:val="28"/>
          <w:lang w:val="uk-UA" w:eastAsia="en-US"/>
        </w:rPr>
        <w:t xml:space="preserve">F., </w:t>
      </w:r>
      <w:hyperlink r:id="rId164" w:history="1">
        <w:r w:rsidR="00020FED" w:rsidRPr="002E6ECA">
          <w:rPr>
            <w:rFonts w:eastAsiaTheme="minorHAnsi"/>
            <w:sz w:val="28"/>
            <w:szCs w:val="28"/>
            <w:lang w:val="uk-UA" w:eastAsia="en-US"/>
          </w:rPr>
          <w:t>Serral</w:t>
        </w:r>
      </w:hyperlink>
      <w:r w:rsidR="00020FED" w:rsidRPr="002E6ECA">
        <w:rPr>
          <w:sz w:val="28"/>
          <w:szCs w:val="28"/>
          <w:lang w:val="uk-UA"/>
        </w:rPr>
        <w:t> </w:t>
      </w:r>
      <w:r w:rsidR="00020FED" w:rsidRPr="002E6ECA">
        <w:rPr>
          <w:rFonts w:eastAsiaTheme="minorHAnsi"/>
          <w:sz w:val="28"/>
          <w:szCs w:val="28"/>
          <w:lang w:val="uk-UA" w:eastAsia="en-US"/>
        </w:rPr>
        <w:t xml:space="preserve">G., </w:t>
      </w:r>
      <w:hyperlink r:id="rId165" w:history="1">
        <w:r w:rsidR="00020FED" w:rsidRPr="002E6ECA">
          <w:rPr>
            <w:rFonts w:eastAsiaTheme="minorHAnsi"/>
            <w:sz w:val="28"/>
            <w:szCs w:val="28"/>
            <w:lang w:val="uk-UA" w:eastAsia="en-US"/>
          </w:rPr>
          <w:t>Valmayor</w:t>
        </w:r>
      </w:hyperlink>
      <w:r w:rsidR="00020FED" w:rsidRPr="002E6ECA">
        <w:rPr>
          <w:sz w:val="28"/>
          <w:szCs w:val="28"/>
          <w:lang w:val="uk-UA"/>
        </w:rPr>
        <w:t> </w:t>
      </w:r>
      <w:r w:rsidR="00020FED" w:rsidRPr="002E6ECA">
        <w:rPr>
          <w:rFonts w:eastAsiaTheme="minorHAnsi"/>
          <w:sz w:val="28"/>
          <w:szCs w:val="28"/>
          <w:lang w:val="uk-UA" w:eastAsia="en-US"/>
        </w:rPr>
        <w:t xml:space="preserve">S., </w:t>
      </w:r>
      <w:hyperlink r:id="rId166" w:history="1">
        <w:r w:rsidR="00020FED" w:rsidRPr="002E6ECA">
          <w:rPr>
            <w:rFonts w:eastAsiaTheme="minorHAnsi"/>
            <w:sz w:val="28"/>
            <w:szCs w:val="28"/>
            <w:lang w:val="uk-UA" w:eastAsia="en-US"/>
          </w:rPr>
          <w:t>Juárez</w:t>
        </w:r>
      </w:hyperlink>
      <w:r w:rsidR="00020FED" w:rsidRPr="002E6ECA">
        <w:rPr>
          <w:sz w:val="28"/>
          <w:szCs w:val="28"/>
          <w:lang w:val="uk-UA"/>
        </w:rPr>
        <w:t> </w:t>
      </w:r>
      <w:r w:rsidR="00020FED" w:rsidRPr="002E6ECA">
        <w:rPr>
          <w:rFonts w:eastAsiaTheme="minorHAnsi"/>
          <w:sz w:val="28"/>
          <w:szCs w:val="28"/>
          <w:lang w:val="uk-UA" w:eastAsia="en-US"/>
        </w:rPr>
        <w:t xml:space="preserve">O., </w:t>
      </w:r>
      <w:hyperlink r:id="rId167" w:history="1">
        <w:r w:rsidR="00020FED" w:rsidRPr="002E6ECA">
          <w:rPr>
            <w:rFonts w:eastAsiaTheme="minorHAnsi"/>
            <w:sz w:val="28"/>
            <w:szCs w:val="28"/>
            <w:lang w:val="uk-UA" w:eastAsia="en-US"/>
          </w:rPr>
          <w:t>Pasarín</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 xml:space="preserve">I., </w:t>
      </w:r>
      <w:hyperlink r:id="rId168" w:history="1">
        <w:r w:rsidR="00020FED" w:rsidRPr="002E6ECA">
          <w:rPr>
            <w:rFonts w:eastAsiaTheme="minorHAnsi"/>
            <w:sz w:val="28"/>
            <w:szCs w:val="28"/>
            <w:lang w:val="uk-UA" w:eastAsia="en-US"/>
          </w:rPr>
          <w:t>Castell</w:t>
        </w:r>
      </w:hyperlink>
      <w:r w:rsidR="00020FED" w:rsidRPr="002E6ECA">
        <w:rPr>
          <w:sz w:val="28"/>
          <w:szCs w:val="28"/>
          <w:lang w:val="uk-UA"/>
        </w:rPr>
        <w:t> </w:t>
      </w:r>
      <w:r w:rsidR="00020FED" w:rsidRPr="002E6ECA">
        <w:rPr>
          <w:rFonts w:eastAsiaTheme="minorHAnsi"/>
          <w:sz w:val="28"/>
          <w:szCs w:val="28"/>
          <w:lang w:val="uk-UA" w:eastAsia="en-US"/>
        </w:rPr>
        <w:t xml:space="preserve">C., </w:t>
      </w:r>
      <w:hyperlink r:id="rId169" w:history="1">
        <w:r w:rsidR="00020FED" w:rsidRPr="002E6ECA">
          <w:rPr>
            <w:rFonts w:eastAsiaTheme="minorHAnsi"/>
            <w:sz w:val="28"/>
            <w:szCs w:val="28"/>
            <w:lang w:val="uk-UA" w:eastAsia="en-US"/>
          </w:rPr>
          <w:t>Rajmil</w:t>
        </w:r>
      </w:hyperlink>
      <w:r w:rsidR="00020FED" w:rsidRPr="002E6ECA">
        <w:rPr>
          <w:sz w:val="28"/>
          <w:szCs w:val="28"/>
          <w:lang w:val="uk-UA"/>
        </w:rPr>
        <w:t> </w:t>
      </w:r>
      <w:r w:rsidR="00020FED" w:rsidRPr="002E6ECA">
        <w:rPr>
          <w:rFonts w:eastAsiaTheme="minorHAnsi"/>
          <w:sz w:val="28"/>
          <w:szCs w:val="28"/>
          <w:lang w:val="uk-UA" w:eastAsia="en-US"/>
        </w:rPr>
        <w:t>L.,</w:t>
      </w:r>
      <w:hyperlink r:id="rId170" w:history="1">
        <w:r w:rsidR="00020FED" w:rsidRPr="002E6ECA">
          <w:rPr>
            <w:rFonts w:eastAsiaTheme="minorHAnsi"/>
            <w:sz w:val="28"/>
            <w:szCs w:val="28"/>
            <w:lang w:val="uk-UA" w:eastAsia="en-US"/>
          </w:rPr>
          <w:t xml:space="preserve"> López</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 xml:space="preserve">J. The incidence of obesity, assessed as adiposity, is reduced after 1 year in primary schoolchildren by the POIBA intervention, </w:t>
      </w:r>
      <w:r w:rsidR="00020FED" w:rsidRPr="002E6ECA">
        <w:rPr>
          <w:rFonts w:eastAsiaTheme="minorHAnsi"/>
          <w:i/>
          <w:sz w:val="28"/>
          <w:szCs w:val="28"/>
          <w:lang w:val="uk-UA" w:eastAsia="en-US"/>
        </w:rPr>
        <w:t>J Nutr</w:t>
      </w:r>
      <w:r w:rsidR="00020FED" w:rsidRPr="002E6ECA">
        <w:rPr>
          <w:rFonts w:eastAsiaTheme="minorHAnsi"/>
          <w:sz w:val="28"/>
          <w:szCs w:val="28"/>
          <w:lang w:val="uk-UA" w:eastAsia="en-US"/>
        </w:rPr>
        <w:t>. 2019. Feb 1. Vol. 149 (2). Р. 258-269. doi: 10.1093/jn/nxy259.</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171" w:history="1">
        <w:r w:rsidR="00020FED" w:rsidRPr="002E6ECA">
          <w:rPr>
            <w:rFonts w:eastAsiaTheme="minorHAnsi"/>
            <w:sz w:val="28"/>
            <w:szCs w:val="28"/>
            <w:lang w:val="uk-UA" w:eastAsia="en-US"/>
          </w:rPr>
          <w:t>Ayala-Moreno</w:t>
        </w:r>
      </w:hyperlink>
      <w:r w:rsidR="00020FED" w:rsidRPr="002E6ECA">
        <w:rPr>
          <w:sz w:val="28"/>
          <w:szCs w:val="28"/>
          <w:lang w:val="uk-UA"/>
        </w:rPr>
        <w:t> </w:t>
      </w:r>
      <w:r w:rsidR="00020FED" w:rsidRPr="002E6ECA">
        <w:rPr>
          <w:rFonts w:eastAsiaTheme="minorHAnsi"/>
          <w:bCs/>
          <w:sz w:val="28"/>
          <w:szCs w:val="28"/>
          <w:lang w:val="uk-UA" w:eastAsia="en-US"/>
        </w:rPr>
        <w:t>M.</w:t>
      </w:r>
      <w:r w:rsidR="00020FED" w:rsidRPr="002E6ECA">
        <w:rPr>
          <w:sz w:val="28"/>
          <w:szCs w:val="28"/>
          <w:lang w:val="uk-UA"/>
        </w:rPr>
        <w:t> </w:t>
      </w:r>
      <w:r w:rsidR="00020FED" w:rsidRPr="002E6ECA">
        <w:rPr>
          <w:rFonts w:eastAsiaTheme="minorHAnsi"/>
          <w:bCs/>
          <w:sz w:val="28"/>
          <w:szCs w:val="28"/>
          <w:lang w:val="uk-UA" w:eastAsia="en-US"/>
        </w:rPr>
        <w:t>R.,</w:t>
      </w:r>
      <w:hyperlink r:id="rId172" w:history="1">
        <w:r w:rsidR="00020FED" w:rsidRPr="002E6ECA">
          <w:rPr>
            <w:rFonts w:eastAsiaTheme="minorHAnsi"/>
            <w:sz w:val="28"/>
            <w:szCs w:val="28"/>
            <w:lang w:val="uk-UA" w:eastAsia="en-US"/>
          </w:rPr>
          <w:t xml:space="preserve"> Guerrero-Hernández</w:t>
        </w:r>
      </w:hyperlink>
      <w:r w:rsidR="00020FED" w:rsidRPr="002E6ECA">
        <w:rPr>
          <w:sz w:val="28"/>
          <w:szCs w:val="28"/>
          <w:lang w:val="uk-UA"/>
        </w:rPr>
        <w:t> </w:t>
      </w:r>
      <w:r w:rsidR="00020FED" w:rsidRPr="002E6ECA">
        <w:rPr>
          <w:rFonts w:eastAsiaTheme="minorHAnsi"/>
          <w:bCs/>
          <w:sz w:val="28"/>
          <w:szCs w:val="28"/>
          <w:lang w:val="uk-UA" w:eastAsia="en-US"/>
        </w:rPr>
        <w:t>J.,</w:t>
      </w:r>
      <w:hyperlink r:id="rId173" w:history="1">
        <w:r w:rsidR="00020FED" w:rsidRPr="002E6ECA">
          <w:rPr>
            <w:rFonts w:eastAsiaTheme="minorHAnsi"/>
            <w:sz w:val="28"/>
            <w:szCs w:val="28"/>
            <w:lang w:val="uk-UA" w:eastAsia="en-US"/>
          </w:rPr>
          <w:t xml:space="preserve"> Vergara-Castañeda</w:t>
        </w:r>
      </w:hyperlink>
      <w:r w:rsidR="00020FED" w:rsidRPr="002E6ECA">
        <w:rPr>
          <w:sz w:val="28"/>
          <w:szCs w:val="28"/>
          <w:lang w:val="uk-UA"/>
        </w:rPr>
        <w:t> </w:t>
      </w:r>
      <w:r w:rsidR="00020FED" w:rsidRPr="002E6ECA">
        <w:rPr>
          <w:rFonts w:eastAsiaTheme="minorHAnsi"/>
          <w:bCs/>
          <w:sz w:val="28"/>
          <w:szCs w:val="28"/>
          <w:lang w:val="uk-UA" w:eastAsia="en-US"/>
        </w:rPr>
        <w:t>A.,</w:t>
      </w:r>
      <w:hyperlink r:id="rId174" w:history="1">
        <w:r w:rsidR="00020FED" w:rsidRPr="002E6ECA">
          <w:rPr>
            <w:rFonts w:eastAsiaTheme="minorHAnsi"/>
            <w:sz w:val="28"/>
            <w:szCs w:val="28"/>
            <w:lang w:val="uk-UA" w:eastAsia="en-US"/>
          </w:rPr>
          <w:t xml:space="preserve"> Salazar-Aceves</w:t>
        </w:r>
      </w:hyperlink>
      <w:r w:rsidR="00020FED" w:rsidRPr="002E6ECA">
        <w:rPr>
          <w:sz w:val="28"/>
          <w:szCs w:val="28"/>
          <w:lang w:val="uk-UA"/>
        </w:rPr>
        <w:t> </w:t>
      </w:r>
      <w:r w:rsidR="00020FED" w:rsidRPr="002E6ECA">
        <w:rPr>
          <w:rFonts w:eastAsiaTheme="minorHAnsi"/>
          <w:bCs/>
          <w:sz w:val="28"/>
          <w:szCs w:val="28"/>
          <w:lang w:val="uk-UA" w:eastAsia="en-US"/>
        </w:rPr>
        <w:t>G.,</w:t>
      </w:r>
      <w:hyperlink r:id="rId175" w:history="1">
        <w:r w:rsidR="00020FED" w:rsidRPr="002E6ECA">
          <w:rPr>
            <w:rFonts w:eastAsiaTheme="minorHAnsi"/>
            <w:sz w:val="28"/>
            <w:szCs w:val="28"/>
            <w:lang w:val="uk-UA" w:eastAsia="en-US"/>
          </w:rPr>
          <w:t xml:space="preserve"> Cruz-Mercado</w:t>
        </w:r>
      </w:hyperlink>
      <w:r w:rsidR="00020FED" w:rsidRPr="002E6ECA">
        <w:rPr>
          <w:sz w:val="28"/>
          <w:szCs w:val="28"/>
          <w:lang w:val="uk-UA"/>
        </w:rPr>
        <w:t> </w:t>
      </w:r>
      <w:r w:rsidR="00020FED" w:rsidRPr="002E6ECA">
        <w:rPr>
          <w:rFonts w:eastAsiaTheme="minorHAnsi"/>
          <w:bCs/>
          <w:sz w:val="28"/>
          <w:szCs w:val="28"/>
          <w:lang w:val="uk-UA" w:eastAsia="en-US"/>
        </w:rPr>
        <w:t>D.</w:t>
      </w:r>
      <w:r w:rsidR="00020FED" w:rsidRPr="002E6ECA">
        <w:rPr>
          <w:sz w:val="28"/>
          <w:szCs w:val="28"/>
          <w:lang w:val="uk-UA"/>
        </w:rPr>
        <w:t> </w:t>
      </w:r>
      <w:r w:rsidR="00020FED" w:rsidRPr="002E6ECA">
        <w:rPr>
          <w:rFonts w:eastAsiaTheme="minorHAnsi"/>
          <w:bCs/>
          <w:sz w:val="28"/>
          <w:szCs w:val="28"/>
          <w:lang w:val="uk-UA" w:eastAsia="en-US"/>
        </w:rPr>
        <w:t xml:space="preserve">E. Thyroid function in pediatric population with different nutritional status. </w:t>
      </w:r>
      <w:r w:rsidR="00020FED" w:rsidRPr="002E6ECA">
        <w:rPr>
          <w:rFonts w:eastAsiaTheme="minorHAnsi"/>
          <w:bCs/>
          <w:i/>
          <w:sz w:val="28"/>
          <w:szCs w:val="28"/>
          <w:lang w:val="uk-UA" w:eastAsia="en-US"/>
        </w:rPr>
        <w:t>Bol Med Hosp Infant Mex</w:t>
      </w:r>
      <w:r w:rsidR="00020FED" w:rsidRPr="002E6ECA">
        <w:rPr>
          <w:rFonts w:eastAsiaTheme="minorHAnsi"/>
          <w:bCs/>
          <w:sz w:val="28"/>
          <w:szCs w:val="28"/>
          <w:lang w:val="uk-UA" w:eastAsia="en-US"/>
        </w:rPr>
        <w:t xml:space="preserve">. 2018. Vol. 75 (5). P. 279-286. doi: 10.24875/BMHIM.M18000036.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76" w:history="1">
        <w:r w:rsidR="00020FED" w:rsidRPr="002E6ECA">
          <w:rPr>
            <w:rFonts w:eastAsiaTheme="minorHAnsi"/>
            <w:sz w:val="28"/>
            <w:szCs w:val="28"/>
            <w:lang w:val="uk-UA" w:eastAsia="en-US"/>
          </w:rPr>
          <w:t>Aydin</w:t>
        </w:r>
      </w:hyperlink>
      <w:r w:rsidR="00020FED" w:rsidRPr="002E6ECA">
        <w:rPr>
          <w:sz w:val="28"/>
          <w:szCs w:val="28"/>
          <w:lang w:val="uk-UA"/>
        </w:rPr>
        <w:t> </w:t>
      </w:r>
      <w:r w:rsidR="00020FED" w:rsidRPr="002E6ECA">
        <w:rPr>
          <w:rFonts w:eastAsiaTheme="minorHAnsi"/>
          <w:sz w:val="28"/>
          <w:szCs w:val="28"/>
          <w:lang w:val="uk-UA" w:eastAsia="en-US"/>
        </w:rPr>
        <w:t>L.,</w:t>
      </w:r>
      <w:hyperlink r:id="rId177" w:history="1">
        <w:r w:rsidR="00020FED" w:rsidRPr="002E6ECA">
          <w:rPr>
            <w:rFonts w:eastAsiaTheme="minorHAnsi"/>
            <w:sz w:val="28"/>
            <w:szCs w:val="28"/>
            <w:lang w:val="uk-UA" w:eastAsia="en-US"/>
          </w:rPr>
          <w:t xml:space="preserve"> Kiziltan</w:t>
        </w:r>
      </w:hyperlink>
      <w:r w:rsidR="00020FED" w:rsidRPr="002E6ECA">
        <w:rPr>
          <w:sz w:val="28"/>
          <w:szCs w:val="28"/>
          <w:lang w:val="uk-UA"/>
        </w:rPr>
        <w:t> </w:t>
      </w:r>
      <w:r w:rsidR="00020FED" w:rsidRPr="002E6ECA">
        <w:rPr>
          <w:rFonts w:eastAsiaTheme="minorHAnsi"/>
          <w:sz w:val="28"/>
          <w:szCs w:val="28"/>
          <w:lang w:val="uk-UA" w:eastAsia="en-US"/>
        </w:rPr>
        <w:t>E.,</w:t>
      </w:r>
      <w:hyperlink r:id="rId178" w:history="1">
        <w:r w:rsidR="00020FED" w:rsidRPr="002E6ECA">
          <w:rPr>
            <w:rFonts w:eastAsiaTheme="minorHAnsi"/>
            <w:sz w:val="28"/>
            <w:szCs w:val="28"/>
            <w:lang w:val="uk-UA" w:eastAsia="en-US"/>
          </w:rPr>
          <w:t xml:space="preserve"> Gundogan</w:t>
        </w:r>
      </w:hyperlink>
      <w:r w:rsidR="00020FED" w:rsidRPr="002E6ECA">
        <w:rPr>
          <w:sz w:val="28"/>
          <w:szCs w:val="28"/>
          <w:lang w:val="uk-UA"/>
        </w:rPr>
        <w:t> </w:t>
      </w:r>
      <w:r w:rsidR="00020FED" w:rsidRPr="002E6ECA">
        <w:rPr>
          <w:rFonts w:eastAsiaTheme="minorHAnsi"/>
          <w:sz w:val="28"/>
          <w:szCs w:val="28"/>
          <w:lang w:val="uk-UA" w:eastAsia="en-US"/>
        </w:rPr>
        <w:t>N.</w:t>
      </w:r>
      <w:r w:rsidR="00020FED" w:rsidRPr="002E6ECA">
        <w:rPr>
          <w:sz w:val="28"/>
          <w:szCs w:val="28"/>
          <w:lang w:val="uk-UA"/>
        </w:rPr>
        <w:t> </w:t>
      </w:r>
      <w:r w:rsidR="00020FED" w:rsidRPr="002E6ECA">
        <w:rPr>
          <w:rFonts w:eastAsiaTheme="minorHAnsi"/>
          <w:sz w:val="28"/>
          <w:szCs w:val="28"/>
          <w:lang w:val="uk-UA" w:eastAsia="en-US"/>
        </w:rPr>
        <w:t xml:space="preserve">U. Polyphasic temporal behavior of finger-tapping performance: A measure of motor skills and fatigue. </w:t>
      </w:r>
      <w:r w:rsidR="00020FED" w:rsidRPr="002E6ECA">
        <w:rPr>
          <w:rFonts w:eastAsiaTheme="minorHAnsi"/>
          <w:i/>
          <w:sz w:val="28"/>
          <w:szCs w:val="28"/>
          <w:lang w:val="uk-UA" w:eastAsia="en-US"/>
        </w:rPr>
        <w:t>J Mot Behav</w:t>
      </w:r>
      <w:r w:rsidR="00020FED" w:rsidRPr="002E6ECA">
        <w:rPr>
          <w:rFonts w:eastAsiaTheme="minorHAnsi"/>
          <w:sz w:val="28"/>
          <w:szCs w:val="28"/>
          <w:lang w:val="uk-UA" w:eastAsia="en-US"/>
        </w:rPr>
        <w:t xml:space="preserve">. 2016. Vol. 48 (1). С. 72-78. doi: 10.1080/00222895.2015.1040111.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Bacciotti</w:t>
      </w:r>
      <w:r w:rsidRPr="002E6ECA">
        <w:rPr>
          <w:sz w:val="28"/>
          <w:szCs w:val="28"/>
          <w:lang w:val="uk-UA"/>
        </w:rPr>
        <w:t> </w:t>
      </w:r>
      <w:r w:rsidRPr="002E6ECA">
        <w:rPr>
          <w:rFonts w:eastAsiaTheme="minorHAnsi"/>
          <w:sz w:val="28"/>
          <w:szCs w:val="28"/>
          <w:lang w:val="uk-UA" w:eastAsia="en-US"/>
        </w:rPr>
        <w:t>S., Baxter-Jones</w:t>
      </w:r>
      <w:r w:rsidRPr="002E6ECA">
        <w:rPr>
          <w:sz w:val="28"/>
          <w:szCs w:val="28"/>
          <w:lang w:val="uk-UA"/>
        </w:rPr>
        <w:t> </w:t>
      </w:r>
      <w:r w:rsidRPr="002E6ECA">
        <w:rPr>
          <w:rFonts w:eastAsiaTheme="minorHAnsi"/>
          <w:sz w:val="28"/>
          <w:szCs w:val="28"/>
          <w:lang w:val="uk-UA" w:eastAsia="en-US"/>
        </w:rPr>
        <w:t>A., Gaya</w:t>
      </w:r>
      <w:r w:rsidRPr="002E6ECA">
        <w:rPr>
          <w:sz w:val="28"/>
          <w:szCs w:val="28"/>
          <w:lang w:val="uk-UA"/>
        </w:rPr>
        <w:t> </w:t>
      </w:r>
      <w:r w:rsidRPr="002E6ECA">
        <w:rPr>
          <w:rFonts w:eastAsiaTheme="minorHAnsi"/>
          <w:sz w:val="28"/>
          <w:szCs w:val="28"/>
          <w:lang w:val="uk-UA" w:eastAsia="en-US"/>
        </w:rPr>
        <w:t xml:space="preserve">A., et al. Body physique and proportionality of Brazilian female artistic gymnasts. </w:t>
      </w:r>
      <w:r w:rsidRPr="002E6ECA">
        <w:rPr>
          <w:rFonts w:eastAsiaTheme="minorHAnsi"/>
          <w:i/>
          <w:sz w:val="28"/>
          <w:szCs w:val="28"/>
          <w:lang w:val="uk-UA" w:eastAsia="en-US"/>
        </w:rPr>
        <w:t>Journal of Sports Sciences</w:t>
      </w:r>
      <w:r w:rsidRPr="002E6ECA">
        <w:rPr>
          <w:rFonts w:eastAsiaTheme="minorHAnsi"/>
          <w:sz w:val="28"/>
          <w:szCs w:val="28"/>
          <w:lang w:val="uk-UA" w:eastAsia="en-US"/>
        </w:rPr>
        <w:t>. 2018. Vol. 36 (7). Р. 749-756. doi: 10.1080/02640414.2017.1340655.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Baceviciene</w:t>
      </w:r>
      <w:r w:rsidRPr="002E6ECA">
        <w:rPr>
          <w:sz w:val="28"/>
          <w:szCs w:val="28"/>
          <w:lang w:val="uk-UA"/>
        </w:rPr>
        <w:t> </w:t>
      </w:r>
      <w:r w:rsidRPr="002E6ECA">
        <w:rPr>
          <w:rFonts w:eastAsiaTheme="minorHAnsi"/>
          <w:sz w:val="28"/>
          <w:szCs w:val="28"/>
          <w:lang w:val="uk-UA" w:eastAsia="en-US"/>
        </w:rPr>
        <w:t>M., Jankauskiene</w:t>
      </w:r>
      <w:r w:rsidRPr="002E6ECA">
        <w:rPr>
          <w:sz w:val="28"/>
          <w:szCs w:val="28"/>
          <w:lang w:val="uk-UA"/>
        </w:rPr>
        <w:t> </w:t>
      </w:r>
      <w:r w:rsidRPr="002E6ECA">
        <w:rPr>
          <w:rFonts w:eastAsiaTheme="minorHAnsi"/>
          <w:sz w:val="28"/>
          <w:szCs w:val="28"/>
          <w:lang w:val="uk-UA" w:eastAsia="en-US"/>
        </w:rPr>
        <w:t>R., Emeljanovas</w:t>
      </w:r>
      <w:r w:rsidRPr="002E6ECA">
        <w:rPr>
          <w:sz w:val="28"/>
          <w:szCs w:val="28"/>
          <w:lang w:val="uk-UA"/>
        </w:rPr>
        <w:t> </w:t>
      </w:r>
      <w:r w:rsidRPr="002E6ECA">
        <w:rPr>
          <w:rFonts w:eastAsiaTheme="minorHAnsi"/>
          <w:sz w:val="28"/>
          <w:szCs w:val="28"/>
          <w:lang w:val="uk-UA" w:eastAsia="en-US"/>
        </w:rPr>
        <w:t xml:space="preserve">A. Self-perception of physical activity and fitness is related to lower psychosomatic health symptoms in adolescents with unhealthy lifestyles. </w:t>
      </w:r>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2019. Vol. 19 (1). 980. </w:t>
      </w:r>
      <w:hyperlink r:id="rId179" w:history="1">
        <w:r w:rsidRPr="002E6ECA">
          <w:rPr>
            <w:rFonts w:eastAsiaTheme="minorHAnsi"/>
            <w:sz w:val="28"/>
            <w:szCs w:val="28"/>
            <w:lang w:val="uk-UA" w:eastAsia="en-US"/>
          </w:rPr>
          <w:t>https://doi.org/10.1186/s12889-019-7311-2</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pacing w:val="-4"/>
          <w:sz w:val="28"/>
          <w:szCs w:val="28"/>
          <w:lang w:val="uk-UA" w:eastAsia="en-US"/>
        </w:rPr>
      </w:pPr>
      <w:r w:rsidRPr="002E6ECA">
        <w:rPr>
          <w:rFonts w:eastAsiaTheme="minorHAnsi"/>
          <w:spacing w:val="-4"/>
          <w:sz w:val="28"/>
          <w:szCs w:val="28"/>
          <w:lang w:val="uk-UA" w:eastAsia="en-US"/>
        </w:rPr>
        <w:t>Bagri</w:t>
      </w:r>
      <w:r w:rsidRPr="002E6ECA">
        <w:rPr>
          <w:sz w:val="28"/>
          <w:szCs w:val="28"/>
          <w:lang w:val="uk-UA"/>
        </w:rPr>
        <w:t> </w:t>
      </w:r>
      <w:r w:rsidRPr="002E6ECA">
        <w:rPr>
          <w:rFonts w:eastAsiaTheme="minorHAnsi"/>
          <w:spacing w:val="-4"/>
          <w:sz w:val="28"/>
          <w:szCs w:val="28"/>
          <w:lang w:val="uk-UA" w:eastAsia="en-US"/>
        </w:rPr>
        <w:t>D.</w:t>
      </w:r>
      <w:r w:rsidRPr="002E6ECA">
        <w:rPr>
          <w:sz w:val="28"/>
          <w:szCs w:val="28"/>
          <w:lang w:val="uk-UA"/>
        </w:rPr>
        <w:t> </w:t>
      </w:r>
      <w:r w:rsidRPr="002E6ECA">
        <w:rPr>
          <w:rFonts w:eastAsiaTheme="minorHAnsi"/>
          <w:spacing w:val="-4"/>
          <w:sz w:val="28"/>
          <w:szCs w:val="28"/>
          <w:lang w:val="uk-UA" w:eastAsia="en-US"/>
        </w:rPr>
        <w:t>D. R., Gupta</w:t>
      </w:r>
      <w:r w:rsidRPr="002E6ECA">
        <w:rPr>
          <w:sz w:val="28"/>
          <w:szCs w:val="28"/>
          <w:lang w:val="uk-UA"/>
        </w:rPr>
        <w:t> </w:t>
      </w:r>
      <w:r w:rsidRPr="002E6ECA">
        <w:rPr>
          <w:rFonts w:eastAsiaTheme="minorHAnsi"/>
          <w:spacing w:val="-4"/>
          <w:sz w:val="28"/>
          <w:szCs w:val="28"/>
          <w:lang w:val="uk-UA" w:eastAsia="en-US"/>
        </w:rPr>
        <w:t>D.</w:t>
      </w:r>
      <w:r w:rsidRPr="002E6ECA">
        <w:rPr>
          <w:sz w:val="28"/>
          <w:szCs w:val="28"/>
          <w:lang w:val="uk-UA"/>
        </w:rPr>
        <w:t> </w:t>
      </w:r>
      <w:r w:rsidRPr="002E6ECA">
        <w:rPr>
          <w:rFonts w:eastAsiaTheme="minorHAnsi"/>
          <w:spacing w:val="-4"/>
          <w:sz w:val="28"/>
          <w:szCs w:val="28"/>
          <w:lang w:val="uk-UA" w:eastAsia="en-US"/>
        </w:rPr>
        <w:t>A., Dube</w:t>
      </w:r>
      <w:r w:rsidRPr="002E6ECA">
        <w:rPr>
          <w:sz w:val="28"/>
          <w:szCs w:val="28"/>
          <w:lang w:val="uk-UA"/>
        </w:rPr>
        <w:t> </w:t>
      </w:r>
      <w:r w:rsidRPr="002E6ECA">
        <w:rPr>
          <w:rFonts w:eastAsiaTheme="minorHAnsi"/>
          <w:spacing w:val="-4"/>
          <w:sz w:val="28"/>
          <w:szCs w:val="28"/>
          <w:lang w:val="uk-UA" w:eastAsia="en-US"/>
        </w:rPr>
        <w:t>D.</w:t>
      </w:r>
      <w:r w:rsidRPr="002E6ECA">
        <w:rPr>
          <w:sz w:val="28"/>
          <w:szCs w:val="28"/>
          <w:lang w:val="uk-UA"/>
        </w:rPr>
        <w:t> </w:t>
      </w:r>
      <w:r w:rsidRPr="002E6ECA">
        <w:rPr>
          <w:rFonts w:eastAsiaTheme="minorHAnsi"/>
          <w:spacing w:val="-4"/>
          <w:sz w:val="28"/>
          <w:szCs w:val="28"/>
          <w:lang w:val="uk-UA" w:eastAsia="en-US"/>
        </w:rPr>
        <w:t>A., &amp; Gupta</w:t>
      </w:r>
      <w:r w:rsidRPr="002E6ECA">
        <w:rPr>
          <w:sz w:val="28"/>
          <w:szCs w:val="28"/>
          <w:lang w:val="uk-UA"/>
        </w:rPr>
        <w:t> </w:t>
      </w:r>
      <w:r w:rsidRPr="002E6ECA">
        <w:rPr>
          <w:rFonts w:eastAsiaTheme="minorHAnsi"/>
          <w:spacing w:val="-4"/>
          <w:sz w:val="28"/>
          <w:szCs w:val="28"/>
          <w:lang w:val="uk-UA" w:eastAsia="en-US"/>
        </w:rPr>
        <w:t>D.</w:t>
      </w:r>
      <w:r w:rsidRPr="002E6ECA">
        <w:rPr>
          <w:sz w:val="28"/>
          <w:szCs w:val="28"/>
          <w:lang w:val="uk-UA"/>
        </w:rPr>
        <w:t> </w:t>
      </w:r>
      <w:r w:rsidRPr="002E6ECA">
        <w:rPr>
          <w:rFonts w:eastAsiaTheme="minorHAnsi"/>
          <w:spacing w:val="-4"/>
          <w:sz w:val="28"/>
          <w:szCs w:val="28"/>
          <w:lang w:val="uk-UA" w:eastAsia="en-US"/>
        </w:rPr>
        <w:t>R.</w:t>
      </w:r>
      <w:r w:rsidRPr="002E6ECA">
        <w:rPr>
          <w:rFonts w:eastAsiaTheme="minorHAnsi"/>
          <w:sz w:val="28"/>
          <w:szCs w:val="28"/>
          <w:lang w:val="uk-UA"/>
        </w:rPr>
        <w:t> </w:t>
      </w:r>
      <w:r w:rsidRPr="002E6ECA">
        <w:rPr>
          <w:rFonts w:eastAsiaTheme="minorHAnsi"/>
          <w:spacing w:val="-4"/>
          <w:sz w:val="28"/>
          <w:szCs w:val="28"/>
          <w:lang w:val="uk-UA" w:eastAsia="en-US"/>
        </w:rPr>
        <w:t xml:space="preserve">K. Assessment Of Examination Stress And HRV in Adolescents: Assessment Of Examination Stress And HRV. </w:t>
      </w:r>
      <w:r w:rsidRPr="002E6ECA">
        <w:rPr>
          <w:rFonts w:eastAsiaTheme="minorHAnsi"/>
          <w:i/>
          <w:spacing w:val="-4"/>
          <w:sz w:val="28"/>
          <w:szCs w:val="28"/>
          <w:lang w:val="uk-UA" w:eastAsia="en-US"/>
        </w:rPr>
        <w:t>National Journal of Integrated Research in Medicine</w:t>
      </w:r>
      <w:r w:rsidRPr="002E6ECA">
        <w:rPr>
          <w:rFonts w:eastAsiaTheme="minorHAnsi"/>
          <w:spacing w:val="-4"/>
          <w:sz w:val="28"/>
          <w:szCs w:val="28"/>
          <w:lang w:val="uk-UA" w:eastAsia="en-US"/>
        </w:rPr>
        <w:t>. 2016. Vol. 7 (4). Р. 1-7.</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80" w:history="1">
        <w:r w:rsidR="00020FED" w:rsidRPr="002E6ECA">
          <w:rPr>
            <w:rFonts w:eastAsiaTheme="minorHAnsi"/>
            <w:sz w:val="28"/>
            <w:szCs w:val="28"/>
            <w:lang w:val="uk-UA" w:eastAsia="en-US"/>
          </w:rPr>
          <w:t>Baldock</w:t>
        </w:r>
      </w:hyperlink>
      <w:r w:rsidR="00020FED" w:rsidRPr="002E6ECA">
        <w:rPr>
          <w:sz w:val="28"/>
          <w:szCs w:val="28"/>
          <w:lang w:val="uk-UA"/>
        </w:rPr>
        <w:t> </w:t>
      </w:r>
      <w:r w:rsidR="00020FED" w:rsidRPr="002E6ECA">
        <w:rPr>
          <w:rFonts w:eastAsiaTheme="minorHAnsi"/>
          <w:sz w:val="28"/>
          <w:szCs w:val="28"/>
          <w:lang w:val="uk-UA" w:eastAsia="en-US"/>
        </w:rPr>
        <w:t xml:space="preserve">J., </w:t>
      </w:r>
      <w:hyperlink r:id="rId181" w:history="1">
        <w:r w:rsidR="00020FED" w:rsidRPr="002E6ECA">
          <w:rPr>
            <w:rFonts w:eastAsiaTheme="minorHAnsi"/>
            <w:sz w:val="28"/>
            <w:szCs w:val="28"/>
            <w:lang w:val="uk-UA" w:eastAsia="en-US"/>
          </w:rPr>
          <w:t>Kapadia</w:t>
        </w:r>
      </w:hyperlink>
      <w:r w:rsidR="00020FED" w:rsidRPr="002E6ECA">
        <w:rPr>
          <w:sz w:val="28"/>
          <w:szCs w:val="28"/>
          <w:lang w:val="uk-UA"/>
        </w:rPr>
        <w:t> </w:t>
      </w:r>
      <w:r w:rsidR="00020FED" w:rsidRPr="002E6ECA">
        <w:rPr>
          <w:rFonts w:eastAsiaTheme="minorHAnsi"/>
          <w:sz w:val="28"/>
          <w:szCs w:val="28"/>
          <w:lang w:val="uk-UA" w:eastAsia="en-US"/>
        </w:rPr>
        <w:t xml:space="preserve">S., </w:t>
      </w:r>
      <w:hyperlink r:id="rId182" w:history="1">
        <w:r w:rsidR="00020FED" w:rsidRPr="002E6ECA">
          <w:rPr>
            <w:rFonts w:eastAsiaTheme="minorHAnsi"/>
            <w:sz w:val="28"/>
            <w:szCs w:val="28"/>
            <w:lang w:val="uk-UA" w:eastAsia="en-US"/>
          </w:rPr>
          <w:t>van Steenbrugge</w:t>
        </w:r>
      </w:hyperlink>
      <w:r w:rsidR="00020FED" w:rsidRPr="002E6ECA">
        <w:rPr>
          <w:sz w:val="28"/>
          <w:szCs w:val="28"/>
          <w:lang w:val="uk-UA"/>
        </w:rPr>
        <w:t> </w:t>
      </w:r>
      <w:r w:rsidR="00020FED" w:rsidRPr="002E6ECA">
        <w:rPr>
          <w:rFonts w:eastAsiaTheme="minorHAnsi"/>
          <w:sz w:val="28"/>
          <w:szCs w:val="28"/>
          <w:lang w:val="uk-UA" w:eastAsia="en-US"/>
        </w:rPr>
        <w:t xml:space="preserve">W. The task-evoked pupil response in divided auditory attention tasks. </w:t>
      </w:r>
      <w:r w:rsidR="00020FED" w:rsidRPr="002E6ECA">
        <w:rPr>
          <w:rFonts w:eastAsiaTheme="minorHAnsi"/>
          <w:i/>
          <w:sz w:val="28"/>
          <w:szCs w:val="28"/>
          <w:lang w:val="uk-UA" w:eastAsia="en-US"/>
        </w:rPr>
        <w:t>J Am Acad Audiol</w:t>
      </w:r>
      <w:r w:rsidR="00020FED" w:rsidRPr="002E6ECA">
        <w:rPr>
          <w:rFonts w:eastAsiaTheme="minorHAnsi"/>
          <w:sz w:val="28"/>
          <w:szCs w:val="28"/>
          <w:lang w:val="uk-UA" w:eastAsia="en-US"/>
        </w:rPr>
        <w:t xml:space="preserve">. 2019. Vol. 30 (4). Р. 264-272. doi: 10.3766/jaaa.17060.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Banks</w:t>
      </w:r>
      <w:r w:rsidRPr="002E6ECA">
        <w:rPr>
          <w:sz w:val="28"/>
          <w:szCs w:val="28"/>
          <w:lang w:val="uk-UA"/>
        </w:rPr>
        <w:t> </w:t>
      </w:r>
      <w:r w:rsidRPr="002E6ECA">
        <w:rPr>
          <w:rFonts w:eastAsiaTheme="minorHAnsi"/>
          <w:sz w:val="28"/>
          <w:szCs w:val="28"/>
          <w:lang w:val="uk-UA" w:eastAsia="en-US"/>
        </w:rPr>
        <w:t>J., Smyth</w:t>
      </w:r>
      <w:r w:rsidRPr="002E6ECA">
        <w:rPr>
          <w:sz w:val="28"/>
          <w:szCs w:val="28"/>
          <w:lang w:val="uk-UA"/>
        </w:rPr>
        <w:t> </w:t>
      </w:r>
      <w:r w:rsidRPr="002E6ECA">
        <w:rPr>
          <w:rFonts w:eastAsiaTheme="minorHAnsi"/>
          <w:sz w:val="28"/>
          <w:szCs w:val="28"/>
          <w:lang w:val="uk-UA" w:eastAsia="en-US"/>
        </w:rPr>
        <w:t xml:space="preserve">E. ‘Your whole life depends on it’: Academic stress and high-stakes testing in Ireland. </w:t>
      </w:r>
      <w:r w:rsidRPr="002E6ECA">
        <w:rPr>
          <w:rFonts w:eastAsiaTheme="minorHAnsi"/>
          <w:i/>
          <w:sz w:val="28"/>
          <w:szCs w:val="28"/>
          <w:lang w:val="uk-UA" w:eastAsia="en-US"/>
        </w:rPr>
        <w:t>J. Youth Stud</w:t>
      </w:r>
      <w:r w:rsidRPr="002E6ECA">
        <w:rPr>
          <w:rFonts w:eastAsiaTheme="minorHAnsi"/>
          <w:sz w:val="28"/>
          <w:szCs w:val="28"/>
          <w:lang w:val="uk-UA" w:eastAsia="en-US"/>
        </w:rPr>
        <w:t>. 2015. Vol. 18. Р. 598-616. doi: 10.1080/13676261.2014.992317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Bastawrous</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C., Piernas</w:t>
      </w:r>
      <w:r w:rsidRPr="002E6ECA">
        <w:rPr>
          <w:sz w:val="28"/>
          <w:szCs w:val="28"/>
          <w:lang w:val="uk-UA"/>
        </w:rPr>
        <w:t> </w:t>
      </w:r>
      <w:r w:rsidRPr="002E6ECA">
        <w:rPr>
          <w:rFonts w:eastAsiaTheme="minorHAnsi"/>
          <w:sz w:val="28"/>
          <w:szCs w:val="28"/>
          <w:lang w:val="uk-UA" w:eastAsia="en-US"/>
        </w:rPr>
        <w:t>C., Bastawrous</w:t>
      </w:r>
      <w:r w:rsidRPr="002E6ECA">
        <w:rPr>
          <w:sz w:val="28"/>
          <w:szCs w:val="28"/>
          <w:lang w:val="uk-UA"/>
        </w:rPr>
        <w:t> </w:t>
      </w:r>
      <w:r w:rsidRPr="002E6ECA">
        <w:rPr>
          <w:rFonts w:eastAsiaTheme="minorHAnsi"/>
          <w:sz w:val="28"/>
          <w:szCs w:val="28"/>
          <w:lang w:val="uk-UA" w:eastAsia="en-US"/>
        </w:rPr>
        <w:t xml:space="preserve">A., et al. Reference values for body composition and associations with blood pressure in Kenyan adults aged </w:t>
      </w:r>
      <w:r w:rsidRPr="002E6ECA">
        <w:rPr>
          <w:rStyle w:val="acopre"/>
          <w:sz w:val="28"/>
          <w:szCs w:val="28"/>
          <w:lang w:val="en-US"/>
        </w:rPr>
        <w:t>≥</w:t>
      </w:r>
      <w:r w:rsidRPr="002E6ECA">
        <w:rPr>
          <w:rFonts w:eastAsiaTheme="minorHAnsi"/>
          <w:sz w:val="28"/>
          <w:szCs w:val="28"/>
          <w:lang w:val="uk-UA" w:eastAsia="en-US"/>
        </w:rPr>
        <w:t xml:space="preserve"> 50 years old. </w:t>
      </w:r>
      <w:r w:rsidRPr="002E6ECA">
        <w:rPr>
          <w:rFonts w:eastAsiaTheme="minorHAnsi"/>
          <w:i/>
          <w:sz w:val="28"/>
          <w:szCs w:val="28"/>
          <w:lang w:val="uk-UA" w:eastAsia="en-US"/>
        </w:rPr>
        <w:t>European Journal of Clinical Nutrition</w:t>
      </w:r>
      <w:r w:rsidRPr="002E6ECA">
        <w:rPr>
          <w:rFonts w:eastAsiaTheme="minorHAnsi"/>
          <w:sz w:val="28"/>
          <w:szCs w:val="28"/>
          <w:lang w:val="uk-UA" w:eastAsia="en-US"/>
        </w:rPr>
        <w:t>. 2019. Vol. 73 (4). Р. 558-565. doi: 10.1038/s41430-018-0177-z.</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Baumgarten</w:t>
      </w:r>
      <w:r w:rsidRPr="002E6ECA">
        <w:rPr>
          <w:spacing w:val="-2"/>
          <w:sz w:val="28"/>
          <w:szCs w:val="28"/>
          <w:lang w:val="uk-UA"/>
        </w:rPr>
        <w:t> </w:t>
      </w:r>
      <w:r w:rsidRPr="002E6ECA">
        <w:rPr>
          <w:rFonts w:eastAsiaTheme="minorHAnsi"/>
          <w:spacing w:val="-2"/>
          <w:sz w:val="28"/>
          <w:szCs w:val="28"/>
          <w:lang w:val="uk-UA" w:eastAsia="en-US"/>
        </w:rPr>
        <w:t>F., Cohrdes</w:t>
      </w:r>
      <w:r w:rsidRPr="002E6ECA">
        <w:rPr>
          <w:spacing w:val="-2"/>
          <w:sz w:val="28"/>
          <w:szCs w:val="28"/>
          <w:lang w:val="uk-UA"/>
        </w:rPr>
        <w:t> </w:t>
      </w:r>
      <w:r w:rsidRPr="002E6ECA">
        <w:rPr>
          <w:rFonts w:eastAsiaTheme="minorHAnsi"/>
          <w:spacing w:val="-2"/>
          <w:sz w:val="28"/>
          <w:szCs w:val="28"/>
          <w:lang w:val="uk-UA" w:eastAsia="en-US"/>
        </w:rPr>
        <w:t>C., Schienkiewitz</w:t>
      </w:r>
      <w:r w:rsidRPr="002E6ECA">
        <w:rPr>
          <w:spacing w:val="-2"/>
          <w:sz w:val="28"/>
          <w:szCs w:val="28"/>
          <w:lang w:val="uk-UA"/>
        </w:rPr>
        <w:t> </w:t>
      </w:r>
      <w:r w:rsidRPr="002E6ECA">
        <w:rPr>
          <w:rFonts w:eastAsiaTheme="minorHAnsi"/>
          <w:spacing w:val="-2"/>
          <w:sz w:val="28"/>
          <w:szCs w:val="28"/>
          <w:lang w:val="uk-UA" w:eastAsia="en-US"/>
        </w:rPr>
        <w:t>A., Thamm</w:t>
      </w:r>
      <w:r w:rsidRPr="002E6ECA">
        <w:rPr>
          <w:spacing w:val="-2"/>
          <w:sz w:val="28"/>
          <w:szCs w:val="28"/>
          <w:lang w:val="uk-UA"/>
        </w:rPr>
        <w:t> </w:t>
      </w:r>
      <w:r w:rsidRPr="002E6ECA">
        <w:rPr>
          <w:rFonts w:eastAsiaTheme="minorHAnsi"/>
          <w:spacing w:val="-2"/>
          <w:sz w:val="28"/>
          <w:szCs w:val="28"/>
          <w:lang w:val="uk-UA" w:eastAsia="en-US"/>
        </w:rPr>
        <w:t>R., Meyrose</w:t>
      </w:r>
      <w:r w:rsidRPr="002E6ECA">
        <w:rPr>
          <w:spacing w:val="-2"/>
          <w:sz w:val="28"/>
          <w:szCs w:val="28"/>
          <w:lang w:val="uk-UA"/>
        </w:rPr>
        <w:t> </w:t>
      </w:r>
      <w:r w:rsidRPr="002E6ECA">
        <w:rPr>
          <w:rFonts w:eastAsiaTheme="minorHAnsi"/>
          <w:spacing w:val="-2"/>
          <w:sz w:val="28"/>
          <w:szCs w:val="28"/>
          <w:lang w:val="uk-UA" w:eastAsia="en-US"/>
        </w:rPr>
        <w:t>A.</w:t>
      </w:r>
      <w:r w:rsidRPr="002E6ECA">
        <w:rPr>
          <w:spacing w:val="-2"/>
          <w:sz w:val="28"/>
          <w:szCs w:val="28"/>
          <w:lang w:val="uk-UA"/>
        </w:rPr>
        <w:t> </w:t>
      </w:r>
      <w:r w:rsidRPr="002E6ECA">
        <w:rPr>
          <w:rFonts w:eastAsiaTheme="minorHAnsi"/>
          <w:spacing w:val="-2"/>
          <w:sz w:val="28"/>
          <w:szCs w:val="28"/>
          <w:lang w:val="uk-UA" w:eastAsia="en-US"/>
        </w:rPr>
        <w:t xml:space="preserve">K., Ravens-Sieberer U. </w:t>
      </w:r>
      <w:hyperlink r:id="rId183" w:history="1">
        <w:r w:rsidRPr="002E6ECA">
          <w:rPr>
            <w:rFonts w:eastAsiaTheme="minorHAnsi"/>
            <w:spacing w:val="-2"/>
            <w:sz w:val="28"/>
            <w:szCs w:val="28"/>
            <w:lang w:val="uk-UA" w:eastAsia="en-US"/>
          </w:rPr>
          <w:t>Health-related quality of life and its relation to chronic diseases and mental health problems among children and adolescents : Results from KiGGS Wave 2.</w:t>
        </w:r>
      </w:hyperlink>
      <w:r w:rsidRPr="002E6ECA">
        <w:rPr>
          <w:rFonts w:eastAsiaTheme="minorHAnsi"/>
          <w:i/>
          <w:spacing w:val="-2"/>
          <w:sz w:val="28"/>
          <w:szCs w:val="28"/>
          <w:lang w:val="uk-UA" w:eastAsia="en-US"/>
        </w:rPr>
        <w:t>Bundesgesundheitsblatt Gesundheitsforschung Gesundheitsschutz</w:t>
      </w:r>
      <w:r w:rsidRPr="002E6ECA">
        <w:rPr>
          <w:rFonts w:eastAsiaTheme="minorHAnsi"/>
          <w:spacing w:val="-2"/>
          <w:sz w:val="28"/>
          <w:szCs w:val="28"/>
          <w:lang w:val="uk-UA" w:eastAsia="en-US"/>
        </w:rPr>
        <w:t xml:space="preserve">. 2019. Vol. 62 (10). Р. 1205-1214. doi: 10.1007/s00103-019-03006-9.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Beauchaine</w:t>
      </w:r>
      <w:r w:rsidRPr="002E6ECA">
        <w:rPr>
          <w:sz w:val="28"/>
          <w:szCs w:val="28"/>
          <w:lang w:val="uk-UA"/>
        </w:rPr>
        <w:t> </w:t>
      </w:r>
      <w:r w:rsidRPr="002E6ECA">
        <w:rPr>
          <w:rFonts w:eastAsiaTheme="minorHAnsi"/>
          <w:sz w:val="28"/>
          <w:szCs w:val="28"/>
          <w:lang w:val="uk-UA" w:eastAsia="en-US"/>
        </w:rPr>
        <w:t>T.</w:t>
      </w:r>
      <w:r w:rsidRPr="002E6ECA">
        <w:rPr>
          <w:sz w:val="28"/>
          <w:szCs w:val="28"/>
          <w:lang w:val="uk-UA"/>
        </w:rPr>
        <w:t> </w:t>
      </w:r>
      <w:r w:rsidRPr="002E6ECA">
        <w:rPr>
          <w:rFonts w:eastAsiaTheme="minorHAnsi"/>
          <w:sz w:val="28"/>
          <w:szCs w:val="28"/>
          <w:lang w:val="uk-UA" w:eastAsia="en-US"/>
        </w:rPr>
        <w:t xml:space="preserve">P. Future directions in emotion dysregulation and youth psychopathology. </w:t>
      </w:r>
      <w:r w:rsidRPr="002E6ECA">
        <w:rPr>
          <w:rFonts w:eastAsiaTheme="minorHAnsi"/>
          <w:i/>
          <w:sz w:val="28"/>
          <w:szCs w:val="28"/>
          <w:lang w:val="uk-UA" w:eastAsia="en-US"/>
        </w:rPr>
        <w:t>Journal of Clinical Child &amp; Adolescent Psychology</w:t>
      </w:r>
      <w:r w:rsidRPr="002E6ECA">
        <w:rPr>
          <w:rFonts w:eastAsiaTheme="minorHAnsi"/>
          <w:sz w:val="28"/>
          <w:szCs w:val="28"/>
          <w:lang w:val="uk-UA" w:eastAsia="en-US"/>
        </w:rPr>
        <w:t>. 2015. Vol. 1. Р. 1-22. doi.org/10.1080/15374416.2015.1038827.</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184" w:history="1">
        <w:r w:rsidR="00020FED" w:rsidRPr="002E6ECA">
          <w:rPr>
            <w:rFonts w:eastAsiaTheme="minorHAnsi"/>
            <w:sz w:val="28"/>
            <w:szCs w:val="28"/>
            <w:lang w:val="uk-UA" w:eastAsia="en-US"/>
          </w:rPr>
          <w:t>Berge</w:t>
        </w:r>
      </w:hyperlink>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M.,</w:t>
      </w:r>
      <w:hyperlink r:id="rId185" w:history="1">
        <w:r w:rsidR="00020FED" w:rsidRPr="002E6ECA">
          <w:rPr>
            <w:rFonts w:eastAsiaTheme="minorHAnsi"/>
            <w:sz w:val="28"/>
            <w:szCs w:val="28"/>
            <w:lang w:val="uk-UA" w:eastAsia="en-US"/>
          </w:rPr>
          <w:t xml:space="preserve"> MacLehose</w:t>
        </w:r>
      </w:hyperlink>
      <w:r w:rsidR="00020FED" w:rsidRPr="002E6ECA">
        <w:rPr>
          <w:sz w:val="28"/>
          <w:szCs w:val="28"/>
          <w:lang w:val="uk-UA"/>
        </w:rPr>
        <w:t> </w:t>
      </w:r>
      <w:r w:rsidR="00020FED" w:rsidRPr="002E6ECA">
        <w:rPr>
          <w:rFonts w:eastAsiaTheme="minorHAnsi"/>
          <w:sz w:val="28"/>
          <w:szCs w:val="28"/>
          <w:lang w:val="uk-UA" w:eastAsia="en-US"/>
        </w:rPr>
        <w:t>R.</w:t>
      </w:r>
      <w:r w:rsidR="00020FED" w:rsidRPr="002E6ECA">
        <w:rPr>
          <w:sz w:val="28"/>
          <w:szCs w:val="28"/>
          <w:lang w:val="uk-UA"/>
        </w:rPr>
        <w:t> </w:t>
      </w:r>
      <w:r w:rsidR="00020FED" w:rsidRPr="002E6ECA">
        <w:rPr>
          <w:rFonts w:eastAsiaTheme="minorHAnsi"/>
          <w:sz w:val="28"/>
          <w:szCs w:val="28"/>
          <w:lang w:val="uk-UA" w:eastAsia="en-US"/>
        </w:rPr>
        <w:t>F.,</w:t>
      </w:r>
      <w:hyperlink r:id="rId186" w:history="1">
        <w:r w:rsidR="00020FED" w:rsidRPr="002E6ECA">
          <w:rPr>
            <w:rFonts w:eastAsiaTheme="minorHAnsi"/>
            <w:sz w:val="28"/>
            <w:szCs w:val="28"/>
            <w:lang w:val="uk-UA" w:eastAsia="en-US"/>
          </w:rPr>
          <w:t xml:space="preserve"> Meyer</w:t>
        </w:r>
      </w:hyperlink>
      <w:r w:rsidR="00020FED" w:rsidRPr="002E6ECA">
        <w:rPr>
          <w:sz w:val="28"/>
          <w:szCs w:val="28"/>
          <w:lang w:val="uk-UA"/>
        </w:rPr>
        <w:t> </w:t>
      </w:r>
      <w:r w:rsidR="00020FED" w:rsidRPr="002E6ECA">
        <w:rPr>
          <w:rFonts w:eastAsiaTheme="minorHAnsi"/>
          <w:sz w:val="28"/>
          <w:szCs w:val="28"/>
          <w:lang w:val="uk-UA" w:eastAsia="en-US"/>
        </w:rPr>
        <w:t>C.,</w:t>
      </w:r>
      <w:hyperlink r:id="rId187" w:history="1">
        <w:r w:rsidR="00020FED" w:rsidRPr="002E6ECA">
          <w:rPr>
            <w:rFonts w:eastAsiaTheme="minorHAnsi"/>
            <w:sz w:val="28"/>
            <w:szCs w:val="28"/>
            <w:lang w:val="uk-UA" w:eastAsia="en-US"/>
          </w:rPr>
          <w:t xml:space="preserve"> Didericksen</w:t>
        </w:r>
      </w:hyperlink>
      <w:r w:rsidR="00020FED" w:rsidRPr="002E6ECA">
        <w:rPr>
          <w:sz w:val="28"/>
          <w:szCs w:val="28"/>
          <w:lang w:val="uk-UA"/>
        </w:rPr>
        <w:t> </w:t>
      </w:r>
      <w:r w:rsidR="00020FED" w:rsidRPr="002E6ECA">
        <w:rPr>
          <w:rFonts w:eastAsiaTheme="minorHAnsi"/>
          <w:sz w:val="28"/>
          <w:szCs w:val="28"/>
          <w:lang w:val="uk-UA" w:eastAsia="en-US"/>
        </w:rPr>
        <w:t>K.,</w:t>
      </w:r>
      <w:hyperlink r:id="rId188" w:history="1">
        <w:r w:rsidR="00020FED" w:rsidRPr="002E6ECA">
          <w:rPr>
            <w:rFonts w:eastAsiaTheme="minorHAnsi"/>
            <w:sz w:val="28"/>
            <w:szCs w:val="28"/>
            <w:lang w:val="uk-UA" w:eastAsia="en-US"/>
          </w:rPr>
          <w:t xml:space="preserve"> Loth</w:t>
        </w:r>
      </w:hyperlink>
      <w:r w:rsidR="00020FED" w:rsidRPr="002E6ECA">
        <w:rPr>
          <w:sz w:val="28"/>
          <w:szCs w:val="28"/>
          <w:lang w:val="uk-UA"/>
        </w:rPr>
        <w:t> </w:t>
      </w:r>
      <w:r w:rsidR="00020FED" w:rsidRPr="002E6ECA">
        <w:rPr>
          <w:rFonts w:eastAsiaTheme="minorHAnsi"/>
          <w:sz w:val="28"/>
          <w:szCs w:val="28"/>
          <w:lang w:val="uk-UA" w:eastAsia="en-US"/>
        </w:rPr>
        <w:t>K.</w:t>
      </w:r>
      <w:r w:rsidR="00020FED" w:rsidRPr="002E6ECA">
        <w:rPr>
          <w:sz w:val="28"/>
          <w:szCs w:val="28"/>
          <w:lang w:val="uk-UA"/>
        </w:rPr>
        <w:t> </w:t>
      </w:r>
      <w:r w:rsidR="00020FED" w:rsidRPr="002E6ECA">
        <w:rPr>
          <w:rFonts w:eastAsiaTheme="minorHAnsi"/>
          <w:sz w:val="28"/>
          <w:szCs w:val="28"/>
          <w:lang w:val="uk-UA" w:eastAsia="en-US"/>
        </w:rPr>
        <w:t>A.,</w:t>
      </w:r>
      <w:hyperlink r:id="rId189" w:history="1">
        <w:r w:rsidR="00020FED" w:rsidRPr="002E6ECA">
          <w:rPr>
            <w:rFonts w:eastAsiaTheme="minorHAnsi"/>
            <w:sz w:val="28"/>
            <w:szCs w:val="28"/>
            <w:lang w:val="uk-UA" w:eastAsia="en-US"/>
          </w:rPr>
          <w:t>Neumark-Sztainer</w:t>
        </w:r>
      </w:hyperlink>
      <w:r w:rsidR="00020FED" w:rsidRPr="002E6ECA">
        <w:rPr>
          <w:sz w:val="28"/>
          <w:szCs w:val="28"/>
          <w:lang w:val="uk-UA"/>
        </w:rPr>
        <w:t> </w:t>
      </w:r>
      <w:r w:rsidR="00020FED" w:rsidRPr="002E6ECA">
        <w:rPr>
          <w:rFonts w:eastAsiaTheme="minorHAnsi"/>
          <w:sz w:val="28"/>
          <w:szCs w:val="28"/>
          <w:lang w:val="uk-UA" w:eastAsia="en-US"/>
        </w:rPr>
        <w:t xml:space="preserve">D. </w:t>
      </w:r>
      <w:r w:rsidR="00020FED" w:rsidRPr="002E6ECA">
        <w:rPr>
          <w:rFonts w:eastAsiaTheme="minorHAnsi"/>
          <w:bCs/>
          <w:sz w:val="28"/>
          <w:szCs w:val="28"/>
          <w:lang w:val="uk-UA" w:eastAsia="en-US"/>
        </w:rPr>
        <w:t xml:space="preserve">He Said, She Said: Examining Parental Concordance on Home Environment Factors and Adolescent Health Behaviors and Weight Status. </w:t>
      </w:r>
      <w:r w:rsidR="00020FED" w:rsidRPr="002E6ECA">
        <w:rPr>
          <w:rFonts w:eastAsiaTheme="minorHAnsi"/>
          <w:bCs/>
          <w:i/>
          <w:sz w:val="28"/>
          <w:szCs w:val="28"/>
          <w:lang w:val="uk-UA" w:eastAsia="en-US"/>
        </w:rPr>
        <w:t>J Acad Nutr Diet</w:t>
      </w:r>
      <w:r w:rsidR="00020FED" w:rsidRPr="002E6ECA">
        <w:rPr>
          <w:rFonts w:eastAsiaTheme="minorHAnsi"/>
          <w:bCs/>
          <w:sz w:val="28"/>
          <w:szCs w:val="28"/>
          <w:lang w:val="uk-UA" w:eastAsia="en-US"/>
        </w:rPr>
        <w:t>. 2016. Jan. Vol. 116 (1). Р. 46-60. doi: 10.1016/j.jand.2015.05.004.</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sz w:val="28"/>
          <w:szCs w:val="28"/>
          <w:shd w:val="clear" w:color="auto" w:fill="FFFFFF"/>
          <w:lang w:val="en-US"/>
        </w:rPr>
        <w:t>Bobkowski</w:t>
      </w:r>
      <w:r w:rsidRPr="002E6ECA">
        <w:rPr>
          <w:sz w:val="28"/>
          <w:szCs w:val="28"/>
          <w:lang w:val="uk-UA"/>
        </w:rPr>
        <w:t> </w:t>
      </w:r>
      <w:r w:rsidRPr="002E6ECA">
        <w:rPr>
          <w:sz w:val="28"/>
          <w:szCs w:val="28"/>
          <w:shd w:val="clear" w:color="auto" w:fill="FFFFFF"/>
          <w:lang w:val="en-US"/>
        </w:rPr>
        <w:t>W., Stefaniak</w:t>
      </w:r>
      <w:r w:rsidRPr="002E6ECA">
        <w:rPr>
          <w:sz w:val="28"/>
          <w:szCs w:val="28"/>
          <w:lang w:val="uk-UA"/>
        </w:rPr>
        <w:t> </w:t>
      </w:r>
      <w:r w:rsidRPr="002E6ECA">
        <w:rPr>
          <w:sz w:val="28"/>
          <w:szCs w:val="28"/>
          <w:shd w:val="clear" w:color="auto" w:fill="FFFFFF"/>
          <w:lang w:val="en-US"/>
        </w:rPr>
        <w:t>M.</w:t>
      </w:r>
      <w:r w:rsidRPr="002E6ECA">
        <w:rPr>
          <w:sz w:val="28"/>
          <w:szCs w:val="28"/>
          <w:lang w:val="uk-UA"/>
        </w:rPr>
        <w:t> </w:t>
      </w:r>
      <w:r w:rsidRPr="002E6ECA">
        <w:rPr>
          <w:sz w:val="28"/>
          <w:szCs w:val="28"/>
          <w:shd w:val="clear" w:color="auto" w:fill="FFFFFF"/>
          <w:lang w:val="en-US"/>
        </w:rPr>
        <w:t>E., Krauze</w:t>
      </w:r>
      <w:r w:rsidRPr="002E6ECA">
        <w:rPr>
          <w:sz w:val="28"/>
          <w:szCs w:val="28"/>
          <w:lang w:val="uk-UA"/>
        </w:rPr>
        <w:t> </w:t>
      </w:r>
      <w:r w:rsidRPr="002E6ECA">
        <w:rPr>
          <w:sz w:val="28"/>
          <w:szCs w:val="28"/>
          <w:shd w:val="clear" w:color="auto" w:fill="FFFFFF"/>
          <w:lang w:val="en-US"/>
        </w:rPr>
        <w:t>T., Gendera</w:t>
      </w:r>
      <w:r w:rsidRPr="002E6ECA">
        <w:rPr>
          <w:sz w:val="28"/>
          <w:szCs w:val="28"/>
          <w:lang w:val="uk-UA"/>
        </w:rPr>
        <w:t> </w:t>
      </w:r>
      <w:r w:rsidRPr="002E6ECA">
        <w:rPr>
          <w:sz w:val="28"/>
          <w:szCs w:val="28"/>
          <w:shd w:val="clear" w:color="auto" w:fill="FFFFFF"/>
          <w:lang w:val="en-US"/>
        </w:rPr>
        <w:t>K., Wykretowicz</w:t>
      </w:r>
      <w:r w:rsidRPr="002E6ECA">
        <w:rPr>
          <w:sz w:val="28"/>
          <w:szCs w:val="28"/>
          <w:lang w:val="uk-UA"/>
        </w:rPr>
        <w:t> </w:t>
      </w:r>
      <w:r w:rsidRPr="002E6ECA">
        <w:rPr>
          <w:sz w:val="28"/>
          <w:szCs w:val="28"/>
          <w:shd w:val="clear" w:color="auto" w:fill="FFFFFF"/>
          <w:lang w:val="en-US"/>
        </w:rPr>
        <w:t>A., Piskorski</w:t>
      </w:r>
      <w:r w:rsidRPr="002E6ECA">
        <w:rPr>
          <w:sz w:val="28"/>
          <w:szCs w:val="28"/>
          <w:lang w:val="uk-UA"/>
        </w:rPr>
        <w:t> </w:t>
      </w:r>
      <w:r w:rsidRPr="002E6ECA">
        <w:rPr>
          <w:sz w:val="28"/>
          <w:szCs w:val="28"/>
          <w:shd w:val="clear" w:color="auto" w:fill="FFFFFF"/>
          <w:lang w:val="en-US"/>
        </w:rPr>
        <w:t>J., Guzik</w:t>
      </w:r>
      <w:r w:rsidRPr="002E6ECA">
        <w:rPr>
          <w:sz w:val="28"/>
          <w:szCs w:val="28"/>
          <w:lang w:val="uk-UA"/>
        </w:rPr>
        <w:t> </w:t>
      </w:r>
      <w:r w:rsidRPr="002E6ECA">
        <w:rPr>
          <w:sz w:val="28"/>
          <w:szCs w:val="28"/>
          <w:shd w:val="clear" w:color="auto" w:fill="FFFFFF"/>
          <w:lang w:val="en-US"/>
        </w:rPr>
        <w:t xml:space="preserve">P. Measures of Heart Rate Variability in 24-h ECGs Depend on Age but Not Gender of Healthy Children. </w:t>
      </w:r>
      <w:r w:rsidRPr="002E6ECA">
        <w:rPr>
          <w:i/>
          <w:iCs/>
          <w:sz w:val="28"/>
          <w:szCs w:val="28"/>
          <w:shd w:val="clear" w:color="auto" w:fill="FFFFFF"/>
        </w:rPr>
        <w:t>Frontiers in physiology</w:t>
      </w:r>
      <w:r w:rsidRPr="002E6ECA">
        <w:rPr>
          <w:sz w:val="28"/>
          <w:szCs w:val="28"/>
          <w:shd w:val="clear" w:color="auto" w:fill="FFFFFF"/>
        </w:rPr>
        <w:t>. 2017.</w:t>
      </w:r>
      <w:r w:rsidRPr="002E6ECA">
        <w:rPr>
          <w:sz w:val="28"/>
          <w:szCs w:val="28"/>
          <w:lang w:val="en-US"/>
        </w:rPr>
        <w:t xml:space="preserve"> Vol. </w:t>
      </w:r>
      <w:r w:rsidRPr="002E6ECA">
        <w:rPr>
          <w:iCs/>
          <w:sz w:val="28"/>
          <w:szCs w:val="28"/>
          <w:shd w:val="clear" w:color="auto" w:fill="FFFFFF"/>
        </w:rPr>
        <w:t>8</w:t>
      </w:r>
      <w:r w:rsidRPr="002E6ECA">
        <w:rPr>
          <w:sz w:val="28"/>
          <w:szCs w:val="28"/>
          <w:shd w:val="clear" w:color="auto" w:fill="FFFFFF"/>
        </w:rPr>
        <w:t>. 311. https://doi.org/10.3389/fphys.2017.00311.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Bowen</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K., Guo</w:t>
      </w:r>
      <w:r w:rsidRPr="002E6ECA">
        <w:rPr>
          <w:sz w:val="28"/>
          <w:szCs w:val="28"/>
          <w:lang w:val="uk-UA"/>
        </w:rPr>
        <w:t> </w:t>
      </w:r>
      <w:r w:rsidRPr="002E6ECA">
        <w:rPr>
          <w:rFonts w:eastAsiaTheme="minorHAnsi"/>
          <w:sz w:val="28"/>
          <w:szCs w:val="28"/>
          <w:lang w:val="uk-UA" w:eastAsia="en-US"/>
        </w:rPr>
        <w:t>S. Structural equation modeling. London, Oxford University Press, 2011. 240 pp. DOI:10.1093/acprof:oso/9780195367621.001.0001.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Branca</w:t>
      </w:r>
      <w:r w:rsidRPr="002E6ECA">
        <w:rPr>
          <w:sz w:val="28"/>
          <w:szCs w:val="28"/>
          <w:lang w:val="uk-UA"/>
        </w:rPr>
        <w:t> </w:t>
      </w:r>
      <w:r w:rsidRPr="002E6ECA">
        <w:rPr>
          <w:rFonts w:eastAsiaTheme="minorHAnsi"/>
          <w:sz w:val="28"/>
          <w:szCs w:val="28"/>
          <w:lang w:val="uk-UA" w:eastAsia="en-US"/>
        </w:rPr>
        <w:t>F., Nikogosian</w:t>
      </w:r>
      <w:r w:rsidRPr="002E6ECA">
        <w:rPr>
          <w:sz w:val="28"/>
          <w:szCs w:val="28"/>
          <w:lang w:val="uk-UA"/>
        </w:rPr>
        <w:t> </w:t>
      </w:r>
      <w:r w:rsidRPr="002E6ECA">
        <w:rPr>
          <w:rFonts w:eastAsiaTheme="minorHAnsi"/>
          <w:sz w:val="28"/>
          <w:szCs w:val="28"/>
          <w:lang w:val="uk-UA" w:eastAsia="en-US"/>
        </w:rPr>
        <w:t>T., Lobstein</w:t>
      </w:r>
      <w:r w:rsidRPr="002E6ECA">
        <w:rPr>
          <w:sz w:val="28"/>
          <w:szCs w:val="28"/>
          <w:lang w:val="uk-UA"/>
        </w:rPr>
        <w:t> </w:t>
      </w:r>
      <w:r w:rsidRPr="002E6ECA">
        <w:rPr>
          <w:rFonts w:eastAsiaTheme="minorHAnsi"/>
          <w:sz w:val="28"/>
          <w:szCs w:val="28"/>
          <w:lang w:val="uk-UA" w:eastAsia="en-US"/>
        </w:rPr>
        <w:t>H. The challenge of obesity in the WHO European Region and the strategies for response. WHO, 2009. 392 р.</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190" w:history="1">
        <w:r w:rsidR="00020FED" w:rsidRPr="002E6ECA">
          <w:rPr>
            <w:rFonts w:eastAsiaTheme="minorHAnsi"/>
            <w:sz w:val="28"/>
            <w:szCs w:val="28"/>
            <w:lang w:val="uk-UA" w:eastAsia="en-US"/>
          </w:rPr>
          <w:t>Byun</w:t>
        </w:r>
      </w:hyperlink>
      <w:r w:rsidR="00020FED" w:rsidRPr="002E6ECA">
        <w:rPr>
          <w:sz w:val="28"/>
          <w:szCs w:val="28"/>
          <w:lang w:val="uk-UA"/>
        </w:rPr>
        <w:t> </w:t>
      </w:r>
      <w:r w:rsidR="00020FED" w:rsidRPr="002E6ECA">
        <w:rPr>
          <w:rFonts w:eastAsiaTheme="minorHAnsi"/>
          <w:sz w:val="28"/>
          <w:szCs w:val="28"/>
          <w:lang w:val="uk-UA" w:eastAsia="en-US"/>
        </w:rPr>
        <w:t>Y.</w:t>
      </w:r>
      <w:r w:rsidR="00020FED" w:rsidRPr="002E6ECA">
        <w:rPr>
          <w:sz w:val="28"/>
          <w:szCs w:val="28"/>
          <w:lang w:val="uk-UA"/>
        </w:rPr>
        <w:t> </w:t>
      </w:r>
      <w:r w:rsidR="00020FED" w:rsidRPr="002E6ECA">
        <w:rPr>
          <w:rFonts w:eastAsiaTheme="minorHAnsi"/>
          <w:sz w:val="28"/>
          <w:szCs w:val="28"/>
          <w:lang w:val="uk-UA" w:eastAsia="en-US"/>
        </w:rPr>
        <w:t>S.,</w:t>
      </w:r>
      <w:hyperlink r:id="rId191" w:history="1">
        <w:r w:rsidR="00020FED" w:rsidRPr="002E6ECA">
          <w:rPr>
            <w:rFonts w:eastAsiaTheme="minorHAnsi"/>
            <w:sz w:val="28"/>
            <w:szCs w:val="28"/>
            <w:lang w:val="uk-UA" w:eastAsia="en-US"/>
          </w:rPr>
          <w:t xml:space="preserve"> Park</w:t>
        </w:r>
      </w:hyperlink>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K.,</w:t>
      </w:r>
      <w:hyperlink r:id="rId192" w:history="1">
        <w:r w:rsidR="00020FED" w:rsidRPr="002E6ECA">
          <w:rPr>
            <w:rFonts w:eastAsiaTheme="minorHAnsi"/>
            <w:sz w:val="28"/>
            <w:szCs w:val="28"/>
            <w:lang w:val="uk-UA" w:eastAsia="en-US"/>
          </w:rPr>
          <w:t xml:space="preserve"> Sakong</w:t>
        </w:r>
      </w:hyperlink>
      <w:r w:rsidR="00020FED" w:rsidRPr="002E6ECA">
        <w:rPr>
          <w:sz w:val="28"/>
          <w:szCs w:val="28"/>
          <w:lang w:val="uk-UA"/>
        </w:rPr>
        <w:t> </w:t>
      </w:r>
      <w:r w:rsidR="00020FED" w:rsidRPr="002E6ECA">
        <w:rPr>
          <w:rFonts w:eastAsiaTheme="minorHAnsi"/>
          <w:sz w:val="28"/>
          <w:szCs w:val="28"/>
          <w:lang w:val="uk-UA" w:eastAsia="en-US"/>
        </w:rPr>
        <w:t>J.,</w:t>
      </w:r>
      <w:hyperlink r:id="rId193" w:history="1">
        <w:r w:rsidR="00020FED" w:rsidRPr="002E6ECA">
          <w:rPr>
            <w:rFonts w:eastAsiaTheme="minorHAnsi"/>
            <w:sz w:val="28"/>
            <w:szCs w:val="28"/>
            <w:lang w:val="uk-UA" w:eastAsia="en-US"/>
          </w:rPr>
          <w:t xml:space="preserve"> Jeon</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 xml:space="preserve">J. Performance assessment on the Korean Computerized Neurobehavioral Test using a mobile device and a </w:t>
      </w:r>
      <w:r w:rsidR="00020FED" w:rsidRPr="002E6ECA">
        <w:rPr>
          <w:rFonts w:eastAsiaTheme="minorHAnsi"/>
          <w:sz w:val="28"/>
          <w:szCs w:val="28"/>
          <w:lang w:val="uk-UA" w:eastAsia="en-US"/>
        </w:rPr>
        <w:lastRenderedPageBreak/>
        <w:t xml:space="preserve">conventional computer: an experimental study. </w:t>
      </w:r>
      <w:r w:rsidR="00020FED" w:rsidRPr="002E6ECA">
        <w:rPr>
          <w:rFonts w:eastAsiaTheme="minorHAnsi"/>
          <w:i/>
          <w:sz w:val="28"/>
          <w:szCs w:val="28"/>
          <w:lang w:val="uk-UA" w:eastAsia="en-US"/>
        </w:rPr>
        <w:t>Ann Occup Environ Med</w:t>
      </w:r>
      <w:r w:rsidR="00020FED" w:rsidRPr="002E6ECA">
        <w:rPr>
          <w:rFonts w:eastAsiaTheme="minorHAnsi"/>
          <w:sz w:val="28"/>
          <w:szCs w:val="28"/>
          <w:lang w:val="uk-UA" w:eastAsia="en-US"/>
        </w:rPr>
        <w:t>. 2018. Vol.</w:t>
      </w:r>
      <w:r w:rsidR="00020FED" w:rsidRPr="002E6ECA">
        <w:rPr>
          <w:rFonts w:eastAsiaTheme="minorHAnsi"/>
          <w:sz w:val="28"/>
          <w:szCs w:val="28"/>
          <w:lang w:val="uk-UA"/>
        </w:rPr>
        <w:t> </w:t>
      </w:r>
      <w:r w:rsidR="00020FED" w:rsidRPr="002E6ECA">
        <w:rPr>
          <w:rFonts w:eastAsiaTheme="minorHAnsi"/>
          <w:sz w:val="28"/>
          <w:szCs w:val="28"/>
          <w:lang w:val="uk-UA" w:eastAsia="en-US"/>
        </w:rPr>
        <w:t xml:space="preserve">30. 55. doi: 10.1186/s40557-018-0264-6.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Carnevali</w:t>
      </w:r>
      <w:r w:rsidRPr="002E6ECA">
        <w:rPr>
          <w:sz w:val="28"/>
          <w:szCs w:val="28"/>
          <w:lang w:val="uk-UA"/>
        </w:rPr>
        <w:t> </w:t>
      </w:r>
      <w:r w:rsidRPr="002E6ECA">
        <w:rPr>
          <w:rFonts w:eastAsiaTheme="minorHAnsi"/>
          <w:sz w:val="28"/>
          <w:szCs w:val="28"/>
          <w:lang w:val="uk-UA" w:eastAsia="en-US"/>
        </w:rPr>
        <w:t>L., Koenig</w:t>
      </w:r>
      <w:r w:rsidRPr="002E6ECA">
        <w:rPr>
          <w:sz w:val="28"/>
          <w:szCs w:val="28"/>
          <w:lang w:val="uk-UA"/>
        </w:rPr>
        <w:t> </w:t>
      </w:r>
      <w:r w:rsidRPr="002E6ECA">
        <w:rPr>
          <w:rFonts w:eastAsiaTheme="minorHAnsi"/>
          <w:sz w:val="28"/>
          <w:szCs w:val="28"/>
          <w:lang w:val="uk-UA" w:eastAsia="en-US"/>
        </w:rPr>
        <w:t>J., Sgoifo</w:t>
      </w:r>
      <w:r w:rsidRPr="002E6ECA">
        <w:rPr>
          <w:sz w:val="28"/>
          <w:szCs w:val="28"/>
          <w:lang w:val="uk-UA"/>
        </w:rPr>
        <w:t> </w:t>
      </w:r>
      <w:r w:rsidRPr="002E6ECA">
        <w:rPr>
          <w:rFonts w:eastAsiaTheme="minorHAnsi"/>
          <w:sz w:val="28"/>
          <w:szCs w:val="28"/>
          <w:lang w:val="uk-UA" w:eastAsia="en-US"/>
        </w:rPr>
        <w:t>A., &amp; Ottaviani</w:t>
      </w:r>
      <w:r w:rsidRPr="002E6ECA">
        <w:rPr>
          <w:sz w:val="28"/>
          <w:szCs w:val="28"/>
          <w:lang w:val="uk-UA"/>
        </w:rPr>
        <w:t> </w:t>
      </w:r>
      <w:r w:rsidRPr="002E6ECA">
        <w:rPr>
          <w:rFonts w:eastAsiaTheme="minorHAnsi"/>
          <w:sz w:val="28"/>
          <w:szCs w:val="28"/>
          <w:lang w:val="uk-UA" w:eastAsia="en-US"/>
        </w:rPr>
        <w:t xml:space="preserve">C. Autonomic and brain morphological predictors of stress resilience. </w:t>
      </w:r>
      <w:r w:rsidRPr="002E6ECA">
        <w:rPr>
          <w:rFonts w:eastAsiaTheme="minorHAnsi"/>
          <w:i/>
          <w:sz w:val="28"/>
          <w:szCs w:val="28"/>
          <w:lang w:val="uk-UA" w:eastAsia="en-US"/>
        </w:rPr>
        <w:t>Frontiers in neuroscience</w:t>
      </w:r>
      <w:r w:rsidRPr="002E6ECA">
        <w:rPr>
          <w:rFonts w:eastAsiaTheme="minorHAnsi"/>
          <w:sz w:val="28"/>
          <w:szCs w:val="28"/>
          <w:lang w:val="uk-UA" w:eastAsia="en-US"/>
        </w:rPr>
        <w:t>. 2018. Vol.</w:t>
      </w:r>
      <w:r w:rsidRPr="002E6ECA">
        <w:rPr>
          <w:rFonts w:eastAsiaTheme="minorHAnsi"/>
          <w:sz w:val="28"/>
          <w:szCs w:val="28"/>
          <w:lang w:val="uk-UA"/>
        </w:rPr>
        <w:t> </w:t>
      </w:r>
      <w:r w:rsidRPr="002E6ECA">
        <w:rPr>
          <w:rFonts w:eastAsiaTheme="minorHAnsi"/>
          <w:sz w:val="28"/>
          <w:szCs w:val="28"/>
          <w:lang w:val="uk-UA" w:eastAsia="en-US"/>
        </w:rPr>
        <w:t xml:space="preserve">12. Р. 228. </w:t>
      </w:r>
      <w:hyperlink r:id="rId194" w:history="1">
        <w:r w:rsidRPr="002E6ECA">
          <w:rPr>
            <w:rFonts w:eastAsiaTheme="minorHAnsi"/>
            <w:sz w:val="28"/>
            <w:szCs w:val="28"/>
            <w:lang w:val="uk-UA" w:eastAsia="en-US"/>
          </w:rPr>
          <w:t>https://doi.org/10.3389/fnins.2018.00228</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Castizo-Olier</w:t>
      </w:r>
      <w:r w:rsidRPr="002E6ECA">
        <w:rPr>
          <w:sz w:val="28"/>
          <w:szCs w:val="28"/>
          <w:lang w:val="uk-UA"/>
        </w:rPr>
        <w:t> </w:t>
      </w:r>
      <w:r w:rsidRPr="002E6ECA">
        <w:rPr>
          <w:rFonts w:eastAsiaTheme="minorHAnsi"/>
          <w:sz w:val="28"/>
          <w:szCs w:val="28"/>
          <w:lang w:val="uk-UA" w:eastAsia="en-US"/>
        </w:rPr>
        <w:t>J., Irurtia</w:t>
      </w:r>
      <w:r w:rsidRPr="002E6ECA">
        <w:rPr>
          <w:sz w:val="28"/>
          <w:szCs w:val="28"/>
          <w:lang w:val="uk-UA"/>
        </w:rPr>
        <w:t> </w:t>
      </w:r>
      <w:r w:rsidRPr="002E6ECA">
        <w:rPr>
          <w:rFonts w:eastAsiaTheme="minorHAnsi"/>
          <w:sz w:val="28"/>
          <w:szCs w:val="28"/>
          <w:lang w:val="uk-UA" w:eastAsia="en-US"/>
        </w:rPr>
        <w:t>A., Jemni</w:t>
      </w:r>
      <w:r w:rsidRPr="002E6ECA">
        <w:rPr>
          <w:sz w:val="28"/>
          <w:szCs w:val="28"/>
          <w:lang w:val="uk-UA"/>
        </w:rPr>
        <w:t> </w:t>
      </w:r>
      <w:r w:rsidRPr="002E6ECA">
        <w:rPr>
          <w:rFonts w:eastAsiaTheme="minorHAnsi"/>
          <w:sz w:val="28"/>
          <w:szCs w:val="28"/>
          <w:lang w:val="uk-UA" w:eastAsia="en-US"/>
        </w:rPr>
        <w:t xml:space="preserve">M., et al. Bioelectrical impedance vector analysis (BIVA) in sport and exercise: Systematic review and future perspectives. </w:t>
      </w:r>
      <w:r w:rsidRPr="002E6ECA">
        <w:rPr>
          <w:rFonts w:eastAsiaTheme="minorHAnsi"/>
          <w:i/>
          <w:sz w:val="28"/>
          <w:szCs w:val="28"/>
          <w:lang w:val="uk-UA" w:eastAsia="en-US"/>
        </w:rPr>
        <w:t>PLOS ONE</w:t>
      </w:r>
      <w:r w:rsidRPr="002E6ECA">
        <w:rPr>
          <w:rFonts w:eastAsiaTheme="minorHAnsi"/>
          <w:sz w:val="28"/>
          <w:szCs w:val="28"/>
          <w:lang w:val="uk-UA" w:eastAsia="en-US"/>
        </w:rPr>
        <w:t>. 2018. Vol. 13 (6). e0197957. DOI: 10.1371/journal.pone.0197957.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Catchpool</w:t>
      </w:r>
      <w:r w:rsidRPr="002E6ECA">
        <w:rPr>
          <w:sz w:val="28"/>
          <w:szCs w:val="28"/>
          <w:lang w:val="uk-UA"/>
        </w:rPr>
        <w:t> </w:t>
      </w:r>
      <w:r w:rsidRPr="002E6ECA">
        <w:rPr>
          <w:rFonts w:eastAsiaTheme="minorHAnsi"/>
          <w:sz w:val="28"/>
          <w:szCs w:val="28"/>
          <w:lang w:val="uk-UA" w:eastAsia="en-US"/>
        </w:rPr>
        <w:t>M., Gold</w:t>
      </w:r>
      <w:r w:rsidRPr="002E6ECA">
        <w:rPr>
          <w:sz w:val="28"/>
          <w:szCs w:val="28"/>
          <w:lang w:val="uk-UA"/>
        </w:rPr>
        <w:t> </w:t>
      </w:r>
      <w:r w:rsidRPr="002E6ECA">
        <w:rPr>
          <w:rFonts w:eastAsiaTheme="minorHAnsi"/>
          <w:sz w:val="28"/>
          <w:szCs w:val="28"/>
          <w:lang w:val="uk-UA" w:eastAsia="en-US"/>
        </w:rPr>
        <w:t>L., Grobler</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C., Clifford</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A., Wake</w:t>
      </w:r>
      <w:r w:rsidRPr="002E6ECA">
        <w:rPr>
          <w:sz w:val="28"/>
          <w:szCs w:val="28"/>
          <w:lang w:val="uk-UA"/>
        </w:rPr>
        <w:t> </w:t>
      </w:r>
      <w:r w:rsidRPr="002E6ECA">
        <w:rPr>
          <w:rFonts w:eastAsiaTheme="minorHAnsi"/>
          <w:sz w:val="28"/>
          <w:szCs w:val="28"/>
          <w:lang w:val="uk-UA" w:eastAsia="en-US"/>
        </w:rPr>
        <w:t xml:space="preserve">M. Health-related quality of life: population epidemiology and concordance in Australian children aged 11-12 years and their parents. </w:t>
      </w:r>
      <w:r w:rsidRPr="002E6ECA">
        <w:rPr>
          <w:rFonts w:eastAsiaTheme="minorHAnsi"/>
          <w:i/>
          <w:sz w:val="28"/>
          <w:szCs w:val="28"/>
          <w:lang w:val="uk-UA" w:eastAsia="en-US"/>
        </w:rPr>
        <w:t>BMJ Open</w:t>
      </w:r>
      <w:r w:rsidRPr="002E6ECA">
        <w:rPr>
          <w:rFonts w:eastAsiaTheme="minorHAnsi"/>
          <w:sz w:val="28"/>
          <w:szCs w:val="28"/>
          <w:lang w:val="uk-UA" w:eastAsia="en-US"/>
        </w:rPr>
        <w:t>. 2019. Vol. 3. P. 157-164. doi:10.1136/ bmjopen-2018-022398.</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shd w:val="clear" w:color="auto" w:fill="FFFFFF"/>
          <w:lang w:val="uk-UA" w:eastAsia="en-US"/>
        </w:rPr>
      </w:pPr>
      <w:r w:rsidRPr="002E6ECA">
        <w:rPr>
          <w:rFonts w:eastAsiaTheme="minorHAnsi"/>
          <w:sz w:val="28"/>
          <w:szCs w:val="28"/>
          <w:shd w:val="clear" w:color="auto" w:fill="FFFFFF"/>
          <w:lang w:val="uk-UA" w:eastAsia="en-US"/>
        </w:rPr>
        <w:t>Cheserek</w:t>
      </w:r>
      <w:r w:rsidRPr="002E6ECA">
        <w:rPr>
          <w:sz w:val="28"/>
          <w:szCs w:val="28"/>
          <w:lang w:val="uk-UA"/>
        </w:rPr>
        <w:t> </w:t>
      </w:r>
      <w:r w:rsidRPr="002E6ECA">
        <w:rPr>
          <w:rFonts w:eastAsiaTheme="minorHAnsi"/>
          <w:sz w:val="28"/>
          <w:szCs w:val="28"/>
          <w:shd w:val="clear" w:color="auto" w:fill="FFFFFF"/>
          <w:lang w:val="uk-UA" w:eastAsia="en-US"/>
        </w:rPr>
        <w:t>M.</w:t>
      </w:r>
      <w:r w:rsidRPr="002E6ECA">
        <w:rPr>
          <w:sz w:val="28"/>
          <w:szCs w:val="28"/>
          <w:lang w:val="uk-UA"/>
        </w:rPr>
        <w:t> </w:t>
      </w:r>
      <w:r w:rsidRPr="002E6ECA">
        <w:rPr>
          <w:rFonts w:eastAsiaTheme="minorHAnsi"/>
          <w:sz w:val="28"/>
          <w:szCs w:val="28"/>
          <w:shd w:val="clear" w:color="auto" w:fill="FFFFFF"/>
          <w:lang w:val="uk-UA" w:eastAsia="en-US"/>
        </w:rPr>
        <w:t>J., Wu</w:t>
      </w:r>
      <w:r w:rsidRPr="002E6ECA">
        <w:rPr>
          <w:sz w:val="28"/>
          <w:szCs w:val="28"/>
          <w:lang w:val="uk-UA"/>
        </w:rPr>
        <w:t> </w:t>
      </w:r>
      <w:r w:rsidRPr="002E6ECA">
        <w:rPr>
          <w:rFonts w:eastAsiaTheme="minorHAnsi"/>
          <w:sz w:val="28"/>
          <w:szCs w:val="28"/>
          <w:shd w:val="clear" w:color="auto" w:fill="FFFFFF"/>
          <w:lang w:val="uk-UA" w:eastAsia="en-US"/>
        </w:rPr>
        <w:t>G.</w:t>
      </w:r>
      <w:r w:rsidRPr="002E6ECA">
        <w:rPr>
          <w:sz w:val="28"/>
          <w:szCs w:val="28"/>
          <w:lang w:val="uk-UA"/>
        </w:rPr>
        <w:t> </w:t>
      </w:r>
      <w:r w:rsidRPr="002E6ECA">
        <w:rPr>
          <w:rFonts w:eastAsiaTheme="minorHAnsi"/>
          <w:sz w:val="28"/>
          <w:szCs w:val="28"/>
          <w:shd w:val="clear" w:color="auto" w:fill="FFFFFF"/>
          <w:lang w:val="uk-UA" w:eastAsia="en-US"/>
        </w:rPr>
        <w:t>R., Ntazinda</w:t>
      </w:r>
      <w:r w:rsidRPr="002E6ECA">
        <w:rPr>
          <w:sz w:val="28"/>
          <w:szCs w:val="28"/>
          <w:lang w:val="uk-UA"/>
        </w:rPr>
        <w:t> </w:t>
      </w:r>
      <w:r w:rsidRPr="002E6ECA">
        <w:rPr>
          <w:rFonts w:eastAsiaTheme="minorHAnsi"/>
          <w:sz w:val="28"/>
          <w:szCs w:val="28"/>
          <w:shd w:val="clear" w:color="auto" w:fill="FFFFFF"/>
          <w:lang w:val="uk-UA" w:eastAsia="en-US"/>
        </w:rPr>
        <w:t xml:space="preserve">A., </w:t>
      </w:r>
      <w:hyperlink r:id="rId195" w:history="1">
        <w:r w:rsidRPr="002E6ECA">
          <w:rPr>
            <w:rFonts w:eastAsiaTheme="minorHAnsi"/>
            <w:sz w:val="28"/>
            <w:szCs w:val="28"/>
            <w:shd w:val="clear" w:color="auto" w:fill="FFFFFF"/>
            <w:lang w:val="uk-UA" w:eastAsia="en-US"/>
          </w:rPr>
          <w:t>Shi</w:t>
        </w:r>
      </w:hyperlink>
      <w:r w:rsidRPr="002E6ECA">
        <w:rPr>
          <w:rFonts w:eastAsiaTheme="minorHAnsi"/>
          <w:sz w:val="28"/>
          <w:szCs w:val="28"/>
          <w:shd w:val="clear" w:color="auto" w:fill="FFFFFF"/>
          <w:lang w:val="uk-UA" w:eastAsia="en-US"/>
        </w:rPr>
        <w:t> Y.-H.,</w:t>
      </w:r>
      <w:hyperlink r:id="rId196" w:history="1">
        <w:r w:rsidRPr="002E6ECA">
          <w:rPr>
            <w:rFonts w:eastAsiaTheme="minorHAnsi"/>
            <w:sz w:val="28"/>
            <w:szCs w:val="28"/>
            <w:shd w:val="clear" w:color="auto" w:fill="FFFFFF"/>
            <w:lang w:val="uk-UA" w:eastAsia="en-US"/>
          </w:rPr>
          <w:t xml:space="preserve"> </w:t>
        </w:r>
        <w:r w:rsidRPr="002E6ECA">
          <w:rPr>
            <w:rFonts w:eastAsiaTheme="minorHAnsi"/>
            <w:sz w:val="28"/>
            <w:szCs w:val="28"/>
            <w:lang w:val="en-US"/>
          </w:rPr>
          <w:t>Shen</w:t>
        </w:r>
      </w:hyperlink>
      <w:r w:rsidRPr="002E6ECA">
        <w:rPr>
          <w:rFonts w:eastAsiaTheme="minorHAnsi"/>
          <w:sz w:val="28"/>
          <w:szCs w:val="28"/>
          <w:lang w:val="uk-UA"/>
        </w:rPr>
        <w:t> </w:t>
      </w:r>
      <w:r w:rsidRPr="002E6ECA">
        <w:rPr>
          <w:rFonts w:eastAsiaTheme="minorHAnsi"/>
          <w:sz w:val="28"/>
          <w:szCs w:val="28"/>
          <w:lang w:val="en-US"/>
        </w:rPr>
        <w:t>L</w:t>
      </w:r>
      <w:r w:rsidRPr="002E6ECA">
        <w:rPr>
          <w:rFonts w:eastAsiaTheme="minorHAnsi"/>
          <w:sz w:val="28"/>
          <w:szCs w:val="28"/>
          <w:lang w:val="uk-UA"/>
        </w:rPr>
        <w:t>.</w:t>
      </w:r>
      <w:r w:rsidRPr="002E6ECA">
        <w:rPr>
          <w:rFonts w:eastAsiaTheme="minorHAnsi"/>
          <w:sz w:val="28"/>
          <w:szCs w:val="28"/>
          <w:shd w:val="clear" w:color="auto" w:fill="FFFFFF"/>
          <w:lang w:val="uk-UA" w:eastAsia="en-US"/>
        </w:rPr>
        <w:t>-Y.,</w:t>
      </w:r>
      <w:hyperlink r:id="rId197" w:history="1">
        <w:r w:rsidRPr="002E6ECA">
          <w:rPr>
            <w:rFonts w:eastAsiaTheme="minorHAnsi"/>
            <w:sz w:val="28"/>
            <w:szCs w:val="28"/>
            <w:shd w:val="clear" w:color="auto" w:fill="FFFFFF"/>
            <w:lang w:val="uk-UA" w:eastAsia="en-US"/>
          </w:rPr>
          <w:t xml:space="preserve"> </w:t>
        </w:r>
        <w:r w:rsidRPr="002E6ECA">
          <w:rPr>
            <w:rFonts w:eastAsiaTheme="minorHAnsi"/>
            <w:sz w:val="28"/>
            <w:szCs w:val="28"/>
            <w:lang w:val="en-US"/>
          </w:rPr>
          <w:t>Le</w:t>
        </w:r>
      </w:hyperlink>
      <w:r w:rsidRPr="002E6ECA">
        <w:rPr>
          <w:rFonts w:eastAsiaTheme="minorHAnsi"/>
          <w:sz w:val="28"/>
          <w:szCs w:val="28"/>
          <w:lang w:val="uk-UA"/>
        </w:rPr>
        <w:t> </w:t>
      </w:r>
      <w:r w:rsidRPr="002E6ECA">
        <w:rPr>
          <w:rFonts w:eastAsiaTheme="minorHAnsi"/>
          <w:sz w:val="28"/>
          <w:szCs w:val="28"/>
          <w:lang w:val="en-US"/>
        </w:rPr>
        <w:t>G</w:t>
      </w:r>
      <w:r w:rsidRPr="002E6ECA">
        <w:rPr>
          <w:rFonts w:eastAsiaTheme="minorHAnsi"/>
          <w:sz w:val="28"/>
          <w:szCs w:val="28"/>
          <w:lang w:val="uk-UA"/>
        </w:rPr>
        <w:t>.</w:t>
      </w:r>
      <w:r w:rsidRPr="002E6ECA">
        <w:rPr>
          <w:rFonts w:eastAsiaTheme="minorHAnsi"/>
          <w:sz w:val="28"/>
          <w:szCs w:val="28"/>
          <w:shd w:val="clear" w:color="auto" w:fill="FFFFFF"/>
          <w:lang w:val="uk-UA" w:eastAsia="en-US"/>
        </w:rPr>
        <w:t xml:space="preserve">-W. </w:t>
      </w:r>
      <w:r w:rsidRPr="002E6ECA">
        <w:rPr>
          <w:rFonts w:eastAsiaTheme="minorHAnsi"/>
          <w:bCs/>
          <w:sz w:val="28"/>
          <w:szCs w:val="28"/>
          <w:shd w:val="clear" w:color="auto" w:fill="FFFFFF"/>
          <w:lang w:val="uk-UA" w:eastAsia="en-US"/>
        </w:rPr>
        <w:t xml:space="preserve">Association Between Thyroid Hormones, Lipids and Oxidative Stress Markers in Subclinical Hypothyroidism. </w:t>
      </w:r>
      <w:r w:rsidRPr="002E6ECA">
        <w:rPr>
          <w:rFonts w:eastAsiaTheme="minorHAnsi"/>
          <w:i/>
          <w:iCs/>
          <w:sz w:val="28"/>
          <w:szCs w:val="28"/>
          <w:shd w:val="clear" w:color="auto" w:fill="FFFFFF"/>
          <w:lang w:val="uk-UA" w:eastAsia="en-US"/>
        </w:rPr>
        <w:t xml:space="preserve">J Med Biochem. </w:t>
      </w:r>
      <w:r w:rsidRPr="002E6ECA">
        <w:rPr>
          <w:rFonts w:eastAsiaTheme="minorHAnsi"/>
          <w:iCs/>
          <w:sz w:val="28"/>
          <w:szCs w:val="28"/>
          <w:shd w:val="clear" w:color="auto" w:fill="FFFFFF"/>
          <w:lang w:val="uk-UA" w:eastAsia="en-US"/>
        </w:rPr>
        <w:t>2015. Vol.</w:t>
      </w:r>
      <w:r w:rsidRPr="002E6ECA">
        <w:rPr>
          <w:rFonts w:eastAsiaTheme="minorHAnsi"/>
          <w:sz w:val="28"/>
          <w:szCs w:val="28"/>
          <w:shd w:val="clear" w:color="auto" w:fill="FFFFFF"/>
          <w:lang w:val="uk-UA" w:eastAsia="en-US"/>
        </w:rPr>
        <w:t xml:space="preserve"> 34 (3). P. 323-331. doi: 10.2478/jomb-2014-0044.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Cho</w:t>
      </w:r>
      <w:r w:rsidRPr="002E6ECA">
        <w:rPr>
          <w:sz w:val="28"/>
          <w:szCs w:val="28"/>
          <w:lang w:val="uk-UA"/>
        </w:rPr>
        <w:t> </w:t>
      </w:r>
      <w:r w:rsidRPr="002E6ECA">
        <w:rPr>
          <w:rFonts w:eastAsiaTheme="minorHAnsi"/>
          <w:sz w:val="28"/>
          <w:szCs w:val="28"/>
          <w:lang w:val="uk-UA" w:eastAsia="en-US"/>
        </w:rPr>
        <w:t>D., Park</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 xml:space="preserve">L. Moderating effects of perceived growth on the association between fear of cancer recurrence and health-related quality of life among adolescent and young adult cancer survivors. J Psychosoc Oncol. </w:t>
      </w:r>
      <w:r w:rsidRPr="002E6ECA">
        <w:rPr>
          <w:rFonts w:eastAsiaTheme="minorHAnsi"/>
          <w:iCs/>
          <w:sz w:val="28"/>
          <w:szCs w:val="28"/>
          <w:lang w:val="uk-UA" w:eastAsia="en-US"/>
        </w:rPr>
        <w:t>2017. Vol.</w:t>
      </w:r>
      <w:r w:rsidRPr="002E6ECA">
        <w:rPr>
          <w:rFonts w:eastAsiaTheme="minorHAnsi"/>
          <w:sz w:val="28"/>
          <w:szCs w:val="28"/>
          <w:lang w:val="uk-UA" w:eastAsia="en-US"/>
        </w:rPr>
        <w:t xml:space="preserve"> 35 (2).</w:t>
      </w:r>
      <w:r w:rsidRPr="002E6ECA">
        <w:rPr>
          <w:rFonts w:eastAsiaTheme="minorHAnsi"/>
          <w:iCs/>
          <w:sz w:val="28"/>
          <w:szCs w:val="28"/>
          <w:lang w:val="uk-UA" w:eastAsia="en-US"/>
        </w:rPr>
        <w:t xml:space="preserve"> P.</w:t>
      </w:r>
      <w:r w:rsidRPr="002E6ECA">
        <w:rPr>
          <w:rFonts w:eastAsiaTheme="minorHAnsi"/>
          <w:sz w:val="28"/>
          <w:szCs w:val="28"/>
          <w:lang w:val="uk-UA" w:eastAsia="en-US"/>
        </w:rPr>
        <w:t xml:space="preserve"> 148-165.</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198" w:history="1">
        <w:r w:rsidR="00020FED" w:rsidRPr="002E6ECA">
          <w:rPr>
            <w:rFonts w:eastAsiaTheme="minorHAnsi"/>
            <w:bCs/>
            <w:sz w:val="28"/>
            <w:szCs w:val="28"/>
            <w:lang w:val="uk-UA" w:eastAsia="en-US"/>
          </w:rPr>
          <w:t>Christian</w:t>
        </w:r>
      </w:hyperlink>
      <w:r w:rsidR="00020FED" w:rsidRPr="002E6ECA">
        <w:rPr>
          <w:sz w:val="28"/>
          <w:szCs w:val="28"/>
          <w:lang w:val="uk-UA"/>
        </w:rPr>
        <w:t> </w:t>
      </w:r>
      <w:r w:rsidR="00020FED" w:rsidRPr="002E6ECA">
        <w:rPr>
          <w:rFonts w:eastAsiaTheme="minorHAnsi"/>
          <w:bCs/>
          <w:sz w:val="28"/>
          <w:szCs w:val="28"/>
          <w:lang w:val="uk-UA" w:eastAsia="en-US"/>
        </w:rPr>
        <w:t>D.</w:t>
      </w:r>
      <w:r w:rsidR="00020FED" w:rsidRPr="002E6ECA">
        <w:rPr>
          <w:sz w:val="28"/>
          <w:szCs w:val="28"/>
          <w:lang w:val="uk-UA"/>
        </w:rPr>
        <w:t> </w:t>
      </w:r>
      <w:r w:rsidR="00020FED" w:rsidRPr="002E6ECA">
        <w:rPr>
          <w:rFonts w:eastAsiaTheme="minorHAnsi"/>
          <w:bCs/>
          <w:sz w:val="28"/>
          <w:szCs w:val="28"/>
          <w:lang w:val="uk-UA" w:eastAsia="en-US"/>
        </w:rPr>
        <w:t>L.,</w:t>
      </w:r>
      <w:hyperlink r:id="rId199" w:history="1">
        <w:r w:rsidR="00020FED" w:rsidRPr="002E6ECA">
          <w:rPr>
            <w:rFonts w:eastAsiaTheme="minorHAnsi"/>
            <w:bCs/>
            <w:sz w:val="28"/>
            <w:szCs w:val="28"/>
            <w:lang w:val="uk-UA" w:eastAsia="en-US"/>
          </w:rPr>
          <w:t xml:space="preserve"> Todd</w:t>
        </w:r>
      </w:hyperlink>
      <w:r w:rsidR="00020FED" w:rsidRPr="002E6ECA">
        <w:rPr>
          <w:sz w:val="28"/>
          <w:szCs w:val="28"/>
          <w:lang w:val="uk-UA"/>
        </w:rPr>
        <w:t> </w:t>
      </w:r>
      <w:r w:rsidR="00020FED" w:rsidRPr="002E6ECA">
        <w:rPr>
          <w:rFonts w:eastAsiaTheme="minorHAnsi"/>
          <w:bCs/>
          <w:sz w:val="28"/>
          <w:szCs w:val="28"/>
          <w:lang w:val="uk-UA" w:eastAsia="en-US"/>
        </w:rPr>
        <w:t>C.,</w:t>
      </w:r>
      <w:hyperlink r:id="rId200" w:history="1">
        <w:r w:rsidR="00020FED" w:rsidRPr="002E6ECA">
          <w:rPr>
            <w:rFonts w:eastAsiaTheme="minorHAnsi"/>
            <w:bCs/>
            <w:sz w:val="28"/>
            <w:szCs w:val="28"/>
            <w:lang w:val="uk-UA" w:eastAsia="en-US"/>
          </w:rPr>
          <w:t xml:space="preserve"> Rance</w:t>
        </w:r>
      </w:hyperlink>
      <w:r w:rsidR="00020FED" w:rsidRPr="002E6ECA">
        <w:rPr>
          <w:sz w:val="28"/>
          <w:szCs w:val="28"/>
          <w:lang w:val="uk-UA"/>
        </w:rPr>
        <w:t> </w:t>
      </w:r>
      <w:r w:rsidR="00020FED" w:rsidRPr="002E6ECA">
        <w:rPr>
          <w:rFonts w:eastAsiaTheme="minorHAnsi"/>
          <w:bCs/>
          <w:sz w:val="28"/>
          <w:szCs w:val="28"/>
          <w:lang w:val="uk-UA" w:eastAsia="en-US"/>
        </w:rPr>
        <w:t>J.,</w:t>
      </w:r>
      <w:hyperlink r:id="rId201" w:history="1">
        <w:r w:rsidR="00020FED" w:rsidRPr="002E6ECA">
          <w:rPr>
            <w:rFonts w:eastAsiaTheme="minorHAnsi"/>
            <w:bCs/>
            <w:sz w:val="28"/>
            <w:szCs w:val="28"/>
            <w:lang w:val="uk-UA" w:eastAsia="en-US"/>
          </w:rPr>
          <w:t xml:space="preserve"> Stratton</w:t>
        </w:r>
      </w:hyperlink>
      <w:r w:rsidR="00020FED" w:rsidRPr="002E6ECA">
        <w:rPr>
          <w:sz w:val="28"/>
          <w:szCs w:val="28"/>
          <w:lang w:val="uk-UA"/>
        </w:rPr>
        <w:t> </w:t>
      </w:r>
      <w:r w:rsidR="00020FED" w:rsidRPr="002E6ECA">
        <w:rPr>
          <w:rFonts w:eastAsiaTheme="minorHAnsi"/>
          <w:bCs/>
          <w:sz w:val="28"/>
          <w:szCs w:val="28"/>
          <w:lang w:val="uk-UA" w:eastAsia="en-US"/>
        </w:rPr>
        <w:t>G.,</w:t>
      </w:r>
      <w:hyperlink r:id="rId202" w:history="1">
        <w:r w:rsidR="00020FED" w:rsidRPr="002E6ECA">
          <w:rPr>
            <w:rFonts w:eastAsiaTheme="minorHAnsi"/>
            <w:bCs/>
            <w:sz w:val="28"/>
            <w:szCs w:val="28"/>
            <w:lang w:val="uk-UA" w:eastAsia="en-US"/>
          </w:rPr>
          <w:t xml:space="preserve"> Mackintosh</w:t>
        </w:r>
      </w:hyperlink>
      <w:r w:rsidR="00020FED" w:rsidRPr="002E6ECA">
        <w:rPr>
          <w:sz w:val="28"/>
          <w:szCs w:val="28"/>
          <w:lang w:val="uk-UA"/>
        </w:rPr>
        <w:t> </w:t>
      </w:r>
      <w:r w:rsidR="00020FED" w:rsidRPr="002E6ECA">
        <w:rPr>
          <w:rFonts w:eastAsiaTheme="minorHAnsi"/>
          <w:bCs/>
          <w:sz w:val="28"/>
          <w:szCs w:val="28"/>
          <w:lang w:val="uk-UA" w:eastAsia="en-US"/>
        </w:rPr>
        <w:t>K.</w:t>
      </w:r>
      <w:r w:rsidR="00020FED" w:rsidRPr="002E6ECA">
        <w:rPr>
          <w:sz w:val="28"/>
          <w:szCs w:val="28"/>
          <w:lang w:val="uk-UA"/>
        </w:rPr>
        <w:t> </w:t>
      </w:r>
      <w:r w:rsidR="00020FED" w:rsidRPr="002E6ECA">
        <w:rPr>
          <w:rFonts w:eastAsiaTheme="minorHAnsi"/>
          <w:bCs/>
          <w:sz w:val="28"/>
          <w:szCs w:val="28"/>
          <w:lang w:val="uk-UA" w:eastAsia="en-US"/>
        </w:rPr>
        <w:t>A.,</w:t>
      </w:r>
      <w:hyperlink r:id="rId203" w:history="1">
        <w:r w:rsidR="00020FED" w:rsidRPr="002E6ECA">
          <w:rPr>
            <w:rFonts w:eastAsiaTheme="minorHAnsi"/>
            <w:bCs/>
            <w:sz w:val="28"/>
            <w:szCs w:val="28"/>
            <w:lang w:val="uk-UA" w:eastAsia="en-US"/>
          </w:rPr>
          <w:t xml:space="preserve"> Rapport</w:t>
        </w:r>
      </w:hyperlink>
      <w:r w:rsidR="00020FED" w:rsidRPr="002E6ECA">
        <w:rPr>
          <w:sz w:val="28"/>
          <w:szCs w:val="28"/>
          <w:lang w:val="uk-UA"/>
        </w:rPr>
        <w:t> </w:t>
      </w:r>
      <w:r w:rsidR="00020FED" w:rsidRPr="002E6ECA">
        <w:rPr>
          <w:rFonts w:eastAsiaTheme="minorHAnsi"/>
          <w:bCs/>
          <w:sz w:val="28"/>
          <w:szCs w:val="28"/>
          <w:lang w:val="uk-UA" w:eastAsia="en-US"/>
        </w:rPr>
        <w:t>F.,</w:t>
      </w:r>
      <w:hyperlink r:id="rId204" w:history="1">
        <w:r w:rsidR="00020FED" w:rsidRPr="002E6ECA">
          <w:rPr>
            <w:rFonts w:eastAsiaTheme="minorHAnsi"/>
            <w:bCs/>
            <w:sz w:val="28"/>
            <w:szCs w:val="28"/>
            <w:lang w:val="uk-UA" w:eastAsia="en-US"/>
          </w:rPr>
          <w:t xml:space="preserve"> Brophy</w:t>
        </w:r>
      </w:hyperlink>
      <w:r w:rsidR="00020FED" w:rsidRPr="002E6ECA">
        <w:rPr>
          <w:sz w:val="28"/>
          <w:szCs w:val="28"/>
          <w:lang w:val="uk-UA"/>
        </w:rPr>
        <w:t> </w:t>
      </w:r>
      <w:r w:rsidR="00020FED" w:rsidRPr="002E6ECA">
        <w:rPr>
          <w:rFonts w:eastAsiaTheme="minorHAnsi"/>
          <w:bCs/>
          <w:sz w:val="28"/>
          <w:szCs w:val="28"/>
          <w:lang w:val="uk-UA" w:eastAsia="en-US"/>
        </w:rPr>
        <w:t xml:space="preserve">S. Involving the headteacher in the development of school-based health interventions: A mixed-methods outcome and process evaluation using the RE-AIM framework. </w:t>
      </w:r>
      <w:r w:rsidR="00020FED" w:rsidRPr="002E6ECA">
        <w:rPr>
          <w:rFonts w:eastAsiaTheme="minorHAnsi"/>
          <w:bCs/>
          <w:i/>
          <w:sz w:val="28"/>
          <w:szCs w:val="28"/>
          <w:lang w:val="uk-UA" w:eastAsia="en-US"/>
        </w:rPr>
        <w:t>PLoS One</w:t>
      </w:r>
      <w:r w:rsidR="00020FED" w:rsidRPr="002E6ECA">
        <w:rPr>
          <w:rFonts w:eastAsiaTheme="minorHAnsi"/>
          <w:bCs/>
          <w:sz w:val="28"/>
          <w:szCs w:val="28"/>
          <w:lang w:val="uk-UA" w:eastAsia="en-US"/>
        </w:rPr>
        <w:t xml:space="preserve">. 2020. Vol. 15 (4). e0230745. doi: 10.1371/journal.pone.0230745.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Chula de Castro</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A., de Lima</w:t>
      </w:r>
      <w:r w:rsidRPr="002E6ECA">
        <w:rPr>
          <w:sz w:val="28"/>
          <w:szCs w:val="28"/>
          <w:lang w:val="uk-UA"/>
        </w:rPr>
        <w:t> </w:t>
      </w:r>
      <w:r w:rsidRPr="002E6ECA">
        <w:rPr>
          <w:rFonts w:eastAsiaTheme="minorHAnsi"/>
          <w:sz w:val="28"/>
          <w:szCs w:val="28"/>
          <w:lang w:val="uk-UA" w:eastAsia="en-US"/>
        </w:rPr>
        <w:t>T.</w:t>
      </w:r>
      <w:r w:rsidRPr="002E6ECA">
        <w:rPr>
          <w:sz w:val="28"/>
          <w:szCs w:val="28"/>
          <w:lang w:val="uk-UA"/>
        </w:rPr>
        <w:t> </w:t>
      </w:r>
      <w:r w:rsidRPr="002E6ECA">
        <w:rPr>
          <w:rFonts w:eastAsiaTheme="minorHAnsi"/>
          <w:sz w:val="28"/>
          <w:szCs w:val="28"/>
          <w:lang w:val="uk-UA" w:eastAsia="en-US"/>
        </w:rPr>
        <w:t>R., Santos Silva</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 xml:space="preserve">A. Body composition estimation in children and adolescents by bioelectrical impedance analysis: A systematic review. </w:t>
      </w:r>
      <w:r w:rsidRPr="002E6ECA">
        <w:rPr>
          <w:rFonts w:eastAsiaTheme="minorHAnsi"/>
          <w:i/>
          <w:sz w:val="28"/>
          <w:szCs w:val="28"/>
          <w:lang w:val="uk-UA" w:eastAsia="en-US"/>
        </w:rPr>
        <w:t>Journal of Bodywork and Movement Therapies</w:t>
      </w:r>
      <w:r w:rsidRPr="002E6ECA">
        <w:rPr>
          <w:rFonts w:eastAsiaTheme="minorHAnsi"/>
          <w:sz w:val="28"/>
          <w:szCs w:val="28"/>
          <w:lang w:val="uk-UA" w:eastAsia="en-US"/>
        </w:rPr>
        <w:t>. 2018. Vol. 22 (1). Р. 134-146.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Cohen</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K., Syme</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 xml:space="preserve">L. Education: a missed opportunity for public health intervention. </w:t>
      </w:r>
      <w:r w:rsidRPr="002E6ECA">
        <w:rPr>
          <w:rFonts w:eastAsiaTheme="minorHAnsi"/>
          <w:i/>
          <w:sz w:val="28"/>
          <w:szCs w:val="28"/>
          <w:lang w:val="uk-UA" w:eastAsia="en-US"/>
        </w:rPr>
        <w:t>American Journal of Public Health</w:t>
      </w:r>
      <w:r w:rsidRPr="002E6ECA">
        <w:rPr>
          <w:rFonts w:eastAsiaTheme="minorHAnsi"/>
          <w:sz w:val="28"/>
          <w:szCs w:val="28"/>
          <w:lang w:val="uk-UA" w:eastAsia="en-US"/>
        </w:rPr>
        <w:t>. 2013. Vol. 103 (6). Р. 997-1001. doi: 10.2105/AJPH.2012.300993.</w:t>
      </w:r>
    </w:p>
    <w:p w:rsidR="009D6F94" w:rsidRPr="002E6ECA" w:rsidRDefault="009D6F94" w:rsidP="00020FED">
      <w:pPr>
        <w:numPr>
          <w:ilvl w:val="0"/>
          <w:numId w:val="72"/>
        </w:numPr>
        <w:spacing w:line="360" w:lineRule="auto"/>
        <w:ind w:left="0" w:firstLine="709"/>
        <w:contextualSpacing/>
        <w:jc w:val="both"/>
        <w:rPr>
          <w:rFonts w:eastAsiaTheme="minorHAnsi"/>
          <w:sz w:val="28"/>
          <w:szCs w:val="28"/>
          <w:lang w:val="uk-UA" w:eastAsia="en-US"/>
        </w:rPr>
      </w:pPr>
      <w:r w:rsidRPr="002E6ECA">
        <w:rPr>
          <w:rStyle w:val="element-citation"/>
          <w:rFonts w:eastAsia="Calibri"/>
          <w:sz w:val="28"/>
          <w:szCs w:val="28"/>
          <w:lang w:val="en-US"/>
        </w:rPr>
        <w:t>Collishaw</w:t>
      </w:r>
      <w:r w:rsidRPr="002E6ECA">
        <w:rPr>
          <w:sz w:val="28"/>
          <w:szCs w:val="28"/>
          <w:lang w:val="uk-UA"/>
        </w:rPr>
        <w:t> </w:t>
      </w:r>
      <w:r w:rsidRPr="002E6ECA">
        <w:rPr>
          <w:rStyle w:val="element-citation"/>
          <w:rFonts w:eastAsia="Calibri"/>
          <w:sz w:val="28"/>
          <w:szCs w:val="28"/>
          <w:lang w:val="en-US"/>
        </w:rPr>
        <w:t xml:space="preserve">S. Annual research review: Secular trends in child and adolescent mental health. </w:t>
      </w:r>
      <w:r w:rsidRPr="002E6ECA">
        <w:rPr>
          <w:rStyle w:val="ref-journal"/>
          <w:sz w:val="28"/>
          <w:szCs w:val="28"/>
        </w:rPr>
        <w:t xml:space="preserve">J. Child. Psychol. Psyc. </w:t>
      </w:r>
      <w:r w:rsidRPr="002E6ECA">
        <w:rPr>
          <w:rStyle w:val="element-citation"/>
          <w:rFonts w:eastAsia="Calibri"/>
          <w:sz w:val="28"/>
          <w:szCs w:val="28"/>
        </w:rPr>
        <w:t xml:space="preserve">2015. Vol. </w:t>
      </w:r>
      <w:r w:rsidRPr="002E6ECA">
        <w:rPr>
          <w:rStyle w:val="ref-vol"/>
          <w:sz w:val="28"/>
          <w:szCs w:val="28"/>
        </w:rPr>
        <w:t>56</w:t>
      </w:r>
      <w:r w:rsidRPr="002E6ECA">
        <w:rPr>
          <w:rStyle w:val="element-citation"/>
          <w:rFonts w:eastAsia="Calibri"/>
          <w:sz w:val="28"/>
          <w:szCs w:val="28"/>
        </w:rPr>
        <w:t>. Р. 370</w:t>
      </w:r>
      <w:r w:rsidRPr="002E6ECA">
        <w:rPr>
          <w:rStyle w:val="element-citation"/>
          <w:rFonts w:eastAsia="Calibri"/>
          <w:sz w:val="28"/>
          <w:szCs w:val="28"/>
          <w:lang w:val="uk-UA"/>
        </w:rPr>
        <w:t>-</w:t>
      </w:r>
      <w:r w:rsidRPr="002E6ECA">
        <w:rPr>
          <w:rStyle w:val="element-citation"/>
          <w:rFonts w:eastAsia="Calibri"/>
          <w:sz w:val="28"/>
          <w:szCs w:val="28"/>
        </w:rPr>
        <w:t>393. doi:</w:t>
      </w:r>
      <w:r w:rsidRPr="002E6ECA">
        <w:rPr>
          <w:rStyle w:val="element-citation"/>
          <w:rFonts w:eastAsia="Calibri"/>
          <w:sz w:val="28"/>
          <w:szCs w:val="28"/>
          <w:lang w:val="uk-UA"/>
        </w:rPr>
        <w:t> </w:t>
      </w:r>
      <w:r w:rsidRPr="002E6ECA">
        <w:rPr>
          <w:rStyle w:val="element-citation"/>
          <w:rFonts w:eastAsia="Calibri"/>
          <w:sz w:val="28"/>
          <w:szCs w:val="28"/>
        </w:rPr>
        <w:t>10.1111/jcpp.12372.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Condon</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 xml:space="preserve">M. Chronic Stress in Children and Adolescents: A review of biomarkers for use in pediatric research. </w:t>
      </w:r>
      <w:r w:rsidRPr="002E6ECA">
        <w:rPr>
          <w:rFonts w:eastAsiaTheme="minorHAnsi"/>
          <w:i/>
          <w:sz w:val="28"/>
          <w:szCs w:val="28"/>
          <w:lang w:val="uk-UA" w:eastAsia="en-US"/>
        </w:rPr>
        <w:t>Biological research for nursing</w:t>
      </w:r>
      <w:r w:rsidRPr="002E6ECA">
        <w:rPr>
          <w:rFonts w:eastAsiaTheme="minorHAnsi"/>
          <w:sz w:val="28"/>
          <w:szCs w:val="28"/>
          <w:lang w:val="uk-UA" w:eastAsia="en-US"/>
        </w:rPr>
        <w:t>. 2018. Vol. 20 (5). Р. 473-496. https://doi.org/10.1177/1099800418779214.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Constant</w:t>
      </w:r>
      <w:r w:rsidRPr="002E6ECA">
        <w:rPr>
          <w:sz w:val="28"/>
          <w:szCs w:val="28"/>
          <w:lang w:val="uk-UA"/>
        </w:rPr>
        <w:t> </w:t>
      </w:r>
      <w:r w:rsidRPr="002E6ECA">
        <w:rPr>
          <w:rFonts w:eastAsiaTheme="minorHAnsi"/>
          <w:sz w:val="28"/>
          <w:szCs w:val="28"/>
          <w:lang w:val="uk-UA" w:eastAsia="en-US"/>
        </w:rPr>
        <w:t>A., Boulic</w:t>
      </w:r>
      <w:r w:rsidRPr="002E6ECA">
        <w:rPr>
          <w:sz w:val="28"/>
          <w:szCs w:val="28"/>
          <w:lang w:val="uk-UA"/>
        </w:rPr>
        <w:t> </w:t>
      </w:r>
      <w:r w:rsidRPr="002E6ECA">
        <w:rPr>
          <w:rFonts w:eastAsiaTheme="minorHAnsi"/>
          <w:sz w:val="28"/>
          <w:szCs w:val="28"/>
          <w:lang w:val="uk-UA" w:eastAsia="en-US"/>
        </w:rPr>
        <w:t>G., Lommez</w:t>
      </w:r>
      <w:r w:rsidRPr="002E6ECA">
        <w:rPr>
          <w:sz w:val="28"/>
          <w:szCs w:val="28"/>
          <w:lang w:val="uk-UA"/>
        </w:rPr>
        <w:t> </w:t>
      </w:r>
      <w:r w:rsidRPr="002E6ECA">
        <w:rPr>
          <w:rFonts w:eastAsiaTheme="minorHAnsi"/>
          <w:sz w:val="28"/>
          <w:szCs w:val="28"/>
          <w:lang w:val="uk-UA" w:eastAsia="en-US"/>
        </w:rPr>
        <w:t>A., Chaillou</w:t>
      </w:r>
      <w:r w:rsidRPr="002E6ECA">
        <w:rPr>
          <w:sz w:val="28"/>
          <w:szCs w:val="28"/>
          <w:lang w:val="uk-UA"/>
        </w:rPr>
        <w:t> </w:t>
      </w:r>
      <w:r w:rsidRPr="002E6ECA">
        <w:rPr>
          <w:rFonts w:eastAsiaTheme="minorHAnsi"/>
          <w:sz w:val="28"/>
          <w:szCs w:val="28"/>
          <w:lang w:val="uk-UA" w:eastAsia="en-US"/>
        </w:rPr>
        <w:t>R., Guy-Grand</w:t>
      </w:r>
      <w:r w:rsidRPr="002E6ECA">
        <w:rPr>
          <w:sz w:val="28"/>
          <w:szCs w:val="28"/>
          <w:lang w:val="uk-UA"/>
        </w:rPr>
        <w:t> </w:t>
      </w:r>
      <w:r w:rsidRPr="002E6ECA">
        <w:rPr>
          <w:rFonts w:eastAsiaTheme="minorHAnsi"/>
          <w:sz w:val="28"/>
          <w:szCs w:val="28"/>
          <w:lang w:val="uk-UA" w:eastAsia="en-US"/>
        </w:rPr>
        <w:t>B., Raffin</w:t>
      </w:r>
      <w:r w:rsidRPr="002E6ECA">
        <w:rPr>
          <w:sz w:val="28"/>
          <w:szCs w:val="28"/>
          <w:lang w:val="uk-UA"/>
        </w:rPr>
        <w:t> </w:t>
      </w:r>
      <w:r w:rsidRPr="002E6ECA">
        <w:rPr>
          <w:rFonts w:eastAsiaTheme="minorHAnsi"/>
          <w:sz w:val="28"/>
          <w:szCs w:val="28"/>
          <w:lang w:val="uk-UA" w:eastAsia="en-US"/>
        </w:rPr>
        <w:t xml:space="preserve">S. Locally implemented prevention programs may reverse weight trajectories in half of children with overweight/obesity amid low child-staff ratios: results from a quasi-experimental study in France. </w:t>
      </w:r>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Jun 15. 2020. 20 (1). 941. doi: 10.1186/s12889-020-09080-y.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Corder</w:t>
      </w:r>
      <w:r w:rsidRPr="002E6ECA">
        <w:rPr>
          <w:sz w:val="28"/>
          <w:szCs w:val="28"/>
          <w:lang w:val="uk-UA"/>
        </w:rPr>
        <w:t> </w:t>
      </w:r>
      <w:r w:rsidRPr="002E6ECA">
        <w:rPr>
          <w:rFonts w:eastAsiaTheme="minorHAnsi"/>
          <w:sz w:val="28"/>
          <w:szCs w:val="28"/>
          <w:lang w:val="uk-UA" w:eastAsia="en-US"/>
        </w:rPr>
        <w:t>K., Sharp</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J., Atkin</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 xml:space="preserve">J. et al. Change in objectively measured physical activity during the transition to adolescence. </w:t>
      </w:r>
      <w:r w:rsidRPr="002E6ECA">
        <w:rPr>
          <w:rFonts w:eastAsiaTheme="minorHAnsi"/>
          <w:i/>
          <w:sz w:val="28"/>
          <w:szCs w:val="28"/>
          <w:lang w:val="uk-UA" w:eastAsia="en-US"/>
        </w:rPr>
        <w:t>Br J Sports Med</w:t>
      </w:r>
      <w:r w:rsidRPr="002E6ECA">
        <w:rPr>
          <w:rFonts w:eastAsiaTheme="minorHAnsi"/>
          <w:sz w:val="28"/>
          <w:szCs w:val="28"/>
          <w:lang w:val="uk-UA" w:eastAsia="en-US"/>
        </w:rPr>
        <w:t xml:space="preserve">. 2015. Vol. 49. Р. 730-736. doi: 10.1136/bjsports-2013-093190.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shd w:val="clear" w:color="auto" w:fill="FFFFFF"/>
          <w:lang w:val="uk-UA" w:eastAsia="en-US"/>
        </w:rPr>
        <w:t>Corson</w:t>
      </w:r>
      <w:r w:rsidRPr="002E6ECA">
        <w:rPr>
          <w:sz w:val="28"/>
          <w:szCs w:val="28"/>
          <w:lang w:val="uk-UA"/>
        </w:rPr>
        <w:t> </w:t>
      </w:r>
      <w:r w:rsidRPr="002E6ECA">
        <w:rPr>
          <w:rFonts w:eastAsiaTheme="minorHAnsi"/>
          <w:sz w:val="28"/>
          <w:szCs w:val="28"/>
          <w:shd w:val="clear" w:color="auto" w:fill="FFFFFF"/>
          <w:lang w:val="uk-UA" w:eastAsia="en-US"/>
        </w:rPr>
        <w:t>A.</w:t>
      </w:r>
      <w:r w:rsidRPr="002E6ECA">
        <w:rPr>
          <w:sz w:val="28"/>
          <w:szCs w:val="28"/>
          <w:lang w:val="uk-UA"/>
        </w:rPr>
        <w:t> </w:t>
      </w:r>
      <w:r w:rsidRPr="002E6ECA">
        <w:rPr>
          <w:rFonts w:eastAsiaTheme="minorHAnsi"/>
          <w:sz w:val="28"/>
          <w:szCs w:val="28"/>
          <w:shd w:val="clear" w:color="auto" w:fill="FFFFFF"/>
          <w:lang w:val="uk-UA" w:eastAsia="en-US"/>
        </w:rPr>
        <w:t>T., Loveless</w:t>
      </w:r>
      <w:r w:rsidRPr="002E6ECA">
        <w:rPr>
          <w:sz w:val="28"/>
          <w:szCs w:val="28"/>
          <w:lang w:val="uk-UA"/>
        </w:rPr>
        <w:t> </w:t>
      </w:r>
      <w:r w:rsidRPr="002E6ECA">
        <w:rPr>
          <w:rFonts w:eastAsiaTheme="minorHAnsi"/>
          <w:sz w:val="28"/>
          <w:szCs w:val="28"/>
          <w:shd w:val="clear" w:color="auto" w:fill="FFFFFF"/>
          <w:lang w:val="uk-UA" w:eastAsia="en-US"/>
        </w:rPr>
        <w:t>J.</w:t>
      </w:r>
      <w:r w:rsidRPr="002E6ECA">
        <w:rPr>
          <w:sz w:val="28"/>
          <w:szCs w:val="28"/>
          <w:lang w:val="uk-UA"/>
        </w:rPr>
        <w:t> </w:t>
      </w:r>
      <w:r w:rsidRPr="002E6ECA">
        <w:rPr>
          <w:rFonts w:eastAsiaTheme="minorHAnsi"/>
          <w:sz w:val="28"/>
          <w:szCs w:val="28"/>
          <w:shd w:val="clear" w:color="auto" w:fill="FFFFFF"/>
          <w:lang w:val="uk-UA" w:eastAsia="en-US"/>
        </w:rPr>
        <w:t>P., Mochrie</w:t>
      </w:r>
      <w:r w:rsidRPr="002E6ECA">
        <w:rPr>
          <w:sz w:val="28"/>
          <w:szCs w:val="28"/>
          <w:lang w:val="uk-UA"/>
        </w:rPr>
        <w:t> </w:t>
      </w:r>
      <w:r w:rsidRPr="002E6ECA">
        <w:rPr>
          <w:rFonts w:eastAsiaTheme="minorHAnsi"/>
          <w:sz w:val="28"/>
          <w:szCs w:val="28"/>
          <w:shd w:val="clear" w:color="auto" w:fill="FFFFFF"/>
          <w:lang w:val="uk-UA" w:eastAsia="en-US"/>
        </w:rPr>
        <w:t>K.</w:t>
      </w:r>
      <w:r w:rsidRPr="002E6ECA">
        <w:rPr>
          <w:sz w:val="28"/>
          <w:szCs w:val="28"/>
          <w:lang w:val="uk-UA"/>
        </w:rPr>
        <w:t> </w:t>
      </w:r>
      <w:r w:rsidRPr="002E6ECA">
        <w:rPr>
          <w:rFonts w:eastAsiaTheme="minorHAnsi"/>
          <w:sz w:val="28"/>
          <w:szCs w:val="28"/>
          <w:shd w:val="clear" w:color="auto" w:fill="FFFFFF"/>
          <w:lang w:val="uk-UA" w:eastAsia="en-US"/>
        </w:rPr>
        <w:t>D., Whited</w:t>
      </w:r>
      <w:r w:rsidRPr="002E6ECA">
        <w:rPr>
          <w:sz w:val="28"/>
          <w:szCs w:val="28"/>
          <w:lang w:val="uk-UA"/>
        </w:rPr>
        <w:t> </w:t>
      </w:r>
      <w:r w:rsidRPr="002E6ECA">
        <w:rPr>
          <w:rFonts w:eastAsiaTheme="minorHAnsi"/>
          <w:sz w:val="28"/>
          <w:szCs w:val="28"/>
          <w:shd w:val="clear" w:color="auto" w:fill="FFFFFF"/>
          <w:lang w:val="uk-UA" w:eastAsia="en-US"/>
        </w:rPr>
        <w:t>M.</w:t>
      </w:r>
      <w:r w:rsidRPr="002E6ECA">
        <w:rPr>
          <w:sz w:val="28"/>
          <w:szCs w:val="28"/>
          <w:lang w:val="uk-UA"/>
        </w:rPr>
        <w:t> </w:t>
      </w:r>
      <w:r w:rsidRPr="002E6ECA">
        <w:rPr>
          <w:rFonts w:eastAsiaTheme="minorHAnsi"/>
          <w:sz w:val="28"/>
          <w:szCs w:val="28"/>
          <w:shd w:val="clear" w:color="auto" w:fill="FFFFFF"/>
          <w:lang w:val="uk-UA" w:eastAsia="en-US"/>
        </w:rPr>
        <w:t xml:space="preserve">C. Perfectionism in Relation to Stress and Cardiovascular Disease Among Gifted Individuals and the Need for Affective Interventions. </w:t>
      </w:r>
      <w:r w:rsidRPr="002E6ECA">
        <w:rPr>
          <w:rFonts w:eastAsiaTheme="minorHAnsi"/>
          <w:i/>
          <w:sz w:val="28"/>
          <w:szCs w:val="28"/>
          <w:shd w:val="clear" w:color="auto" w:fill="FFFFFF"/>
          <w:lang w:val="uk-UA" w:eastAsia="en-US"/>
        </w:rPr>
        <w:t>Roeper Review</w:t>
      </w:r>
      <w:r w:rsidRPr="002E6ECA">
        <w:rPr>
          <w:rFonts w:eastAsiaTheme="minorHAnsi"/>
          <w:sz w:val="28"/>
          <w:szCs w:val="28"/>
          <w:shd w:val="clear" w:color="auto" w:fill="FFFFFF"/>
          <w:lang w:val="uk-UA" w:eastAsia="en-US"/>
        </w:rPr>
        <w:t>. 2018. Vol. 40 (1). Р. 46-55. DOI: </w:t>
      </w:r>
      <w:hyperlink r:id="rId205" w:history="1">
        <w:r w:rsidRPr="002E6ECA">
          <w:rPr>
            <w:rFonts w:eastAsiaTheme="minorHAnsi"/>
            <w:sz w:val="28"/>
            <w:szCs w:val="28"/>
            <w:shd w:val="clear" w:color="auto" w:fill="FFFFFF"/>
            <w:lang w:val="uk-UA" w:eastAsia="en-US"/>
          </w:rPr>
          <w:t>10.1080/02783193.2017.1393711</w:t>
        </w:r>
      </w:hyperlink>
      <w:r w:rsidRPr="002E6ECA">
        <w:rPr>
          <w:rFonts w:eastAsiaTheme="minorHAnsi"/>
          <w:sz w:val="28"/>
          <w:szCs w:val="28"/>
          <w:shd w:val="clear" w:color="auto" w:fill="FFFFFF"/>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Currie</w:t>
      </w:r>
      <w:r w:rsidRPr="002E6ECA">
        <w:rPr>
          <w:sz w:val="28"/>
          <w:szCs w:val="28"/>
          <w:lang w:val="uk-UA"/>
        </w:rPr>
        <w:t> </w:t>
      </w:r>
      <w:r w:rsidRPr="002E6ECA">
        <w:rPr>
          <w:rFonts w:eastAsiaTheme="minorHAnsi"/>
          <w:sz w:val="28"/>
          <w:szCs w:val="28"/>
          <w:lang w:val="uk-UA" w:eastAsia="en-US"/>
        </w:rPr>
        <w:t>C., Zanotti</w:t>
      </w:r>
      <w:r w:rsidRPr="002E6ECA">
        <w:rPr>
          <w:sz w:val="28"/>
          <w:szCs w:val="28"/>
          <w:lang w:val="uk-UA"/>
        </w:rPr>
        <w:t> </w:t>
      </w:r>
      <w:r w:rsidRPr="002E6ECA">
        <w:rPr>
          <w:rFonts w:eastAsiaTheme="minorHAnsi"/>
          <w:sz w:val="28"/>
          <w:szCs w:val="28"/>
          <w:lang w:val="uk-UA" w:eastAsia="en-US"/>
        </w:rPr>
        <w:t>C., Morgan</w:t>
      </w:r>
      <w:r w:rsidRPr="002E6ECA">
        <w:rPr>
          <w:sz w:val="28"/>
          <w:szCs w:val="28"/>
          <w:lang w:val="uk-UA"/>
        </w:rPr>
        <w:t> </w:t>
      </w:r>
      <w:r w:rsidRPr="002E6ECA">
        <w:rPr>
          <w:rFonts w:eastAsiaTheme="minorHAnsi"/>
          <w:sz w:val="28"/>
          <w:szCs w:val="28"/>
          <w:lang w:val="uk-UA" w:eastAsia="en-US"/>
        </w:rPr>
        <w:t>A., Currie</w:t>
      </w:r>
      <w:r w:rsidRPr="002E6ECA">
        <w:rPr>
          <w:sz w:val="28"/>
          <w:szCs w:val="28"/>
          <w:lang w:val="uk-UA"/>
        </w:rPr>
        <w:t> </w:t>
      </w:r>
      <w:r w:rsidRPr="002E6ECA">
        <w:rPr>
          <w:rFonts w:eastAsiaTheme="minorHAnsi"/>
          <w:sz w:val="28"/>
          <w:szCs w:val="28"/>
          <w:lang w:val="uk-UA" w:eastAsia="en-US"/>
        </w:rPr>
        <w:t>D., de Looze</w:t>
      </w:r>
      <w:r w:rsidRPr="002E6ECA">
        <w:rPr>
          <w:sz w:val="28"/>
          <w:szCs w:val="28"/>
          <w:lang w:val="uk-UA"/>
        </w:rPr>
        <w:t> </w:t>
      </w:r>
      <w:r w:rsidRPr="002E6ECA">
        <w:rPr>
          <w:rFonts w:eastAsiaTheme="minorHAnsi"/>
          <w:sz w:val="28"/>
          <w:szCs w:val="28"/>
          <w:lang w:val="uk-UA" w:eastAsia="en-US"/>
        </w:rPr>
        <w:t>M., Roberts</w:t>
      </w:r>
      <w:r w:rsidRPr="002E6ECA">
        <w:rPr>
          <w:sz w:val="28"/>
          <w:szCs w:val="28"/>
          <w:lang w:val="uk-UA"/>
        </w:rPr>
        <w:t> </w:t>
      </w:r>
      <w:r w:rsidRPr="002E6ECA">
        <w:rPr>
          <w:rFonts w:eastAsiaTheme="minorHAnsi"/>
          <w:sz w:val="28"/>
          <w:szCs w:val="28"/>
          <w:lang w:val="uk-UA" w:eastAsia="en-US"/>
        </w:rPr>
        <w:t>C., Samdal</w:t>
      </w:r>
      <w:r w:rsidRPr="002E6ECA">
        <w:rPr>
          <w:sz w:val="28"/>
          <w:szCs w:val="28"/>
          <w:lang w:val="uk-UA"/>
        </w:rPr>
        <w:t> </w:t>
      </w:r>
      <w:r w:rsidRPr="002E6ECA">
        <w:rPr>
          <w:rFonts w:eastAsiaTheme="minorHAnsi"/>
          <w:sz w:val="28"/>
          <w:szCs w:val="28"/>
          <w:lang w:val="uk-UA" w:eastAsia="en-US"/>
        </w:rPr>
        <w:t>O., Smith</w:t>
      </w:r>
      <w:r w:rsidRPr="002E6ECA">
        <w:rPr>
          <w:sz w:val="28"/>
          <w:szCs w:val="28"/>
          <w:lang w:val="uk-UA"/>
        </w:rPr>
        <w:t> </w:t>
      </w:r>
      <w:r w:rsidRPr="002E6ECA">
        <w:rPr>
          <w:rFonts w:eastAsiaTheme="minorHAnsi"/>
          <w:sz w:val="28"/>
          <w:szCs w:val="28"/>
          <w:lang w:val="uk-UA" w:eastAsia="en-US"/>
        </w:rPr>
        <w:t>O.</w:t>
      </w:r>
      <w:r w:rsidRPr="002E6ECA">
        <w:rPr>
          <w:sz w:val="28"/>
          <w:szCs w:val="28"/>
          <w:lang w:val="uk-UA"/>
        </w:rPr>
        <w:t> </w:t>
      </w:r>
      <w:r w:rsidRPr="002E6ECA">
        <w:rPr>
          <w:rFonts w:eastAsiaTheme="minorHAnsi"/>
          <w:sz w:val="28"/>
          <w:szCs w:val="28"/>
          <w:lang w:val="uk-UA" w:eastAsia="en-US"/>
        </w:rPr>
        <w:t>R. F., Barnekow</w:t>
      </w:r>
      <w:r w:rsidRPr="002E6ECA">
        <w:rPr>
          <w:sz w:val="28"/>
          <w:szCs w:val="28"/>
          <w:lang w:val="uk-UA"/>
        </w:rPr>
        <w:t> </w:t>
      </w:r>
      <w:r w:rsidRPr="002E6ECA">
        <w:rPr>
          <w:rFonts w:eastAsiaTheme="minorHAnsi"/>
          <w:sz w:val="28"/>
          <w:szCs w:val="28"/>
          <w:lang w:val="uk-UA" w:eastAsia="en-US"/>
        </w:rPr>
        <w:t xml:space="preserve">V. Social determinants of health and well-being among young people. Health behaviour in school-aged children (hbsc) study: international report from the 2009/2010 survey. Health policy for children and adolescents. 2012. </w:t>
      </w:r>
      <w:r w:rsidRPr="002E6ECA">
        <w:rPr>
          <w:rFonts w:eastAsiaTheme="minorHAnsi"/>
          <w:sz w:val="28"/>
          <w:szCs w:val="28"/>
          <w:lang w:val="en-US" w:eastAsia="en-US"/>
        </w:rPr>
        <w:t>Vol</w:t>
      </w:r>
      <w:r w:rsidRPr="002E6ECA">
        <w:rPr>
          <w:rFonts w:eastAsiaTheme="minorHAnsi"/>
          <w:sz w:val="28"/>
          <w:szCs w:val="28"/>
          <w:lang w:val="uk-UA" w:eastAsia="en-US"/>
        </w:rPr>
        <w:t>. 6. 272 р.</w:t>
      </w:r>
    </w:p>
    <w:p w:rsidR="00020FED" w:rsidRPr="002E6ECA" w:rsidRDefault="00020FED" w:rsidP="00020FED">
      <w:pPr>
        <w:pStyle w:val="a3"/>
        <w:numPr>
          <w:ilvl w:val="0"/>
          <w:numId w:val="72"/>
        </w:numPr>
        <w:spacing w:line="360" w:lineRule="auto"/>
        <w:ind w:left="0" w:firstLine="709"/>
        <w:jc w:val="both"/>
        <w:rPr>
          <w:sz w:val="28"/>
          <w:szCs w:val="28"/>
        </w:rPr>
      </w:pPr>
      <w:bookmarkStart w:id="18" w:name="_Hlk527829566"/>
      <w:r w:rsidRPr="002E6ECA">
        <w:rPr>
          <w:sz w:val="28"/>
          <w:szCs w:val="28"/>
          <w:shd w:val="clear" w:color="auto" w:fill="FFFFFF"/>
          <w:lang w:val="uk-UA"/>
        </w:rPr>
        <w:t>Danylenko</w:t>
      </w:r>
      <w:r w:rsidRPr="002E6ECA">
        <w:rPr>
          <w:sz w:val="28"/>
          <w:szCs w:val="28"/>
          <w:lang w:val="uk-UA"/>
        </w:rPr>
        <w:t> </w:t>
      </w:r>
      <w:r w:rsidRPr="002E6ECA">
        <w:rPr>
          <w:sz w:val="28"/>
          <w:szCs w:val="28"/>
          <w:shd w:val="clear" w:color="auto" w:fill="FFFFFF"/>
          <w:lang w:val="uk-UA"/>
        </w:rPr>
        <w:t>H.</w:t>
      </w:r>
      <w:r w:rsidRPr="002E6ECA">
        <w:rPr>
          <w:sz w:val="28"/>
          <w:szCs w:val="28"/>
          <w:lang w:val="uk-UA"/>
        </w:rPr>
        <w:t> </w:t>
      </w:r>
      <w:r w:rsidRPr="002E6ECA">
        <w:rPr>
          <w:sz w:val="28"/>
          <w:szCs w:val="28"/>
          <w:shd w:val="clear" w:color="auto" w:fill="FFFFFF"/>
          <w:lang w:val="uk-UA"/>
        </w:rPr>
        <w:t>M.</w:t>
      </w:r>
      <w:bookmarkEnd w:id="18"/>
      <w:r w:rsidRPr="002E6ECA">
        <w:rPr>
          <w:sz w:val="28"/>
          <w:szCs w:val="28"/>
          <w:shd w:val="clear" w:color="auto" w:fill="FFFFFF"/>
          <w:lang w:val="uk-UA"/>
        </w:rPr>
        <w:t>, Sotnikova-Meleshkina</w:t>
      </w:r>
      <w:r w:rsidRPr="002E6ECA">
        <w:rPr>
          <w:sz w:val="28"/>
          <w:szCs w:val="28"/>
          <w:lang w:val="uk-UA"/>
        </w:rPr>
        <w:t> </w:t>
      </w:r>
      <w:r w:rsidRPr="002E6ECA">
        <w:rPr>
          <w:sz w:val="28"/>
          <w:szCs w:val="28"/>
          <w:shd w:val="clear" w:color="auto" w:fill="FFFFFF"/>
          <w:lang w:val="uk-UA"/>
        </w:rPr>
        <w:t>Z.</w:t>
      </w:r>
      <w:r w:rsidRPr="002E6ECA">
        <w:rPr>
          <w:sz w:val="28"/>
          <w:szCs w:val="28"/>
          <w:lang w:val="uk-UA"/>
        </w:rPr>
        <w:t> </w:t>
      </w:r>
      <w:r w:rsidRPr="002E6ECA">
        <w:rPr>
          <w:sz w:val="28"/>
          <w:szCs w:val="28"/>
          <w:shd w:val="clear" w:color="auto" w:fill="FFFFFF"/>
          <w:lang w:val="uk-UA"/>
        </w:rPr>
        <w:t>V., Holubnicha</w:t>
      </w:r>
      <w:r w:rsidRPr="002E6ECA">
        <w:rPr>
          <w:sz w:val="28"/>
          <w:szCs w:val="28"/>
          <w:lang w:val="uk-UA"/>
        </w:rPr>
        <w:t> </w:t>
      </w:r>
      <w:r w:rsidRPr="002E6ECA">
        <w:rPr>
          <w:sz w:val="28"/>
          <w:szCs w:val="28"/>
          <w:shd w:val="clear" w:color="auto" w:fill="FFFFFF"/>
          <w:lang w:val="uk-UA"/>
        </w:rPr>
        <w:t>H.</w:t>
      </w:r>
      <w:r w:rsidRPr="002E6ECA">
        <w:rPr>
          <w:sz w:val="28"/>
          <w:szCs w:val="28"/>
          <w:lang w:val="uk-UA"/>
        </w:rPr>
        <w:t> </w:t>
      </w:r>
      <w:r w:rsidRPr="002E6ECA">
        <w:rPr>
          <w:sz w:val="28"/>
          <w:szCs w:val="28"/>
          <w:shd w:val="clear" w:color="auto" w:fill="FFFFFF"/>
          <w:lang w:val="uk-UA"/>
        </w:rPr>
        <w:t xml:space="preserve">I. </w:t>
      </w:r>
      <w:r w:rsidRPr="002E6ECA">
        <w:rPr>
          <w:sz w:val="28"/>
          <w:szCs w:val="28"/>
          <w:shd w:val="clear" w:color="auto" w:fill="FFFFFF"/>
          <w:lang w:val="en-US"/>
        </w:rPr>
        <w:t xml:space="preserve">Quality of life of pupils primary school - indicator their social well-being. </w:t>
      </w:r>
      <w:r w:rsidRPr="002E6ECA">
        <w:rPr>
          <w:iCs/>
          <w:sz w:val="28"/>
          <w:szCs w:val="28"/>
          <w:lang w:val="uk-UA"/>
        </w:rPr>
        <w:t>Journal of Polish Society of Public Health</w:t>
      </w:r>
      <w:r w:rsidRPr="002E6ECA">
        <w:rPr>
          <w:sz w:val="28"/>
          <w:szCs w:val="28"/>
          <w:shd w:val="clear" w:color="auto" w:fill="FFFFFF"/>
          <w:lang w:val="uk-UA"/>
        </w:rPr>
        <w:t xml:space="preserve"> Forum. </w:t>
      </w:r>
      <w:r w:rsidRPr="002E6ECA">
        <w:rPr>
          <w:iCs/>
          <w:sz w:val="28"/>
          <w:szCs w:val="28"/>
          <w:lang w:val="uk-UA"/>
        </w:rPr>
        <w:t>Czasopismo Polskiego Towarzystwa Zdrowia Publicznego</w:t>
      </w:r>
      <w:r w:rsidRPr="002E6ECA">
        <w:rPr>
          <w:sz w:val="28"/>
          <w:szCs w:val="28"/>
          <w:lang w:val="uk-UA"/>
        </w:rPr>
        <w:t>, Wroclaw, 22</w:t>
      </w:r>
      <w:r w:rsidRPr="002E6ECA">
        <w:rPr>
          <w:sz w:val="28"/>
          <w:szCs w:val="28"/>
          <w:lang w:val="en-US"/>
        </w:rPr>
        <w:t>d</w:t>
      </w:r>
      <w:r w:rsidRPr="002E6ECA">
        <w:rPr>
          <w:sz w:val="28"/>
          <w:szCs w:val="28"/>
          <w:lang w:val="uk-UA"/>
        </w:rPr>
        <w:t>-23th November 2018 Wroclaw, 2018. Р. 199.</w:t>
      </w:r>
    </w:p>
    <w:p w:rsidR="00020FED" w:rsidRPr="002E6ECA" w:rsidRDefault="00020FED" w:rsidP="00020FED">
      <w:pPr>
        <w:pStyle w:val="a3"/>
        <w:numPr>
          <w:ilvl w:val="0"/>
          <w:numId w:val="72"/>
        </w:numPr>
        <w:spacing w:line="360" w:lineRule="auto"/>
        <w:ind w:left="0" w:firstLine="709"/>
        <w:jc w:val="both"/>
        <w:rPr>
          <w:sz w:val="28"/>
          <w:szCs w:val="28"/>
          <w:lang w:val="en-US"/>
        </w:rPr>
      </w:pPr>
      <w:r w:rsidRPr="002E6ECA">
        <w:rPr>
          <w:sz w:val="28"/>
          <w:szCs w:val="28"/>
          <w:lang w:val="uk-UA"/>
        </w:rPr>
        <w:lastRenderedPageBreak/>
        <w:t xml:space="preserve">Danylenko H. M., Sotnikova-Meleshkina Z. V., Smiianov V. A. </w:t>
      </w:r>
      <w:r w:rsidRPr="002E6ECA">
        <w:rPr>
          <w:sz w:val="28"/>
          <w:szCs w:val="28"/>
          <w:lang w:val="en-US"/>
        </w:rPr>
        <w:t xml:space="preserve">The impact of an educational institution on development of healthy lifestyle skills for prevention of obesity in adolescents. </w:t>
      </w:r>
      <w:r w:rsidRPr="002E6ECA">
        <w:rPr>
          <w:i/>
          <w:sz w:val="28"/>
          <w:szCs w:val="28"/>
          <w:lang w:val="en-US"/>
        </w:rPr>
        <w:t>Wiadomości Lekarskie</w:t>
      </w:r>
      <w:r w:rsidRPr="002E6ECA">
        <w:rPr>
          <w:sz w:val="28"/>
          <w:szCs w:val="28"/>
          <w:lang w:val="en-US"/>
        </w:rPr>
        <w:t>. 2020. Vol. 73</w:t>
      </w:r>
      <w:r w:rsidRPr="002E6ECA">
        <w:rPr>
          <w:sz w:val="28"/>
          <w:szCs w:val="28"/>
          <w:lang w:val="uk-UA"/>
        </w:rPr>
        <w:t xml:space="preserve"> </w:t>
      </w:r>
      <w:r w:rsidRPr="002E6ECA">
        <w:rPr>
          <w:sz w:val="28"/>
          <w:szCs w:val="28"/>
          <w:lang w:val="en-US"/>
        </w:rPr>
        <w:t xml:space="preserve">(5). </w:t>
      </w:r>
      <w:r w:rsidRPr="002E6ECA">
        <w:rPr>
          <w:sz w:val="28"/>
          <w:szCs w:val="28"/>
        </w:rPr>
        <w:t>Р</w:t>
      </w:r>
      <w:r w:rsidRPr="002E6ECA">
        <w:rPr>
          <w:sz w:val="28"/>
          <w:szCs w:val="28"/>
          <w:lang w:val="en-US"/>
        </w:rPr>
        <w:t>.</w:t>
      </w:r>
      <w:r w:rsidRPr="002E6ECA">
        <w:rPr>
          <w:sz w:val="28"/>
          <w:szCs w:val="28"/>
          <w:lang w:val="uk-UA"/>
        </w:rPr>
        <w:t> </w:t>
      </w:r>
      <w:r w:rsidRPr="002E6ECA">
        <w:rPr>
          <w:sz w:val="28"/>
          <w:szCs w:val="28"/>
          <w:lang w:val="en-US"/>
        </w:rPr>
        <w:t>978-982. DOI: 10.36740/WLek202005126.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Day</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E., Sahota</w:t>
      </w:r>
      <w:r w:rsidRPr="002E6ECA">
        <w:rPr>
          <w:sz w:val="28"/>
          <w:szCs w:val="28"/>
          <w:lang w:val="uk-UA"/>
        </w:rPr>
        <w:t> </w:t>
      </w:r>
      <w:r w:rsidRPr="002E6ECA">
        <w:rPr>
          <w:rFonts w:eastAsiaTheme="minorHAnsi"/>
          <w:sz w:val="28"/>
          <w:szCs w:val="28"/>
          <w:lang w:val="uk-UA" w:eastAsia="en-US"/>
        </w:rPr>
        <w:t>P., Christian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S. Effective implementation of primary schoolbased healthy lifestyle programmes: a qualitative study of views of school staff. </w:t>
      </w:r>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2019. Vol. 19 (1). 1239. https://doi.org/10.1186/s 12889-019-7550-2.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de la Torre-Luque</w:t>
      </w:r>
      <w:r w:rsidRPr="002E6ECA">
        <w:rPr>
          <w:sz w:val="28"/>
          <w:szCs w:val="28"/>
          <w:lang w:val="uk-UA"/>
        </w:rPr>
        <w:t> </w:t>
      </w:r>
      <w:r w:rsidRPr="002E6ECA">
        <w:rPr>
          <w:rFonts w:eastAsiaTheme="minorHAnsi"/>
          <w:sz w:val="28"/>
          <w:szCs w:val="28"/>
          <w:lang w:val="uk-UA" w:eastAsia="en-US"/>
        </w:rPr>
        <w:t>A., Fiol-Veny</w:t>
      </w:r>
      <w:r w:rsidRPr="002E6ECA">
        <w:rPr>
          <w:sz w:val="28"/>
          <w:szCs w:val="28"/>
          <w:lang w:val="uk-UA"/>
        </w:rPr>
        <w:t> </w:t>
      </w:r>
      <w:r w:rsidRPr="002E6ECA">
        <w:rPr>
          <w:rFonts w:eastAsiaTheme="minorHAnsi"/>
          <w:sz w:val="28"/>
          <w:szCs w:val="28"/>
          <w:lang w:val="uk-UA" w:eastAsia="en-US"/>
        </w:rPr>
        <w:t>A., Bornas</w:t>
      </w:r>
      <w:r w:rsidRPr="002E6ECA">
        <w:rPr>
          <w:sz w:val="28"/>
          <w:szCs w:val="28"/>
          <w:lang w:val="uk-UA"/>
        </w:rPr>
        <w:t> </w:t>
      </w:r>
      <w:r w:rsidRPr="002E6ECA">
        <w:rPr>
          <w:rFonts w:eastAsiaTheme="minorHAnsi"/>
          <w:sz w:val="28"/>
          <w:szCs w:val="28"/>
          <w:lang w:val="uk-UA" w:eastAsia="en-US"/>
        </w:rPr>
        <w:t>X., Balle</w:t>
      </w:r>
      <w:r w:rsidRPr="002E6ECA">
        <w:rPr>
          <w:sz w:val="28"/>
          <w:szCs w:val="28"/>
          <w:lang w:val="uk-UA"/>
        </w:rPr>
        <w:t> </w:t>
      </w:r>
      <w:r w:rsidRPr="002E6ECA">
        <w:rPr>
          <w:rFonts w:eastAsiaTheme="minorHAnsi"/>
          <w:sz w:val="28"/>
          <w:szCs w:val="28"/>
          <w:lang w:val="uk-UA" w:eastAsia="en-US"/>
        </w:rPr>
        <w:t>M., &amp; Llabres</w:t>
      </w:r>
      <w:r w:rsidRPr="002E6ECA">
        <w:rPr>
          <w:sz w:val="28"/>
          <w:szCs w:val="28"/>
          <w:lang w:val="uk-UA"/>
        </w:rPr>
        <w:t> </w:t>
      </w:r>
      <w:r w:rsidRPr="002E6ECA">
        <w:rPr>
          <w:rFonts w:eastAsiaTheme="minorHAnsi"/>
          <w:sz w:val="28"/>
          <w:szCs w:val="28"/>
          <w:lang w:val="uk-UA" w:eastAsia="en-US"/>
        </w:rPr>
        <w:t xml:space="preserve">J. Impaired cardiac profile in adolescents with an increasing trajectory of anxiety when confronting an acute stressor. </w:t>
      </w:r>
      <w:r w:rsidRPr="002E6ECA">
        <w:rPr>
          <w:rFonts w:eastAsiaTheme="minorHAnsi"/>
          <w:i/>
          <w:sz w:val="28"/>
          <w:szCs w:val="28"/>
          <w:lang w:val="uk-UA" w:eastAsia="en-US"/>
        </w:rPr>
        <w:t>European Child &amp; Adolescent Psychiatry</w:t>
      </w:r>
      <w:r w:rsidRPr="002E6ECA">
        <w:rPr>
          <w:rFonts w:eastAsiaTheme="minorHAnsi"/>
          <w:sz w:val="28"/>
          <w:szCs w:val="28"/>
          <w:lang w:val="uk-UA" w:eastAsia="en-US"/>
        </w:rPr>
        <w:t xml:space="preserve">. 2017. Vol. 26. Р. 1501-1510. </w:t>
      </w:r>
      <w:hyperlink r:id="rId206" w:history="1">
        <w:r w:rsidRPr="002E6ECA">
          <w:rPr>
            <w:rFonts w:eastAsiaTheme="minorHAnsi"/>
            <w:sz w:val="28"/>
            <w:szCs w:val="28"/>
            <w:lang w:val="uk-UA" w:eastAsia="en-US"/>
          </w:rPr>
          <w:t>https://doi.org/10.1007/s00787-017-1009-8</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de Onis</w:t>
      </w:r>
      <w:r w:rsidRPr="002E6ECA">
        <w:rPr>
          <w:sz w:val="28"/>
          <w:szCs w:val="28"/>
          <w:lang w:val="uk-UA"/>
        </w:rPr>
        <w:t> </w:t>
      </w:r>
      <w:r w:rsidRPr="002E6ECA">
        <w:rPr>
          <w:rFonts w:eastAsiaTheme="minorHAnsi"/>
          <w:sz w:val="28"/>
          <w:szCs w:val="28"/>
          <w:lang w:val="uk-UA" w:eastAsia="en-US"/>
        </w:rPr>
        <w:t xml:space="preserve">M. The use of anthropometry in the prevention of childhood overweight and obesity. </w:t>
      </w:r>
      <w:r w:rsidRPr="002E6ECA">
        <w:rPr>
          <w:rFonts w:eastAsiaTheme="minorHAnsi"/>
          <w:i/>
          <w:sz w:val="28"/>
          <w:szCs w:val="28"/>
          <w:lang w:val="uk-UA" w:eastAsia="en-US"/>
        </w:rPr>
        <w:t>Int J Obes Relat Metab Disord</w:t>
      </w:r>
      <w:r w:rsidRPr="002E6ECA">
        <w:rPr>
          <w:rFonts w:eastAsiaTheme="minorHAnsi"/>
          <w:sz w:val="28"/>
          <w:szCs w:val="28"/>
          <w:lang w:val="uk-UA" w:eastAsia="en-US"/>
        </w:rPr>
        <w:t xml:space="preserve">. 2004. Suppl 3. Р. 81-85. doi: 10.1038/sj.ijo.0802810.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Deng</w:t>
      </w:r>
      <w:r w:rsidRPr="002E6ECA">
        <w:rPr>
          <w:sz w:val="28"/>
          <w:szCs w:val="28"/>
          <w:lang w:val="uk-UA"/>
        </w:rPr>
        <w:t> </w:t>
      </w:r>
      <w:r w:rsidRPr="002E6ECA">
        <w:rPr>
          <w:rFonts w:eastAsiaTheme="minorHAnsi"/>
          <w:sz w:val="28"/>
          <w:szCs w:val="28"/>
          <w:lang w:val="uk-UA" w:eastAsia="en-US"/>
        </w:rPr>
        <w:t>L., Yang</w:t>
      </w:r>
      <w:r w:rsidRPr="002E6ECA">
        <w:rPr>
          <w:sz w:val="28"/>
          <w:szCs w:val="28"/>
          <w:lang w:val="uk-UA"/>
        </w:rPr>
        <w:t> </w:t>
      </w:r>
      <w:r w:rsidRPr="002E6ECA">
        <w:rPr>
          <w:rFonts w:eastAsiaTheme="minorHAnsi"/>
          <w:sz w:val="28"/>
          <w:szCs w:val="28"/>
          <w:lang w:val="uk-UA" w:eastAsia="en-US"/>
        </w:rPr>
        <w:t>M., Marcoulides</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 xml:space="preserve">M. Structural Equation Modeling With Many Variables: A Systematic Review of Issues and Developments. </w:t>
      </w:r>
      <w:r w:rsidRPr="002E6ECA">
        <w:rPr>
          <w:rFonts w:eastAsiaTheme="minorHAnsi"/>
          <w:i/>
          <w:sz w:val="28"/>
          <w:szCs w:val="28"/>
          <w:lang w:val="uk-UA" w:eastAsia="en-US"/>
        </w:rPr>
        <w:t>Front Psychol</w:t>
      </w:r>
      <w:r w:rsidRPr="002E6ECA">
        <w:rPr>
          <w:rFonts w:eastAsiaTheme="minorHAnsi"/>
          <w:sz w:val="28"/>
          <w:szCs w:val="28"/>
          <w:lang w:val="uk-UA" w:eastAsia="en-US"/>
        </w:rPr>
        <w:t xml:space="preserve">. 2018. Apr 25. Vol. 9. 580. doi: 10.3389/fpsyg.2018.00580.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Detection Of Disease Conditions And Comorbidities / United States Patent Application 20170251985. Application Number:15/431550, Publication Date: 09.07.2017, Filing Date: 02.13.2017.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Development of the World Health Organization WHOQOL-BREF quality of life assessment. The WHOQOL Group. Psychological Medicine. 1998. Vol. 28. No (3). Р. 551-558. DOI: 10.1017/s0033291798006667.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Dillen</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M., Hiddink</w:t>
      </w:r>
      <w:r w:rsidRPr="002E6ECA">
        <w:rPr>
          <w:sz w:val="28"/>
          <w:szCs w:val="28"/>
          <w:lang w:val="uk-UA"/>
        </w:rPr>
        <w:t> </w:t>
      </w:r>
      <w:r w:rsidRPr="002E6ECA">
        <w:rPr>
          <w:rFonts w:eastAsiaTheme="minorHAnsi"/>
          <w:sz w:val="28"/>
          <w:szCs w:val="28"/>
          <w:lang w:val="uk-UA" w:eastAsia="en-US"/>
        </w:rPr>
        <w:t>G.</w:t>
      </w:r>
      <w:r w:rsidRPr="002E6ECA">
        <w:rPr>
          <w:sz w:val="28"/>
          <w:szCs w:val="28"/>
          <w:lang w:val="uk-UA"/>
        </w:rPr>
        <w:t> </w:t>
      </w:r>
      <w:r w:rsidRPr="002E6ECA">
        <w:rPr>
          <w:rFonts w:eastAsiaTheme="minorHAnsi"/>
          <w:sz w:val="28"/>
          <w:szCs w:val="28"/>
          <w:lang w:val="uk-UA" w:eastAsia="en-US"/>
        </w:rPr>
        <w:t>J., Koelen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A., de Graaf</w:t>
      </w:r>
      <w:r w:rsidRPr="002E6ECA">
        <w:rPr>
          <w:sz w:val="28"/>
          <w:szCs w:val="28"/>
          <w:lang w:val="uk-UA"/>
        </w:rPr>
        <w:t> </w:t>
      </w:r>
      <w:r w:rsidRPr="002E6ECA">
        <w:rPr>
          <w:rFonts w:eastAsiaTheme="minorHAnsi"/>
          <w:sz w:val="28"/>
          <w:szCs w:val="28"/>
          <w:lang w:val="uk-UA" w:eastAsia="en-US"/>
        </w:rPr>
        <w:t>C., van Woerkum</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 xml:space="preserve">M. Exploration of possible correlates of nutrition awareness and the relationship with nutrition-related behaviours: Results of a consumer study. </w:t>
      </w:r>
      <w:r w:rsidRPr="002E6ECA">
        <w:rPr>
          <w:rFonts w:eastAsiaTheme="minorHAnsi"/>
          <w:i/>
          <w:sz w:val="28"/>
          <w:szCs w:val="28"/>
          <w:lang w:val="uk-UA" w:eastAsia="en-US"/>
        </w:rPr>
        <w:t>Public Health Nutr</w:t>
      </w:r>
      <w:r w:rsidRPr="002E6ECA">
        <w:rPr>
          <w:rFonts w:eastAsiaTheme="minorHAnsi"/>
          <w:sz w:val="28"/>
          <w:szCs w:val="28"/>
          <w:lang w:val="uk-UA" w:eastAsia="en-US"/>
        </w:rPr>
        <w:t xml:space="preserve">. 2008. Vol. 11. Р. 478-85. doi: 10.1017/S1368980007000754.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Dimitriadis</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I., Sun</w:t>
      </w:r>
      <w:r w:rsidRPr="002E6ECA">
        <w:rPr>
          <w:sz w:val="28"/>
          <w:szCs w:val="28"/>
          <w:lang w:val="uk-UA"/>
        </w:rPr>
        <w:t> </w:t>
      </w:r>
      <w:r w:rsidRPr="002E6ECA">
        <w:rPr>
          <w:rFonts w:eastAsiaTheme="minorHAnsi"/>
          <w:sz w:val="28"/>
          <w:szCs w:val="28"/>
          <w:lang w:val="uk-UA" w:eastAsia="en-US"/>
        </w:rPr>
        <w:t>Y., Thakor</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V., Bezerianos</w:t>
      </w:r>
      <w:r w:rsidRPr="002E6ECA">
        <w:rPr>
          <w:sz w:val="28"/>
          <w:szCs w:val="28"/>
          <w:lang w:val="uk-UA"/>
        </w:rPr>
        <w:t> </w:t>
      </w:r>
      <w:r w:rsidRPr="002E6ECA">
        <w:rPr>
          <w:rFonts w:eastAsiaTheme="minorHAnsi"/>
          <w:sz w:val="28"/>
          <w:szCs w:val="28"/>
          <w:lang w:val="uk-UA" w:eastAsia="en-US"/>
        </w:rPr>
        <w:t xml:space="preserve">A. Causal interactions between frontal(θ) - parieto-occipital(α2) predict performance on a </w:t>
      </w:r>
      <w:r w:rsidRPr="002E6ECA">
        <w:rPr>
          <w:rFonts w:eastAsiaTheme="minorHAnsi"/>
          <w:sz w:val="28"/>
          <w:szCs w:val="28"/>
          <w:lang w:val="uk-UA" w:eastAsia="en-US"/>
        </w:rPr>
        <w:lastRenderedPageBreak/>
        <w:t xml:space="preserve">mental arithmetic task. </w:t>
      </w:r>
      <w:r w:rsidRPr="002E6ECA">
        <w:rPr>
          <w:rFonts w:eastAsiaTheme="minorHAnsi"/>
          <w:i/>
          <w:sz w:val="28"/>
          <w:szCs w:val="28"/>
          <w:lang w:val="uk-UA" w:eastAsia="en-US"/>
        </w:rPr>
        <w:t>Front Hum Neurosci</w:t>
      </w:r>
      <w:r w:rsidRPr="002E6ECA">
        <w:rPr>
          <w:rFonts w:eastAsiaTheme="minorHAnsi"/>
          <w:sz w:val="28"/>
          <w:szCs w:val="28"/>
          <w:lang w:val="uk-UA" w:eastAsia="en-US"/>
        </w:rPr>
        <w:t>. 2016. Vol. 10. 454. doi:</w:t>
      </w:r>
      <w:r w:rsidRPr="002E6ECA">
        <w:rPr>
          <w:rFonts w:eastAsiaTheme="minorHAnsi"/>
          <w:sz w:val="28"/>
          <w:szCs w:val="28"/>
          <w:lang w:val="uk-UA"/>
        </w:rPr>
        <w:t> </w:t>
      </w:r>
      <w:r w:rsidRPr="002E6ECA">
        <w:rPr>
          <w:rFonts w:eastAsiaTheme="minorHAnsi"/>
          <w:sz w:val="28"/>
          <w:szCs w:val="28"/>
          <w:lang w:val="uk-UA" w:eastAsia="en-US"/>
        </w:rPr>
        <w:t>10.3389/fnhum.2016.00454.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Dinesh</w:t>
      </w:r>
      <w:r w:rsidRPr="002E6ECA">
        <w:rPr>
          <w:sz w:val="28"/>
          <w:szCs w:val="28"/>
          <w:lang w:val="uk-UA"/>
        </w:rPr>
        <w:t> </w:t>
      </w:r>
      <w:r w:rsidRPr="002E6ECA">
        <w:rPr>
          <w:rFonts w:eastAsiaTheme="minorHAnsi"/>
          <w:sz w:val="28"/>
          <w:szCs w:val="28"/>
          <w:lang w:val="uk-UA" w:eastAsia="en-US"/>
        </w:rPr>
        <w:t xml:space="preserve">Batra (Florida International University, USA). Conceptual Data Modeling Patterns: Representation and Validation. </w:t>
      </w:r>
      <w:r w:rsidRPr="002E6ECA">
        <w:rPr>
          <w:rFonts w:eastAsiaTheme="minorHAnsi"/>
          <w:i/>
          <w:sz w:val="28"/>
          <w:szCs w:val="28"/>
          <w:lang w:val="uk-UA" w:eastAsia="en-US"/>
        </w:rPr>
        <w:t>Journal of Database Management</w:t>
      </w:r>
      <w:r w:rsidRPr="002E6ECA">
        <w:rPr>
          <w:rFonts w:eastAsiaTheme="minorHAnsi"/>
          <w:sz w:val="28"/>
          <w:szCs w:val="28"/>
          <w:lang w:val="uk-UA" w:eastAsia="en-US"/>
        </w:rPr>
        <w:t>. 2005. April-June. Vol. 16 (2). Р. 84-106. DOI: 10.4018/jdm.2005040105.</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07" w:history="1">
        <w:r w:rsidR="00020FED" w:rsidRPr="002E6ECA">
          <w:rPr>
            <w:rFonts w:eastAsiaTheme="minorHAnsi"/>
            <w:sz w:val="28"/>
            <w:szCs w:val="28"/>
            <w:lang w:val="uk-UA" w:eastAsia="en-US"/>
          </w:rPr>
          <w:t>Dobashi</w:t>
        </w:r>
        <w:r w:rsidR="00020FED" w:rsidRPr="002E6ECA">
          <w:rPr>
            <w:sz w:val="28"/>
            <w:szCs w:val="28"/>
            <w:lang w:val="uk-UA"/>
          </w:rPr>
          <w:t> </w:t>
        </w:r>
        <w:r w:rsidR="00020FED" w:rsidRPr="002E6ECA">
          <w:rPr>
            <w:rFonts w:eastAsiaTheme="minorHAnsi"/>
            <w:sz w:val="28"/>
            <w:szCs w:val="28"/>
            <w:lang w:val="uk-UA" w:eastAsia="en-US"/>
          </w:rPr>
          <w:t>K</w:t>
        </w:r>
      </w:hyperlink>
      <w:r w:rsidR="00020FED" w:rsidRPr="002E6ECA">
        <w:rPr>
          <w:rFonts w:eastAsiaTheme="minorHAnsi"/>
          <w:sz w:val="28"/>
          <w:szCs w:val="28"/>
          <w:lang w:val="uk-UA" w:eastAsia="en-US"/>
        </w:rPr>
        <w:t xml:space="preserve">. Evaluation of obesity in school-age children. </w:t>
      </w:r>
      <w:hyperlink r:id="rId208" w:tooltip="Journal of atherosclerosis and thrombosis." w:history="1">
        <w:r w:rsidR="00020FED" w:rsidRPr="002E6ECA">
          <w:rPr>
            <w:rFonts w:eastAsiaTheme="minorHAnsi"/>
            <w:i/>
            <w:sz w:val="28"/>
            <w:szCs w:val="28"/>
            <w:lang w:val="uk-UA" w:eastAsia="en-US"/>
          </w:rPr>
          <w:t>J Atheroscler Thromb</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2016. Vol. 23 (1). P. 32-38. doi: 10.5551/jat.29397.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Douret</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 xml:space="preserve">V. Developmental and cognitive characteristics of "high-level potentialities" (highly gifted) children. </w:t>
      </w:r>
      <w:r w:rsidRPr="002E6ECA">
        <w:rPr>
          <w:rFonts w:eastAsiaTheme="minorHAnsi"/>
          <w:i/>
          <w:sz w:val="28"/>
          <w:szCs w:val="28"/>
          <w:lang w:val="uk-UA" w:eastAsia="en-US"/>
        </w:rPr>
        <w:t>International Journal of Pediatrics</w:t>
      </w:r>
      <w:r w:rsidRPr="002E6ECA">
        <w:rPr>
          <w:rFonts w:eastAsiaTheme="minorHAnsi"/>
          <w:sz w:val="28"/>
          <w:szCs w:val="28"/>
          <w:lang w:val="uk-UA" w:eastAsia="en-US"/>
        </w:rPr>
        <w:t xml:space="preserve">. 2011. Vol. 2011. Article ID 420297. </w:t>
      </w:r>
      <w:hyperlink r:id="rId209" w:history="1">
        <w:r w:rsidRPr="002E6ECA">
          <w:rPr>
            <w:rFonts w:eastAsiaTheme="minorHAnsi"/>
            <w:sz w:val="28"/>
            <w:szCs w:val="28"/>
            <w:lang w:val="uk-UA" w:eastAsia="en-US"/>
          </w:rPr>
          <w:t>https://doi.org/10.1155/2011/420297</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Drenowatz</w:t>
      </w:r>
      <w:r w:rsidRPr="002E6ECA">
        <w:rPr>
          <w:sz w:val="28"/>
          <w:szCs w:val="28"/>
          <w:lang w:val="uk-UA"/>
        </w:rPr>
        <w:t> </w:t>
      </w:r>
      <w:r w:rsidRPr="002E6ECA">
        <w:rPr>
          <w:rFonts w:eastAsiaTheme="minorHAnsi"/>
          <w:sz w:val="28"/>
          <w:szCs w:val="28"/>
          <w:lang w:val="uk-UA" w:eastAsia="en-US"/>
        </w:rPr>
        <w:t>C., Greier</w:t>
      </w:r>
      <w:r w:rsidRPr="002E6ECA">
        <w:rPr>
          <w:sz w:val="28"/>
          <w:szCs w:val="28"/>
          <w:lang w:val="uk-UA"/>
        </w:rPr>
        <w:t> </w:t>
      </w:r>
      <w:r w:rsidRPr="002E6ECA">
        <w:rPr>
          <w:rFonts w:eastAsiaTheme="minorHAnsi"/>
          <w:sz w:val="28"/>
          <w:szCs w:val="28"/>
          <w:lang w:val="uk-UA" w:eastAsia="en-US"/>
        </w:rPr>
        <w:t xml:space="preserve">K. </w:t>
      </w:r>
      <w:hyperlink r:id="rId210" w:history="1">
        <w:r w:rsidRPr="002E6ECA">
          <w:rPr>
            <w:rFonts w:eastAsiaTheme="minorHAnsi"/>
            <w:sz w:val="28"/>
            <w:szCs w:val="28"/>
            <w:lang w:val="uk-UA" w:eastAsia="en-US"/>
          </w:rPr>
          <w:t>Association of biological maturation with the development of motor competence in Austrian middle school students-a 3-year observational study.</w:t>
        </w:r>
      </w:hyperlink>
      <w:r w:rsidRPr="002E6ECA">
        <w:rPr>
          <w:rFonts w:eastAsiaTheme="minorHAnsi"/>
          <w:sz w:val="28"/>
          <w:szCs w:val="28"/>
          <w:lang w:val="uk-UA" w:eastAsia="en-US"/>
        </w:rPr>
        <w:t xml:space="preserve"> </w:t>
      </w:r>
      <w:r w:rsidRPr="002E6ECA">
        <w:rPr>
          <w:rFonts w:eastAsiaTheme="minorHAnsi"/>
          <w:i/>
          <w:sz w:val="28"/>
          <w:szCs w:val="28"/>
          <w:lang w:val="uk-UA" w:eastAsia="en-US"/>
        </w:rPr>
        <w:t>Transl Pediatr</w:t>
      </w:r>
      <w:r w:rsidRPr="002E6ECA">
        <w:rPr>
          <w:rFonts w:eastAsiaTheme="minorHAnsi"/>
          <w:sz w:val="28"/>
          <w:szCs w:val="28"/>
          <w:lang w:val="uk-UA" w:eastAsia="en-US"/>
        </w:rPr>
        <w:t xml:space="preserve">. 2019. Vol. 8 (5). Р. 402-411. doi: 10.21037/tp.2019.09.03.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Duan</w:t>
      </w:r>
      <w:r w:rsidRPr="002E6ECA">
        <w:rPr>
          <w:sz w:val="28"/>
          <w:szCs w:val="28"/>
          <w:lang w:val="uk-UA"/>
        </w:rPr>
        <w:t> </w:t>
      </w:r>
      <w:r w:rsidRPr="002E6ECA">
        <w:rPr>
          <w:rFonts w:eastAsiaTheme="minorHAnsi"/>
          <w:sz w:val="28"/>
          <w:szCs w:val="28"/>
          <w:lang w:val="uk-UA" w:eastAsia="en-US"/>
        </w:rPr>
        <w:t xml:space="preserve">T., </w:t>
      </w:r>
      <w:hyperlink r:id="rId211" w:history="1">
        <w:r w:rsidRPr="002E6ECA">
          <w:rPr>
            <w:rFonts w:eastAsiaTheme="minorHAnsi"/>
            <w:sz w:val="28"/>
            <w:szCs w:val="28"/>
            <w:lang w:val="uk-UA" w:eastAsia="en-US"/>
          </w:rPr>
          <w:t>Zhang</w:t>
        </w:r>
        <w:r w:rsidRPr="002E6ECA">
          <w:rPr>
            <w:sz w:val="28"/>
            <w:szCs w:val="28"/>
            <w:lang w:val="uk-UA"/>
          </w:rPr>
          <w:t> </w:t>
        </w:r>
        <w:r w:rsidRPr="002E6ECA">
          <w:rPr>
            <w:rFonts w:eastAsiaTheme="minorHAnsi"/>
            <w:sz w:val="28"/>
            <w:szCs w:val="28"/>
            <w:lang w:val="uk-UA" w:eastAsia="en-US"/>
          </w:rPr>
          <w:t>N.</w:t>
        </w:r>
      </w:hyperlink>
      <w:r w:rsidRPr="002E6ECA">
        <w:rPr>
          <w:rFonts w:eastAsiaTheme="minorHAnsi"/>
          <w:sz w:val="28"/>
          <w:szCs w:val="28"/>
          <w:lang w:val="uk-UA" w:eastAsia="en-US"/>
        </w:rPr>
        <w:t>, Li</w:t>
      </w:r>
      <w:r w:rsidRPr="002E6ECA">
        <w:rPr>
          <w:sz w:val="28"/>
          <w:szCs w:val="28"/>
          <w:lang w:val="uk-UA"/>
        </w:rPr>
        <w:t> </w:t>
      </w:r>
      <w:r w:rsidRPr="002E6ECA">
        <w:rPr>
          <w:rFonts w:eastAsiaTheme="minorHAnsi"/>
          <w:sz w:val="28"/>
          <w:szCs w:val="28"/>
          <w:lang w:val="uk-UA" w:eastAsia="en-US"/>
        </w:rPr>
        <w:t>K., Hou</w:t>
      </w:r>
      <w:r w:rsidRPr="002E6ECA">
        <w:rPr>
          <w:sz w:val="28"/>
          <w:szCs w:val="28"/>
          <w:lang w:val="uk-UA"/>
        </w:rPr>
        <w:t> </w:t>
      </w:r>
      <w:hyperlink r:id="rId212" w:history="1">
        <w:r w:rsidRPr="002E6ECA">
          <w:rPr>
            <w:rFonts w:eastAsiaTheme="minorHAnsi"/>
            <w:sz w:val="28"/>
            <w:szCs w:val="28"/>
            <w:lang w:val="uk-UA" w:eastAsia="en-US"/>
          </w:rPr>
          <w:t xml:space="preserve">X., </w:t>
        </w:r>
      </w:hyperlink>
      <w:hyperlink r:id="rId213" w:history="1">
        <w:r w:rsidRPr="002E6ECA">
          <w:rPr>
            <w:rFonts w:eastAsiaTheme="minorHAnsi"/>
            <w:sz w:val="28"/>
            <w:szCs w:val="28"/>
            <w:lang w:val="uk-UA" w:eastAsia="en-US"/>
          </w:rPr>
          <w:t>Pei</w:t>
        </w:r>
        <w:r w:rsidRPr="002E6ECA">
          <w:rPr>
            <w:sz w:val="28"/>
            <w:szCs w:val="28"/>
            <w:lang w:val="uk-UA"/>
          </w:rPr>
          <w:t> </w:t>
        </w:r>
        <w:r w:rsidRPr="002E6ECA">
          <w:rPr>
            <w:rFonts w:eastAsiaTheme="minorHAnsi"/>
            <w:sz w:val="28"/>
            <w:szCs w:val="28"/>
            <w:lang w:val="uk-UA" w:eastAsia="en-US"/>
          </w:rPr>
          <w:t>J.</w:t>
        </w:r>
      </w:hyperlink>
      <w:r w:rsidRPr="002E6ECA">
        <w:rPr>
          <w:rFonts w:eastAsiaTheme="minorHAnsi"/>
          <w:sz w:val="28"/>
          <w:szCs w:val="28"/>
          <w:lang w:val="uk-UA" w:eastAsia="en-US"/>
        </w:rPr>
        <w:t xml:space="preserve"> Study on the preferred application-oriented index for mental fatigue detection. </w:t>
      </w:r>
      <w:r w:rsidRPr="002E6ECA">
        <w:rPr>
          <w:rFonts w:eastAsiaTheme="minorHAnsi"/>
          <w:i/>
          <w:sz w:val="28"/>
          <w:szCs w:val="28"/>
          <w:lang w:val="uk-UA" w:eastAsia="en-US"/>
        </w:rPr>
        <w:t>Int J Environ Res Public Health</w:t>
      </w:r>
      <w:r w:rsidRPr="002E6ECA">
        <w:rPr>
          <w:rFonts w:eastAsiaTheme="minorHAnsi"/>
          <w:sz w:val="28"/>
          <w:szCs w:val="28"/>
          <w:lang w:val="uk-UA" w:eastAsia="en-US"/>
        </w:rPr>
        <w:t xml:space="preserve">. 2018. Vol. 15 (11). 2555. doi: 10.3390/ijerph15112555.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Egbert</w:t>
      </w:r>
      <w:r w:rsidRPr="002E6ECA">
        <w:rPr>
          <w:sz w:val="28"/>
          <w:szCs w:val="28"/>
          <w:lang w:val="uk-UA"/>
        </w:rPr>
        <w:t> </w:t>
      </w:r>
      <w:r w:rsidRPr="002E6ECA">
        <w:rPr>
          <w:rFonts w:eastAsiaTheme="minorHAnsi"/>
          <w:sz w:val="28"/>
          <w:szCs w:val="28"/>
          <w:lang w:val="uk-UA" w:eastAsia="en-US"/>
        </w:rPr>
        <w:t>N., Miraldi</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B., Murniadi</w:t>
      </w:r>
      <w:r w:rsidRPr="002E6ECA">
        <w:rPr>
          <w:sz w:val="28"/>
          <w:szCs w:val="28"/>
          <w:lang w:val="uk-UA"/>
        </w:rPr>
        <w:t> </w:t>
      </w:r>
      <w:r w:rsidRPr="002E6ECA">
        <w:rPr>
          <w:rFonts w:eastAsiaTheme="minorHAnsi"/>
          <w:sz w:val="28"/>
          <w:szCs w:val="28"/>
          <w:lang w:val="uk-UA" w:eastAsia="en-US"/>
        </w:rPr>
        <w:t xml:space="preserve">K. </w:t>
      </w:r>
      <w:hyperlink r:id="rId214" w:history="1">
        <w:r w:rsidRPr="002E6ECA">
          <w:rPr>
            <w:rFonts w:eastAsiaTheme="minorHAnsi"/>
            <w:sz w:val="28"/>
            <w:szCs w:val="28"/>
            <w:lang w:val="uk-UA" w:eastAsia="en-US"/>
          </w:rPr>
          <w:t xml:space="preserve">Friends don't let friends suffer from depression: how threat, efficacy, knowledge, and empathy relate to college students'; intentions to intervene on behalf of a depressed friend. </w:t>
        </w:r>
      </w:hyperlink>
      <w:r w:rsidRPr="002E6ECA">
        <w:rPr>
          <w:rFonts w:eastAsiaTheme="minorHAnsi"/>
          <w:i/>
          <w:sz w:val="28"/>
          <w:szCs w:val="28"/>
          <w:lang w:val="uk-UA" w:eastAsia="en-US"/>
        </w:rPr>
        <w:t>J Health Commun</w:t>
      </w:r>
      <w:r w:rsidRPr="002E6ECA">
        <w:rPr>
          <w:rFonts w:eastAsiaTheme="minorHAnsi"/>
          <w:sz w:val="28"/>
          <w:szCs w:val="28"/>
          <w:lang w:val="uk-UA" w:eastAsia="en-US"/>
        </w:rPr>
        <w:t>. 2014. Vol. 19 (4). Р. 460-77. doi: 10.1080/10810730.2013.821554.</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Fagan</w:t>
      </w:r>
      <w:r w:rsidRPr="002E6ECA">
        <w:rPr>
          <w:sz w:val="28"/>
          <w:szCs w:val="28"/>
          <w:lang w:val="uk-UA"/>
        </w:rPr>
        <w:t> </w:t>
      </w:r>
      <w:r w:rsidRPr="002E6ECA">
        <w:rPr>
          <w:rFonts w:eastAsiaTheme="minorHAnsi"/>
          <w:spacing w:val="-2"/>
          <w:sz w:val="28"/>
          <w:szCs w:val="28"/>
          <w:lang w:val="uk-UA" w:eastAsia="en-US"/>
        </w:rPr>
        <w:t>S.</w:t>
      </w:r>
      <w:r w:rsidRPr="002E6ECA">
        <w:rPr>
          <w:sz w:val="28"/>
          <w:szCs w:val="28"/>
          <w:lang w:val="uk-UA"/>
        </w:rPr>
        <w:t> </w:t>
      </w:r>
      <w:r w:rsidRPr="002E6ECA">
        <w:rPr>
          <w:rFonts w:eastAsiaTheme="minorHAnsi"/>
          <w:spacing w:val="-2"/>
          <w:sz w:val="28"/>
          <w:szCs w:val="28"/>
          <w:lang w:val="uk-UA" w:eastAsia="en-US"/>
        </w:rPr>
        <w:t>E., Zhang</w:t>
      </w:r>
      <w:r w:rsidRPr="002E6ECA">
        <w:rPr>
          <w:sz w:val="28"/>
          <w:szCs w:val="28"/>
          <w:lang w:val="uk-UA"/>
        </w:rPr>
        <w:t> </w:t>
      </w:r>
      <w:r w:rsidRPr="002E6ECA">
        <w:rPr>
          <w:rFonts w:eastAsiaTheme="minorHAnsi"/>
          <w:spacing w:val="-2"/>
          <w:sz w:val="28"/>
          <w:szCs w:val="28"/>
          <w:lang w:val="uk-UA" w:eastAsia="en-US"/>
        </w:rPr>
        <w:t>W., Gao</w:t>
      </w:r>
      <w:r w:rsidRPr="002E6ECA">
        <w:rPr>
          <w:sz w:val="28"/>
          <w:szCs w:val="28"/>
          <w:lang w:val="uk-UA"/>
        </w:rPr>
        <w:t> </w:t>
      </w:r>
      <w:r w:rsidRPr="002E6ECA">
        <w:rPr>
          <w:rFonts w:eastAsiaTheme="minorHAnsi"/>
          <w:spacing w:val="-2"/>
          <w:sz w:val="28"/>
          <w:szCs w:val="28"/>
          <w:lang w:val="uk-UA" w:eastAsia="en-US"/>
        </w:rPr>
        <w:t xml:space="preserve">Y. Social adversity and antisocial behavior: mediating effects of autonomic nervous system activity. </w:t>
      </w:r>
      <w:r w:rsidRPr="002E6ECA">
        <w:rPr>
          <w:rFonts w:eastAsiaTheme="minorHAnsi"/>
          <w:i/>
          <w:spacing w:val="-2"/>
          <w:sz w:val="28"/>
          <w:szCs w:val="28"/>
          <w:lang w:val="uk-UA" w:eastAsia="en-US"/>
        </w:rPr>
        <w:t>Journal of Abnormal Child Psychology</w:t>
      </w:r>
      <w:r w:rsidRPr="002E6ECA">
        <w:rPr>
          <w:rFonts w:eastAsiaTheme="minorHAnsi"/>
          <w:spacing w:val="-2"/>
          <w:sz w:val="28"/>
          <w:szCs w:val="28"/>
          <w:lang w:val="uk-UA" w:eastAsia="en-US"/>
        </w:rPr>
        <w:t xml:space="preserve">. 2017. Vol. 45. Р. 1553-1564. </w:t>
      </w:r>
      <w:hyperlink r:id="rId215" w:history="1">
        <w:r w:rsidRPr="002E6ECA">
          <w:rPr>
            <w:rFonts w:eastAsiaTheme="minorHAnsi"/>
            <w:spacing w:val="-2"/>
            <w:sz w:val="28"/>
            <w:szCs w:val="28"/>
            <w:lang w:val="uk-UA" w:eastAsia="en-US"/>
          </w:rPr>
          <w:t>https://doi.org/10.1007/s10802-017-0262-0</w:t>
        </w:r>
      </w:hyperlink>
      <w:r w:rsidRPr="002E6ECA">
        <w:rPr>
          <w:rFonts w:eastAsiaTheme="minorHAnsi"/>
          <w:spacing w:val="-2"/>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16" w:tooltip="Найти еще записи для этого автора" w:history="1">
        <w:r w:rsidR="00020FED" w:rsidRPr="002E6ECA">
          <w:rPr>
            <w:rFonts w:eastAsiaTheme="minorHAnsi"/>
            <w:sz w:val="28"/>
            <w:szCs w:val="28"/>
            <w:lang w:val="uk-UA" w:eastAsia="en-US"/>
          </w:rPr>
          <w:t>Faridizad</w:t>
        </w:r>
        <w:r w:rsidR="00020FED" w:rsidRPr="002E6ECA">
          <w:rPr>
            <w:sz w:val="28"/>
            <w:szCs w:val="28"/>
            <w:lang w:val="uk-UA"/>
          </w:rPr>
          <w:t> </w:t>
        </w:r>
        <w:r w:rsidR="00020FED" w:rsidRPr="002E6ECA">
          <w:rPr>
            <w:rFonts w:eastAsiaTheme="minorHAnsi"/>
            <w:sz w:val="28"/>
            <w:szCs w:val="28"/>
            <w:lang w:val="uk-UA" w:eastAsia="en-US"/>
          </w:rPr>
          <w:t>R</w:t>
        </w:r>
      </w:hyperlink>
      <w:r w:rsidR="00020FED" w:rsidRPr="002E6ECA">
        <w:rPr>
          <w:rFonts w:eastAsiaTheme="minorHAnsi"/>
          <w:sz w:val="28"/>
          <w:szCs w:val="28"/>
          <w:lang w:val="uk-UA" w:eastAsia="en-US"/>
        </w:rPr>
        <w:t xml:space="preserve">., </w:t>
      </w:r>
      <w:hyperlink r:id="rId217" w:tooltip="Найти еще записи для этого автора" w:history="1">
        <w:r w:rsidR="00020FED" w:rsidRPr="002E6ECA">
          <w:rPr>
            <w:rFonts w:eastAsiaTheme="minorHAnsi"/>
            <w:sz w:val="28"/>
            <w:szCs w:val="28"/>
            <w:lang w:val="uk-UA" w:eastAsia="en-US"/>
          </w:rPr>
          <w:t>Ahadi</w:t>
        </w:r>
        <w:r w:rsidR="00020FED" w:rsidRPr="002E6ECA">
          <w:rPr>
            <w:sz w:val="28"/>
            <w:szCs w:val="28"/>
            <w:lang w:val="uk-UA"/>
          </w:rPr>
          <w:t> </w:t>
        </w:r>
        <w:r w:rsidR="00020FED" w:rsidRPr="002E6ECA">
          <w:rPr>
            <w:rFonts w:eastAsiaTheme="minorHAnsi"/>
            <w:sz w:val="28"/>
            <w:szCs w:val="28"/>
            <w:lang w:val="uk-UA" w:eastAsia="en-US"/>
          </w:rPr>
          <w:t>Z</w:t>
        </w:r>
      </w:hyperlink>
      <w:r w:rsidR="00020FED" w:rsidRPr="002E6ECA">
        <w:rPr>
          <w:rFonts w:eastAsiaTheme="minorHAnsi"/>
          <w:sz w:val="28"/>
          <w:szCs w:val="28"/>
          <w:lang w:val="uk-UA" w:eastAsia="en-US"/>
        </w:rPr>
        <w:t xml:space="preserve">., </w:t>
      </w:r>
      <w:hyperlink r:id="rId218" w:tooltip="Найти еще записи для этого автора" w:history="1">
        <w:r w:rsidR="00020FED" w:rsidRPr="002E6ECA">
          <w:rPr>
            <w:rFonts w:eastAsiaTheme="minorHAnsi"/>
            <w:sz w:val="28"/>
            <w:szCs w:val="28"/>
            <w:lang w:val="uk-UA" w:eastAsia="en-US"/>
          </w:rPr>
          <w:t>Heshmat</w:t>
        </w:r>
        <w:r w:rsidR="00020FED" w:rsidRPr="002E6ECA">
          <w:rPr>
            <w:sz w:val="28"/>
            <w:szCs w:val="28"/>
            <w:lang w:val="uk-UA"/>
          </w:rPr>
          <w:t> </w:t>
        </w:r>
        <w:r w:rsidR="00020FED" w:rsidRPr="002E6ECA">
          <w:rPr>
            <w:rFonts w:eastAsiaTheme="minorHAnsi"/>
            <w:sz w:val="28"/>
            <w:szCs w:val="28"/>
            <w:lang w:val="uk-UA" w:eastAsia="en-US"/>
          </w:rPr>
          <w:t>R</w:t>
        </w:r>
      </w:hyperlink>
      <w:r w:rsidR="00020FED" w:rsidRPr="002E6ECA">
        <w:rPr>
          <w:rFonts w:eastAsiaTheme="minorHAnsi"/>
          <w:sz w:val="28"/>
          <w:szCs w:val="28"/>
          <w:lang w:val="uk-UA" w:eastAsia="en-US"/>
        </w:rPr>
        <w:t xml:space="preserve">., </w:t>
      </w:r>
      <w:hyperlink r:id="rId219" w:tooltip="Найти еще записи для этого автора" w:history="1">
        <w:r w:rsidR="00020FED" w:rsidRPr="002E6ECA">
          <w:rPr>
            <w:rFonts w:eastAsiaTheme="minorHAnsi"/>
            <w:sz w:val="28"/>
            <w:szCs w:val="28"/>
            <w:lang w:val="uk-UA" w:eastAsia="en-US"/>
          </w:rPr>
          <w:t>Motlagh</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E</w:t>
        </w:r>
      </w:hyperlink>
      <w:r w:rsidR="00020FED" w:rsidRPr="002E6ECA">
        <w:rPr>
          <w:rFonts w:eastAsiaTheme="minorHAnsi"/>
          <w:sz w:val="28"/>
          <w:szCs w:val="28"/>
          <w:lang w:val="uk-UA" w:eastAsia="en-US"/>
        </w:rPr>
        <w:t xml:space="preserve">., </w:t>
      </w:r>
      <w:hyperlink r:id="rId220" w:tooltip="Найти еще записи для этого автора" w:history="1">
        <w:r w:rsidR="00020FED" w:rsidRPr="002E6ECA">
          <w:rPr>
            <w:rFonts w:eastAsiaTheme="minorHAnsi"/>
            <w:sz w:val="28"/>
            <w:szCs w:val="28"/>
            <w:lang w:val="uk-UA" w:eastAsia="en-US"/>
          </w:rPr>
          <w:t>Sheidaei</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w:t>
      </w:r>
      <w:hyperlink r:id="rId221" w:tooltip="Найти еще записи для этого автора" w:history="1">
        <w:r w:rsidR="00020FED" w:rsidRPr="002E6ECA">
          <w:rPr>
            <w:rFonts w:eastAsiaTheme="minorHAnsi"/>
            <w:sz w:val="28"/>
            <w:szCs w:val="28"/>
            <w:lang w:val="uk-UA" w:eastAsia="en-US"/>
          </w:rPr>
          <w:t>Ziaodini</w:t>
        </w:r>
        <w:r w:rsidR="00020FED" w:rsidRPr="002E6ECA">
          <w:rPr>
            <w:sz w:val="28"/>
            <w:szCs w:val="28"/>
            <w:lang w:val="uk-UA"/>
          </w:rPr>
          <w:t> </w:t>
        </w:r>
        <w:r w:rsidR="00020FED" w:rsidRPr="002E6ECA">
          <w:rPr>
            <w:rFonts w:eastAsiaTheme="minorHAnsi"/>
            <w:sz w:val="28"/>
            <w:szCs w:val="28"/>
            <w:lang w:val="uk-UA" w:eastAsia="en-US"/>
          </w:rPr>
          <w:t>H</w:t>
        </w:r>
      </w:hyperlink>
      <w:r w:rsidR="00020FED" w:rsidRPr="002E6ECA">
        <w:rPr>
          <w:rFonts w:eastAsiaTheme="minorHAnsi"/>
          <w:sz w:val="28"/>
          <w:szCs w:val="28"/>
          <w:lang w:val="uk-UA" w:eastAsia="en-US"/>
        </w:rPr>
        <w:t xml:space="preserve">., </w:t>
      </w:r>
      <w:hyperlink r:id="rId222" w:tooltip="Найти еще записи для этого автора" w:history="1">
        <w:r w:rsidR="00020FED" w:rsidRPr="002E6ECA">
          <w:rPr>
            <w:rFonts w:eastAsiaTheme="minorHAnsi"/>
            <w:sz w:val="28"/>
            <w:szCs w:val="28"/>
            <w:lang w:val="uk-UA" w:eastAsia="en-US"/>
          </w:rPr>
          <w:t>Taheri</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223" w:tooltip="Найти еще записи для этого автора" w:history="1">
        <w:r w:rsidR="00020FED" w:rsidRPr="002E6ECA">
          <w:rPr>
            <w:rFonts w:eastAsiaTheme="minorHAnsi"/>
            <w:sz w:val="28"/>
            <w:szCs w:val="28"/>
            <w:lang w:val="uk-UA" w:eastAsia="en-US"/>
          </w:rPr>
          <w:t>Qorbani</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224" w:tooltip="Найти еще записи для этого автора" w:history="1">
        <w:r w:rsidR="00020FED" w:rsidRPr="002E6ECA">
          <w:rPr>
            <w:rFonts w:eastAsiaTheme="minorHAnsi"/>
            <w:sz w:val="28"/>
            <w:szCs w:val="28"/>
            <w:lang w:val="uk-UA" w:eastAsia="en-US"/>
          </w:rPr>
          <w:t>Mahdavi</w:t>
        </w:r>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B</w:t>
        </w:r>
      </w:hyperlink>
      <w:r w:rsidR="00020FED" w:rsidRPr="002E6ECA">
        <w:rPr>
          <w:rFonts w:eastAsiaTheme="minorHAnsi"/>
          <w:sz w:val="28"/>
          <w:szCs w:val="28"/>
          <w:lang w:val="uk-UA" w:eastAsia="en-US"/>
        </w:rPr>
        <w:t xml:space="preserve">., </w:t>
      </w:r>
      <w:hyperlink r:id="rId225" w:tooltip="Найти еще записи для этого автора" w:history="1">
        <w:r w:rsidR="00020FED" w:rsidRPr="002E6ECA">
          <w:rPr>
            <w:rFonts w:eastAsiaTheme="minorHAnsi"/>
            <w:sz w:val="28"/>
            <w:szCs w:val="28"/>
            <w:lang w:val="uk-UA" w:eastAsia="en-US"/>
          </w:rPr>
          <w:t>Kelishadi</w:t>
        </w:r>
        <w:r w:rsidR="00020FED" w:rsidRPr="002E6ECA">
          <w:rPr>
            <w:sz w:val="28"/>
            <w:szCs w:val="28"/>
            <w:lang w:val="uk-UA"/>
          </w:rPr>
          <w:t> </w:t>
        </w:r>
        <w:r w:rsidR="00020FED" w:rsidRPr="002E6ECA">
          <w:rPr>
            <w:rFonts w:eastAsiaTheme="minorHAnsi"/>
            <w:sz w:val="28"/>
            <w:szCs w:val="28"/>
            <w:lang w:val="uk-UA" w:eastAsia="en-US"/>
          </w:rPr>
          <w:t>R</w:t>
        </w:r>
      </w:hyperlink>
      <w:r w:rsidR="00020FED" w:rsidRPr="002E6ECA">
        <w:rPr>
          <w:rFonts w:eastAsiaTheme="minorHAnsi"/>
          <w:sz w:val="28"/>
          <w:szCs w:val="28"/>
          <w:lang w:val="uk-UA" w:eastAsia="en-US"/>
        </w:rPr>
        <w:t xml:space="preserve">. Association of screen time with subjective health complaints in Iranian school-aged children and adolescents: the CASPIAN-V study. </w:t>
      </w:r>
      <w:r w:rsidR="00020FED" w:rsidRPr="002E6ECA">
        <w:rPr>
          <w:rFonts w:eastAsiaTheme="minorHAnsi"/>
          <w:i/>
          <w:sz w:val="28"/>
          <w:szCs w:val="28"/>
          <w:lang w:val="uk-UA" w:eastAsia="en-US"/>
        </w:rPr>
        <w:t>Journal Of Public Health-Heidelberg</w:t>
      </w:r>
      <w:r w:rsidR="00020FED" w:rsidRPr="002E6ECA">
        <w:rPr>
          <w:rFonts w:eastAsiaTheme="minorHAnsi"/>
          <w:sz w:val="28"/>
          <w:szCs w:val="28"/>
          <w:lang w:val="uk-UA" w:eastAsia="en-US"/>
        </w:rPr>
        <w:t xml:space="preserve">. 2020. Vol. 28 (1). Р. 31-40. DOI: 10.1007/s10389-019-01014-2.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Farmer</w:t>
      </w:r>
      <w:r w:rsidRPr="002E6ECA">
        <w:rPr>
          <w:sz w:val="28"/>
          <w:szCs w:val="28"/>
          <w:lang w:val="uk-UA"/>
        </w:rPr>
        <w:t> </w:t>
      </w:r>
      <w:r w:rsidRPr="002E6ECA">
        <w:rPr>
          <w:rFonts w:eastAsiaTheme="minorHAnsi"/>
          <w:sz w:val="28"/>
          <w:szCs w:val="28"/>
          <w:lang w:val="uk-UA" w:eastAsia="en-US"/>
        </w:rPr>
        <w:t>E., Papadopoulos</w:t>
      </w:r>
      <w:r w:rsidRPr="002E6ECA">
        <w:rPr>
          <w:sz w:val="28"/>
          <w:szCs w:val="28"/>
          <w:lang w:val="uk-UA"/>
        </w:rPr>
        <w:t> </w:t>
      </w:r>
      <w:r w:rsidRPr="002E6ECA">
        <w:rPr>
          <w:rFonts w:eastAsiaTheme="minorHAnsi"/>
          <w:sz w:val="28"/>
          <w:szCs w:val="28"/>
          <w:lang w:val="uk-UA" w:eastAsia="en-US"/>
        </w:rPr>
        <w:t>N., Emonson</w:t>
      </w:r>
      <w:r w:rsidRPr="002E6ECA">
        <w:rPr>
          <w:sz w:val="28"/>
          <w:szCs w:val="28"/>
          <w:lang w:val="uk-UA"/>
        </w:rPr>
        <w:t> </w:t>
      </w:r>
      <w:r w:rsidRPr="002E6ECA">
        <w:rPr>
          <w:rFonts w:eastAsiaTheme="minorHAnsi"/>
          <w:sz w:val="28"/>
          <w:szCs w:val="28"/>
          <w:lang w:val="uk-UA" w:eastAsia="en-US"/>
        </w:rPr>
        <w:t>C., Fuelscher</w:t>
      </w:r>
      <w:r w:rsidRPr="002E6ECA">
        <w:rPr>
          <w:sz w:val="28"/>
          <w:szCs w:val="28"/>
          <w:lang w:val="uk-UA"/>
        </w:rPr>
        <w:t> </w:t>
      </w:r>
      <w:r w:rsidRPr="002E6ECA">
        <w:rPr>
          <w:rFonts w:eastAsiaTheme="minorHAnsi"/>
          <w:sz w:val="28"/>
          <w:szCs w:val="28"/>
          <w:lang w:val="uk-UA" w:eastAsia="en-US"/>
        </w:rPr>
        <w:t>I., Pesce</w:t>
      </w:r>
      <w:r w:rsidRPr="002E6ECA">
        <w:rPr>
          <w:sz w:val="28"/>
          <w:szCs w:val="28"/>
          <w:lang w:val="uk-UA"/>
        </w:rPr>
        <w:t> </w:t>
      </w:r>
      <w:r w:rsidRPr="002E6ECA">
        <w:rPr>
          <w:rFonts w:eastAsiaTheme="minorHAnsi"/>
          <w:sz w:val="28"/>
          <w:szCs w:val="28"/>
          <w:lang w:val="uk-UA" w:eastAsia="en-US"/>
        </w:rPr>
        <w:t>C., McGillivray</w:t>
      </w:r>
      <w:r w:rsidRPr="002E6ECA">
        <w:rPr>
          <w:sz w:val="28"/>
          <w:szCs w:val="28"/>
          <w:lang w:val="uk-UA"/>
        </w:rPr>
        <w:t> </w:t>
      </w:r>
      <w:r w:rsidRPr="002E6ECA">
        <w:rPr>
          <w:rFonts w:eastAsiaTheme="minorHAnsi"/>
          <w:sz w:val="28"/>
          <w:szCs w:val="28"/>
          <w:lang w:val="uk-UA" w:eastAsia="en-US"/>
        </w:rPr>
        <w:t>J., Hyde</w:t>
      </w:r>
      <w:r w:rsidRPr="002E6ECA">
        <w:rPr>
          <w:sz w:val="28"/>
          <w:szCs w:val="28"/>
          <w:lang w:val="uk-UA"/>
        </w:rPr>
        <w:t> </w:t>
      </w:r>
      <w:r w:rsidRPr="002E6ECA">
        <w:rPr>
          <w:rFonts w:eastAsiaTheme="minorHAnsi"/>
          <w:sz w:val="28"/>
          <w:szCs w:val="28"/>
          <w:lang w:val="uk-UA" w:eastAsia="en-US"/>
        </w:rPr>
        <w:t>C., Olive</w:t>
      </w:r>
      <w:r w:rsidRPr="002E6ECA">
        <w:rPr>
          <w:sz w:val="28"/>
          <w:szCs w:val="28"/>
          <w:lang w:val="uk-UA"/>
        </w:rPr>
        <w:t> </w:t>
      </w:r>
      <w:r w:rsidRPr="002E6ECA">
        <w:rPr>
          <w:rFonts w:eastAsiaTheme="minorHAnsi"/>
          <w:sz w:val="28"/>
          <w:szCs w:val="28"/>
          <w:lang w:val="uk-UA" w:eastAsia="en-US"/>
        </w:rPr>
        <w:t>L., Rinehart</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hyperlink r:id="rId226" w:history="1">
        <w:r w:rsidRPr="002E6ECA">
          <w:rPr>
            <w:rFonts w:eastAsiaTheme="minorHAnsi"/>
            <w:sz w:val="28"/>
            <w:szCs w:val="28"/>
            <w:lang w:val="uk-UA" w:eastAsia="en-US"/>
          </w:rPr>
          <w:t>A Preliminary Investigation of the Relationship between Motivation for Physical Activity and Emotional and Behavioural Difficulties in Children Aged 8-12 Years: The Role of Autonomous Motivation.</w:t>
        </w:r>
      </w:hyperlink>
      <w:r w:rsidRPr="002E6ECA">
        <w:rPr>
          <w:rFonts w:eastAsiaTheme="minorHAnsi"/>
          <w:sz w:val="28"/>
          <w:szCs w:val="28"/>
          <w:lang w:val="uk-UA" w:eastAsia="en-US"/>
        </w:rPr>
        <w:t xml:space="preserve"> </w:t>
      </w:r>
      <w:r w:rsidRPr="002E6ECA">
        <w:rPr>
          <w:rFonts w:eastAsiaTheme="minorHAnsi"/>
          <w:i/>
          <w:sz w:val="28"/>
          <w:szCs w:val="28"/>
          <w:lang w:val="uk-UA" w:eastAsia="en-US"/>
        </w:rPr>
        <w:t>Int J Environ Res Public Health</w:t>
      </w:r>
      <w:r w:rsidRPr="002E6ECA">
        <w:rPr>
          <w:rFonts w:eastAsiaTheme="minorHAnsi"/>
          <w:sz w:val="28"/>
          <w:szCs w:val="28"/>
          <w:lang w:val="uk-UA" w:eastAsia="en-US"/>
        </w:rPr>
        <w:t>. 2020. Vol. 17 (15). 5584. doi:</w:t>
      </w:r>
      <w:r w:rsidRPr="002E6ECA">
        <w:rPr>
          <w:rFonts w:eastAsiaTheme="minorHAnsi"/>
          <w:sz w:val="28"/>
          <w:szCs w:val="28"/>
          <w:lang w:val="uk-UA"/>
        </w:rPr>
        <w:t> </w:t>
      </w:r>
      <w:r w:rsidRPr="002E6ECA">
        <w:rPr>
          <w:rFonts w:eastAsiaTheme="minorHAnsi"/>
          <w:sz w:val="28"/>
          <w:szCs w:val="28"/>
          <w:lang w:val="uk-UA" w:eastAsia="en-US"/>
        </w:rPr>
        <w:t>10.3390/ijerph17155584.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Fehr</w:t>
      </w:r>
      <w:r w:rsidRPr="002E6ECA">
        <w:rPr>
          <w:sz w:val="28"/>
          <w:szCs w:val="28"/>
          <w:lang w:val="uk-UA"/>
        </w:rPr>
        <w:t> </w:t>
      </w:r>
      <w:r w:rsidRPr="002E6ECA">
        <w:rPr>
          <w:rFonts w:eastAsiaTheme="minorHAnsi"/>
          <w:sz w:val="28"/>
          <w:szCs w:val="28"/>
          <w:lang w:val="uk-UA" w:eastAsia="en-US"/>
        </w:rPr>
        <w:t>T., Code</w:t>
      </w:r>
      <w:r w:rsidRPr="002E6ECA">
        <w:rPr>
          <w:sz w:val="28"/>
          <w:szCs w:val="28"/>
          <w:lang w:val="uk-UA"/>
        </w:rPr>
        <w:t> </w:t>
      </w:r>
      <w:r w:rsidRPr="002E6ECA">
        <w:rPr>
          <w:rFonts w:eastAsiaTheme="minorHAnsi"/>
          <w:sz w:val="28"/>
          <w:szCs w:val="28"/>
          <w:lang w:val="uk-UA" w:eastAsia="en-US"/>
        </w:rPr>
        <w:t>C., Herrmann</w:t>
      </w:r>
      <w:r w:rsidRPr="002E6ECA">
        <w:rPr>
          <w:sz w:val="28"/>
          <w:szCs w:val="28"/>
          <w:lang w:val="uk-UA"/>
        </w:rPr>
        <w:t> </w:t>
      </w:r>
      <w:r w:rsidRPr="002E6ECA">
        <w:rPr>
          <w:rFonts w:eastAsiaTheme="minorHAnsi"/>
          <w:sz w:val="28"/>
          <w:szCs w:val="28"/>
          <w:lang w:val="uk-UA" w:eastAsia="en-US"/>
        </w:rPr>
        <w:t xml:space="preserve">M. Common brain regions underlying different arithmetic operations as revealed by conjunct fMRI-BOLD activation. </w:t>
      </w:r>
      <w:r w:rsidRPr="002E6ECA">
        <w:rPr>
          <w:rFonts w:eastAsiaTheme="minorHAnsi"/>
          <w:i/>
          <w:sz w:val="28"/>
          <w:szCs w:val="28"/>
          <w:lang w:val="uk-UA" w:eastAsia="en-US"/>
        </w:rPr>
        <w:t>Brain Res</w:t>
      </w:r>
      <w:r w:rsidRPr="002E6ECA">
        <w:rPr>
          <w:rFonts w:eastAsiaTheme="minorHAnsi"/>
          <w:sz w:val="28"/>
          <w:szCs w:val="28"/>
          <w:lang w:val="uk-UA" w:eastAsia="en-US"/>
        </w:rPr>
        <w:t>. 2007. Vol. 1172. Р. 93-102. doi: 10.1016/j.brainres.2007.07.043.</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27" w:tooltip="Найти еще записи для этого автора" w:history="1">
        <w:r w:rsidR="00020FED" w:rsidRPr="002E6ECA">
          <w:rPr>
            <w:rFonts w:eastAsiaTheme="minorHAnsi"/>
            <w:sz w:val="28"/>
            <w:szCs w:val="28"/>
            <w:lang w:val="uk-UA" w:eastAsia="en-US"/>
          </w:rPr>
          <w:t>Francis</w:t>
        </w:r>
        <w:r w:rsidR="00020FED" w:rsidRPr="002E6ECA">
          <w:rPr>
            <w:sz w:val="28"/>
            <w:szCs w:val="28"/>
            <w:lang w:val="uk-UA"/>
          </w:rPr>
          <w:t> </w:t>
        </w:r>
        <w:r w:rsidR="00020FED" w:rsidRPr="002E6ECA">
          <w:rPr>
            <w:rFonts w:eastAsiaTheme="minorHAnsi"/>
            <w:sz w:val="28"/>
            <w:szCs w:val="28"/>
            <w:lang w:val="uk-UA" w:eastAsia="en-US"/>
          </w:rPr>
          <w:t>R</w:t>
        </w:r>
      </w:hyperlink>
      <w:r w:rsidR="00020FED" w:rsidRPr="002E6ECA">
        <w:rPr>
          <w:rFonts w:eastAsiaTheme="minorHAnsi"/>
          <w:sz w:val="28"/>
          <w:szCs w:val="28"/>
          <w:lang w:val="uk-UA" w:eastAsia="en-US"/>
        </w:rPr>
        <w:t xml:space="preserve">., </w:t>
      </w:r>
      <w:hyperlink r:id="rId228" w:tooltip="Найти еще записи для этого автора" w:history="1">
        <w:r w:rsidR="00020FED" w:rsidRPr="002E6ECA">
          <w:rPr>
            <w:rFonts w:eastAsiaTheme="minorHAnsi"/>
            <w:sz w:val="28"/>
            <w:szCs w:val="28"/>
            <w:lang w:val="uk-UA" w:eastAsia="en-US"/>
          </w:rPr>
          <w:t>Hawes</w:t>
        </w:r>
        <w:r w:rsidR="00020FED" w:rsidRPr="002E6ECA">
          <w:rPr>
            <w:sz w:val="28"/>
            <w:szCs w:val="28"/>
            <w:lang w:val="uk-UA"/>
          </w:rPr>
          <w:t> </w:t>
        </w:r>
        <w:r w:rsidR="00020FED" w:rsidRPr="002E6ECA">
          <w:rPr>
            <w:rFonts w:eastAsiaTheme="minorHAnsi"/>
            <w:sz w:val="28"/>
            <w:szCs w:val="28"/>
            <w:lang w:val="uk-UA" w:eastAsia="en-US"/>
          </w:rPr>
          <w:t>D.</w:t>
        </w:r>
        <w:r w:rsidR="00020FED" w:rsidRPr="002E6ECA">
          <w:rPr>
            <w:sz w:val="28"/>
            <w:szCs w:val="28"/>
            <w:lang w:val="uk-UA"/>
          </w:rPr>
          <w:t> </w:t>
        </w:r>
        <w:r w:rsidR="00020FED" w:rsidRPr="002E6ECA">
          <w:rPr>
            <w:rFonts w:eastAsiaTheme="minorHAnsi"/>
            <w:sz w:val="28"/>
            <w:szCs w:val="28"/>
            <w:lang w:val="uk-UA" w:eastAsia="en-US"/>
          </w:rPr>
          <w:t>J</w:t>
        </w:r>
      </w:hyperlink>
      <w:r w:rsidR="00020FED" w:rsidRPr="002E6ECA">
        <w:rPr>
          <w:rFonts w:eastAsiaTheme="minorHAnsi"/>
          <w:sz w:val="28"/>
          <w:szCs w:val="28"/>
          <w:lang w:val="uk-UA" w:eastAsia="en-US"/>
        </w:rPr>
        <w:t>., Abbott</w:t>
      </w:r>
      <w:r w:rsidR="00020FED" w:rsidRPr="002E6ECA">
        <w:rPr>
          <w:sz w:val="28"/>
          <w:szCs w:val="28"/>
          <w:lang w:val="uk-UA"/>
        </w:rPr>
        <w:t> </w:t>
      </w:r>
      <w:r w:rsidR="00020FED" w:rsidRPr="002E6ECA">
        <w:rPr>
          <w:rFonts w:eastAsiaTheme="minorHAnsi"/>
          <w:sz w:val="28"/>
          <w:szCs w:val="28"/>
          <w:lang w:val="uk-UA" w:eastAsia="en-US"/>
        </w:rPr>
        <w:t xml:space="preserve">M. Intellectual Giftedness and Psychopathology in Children and Adolescents: A Systematic Literature Review. </w:t>
      </w:r>
      <w:r w:rsidR="00020FED" w:rsidRPr="002E6ECA">
        <w:rPr>
          <w:rFonts w:eastAsiaTheme="minorHAnsi"/>
          <w:i/>
          <w:sz w:val="28"/>
          <w:szCs w:val="28"/>
          <w:lang w:val="uk-UA" w:eastAsia="en-US"/>
        </w:rPr>
        <w:t>Exceptional children</w:t>
      </w:r>
      <w:r w:rsidR="00020FED" w:rsidRPr="002E6ECA">
        <w:rPr>
          <w:rFonts w:eastAsiaTheme="minorHAnsi"/>
          <w:sz w:val="28"/>
          <w:szCs w:val="28"/>
          <w:lang w:val="uk-UA" w:eastAsia="en-US"/>
        </w:rPr>
        <w:t>. 2016. Vol. 82 (3). Р. 279-302. https://doi: 10.1177/0014402915598779.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shd w:val="clear" w:color="auto" w:fill="FFFFFF"/>
          <w:lang w:val="en-US"/>
        </w:rPr>
        <w:t>Galeev</w:t>
      </w:r>
      <w:r w:rsidRPr="002E6ECA">
        <w:rPr>
          <w:sz w:val="28"/>
          <w:szCs w:val="28"/>
          <w:lang w:val="uk-UA"/>
        </w:rPr>
        <w:t> </w:t>
      </w:r>
      <w:r w:rsidRPr="002E6ECA">
        <w:rPr>
          <w:sz w:val="28"/>
          <w:szCs w:val="28"/>
          <w:shd w:val="clear" w:color="auto" w:fill="FFFFFF"/>
          <w:lang w:val="en-US"/>
        </w:rPr>
        <w:t>A.</w:t>
      </w:r>
      <w:r w:rsidRPr="002E6ECA">
        <w:rPr>
          <w:sz w:val="28"/>
          <w:szCs w:val="28"/>
          <w:lang w:val="uk-UA"/>
        </w:rPr>
        <w:t> </w:t>
      </w:r>
      <w:r w:rsidRPr="002E6ECA">
        <w:rPr>
          <w:sz w:val="28"/>
          <w:szCs w:val="28"/>
          <w:shd w:val="clear" w:color="auto" w:fill="FFFFFF"/>
          <w:lang w:val="en-US"/>
        </w:rPr>
        <w:t>R., Igisheva</w:t>
      </w:r>
      <w:r w:rsidRPr="002E6ECA">
        <w:rPr>
          <w:sz w:val="28"/>
          <w:szCs w:val="28"/>
          <w:lang w:val="uk-UA"/>
        </w:rPr>
        <w:t> </w:t>
      </w:r>
      <w:r w:rsidRPr="002E6ECA">
        <w:rPr>
          <w:sz w:val="28"/>
          <w:szCs w:val="28"/>
          <w:shd w:val="clear" w:color="auto" w:fill="FFFFFF"/>
          <w:lang w:val="en-US"/>
        </w:rPr>
        <w:t>L.</w:t>
      </w:r>
      <w:r w:rsidRPr="002E6ECA">
        <w:rPr>
          <w:sz w:val="28"/>
          <w:szCs w:val="28"/>
          <w:lang w:val="uk-UA"/>
        </w:rPr>
        <w:t> </w:t>
      </w:r>
      <w:r w:rsidRPr="002E6ECA">
        <w:rPr>
          <w:sz w:val="28"/>
          <w:szCs w:val="28"/>
          <w:shd w:val="clear" w:color="auto" w:fill="FFFFFF"/>
          <w:lang w:val="en-US"/>
        </w:rPr>
        <w:t>N., Kazin</w:t>
      </w:r>
      <w:r w:rsidRPr="002E6ECA">
        <w:rPr>
          <w:sz w:val="28"/>
          <w:szCs w:val="28"/>
          <w:lang w:val="uk-UA"/>
        </w:rPr>
        <w:t> </w:t>
      </w:r>
      <w:r w:rsidRPr="002E6ECA">
        <w:rPr>
          <w:sz w:val="28"/>
          <w:szCs w:val="28"/>
          <w:shd w:val="clear" w:color="auto" w:fill="FFFFFF"/>
          <w:lang w:val="en-US"/>
        </w:rPr>
        <w:t>E.</w:t>
      </w:r>
      <w:r w:rsidRPr="002E6ECA">
        <w:rPr>
          <w:sz w:val="28"/>
          <w:szCs w:val="28"/>
          <w:lang w:val="uk-UA"/>
        </w:rPr>
        <w:t> </w:t>
      </w:r>
      <w:r w:rsidRPr="002E6ECA">
        <w:rPr>
          <w:sz w:val="28"/>
          <w:szCs w:val="28"/>
          <w:shd w:val="clear" w:color="auto" w:fill="FFFFFF"/>
          <w:lang w:val="en-US"/>
        </w:rPr>
        <w:t xml:space="preserve">M. </w:t>
      </w:r>
      <w:r w:rsidRPr="002E6ECA">
        <w:rPr>
          <w:rStyle w:val="ref-title"/>
          <w:sz w:val="28"/>
          <w:szCs w:val="28"/>
          <w:shd w:val="clear" w:color="auto" w:fill="FFFFFF"/>
          <w:lang w:val="en-US"/>
        </w:rPr>
        <w:t>Heart rate variability in healthy six- to sixteen-year-old children</w:t>
      </w:r>
      <w:r w:rsidRPr="002E6ECA">
        <w:rPr>
          <w:sz w:val="28"/>
          <w:szCs w:val="28"/>
          <w:shd w:val="clear" w:color="auto" w:fill="FFFFFF"/>
          <w:lang w:val="en-US"/>
        </w:rPr>
        <w:t xml:space="preserve">. </w:t>
      </w:r>
      <w:r w:rsidRPr="002E6ECA">
        <w:rPr>
          <w:rStyle w:val="ref-journal"/>
          <w:sz w:val="28"/>
          <w:szCs w:val="28"/>
          <w:shd w:val="clear" w:color="auto" w:fill="FFFFFF"/>
        </w:rPr>
        <w:t>Hum. Physiol.</w:t>
      </w:r>
      <w:r w:rsidRPr="002E6ECA">
        <w:rPr>
          <w:sz w:val="28"/>
          <w:szCs w:val="28"/>
          <w:shd w:val="clear" w:color="auto" w:fill="FFFFFF"/>
        </w:rPr>
        <w:t xml:space="preserve"> 2002. Vol. </w:t>
      </w:r>
      <w:r w:rsidRPr="002E6ECA">
        <w:rPr>
          <w:rStyle w:val="ref-vol"/>
          <w:sz w:val="28"/>
          <w:szCs w:val="28"/>
          <w:shd w:val="clear" w:color="auto" w:fill="FFFFFF"/>
        </w:rPr>
        <w:t>28</w:t>
      </w:r>
      <w:r w:rsidRPr="002E6ECA">
        <w:rPr>
          <w:sz w:val="28"/>
          <w:szCs w:val="28"/>
          <w:shd w:val="clear" w:color="auto" w:fill="FFFFFF"/>
        </w:rPr>
        <w:t xml:space="preserve">. Р. 428-432. </w:t>
      </w:r>
      <w:r w:rsidRPr="002E6ECA">
        <w:rPr>
          <w:rFonts w:eastAsiaTheme="minorHAnsi"/>
          <w:sz w:val="28"/>
          <w:szCs w:val="28"/>
          <w:lang w:val="uk-UA" w:eastAsia="en-US"/>
        </w:rPr>
        <w:t xml:space="preserve">doi: </w:t>
      </w:r>
      <w:r w:rsidRPr="002E6ECA">
        <w:rPr>
          <w:sz w:val="28"/>
          <w:szCs w:val="28"/>
          <w:shd w:val="clear" w:color="auto" w:fill="FFFFFF"/>
        </w:rPr>
        <w:t>10.1023/A:1016529931519.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Gavryushin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Yu., Sazonova</w:t>
      </w:r>
      <w:r w:rsidRPr="002E6ECA">
        <w:rPr>
          <w:sz w:val="28"/>
          <w:szCs w:val="28"/>
          <w:lang w:val="uk-UA"/>
        </w:rPr>
        <w:t> </w:t>
      </w:r>
      <w:r w:rsidRPr="002E6ECA">
        <w:rPr>
          <w:rFonts w:eastAsiaTheme="minorHAnsi"/>
          <w:sz w:val="28"/>
          <w:szCs w:val="28"/>
          <w:lang w:val="uk-UA" w:eastAsia="en-US"/>
        </w:rPr>
        <w:t>O.</w:t>
      </w:r>
      <w:r w:rsidRPr="002E6ECA">
        <w:rPr>
          <w:sz w:val="28"/>
          <w:szCs w:val="28"/>
          <w:lang w:val="uk-UA"/>
        </w:rPr>
        <w:t> </w:t>
      </w:r>
      <w:r w:rsidRPr="002E6ECA">
        <w:rPr>
          <w:rFonts w:eastAsiaTheme="minorHAnsi"/>
          <w:sz w:val="28"/>
          <w:szCs w:val="28"/>
          <w:lang w:val="uk-UA" w:eastAsia="en-US"/>
        </w:rPr>
        <w:t>V., Gorbachev</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O., Borodina</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M., Frolova</w:t>
      </w:r>
      <w:r w:rsidRPr="002E6ECA">
        <w:rPr>
          <w:sz w:val="28"/>
          <w:szCs w:val="28"/>
          <w:lang w:val="uk-UA"/>
        </w:rPr>
        <w:t> </w:t>
      </w:r>
      <w:r w:rsidRPr="002E6ECA">
        <w:rPr>
          <w:rFonts w:eastAsiaTheme="minorHAnsi"/>
          <w:sz w:val="28"/>
          <w:szCs w:val="28"/>
          <w:lang w:val="uk-UA" w:eastAsia="en-US"/>
        </w:rPr>
        <w:t>O.</w:t>
      </w:r>
      <w:r w:rsidRPr="002E6ECA">
        <w:rPr>
          <w:sz w:val="28"/>
          <w:szCs w:val="28"/>
          <w:lang w:val="uk-UA"/>
        </w:rPr>
        <w:t> </w:t>
      </w:r>
      <w:r w:rsidRPr="002E6ECA">
        <w:rPr>
          <w:rFonts w:eastAsiaTheme="minorHAnsi"/>
          <w:sz w:val="28"/>
          <w:szCs w:val="28"/>
          <w:lang w:val="uk-UA" w:eastAsia="en-US"/>
        </w:rPr>
        <w:t>V., Tupikova</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 xml:space="preserve">S. A rationale for the use of anthropometric measurements and bioelectrical impedance analysis as efficacy criteria for summer camp healthcare. </w:t>
      </w:r>
      <w:r w:rsidRPr="002E6ECA">
        <w:rPr>
          <w:rFonts w:eastAsiaTheme="minorHAnsi"/>
          <w:i/>
          <w:sz w:val="28"/>
          <w:szCs w:val="28"/>
          <w:lang w:val="uk-UA" w:eastAsia="en-US"/>
        </w:rPr>
        <w:t>Bulletin o RussianState Medical university</w:t>
      </w:r>
      <w:r w:rsidRPr="002E6ECA">
        <w:rPr>
          <w:rFonts w:eastAsiaTheme="minorHAnsi"/>
          <w:sz w:val="28"/>
          <w:szCs w:val="28"/>
          <w:lang w:val="uk-UA" w:eastAsia="en-US"/>
        </w:rPr>
        <w:t xml:space="preserve">. 2019. Vol. 2. P. 898-95. DOI: </w:t>
      </w:r>
      <w:hyperlink r:id="rId229" w:tgtFrame="_blank" w:history="1">
        <w:r w:rsidRPr="002E6ECA">
          <w:rPr>
            <w:rFonts w:eastAsiaTheme="minorHAnsi"/>
            <w:sz w:val="28"/>
            <w:szCs w:val="28"/>
            <w:lang w:val="uk-UA" w:eastAsia="en-US"/>
          </w:rPr>
          <w:t>10.24075/brsmu.2019.024</w:t>
        </w:r>
      </w:hyperlink>
      <w:r w:rsidRPr="002E6ECA">
        <w:rPr>
          <w:rFonts w:eastAsiaTheme="minorHAnsi"/>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30" w:history="1">
        <w:r w:rsidR="00020FED" w:rsidRPr="002E6ECA">
          <w:rPr>
            <w:rFonts w:eastAsiaTheme="minorHAnsi"/>
            <w:sz w:val="28"/>
            <w:szCs w:val="28"/>
            <w:lang w:val="uk-UA" w:eastAsia="en-US"/>
          </w:rPr>
          <w:t>Geertsen</w:t>
        </w:r>
      </w:hyperlink>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S.,</w:t>
      </w:r>
      <w:hyperlink r:id="rId231" w:history="1">
        <w:r w:rsidR="00020FED" w:rsidRPr="002E6ECA">
          <w:rPr>
            <w:rFonts w:eastAsiaTheme="minorHAnsi"/>
            <w:sz w:val="28"/>
            <w:szCs w:val="28"/>
            <w:lang w:val="uk-UA" w:eastAsia="en-US"/>
          </w:rPr>
          <w:t xml:space="preserve"> Thomas</w:t>
        </w:r>
      </w:hyperlink>
      <w:r w:rsidR="00020FED" w:rsidRPr="002E6ECA">
        <w:rPr>
          <w:sz w:val="28"/>
          <w:szCs w:val="28"/>
          <w:lang w:val="uk-UA"/>
        </w:rPr>
        <w:t> </w:t>
      </w:r>
      <w:r w:rsidR="00020FED" w:rsidRPr="002E6ECA">
        <w:rPr>
          <w:rFonts w:eastAsiaTheme="minorHAnsi"/>
          <w:sz w:val="28"/>
          <w:szCs w:val="28"/>
          <w:lang w:val="uk-UA" w:eastAsia="en-US"/>
        </w:rPr>
        <w:t>R.,</w:t>
      </w:r>
      <w:hyperlink r:id="rId232" w:history="1">
        <w:r w:rsidR="00020FED" w:rsidRPr="002E6ECA">
          <w:rPr>
            <w:rFonts w:eastAsiaTheme="minorHAnsi"/>
            <w:sz w:val="28"/>
            <w:szCs w:val="28"/>
            <w:lang w:val="uk-UA" w:eastAsia="en-US"/>
          </w:rPr>
          <w:t xml:space="preserve"> Larsen</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N.,</w:t>
      </w:r>
      <w:hyperlink r:id="rId233" w:history="1">
        <w:r w:rsidR="00020FED" w:rsidRPr="002E6ECA">
          <w:rPr>
            <w:rFonts w:eastAsiaTheme="minorHAnsi"/>
            <w:sz w:val="28"/>
            <w:szCs w:val="28"/>
            <w:lang w:val="uk-UA" w:eastAsia="en-US"/>
          </w:rPr>
          <w:t xml:space="preserve"> Dahn</w:t>
        </w:r>
      </w:hyperlink>
      <w:r w:rsidR="00020FED" w:rsidRPr="002E6ECA">
        <w:rPr>
          <w:sz w:val="28"/>
          <w:szCs w:val="28"/>
          <w:lang w:val="uk-UA"/>
        </w:rPr>
        <w:t> </w:t>
      </w:r>
      <w:r w:rsidR="00020FED" w:rsidRPr="002E6ECA">
        <w:rPr>
          <w:rFonts w:eastAsiaTheme="minorHAnsi"/>
          <w:sz w:val="28"/>
          <w:szCs w:val="28"/>
          <w:lang w:val="uk-UA" w:eastAsia="en-US"/>
        </w:rPr>
        <w:t>I.</w:t>
      </w:r>
      <w:r w:rsidR="00020FED" w:rsidRPr="002E6ECA">
        <w:rPr>
          <w:sz w:val="28"/>
          <w:szCs w:val="28"/>
          <w:lang w:val="uk-UA"/>
        </w:rPr>
        <w:t> </w:t>
      </w:r>
      <w:r w:rsidR="00020FED" w:rsidRPr="002E6ECA">
        <w:rPr>
          <w:rFonts w:eastAsiaTheme="minorHAnsi"/>
          <w:sz w:val="28"/>
          <w:szCs w:val="28"/>
          <w:lang w:val="uk-UA" w:eastAsia="en-US"/>
        </w:rPr>
        <w:t>M.,</w:t>
      </w:r>
      <w:hyperlink r:id="rId234" w:history="1">
        <w:r w:rsidR="00020FED" w:rsidRPr="002E6ECA">
          <w:rPr>
            <w:rFonts w:eastAsiaTheme="minorHAnsi"/>
            <w:sz w:val="28"/>
            <w:szCs w:val="28"/>
            <w:lang w:val="uk-UA" w:eastAsia="en-US"/>
          </w:rPr>
          <w:t xml:space="preserve"> Andersen</w:t>
        </w:r>
      </w:hyperlink>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N.,</w:t>
      </w:r>
      <w:hyperlink r:id="rId235" w:history="1">
        <w:r w:rsidR="00020FED" w:rsidRPr="002E6ECA">
          <w:rPr>
            <w:rFonts w:eastAsiaTheme="minorHAnsi"/>
            <w:sz w:val="28"/>
            <w:szCs w:val="28"/>
            <w:lang w:val="uk-UA" w:eastAsia="en-US"/>
          </w:rPr>
          <w:t xml:space="preserve"> Krause-Jensen</w:t>
        </w:r>
      </w:hyperlink>
      <w:r w:rsidR="00020FED" w:rsidRPr="002E6ECA">
        <w:rPr>
          <w:sz w:val="28"/>
          <w:szCs w:val="28"/>
          <w:lang w:val="uk-UA"/>
        </w:rPr>
        <w:t> </w:t>
      </w:r>
      <w:r w:rsidR="00020FED" w:rsidRPr="002E6ECA">
        <w:rPr>
          <w:rFonts w:eastAsiaTheme="minorHAnsi"/>
          <w:sz w:val="28"/>
          <w:szCs w:val="28"/>
          <w:lang w:val="uk-UA" w:eastAsia="en-US"/>
        </w:rPr>
        <w:t>M.,</w:t>
      </w:r>
      <w:hyperlink r:id="rId236" w:history="1">
        <w:r w:rsidR="00020FED" w:rsidRPr="002E6ECA">
          <w:rPr>
            <w:rFonts w:eastAsiaTheme="minorHAnsi"/>
            <w:sz w:val="28"/>
            <w:szCs w:val="28"/>
            <w:lang w:val="uk-UA" w:eastAsia="en-US"/>
          </w:rPr>
          <w:t xml:space="preserve"> Korup</w:t>
        </w:r>
      </w:hyperlink>
      <w:r w:rsidR="00020FED" w:rsidRPr="002E6ECA">
        <w:rPr>
          <w:sz w:val="28"/>
          <w:szCs w:val="28"/>
          <w:lang w:val="uk-UA"/>
        </w:rPr>
        <w:t> </w:t>
      </w:r>
      <w:r w:rsidR="00020FED" w:rsidRPr="002E6ECA">
        <w:rPr>
          <w:rFonts w:eastAsiaTheme="minorHAnsi"/>
          <w:sz w:val="28"/>
          <w:szCs w:val="28"/>
          <w:lang w:val="uk-UA" w:eastAsia="en-US"/>
        </w:rPr>
        <w:t>V.,</w:t>
      </w:r>
      <w:hyperlink r:id="rId237" w:history="1">
        <w:r w:rsidR="00020FED" w:rsidRPr="002E6ECA">
          <w:rPr>
            <w:rFonts w:eastAsiaTheme="minorHAnsi"/>
            <w:sz w:val="28"/>
            <w:szCs w:val="28"/>
            <w:lang w:val="uk-UA" w:eastAsia="en-US"/>
          </w:rPr>
          <w:t xml:space="preserve"> Nielsen</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M.,</w:t>
      </w:r>
      <w:hyperlink r:id="rId238" w:history="1">
        <w:r w:rsidR="00020FED" w:rsidRPr="002E6ECA">
          <w:rPr>
            <w:rFonts w:eastAsiaTheme="minorHAnsi"/>
            <w:sz w:val="28"/>
            <w:szCs w:val="28"/>
            <w:lang w:val="uk-UA" w:eastAsia="en-US"/>
          </w:rPr>
          <w:t xml:space="preserve"> Wienecke</w:t>
        </w:r>
      </w:hyperlink>
      <w:r w:rsidR="00020FED" w:rsidRPr="002E6ECA">
        <w:rPr>
          <w:sz w:val="28"/>
          <w:szCs w:val="28"/>
          <w:lang w:val="uk-UA"/>
        </w:rPr>
        <w:t> </w:t>
      </w:r>
      <w:r w:rsidR="00020FED" w:rsidRPr="002E6ECA">
        <w:rPr>
          <w:rFonts w:eastAsiaTheme="minorHAnsi"/>
          <w:sz w:val="28"/>
          <w:szCs w:val="28"/>
          <w:lang w:val="uk-UA" w:eastAsia="en-US"/>
        </w:rPr>
        <w:t>J.,</w:t>
      </w:r>
      <w:hyperlink r:id="rId239" w:history="1">
        <w:r w:rsidR="00020FED" w:rsidRPr="002E6ECA">
          <w:rPr>
            <w:rFonts w:eastAsiaTheme="minorHAnsi"/>
            <w:sz w:val="28"/>
            <w:szCs w:val="28"/>
            <w:lang w:val="uk-UA" w:eastAsia="en-US"/>
          </w:rPr>
          <w:t xml:space="preserve"> Ritz</w:t>
        </w:r>
      </w:hyperlink>
      <w:r w:rsidR="00020FED" w:rsidRPr="002E6ECA">
        <w:rPr>
          <w:sz w:val="28"/>
          <w:szCs w:val="28"/>
          <w:lang w:val="uk-UA"/>
        </w:rPr>
        <w:t> </w:t>
      </w:r>
      <w:r w:rsidR="00020FED" w:rsidRPr="002E6ECA">
        <w:rPr>
          <w:rFonts w:eastAsiaTheme="minorHAnsi"/>
          <w:sz w:val="28"/>
          <w:szCs w:val="28"/>
          <w:lang w:val="uk-UA" w:eastAsia="en-US"/>
        </w:rPr>
        <w:t>C.,</w:t>
      </w:r>
      <w:hyperlink r:id="rId240" w:history="1">
        <w:r w:rsidR="00020FED" w:rsidRPr="002E6ECA">
          <w:rPr>
            <w:rFonts w:eastAsiaTheme="minorHAnsi"/>
            <w:sz w:val="28"/>
            <w:szCs w:val="28"/>
            <w:lang w:val="uk-UA" w:eastAsia="en-US"/>
          </w:rPr>
          <w:t xml:space="preserve"> Krustrup</w:t>
        </w:r>
      </w:hyperlink>
      <w:r w:rsidR="00020FED" w:rsidRPr="002E6ECA">
        <w:rPr>
          <w:sz w:val="28"/>
          <w:szCs w:val="28"/>
          <w:lang w:val="uk-UA"/>
        </w:rPr>
        <w:t> </w:t>
      </w:r>
      <w:r w:rsidR="00020FED" w:rsidRPr="002E6ECA">
        <w:rPr>
          <w:rFonts w:eastAsiaTheme="minorHAnsi"/>
          <w:sz w:val="28"/>
          <w:szCs w:val="28"/>
          <w:lang w:val="uk-UA" w:eastAsia="en-US"/>
        </w:rPr>
        <w:t>P.,</w:t>
      </w:r>
      <w:hyperlink r:id="rId241" w:history="1">
        <w:r w:rsidR="00020FED" w:rsidRPr="002E6ECA">
          <w:rPr>
            <w:rFonts w:eastAsiaTheme="minorHAnsi"/>
            <w:sz w:val="28"/>
            <w:szCs w:val="28"/>
            <w:lang w:val="uk-UA" w:eastAsia="en-US"/>
          </w:rPr>
          <w:t xml:space="preserve"> Lundbye-Jensen</w:t>
        </w:r>
      </w:hyperlink>
      <w:r w:rsidR="00020FED" w:rsidRPr="002E6ECA">
        <w:rPr>
          <w:sz w:val="28"/>
          <w:szCs w:val="28"/>
          <w:lang w:val="uk-UA"/>
        </w:rPr>
        <w:t> </w:t>
      </w:r>
      <w:r w:rsidR="00020FED" w:rsidRPr="002E6ECA">
        <w:rPr>
          <w:rFonts w:eastAsiaTheme="minorHAnsi"/>
          <w:sz w:val="28"/>
          <w:szCs w:val="28"/>
          <w:lang w:val="uk-UA" w:eastAsia="en-US"/>
        </w:rPr>
        <w:t xml:space="preserve">J. Motor skills and exercise capacity are associated with objective measures of cognitive functions and academic performance in preadolescent children. </w:t>
      </w:r>
      <w:r w:rsidR="00020FED" w:rsidRPr="002E6ECA">
        <w:rPr>
          <w:rFonts w:eastAsiaTheme="minorHAnsi"/>
          <w:i/>
          <w:sz w:val="28"/>
          <w:szCs w:val="28"/>
          <w:lang w:val="uk-UA" w:eastAsia="en-US"/>
        </w:rPr>
        <w:t>PLoS One</w:t>
      </w:r>
      <w:r w:rsidR="00020FED" w:rsidRPr="002E6ECA">
        <w:rPr>
          <w:rFonts w:eastAsiaTheme="minorHAnsi"/>
          <w:sz w:val="28"/>
          <w:szCs w:val="28"/>
          <w:lang w:val="uk-UA" w:eastAsia="en-US"/>
        </w:rPr>
        <w:t xml:space="preserve">. 2016. Vol. 11 (8). e0161960. doi: 10.1371/journal.pone.0161960.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42" w:history="1">
        <w:r w:rsidR="00020FED" w:rsidRPr="002E6ECA">
          <w:rPr>
            <w:rFonts w:eastAsiaTheme="minorHAnsi"/>
            <w:sz w:val="28"/>
            <w:szCs w:val="28"/>
            <w:lang w:val="uk-UA" w:eastAsia="en-US"/>
          </w:rPr>
          <w:t>Giloyan</w:t>
        </w:r>
      </w:hyperlink>
      <w:r w:rsidR="00020FED" w:rsidRPr="002E6ECA">
        <w:rPr>
          <w:sz w:val="28"/>
          <w:szCs w:val="28"/>
          <w:lang w:val="uk-UA"/>
        </w:rPr>
        <w:t> </w:t>
      </w:r>
      <w:r w:rsidR="00020FED" w:rsidRPr="002E6ECA">
        <w:rPr>
          <w:rFonts w:eastAsiaTheme="minorHAnsi"/>
          <w:bCs/>
          <w:sz w:val="28"/>
          <w:szCs w:val="28"/>
          <w:lang w:val="uk-UA" w:eastAsia="en-US"/>
        </w:rPr>
        <w:t>A.,</w:t>
      </w:r>
      <w:hyperlink r:id="rId243" w:history="1">
        <w:r w:rsidR="00020FED" w:rsidRPr="002E6ECA">
          <w:rPr>
            <w:rFonts w:eastAsiaTheme="minorHAnsi"/>
            <w:sz w:val="28"/>
            <w:szCs w:val="28"/>
            <w:lang w:val="uk-UA" w:eastAsia="en-US"/>
          </w:rPr>
          <w:t xml:space="preserve"> Harutyunyan</w:t>
        </w:r>
      </w:hyperlink>
      <w:r w:rsidR="00020FED" w:rsidRPr="002E6ECA">
        <w:rPr>
          <w:sz w:val="28"/>
          <w:szCs w:val="28"/>
          <w:lang w:val="uk-UA"/>
        </w:rPr>
        <w:t> </w:t>
      </w:r>
      <w:r w:rsidR="00020FED" w:rsidRPr="002E6ECA">
        <w:rPr>
          <w:rFonts w:eastAsiaTheme="minorHAnsi"/>
          <w:bCs/>
          <w:sz w:val="28"/>
          <w:szCs w:val="28"/>
          <w:lang w:val="uk-UA" w:eastAsia="en-US"/>
        </w:rPr>
        <w:t>T.,</w:t>
      </w:r>
      <w:hyperlink r:id="rId244" w:history="1">
        <w:r w:rsidR="00020FED" w:rsidRPr="002E6ECA">
          <w:rPr>
            <w:rFonts w:eastAsiaTheme="minorHAnsi"/>
            <w:sz w:val="28"/>
            <w:szCs w:val="28"/>
            <w:lang w:val="uk-UA" w:eastAsia="en-US"/>
          </w:rPr>
          <w:t xml:space="preserve"> Petrosyan</w:t>
        </w:r>
      </w:hyperlink>
      <w:r w:rsidR="00020FED" w:rsidRPr="002E6ECA">
        <w:rPr>
          <w:sz w:val="28"/>
          <w:szCs w:val="28"/>
          <w:lang w:val="uk-UA"/>
        </w:rPr>
        <w:t> </w:t>
      </w:r>
      <w:r w:rsidR="00020FED" w:rsidRPr="002E6ECA">
        <w:rPr>
          <w:rFonts w:eastAsiaTheme="minorHAnsi"/>
          <w:bCs/>
          <w:sz w:val="28"/>
          <w:szCs w:val="28"/>
          <w:lang w:val="uk-UA" w:eastAsia="en-US"/>
        </w:rPr>
        <w:t xml:space="preserve">V. </w:t>
      </w:r>
      <w:r w:rsidR="00020FED" w:rsidRPr="002E6ECA">
        <w:rPr>
          <w:rFonts w:eastAsiaTheme="minorHAnsi"/>
          <w:sz w:val="28"/>
          <w:szCs w:val="28"/>
          <w:lang w:val="uk-UA" w:eastAsia="en-US"/>
        </w:rPr>
        <w:t xml:space="preserve">Risk Factors for Developing Myopia among Schoolchildren in Yerevan and Gegharkunik Province, Armenia. </w:t>
      </w:r>
      <w:r w:rsidR="00020FED" w:rsidRPr="002E6ECA">
        <w:rPr>
          <w:rFonts w:eastAsiaTheme="minorHAnsi"/>
          <w:i/>
          <w:sz w:val="28"/>
          <w:szCs w:val="28"/>
          <w:lang w:val="uk-UA" w:eastAsia="en-US"/>
        </w:rPr>
        <w:t>Ophthalmic Epidemiol</w:t>
      </w:r>
      <w:r w:rsidR="00020FED" w:rsidRPr="002E6ECA">
        <w:rPr>
          <w:rFonts w:eastAsiaTheme="minorHAnsi"/>
          <w:sz w:val="28"/>
          <w:szCs w:val="28"/>
          <w:lang w:val="uk-UA" w:eastAsia="en-US"/>
        </w:rPr>
        <w:t xml:space="preserve">. 2017. Apr. Vol. 24 (2). P. 97-103. doi: 10.1080/09286586.2016.1257028.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Gleichmann</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C., Solis</w:t>
      </w:r>
      <w:r w:rsidRPr="002E6ECA">
        <w:rPr>
          <w:sz w:val="28"/>
          <w:szCs w:val="28"/>
          <w:lang w:val="uk-UA"/>
        </w:rPr>
        <w:t> </w:t>
      </w:r>
      <w:r w:rsidRPr="002E6ECA">
        <w:rPr>
          <w:rFonts w:eastAsiaTheme="minorHAnsi"/>
          <w:sz w:val="28"/>
          <w:szCs w:val="28"/>
          <w:lang w:val="uk-UA" w:eastAsia="en-US"/>
        </w:rPr>
        <w:t>I., Stephen</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 xml:space="preserve">M. Troubled hearts: Association between heart rate variability and depressive symptoms in healthy children. </w:t>
      </w:r>
      <w:r w:rsidRPr="002E6ECA">
        <w:rPr>
          <w:rFonts w:eastAsiaTheme="minorHAnsi"/>
          <w:i/>
          <w:sz w:val="28"/>
          <w:szCs w:val="28"/>
          <w:lang w:val="uk-UA" w:eastAsia="en-US"/>
        </w:rPr>
        <w:t>Applied psychophysiology and biofeedback</w:t>
      </w:r>
      <w:r w:rsidRPr="002E6ECA">
        <w:rPr>
          <w:rFonts w:eastAsiaTheme="minorHAnsi"/>
          <w:sz w:val="28"/>
          <w:szCs w:val="28"/>
          <w:lang w:val="uk-UA" w:eastAsia="en-US"/>
        </w:rPr>
        <w:t xml:space="preserve">. 2020. Vol. 45 (4). Р. 283-292. </w:t>
      </w:r>
      <w:hyperlink r:id="rId245" w:history="1">
        <w:r w:rsidRPr="002E6ECA">
          <w:rPr>
            <w:rFonts w:eastAsiaTheme="minorHAnsi"/>
            <w:sz w:val="28"/>
            <w:szCs w:val="28"/>
            <w:lang w:val="uk-UA" w:eastAsia="en-US"/>
          </w:rPr>
          <w:t>https://doi.org/10.1007/s10484-020-09488-7</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Gómez</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M., Rodríguez-Martínez</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I., Fernández</w:t>
      </w:r>
      <w:r w:rsidRPr="002E6ECA">
        <w:rPr>
          <w:sz w:val="28"/>
          <w:szCs w:val="28"/>
          <w:lang w:val="uk-UA"/>
        </w:rPr>
        <w:t> </w:t>
      </w:r>
      <w:r w:rsidRPr="002E6ECA">
        <w:rPr>
          <w:rFonts w:eastAsiaTheme="minorHAnsi"/>
          <w:sz w:val="28"/>
          <w:szCs w:val="28"/>
          <w:lang w:val="uk-UA" w:eastAsia="en-US"/>
        </w:rPr>
        <w:t>A., Maestú</w:t>
      </w:r>
      <w:r w:rsidRPr="002E6ECA">
        <w:rPr>
          <w:sz w:val="28"/>
          <w:szCs w:val="28"/>
          <w:lang w:val="uk-UA"/>
        </w:rPr>
        <w:t> </w:t>
      </w:r>
      <w:r w:rsidRPr="002E6ECA">
        <w:rPr>
          <w:rFonts w:eastAsiaTheme="minorHAnsi"/>
          <w:sz w:val="28"/>
          <w:szCs w:val="28"/>
          <w:lang w:val="uk-UA" w:eastAsia="en-US"/>
        </w:rPr>
        <w:t>F., Poza</w:t>
      </w:r>
      <w:r w:rsidRPr="002E6ECA">
        <w:rPr>
          <w:sz w:val="28"/>
          <w:szCs w:val="28"/>
          <w:lang w:val="en-US"/>
        </w:rPr>
        <w:t> </w:t>
      </w:r>
      <w:r w:rsidRPr="002E6ECA">
        <w:rPr>
          <w:rFonts w:eastAsiaTheme="minorHAnsi"/>
          <w:sz w:val="28"/>
          <w:szCs w:val="28"/>
          <w:lang w:val="uk-UA" w:eastAsia="en-US"/>
        </w:rPr>
        <w:t>J., Góme</w:t>
      </w:r>
      <w:r w:rsidRPr="002E6ECA">
        <w:rPr>
          <w:sz w:val="28"/>
          <w:szCs w:val="28"/>
          <w:lang w:val="uk-UA"/>
        </w:rPr>
        <w:t> </w:t>
      </w:r>
      <w:r w:rsidRPr="002E6ECA">
        <w:rPr>
          <w:rFonts w:eastAsiaTheme="minorHAnsi"/>
          <w:sz w:val="28"/>
          <w:szCs w:val="28"/>
          <w:lang w:val="uk-UA" w:eastAsia="en-US"/>
        </w:rPr>
        <w:t xml:space="preserve">C. Absolute power spectral density changes in the magnetoencephalographic activity during the transition from childhood to adulthood. </w:t>
      </w:r>
      <w:r w:rsidRPr="002E6ECA">
        <w:rPr>
          <w:rFonts w:eastAsiaTheme="minorHAnsi"/>
          <w:i/>
          <w:sz w:val="28"/>
          <w:szCs w:val="28"/>
          <w:lang w:val="uk-UA" w:eastAsia="en-US"/>
        </w:rPr>
        <w:t>Brain topography</w:t>
      </w:r>
      <w:r w:rsidRPr="002E6ECA">
        <w:rPr>
          <w:rFonts w:eastAsiaTheme="minorHAnsi"/>
          <w:sz w:val="28"/>
          <w:szCs w:val="28"/>
          <w:lang w:val="uk-UA" w:eastAsia="en-US"/>
        </w:rPr>
        <w:t>. 2017. Vol. 30 (1). P. 87-97. https://doi.org/10.1007/s10548-016-0532-0.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Gorbachevskaya</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L., Karahanyan</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G., Davydova</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 xml:space="preserve">Yu. A Gifted child with special needs. A longitudinal study of memory and EEG. </w:t>
      </w:r>
      <w:r w:rsidRPr="002E6ECA">
        <w:rPr>
          <w:rFonts w:eastAsiaTheme="minorHAnsi"/>
          <w:i/>
          <w:sz w:val="28"/>
          <w:szCs w:val="28"/>
          <w:lang w:val="uk-UA" w:eastAsia="en-US"/>
        </w:rPr>
        <w:t>Klinicheskaia i spetsial'naia psikhologiia</w:t>
      </w:r>
      <w:r w:rsidRPr="002E6ECA">
        <w:rPr>
          <w:rFonts w:eastAsiaTheme="minorHAnsi"/>
          <w:sz w:val="28"/>
          <w:szCs w:val="28"/>
          <w:lang w:val="uk-UA" w:eastAsia="en-US"/>
        </w:rPr>
        <w:t>. 2016. Vol. 5 (2). Р. 63-76. doi: 10.17759/ psycljn.2016050205.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shd w:val="clear" w:color="auto" w:fill="FFFFFF"/>
          <w:lang w:val="en-US"/>
        </w:rPr>
        <w:t>Goto</w:t>
      </w:r>
      <w:r w:rsidRPr="002E6ECA">
        <w:rPr>
          <w:sz w:val="28"/>
          <w:szCs w:val="28"/>
          <w:lang w:val="uk-UA"/>
        </w:rPr>
        <w:t> </w:t>
      </w:r>
      <w:r w:rsidRPr="002E6ECA">
        <w:rPr>
          <w:sz w:val="28"/>
          <w:szCs w:val="28"/>
          <w:shd w:val="clear" w:color="auto" w:fill="FFFFFF"/>
          <w:lang w:val="en-US"/>
        </w:rPr>
        <w:t>M., Nagashima</w:t>
      </w:r>
      <w:r w:rsidRPr="002E6ECA">
        <w:rPr>
          <w:sz w:val="28"/>
          <w:szCs w:val="28"/>
          <w:lang w:val="uk-UA"/>
        </w:rPr>
        <w:t> </w:t>
      </w:r>
      <w:r w:rsidRPr="002E6ECA">
        <w:rPr>
          <w:sz w:val="28"/>
          <w:szCs w:val="28"/>
          <w:shd w:val="clear" w:color="auto" w:fill="FFFFFF"/>
          <w:lang w:val="en-US"/>
        </w:rPr>
        <w:t>M., Baba</w:t>
      </w:r>
      <w:r w:rsidRPr="002E6ECA">
        <w:rPr>
          <w:sz w:val="28"/>
          <w:szCs w:val="28"/>
          <w:lang w:val="uk-UA"/>
        </w:rPr>
        <w:t> </w:t>
      </w:r>
      <w:r w:rsidRPr="002E6ECA">
        <w:rPr>
          <w:sz w:val="28"/>
          <w:szCs w:val="28"/>
          <w:shd w:val="clear" w:color="auto" w:fill="FFFFFF"/>
          <w:lang w:val="en-US"/>
        </w:rPr>
        <w:t>R., Nagano</w:t>
      </w:r>
      <w:r w:rsidRPr="002E6ECA">
        <w:rPr>
          <w:sz w:val="28"/>
          <w:szCs w:val="28"/>
          <w:lang w:val="uk-UA"/>
        </w:rPr>
        <w:t> </w:t>
      </w:r>
      <w:r w:rsidRPr="002E6ECA">
        <w:rPr>
          <w:sz w:val="28"/>
          <w:szCs w:val="28"/>
          <w:shd w:val="clear" w:color="auto" w:fill="FFFFFF"/>
          <w:lang w:val="en-US"/>
        </w:rPr>
        <w:t>Y., Yokota</w:t>
      </w:r>
      <w:r w:rsidRPr="002E6ECA">
        <w:rPr>
          <w:sz w:val="28"/>
          <w:szCs w:val="28"/>
          <w:lang w:val="uk-UA"/>
        </w:rPr>
        <w:t> </w:t>
      </w:r>
      <w:r w:rsidRPr="002E6ECA">
        <w:rPr>
          <w:sz w:val="28"/>
          <w:szCs w:val="28"/>
          <w:shd w:val="clear" w:color="auto" w:fill="FFFFFF"/>
          <w:lang w:val="en-US"/>
        </w:rPr>
        <w:t>M., Nishibata</w:t>
      </w:r>
      <w:r w:rsidRPr="002E6ECA">
        <w:rPr>
          <w:sz w:val="28"/>
          <w:szCs w:val="28"/>
          <w:lang w:val="uk-UA"/>
        </w:rPr>
        <w:t> </w:t>
      </w:r>
      <w:r w:rsidRPr="002E6ECA">
        <w:rPr>
          <w:sz w:val="28"/>
          <w:szCs w:val="28"/>
          <w:shd w:val="clear" w:color="auto" w:fill="FFFFFF"/>
          <w:lang w:val="en-US"/>
        </w:rPr>
        <w:t>K., Tsuji</w:t>
      </w:r>
      <w:r w:rsidRPr="002E6ECA">
        <w:rPr>
          <w:sz w:val="28"/>
          <w:szCs w:val="28"/>
          <w:lang w:val="uk-UA"/>
        </w:rPr>
        <w:t> </w:t>
      </w:r>
      <w:r w:rsidRPr="002E6ECA">
        <w:rPr>
          <w:sz w:val="28"/>
          <w:szCs w:val="28"/>
          <w:shd w:val="clear" w:color="auto" w:fill="FFFFFF"/>
          <w:lang w:val="en-US"/>
        </w:rPr>
        <w:t xml:space="preserve">A. Analysis of heart rate variability demonstrates effects of development on vagal modulation of heart rate in healthy children. </w:t>
      </w:r>
      <w:r w:rsidRPr="002E6ECA">
        <w:rPr>
          <w:i/>
          <w:iCs/>
          <w:sz w:val="28"/>
          <w:szCs w:val="28"/>
          <w:shd w:val="clear" w:color="auto" w:fill="FFFFFF"/>
          <w:lang w:val="en-US"/>
        </w:rPr>
        <w:t>The Journal of pediatrics</w:t>
      </w:r>
      <w:r w:rsidRPr="002E6ECA">
        <w:rPr>
          <w:sz w:val="28"/>
          <w:szCs w:val="28"/>
          <w:shd w:val="clear" w:color="auto" w:fill="FFFFFF"/>
          <w:lang w:val="en-US"/>
        </w:rPr>
        <w:t xml:space="preserve">. 1197. Vol. </w:t>
      </w:r>
      <w:r w:rsidRPr="002E6ECA">
        <w:rPr>
          <w:iCs/>
          <w:sz w:val="28"/>
          <w:szCs w:val="28"/>
          <w:shd w:val="clear" w:color="auto" w:fill="FFFFFF"/>
          <w:lang w:val="en-US"/>
        </w:rPr>
        <w:t>130</w:t>
      </w:r>
      <w:r w:rsidRPr="002E6ECA">
        <w:rPr>
          <w:sz w:val="28"/>
          <w:szCs w:val="28"/>
          <w:shd w:val="clear" w:color="auto" w:fill="FFFFFF"/>
          <w:lang w:val="en-US"/>
        </w:rPr>
        <w:t xml:space="preserve">(5). </w:t>
      </w:r>
      <w:r w:rsidRPr="002E6ECA">
        <w:rPr>
          <w:sz w:val="28"/>
          <w:szCs w:val="28"/>
          <w:shd w:val="clear" w:color="auto" w:fill="FFFFFF"/>
        </w:rPr>
        <w:t>Р</w:t>
      </w:r>
      <w:r w:rsidRPr="002E6ECA">
        <w:rPr>
          <w:sz w:val="28"/>
          <w:szCs w:val="28"/>
          <w:shd w:val="clear" w:color="auto" w:fill="FFFFFF"/>
          <w:lang w:val="en-US"/>
        </w:rPr>
        <w:t>. 725-729. https://doi.org/10.1016/s0022-3476(97)80013-3.</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246" w:history="1">
        <w:r w:rsidR="00020FED" w:rsidRPr="002E6ECA">
          <w:rPr>
            <w:rFonts w:eastAsiaTheme="minorHAnsi"/>
            <w:sz w:val="28"/>
            <w:szCs w:val="28"/>
            <w:lang w:val="uk-UA" w:eastAsia="en-US"/>
          </w:rPr>
          <w:t>Grzybowski</w:t>
        </w:r>
      </w:hyperlink>
      <w:r w:rsidR="00020FED" w:rsidRPr="002E6ECA">
        <w:rPr>
          <w:sz w:val="28"/>
          <w:szCs w:val="28"/>
          <w:lang w:val="uk-UA"/>
        </w:rPr>
        <w:t> </w:t>
      </w:r>
      <w:r w:rsidR="00020FED" w:rsidRPr="002E6ECA">
        <w:rPr>
          <w:rFonts w:eastAsiaTheme="minorHAnsi"/>
          <w:bCs/>
          <w:sz w:val="28"/>
          <w:szCs w:val="28"/>
          <w:lang w:val="uk-UA" w:eastAsia="en-US"/>
        </w:rPr>
        <w:t>A.,</w:t>
      </w:r>
      <w:hyperlink r:id="rId247" w:history="1">
        <w:r w:rsidR="00020FED" w:rsidRPr="002E6ECA">
          <w:rPr>
            <w:rFonts w:eastAsiaTheme="minorHAnsi"/>
            <w:sz w:val="28"/>
            <w:szCs w:val="28"/>
            <w:lang w:val="uk-UA" w:eastAsia="en-US"/>
          </w:rPr>
          <w:t xml:space="preserve"> Kanclerz</w:t>
        </w:r>
      </w:hyperlink>
      <w:r w:rsidR="00020FED" w:rsidRPr="002E6ECA">
        <w:rPr>
          <w:sz w:val="28"/>
          <w:szCs w:val="28"/>
          <w:lang w:val="uk-UA"/>
        </w:rPr>
        <w:t> </w:t>
      </w:r>
      <w:r w:rsidR="00020FED" w:rsidRPr="002E6ECA">
        <w:rPr>
          <w:rFonts w:eastAsiaTheme="minorHAnsi"/>
          <w:bCs/>
          <w:sz w:val="28"/>
          <w:szCs w:val="28"/>
          <w:lang w:val="uk-UA" w:eastAsia="en-US"/>
        </w:rPr>
        <w:t>P.,</w:t>
      </w:r>
      <w:hyperlink r:id="rId248" w:history="1">
        <w:r w:rsidR="00020FED" w:rsidRPr="002E6ECA">
          <w:rPr>
            <w:rFonts w:eastAsiaTheme="minorHAnsi"/>
            <w:sz w:val="28"/>
            <w:szCs w:val="28"/>
            <w:lang w:val="uk-UA" w:eastAsia="en-US"/>
          </w:rPr>
          <w:t xml:space="preserve"> Tsubota</w:t>
        </w:r>
      </w:hyperlink>
      <w:r w:rsidR="00020FED" w:rsidRPr="002E6ECA">
        <w:rPr>
          <w:sz w:val="28"/>
          <w:szCs w:val="28"/>
          <w:lang w:val="uk-UA"/>
        </w:rPr>
        <w:t> </w:t>
      </w:r>
      <w:r w:rsidR="00020FED" w:rsidRPr="002E6ECA">
        <w:rPr>
          <w:rFonts w:eastAsiaTheme="minorHAnsi"/>
          <w:bCs/>
          <w:sz w:val="28"/>
          <w:szCs w:val="28"/>
          <w:lang w:val="uk-UA" w:eastAsia="en-US"/>
        </w:rPr>
        <w:t>K.,</w:t>
      </w:r>
      <w:hyperlink r:id="rId249" w:history="1">
        <w:r w:rsidR="00020FED" w:rsidRPr="002E6ECA">
          <w:rPr>
            <w:rFonts w:eastAsiaTheme="minorHAnsi"/>
            <w:sz w:val="28"/>
            <w:szCs w:val="28"/>
            <w:lang w:val="uk-UA" w:eastAsia="en-US"/>
          </w:rPr>
          <w:t xml:space="preserve"> Lanca</w:t>
        </w:r>
      </w:hyperlink>
      <w:r w:rsidR="00020FED" w:rsidRPr="002E6ECA">
        <w:rPr>
          <w:sz w:val="28"/>
          <w:szCs w:val="28"/>
          <w:lang w:val="uk-UA"/>
        </w:rPr>
        <w:t> </w:t>
      </w:r>
      <w:r w:rsidR="00020FED" w:rsidRPr="002E6ECA">
        <w:rPr>
          <w:rFonts w:eastAsiaTheme="minorHAnsi"/>
          <w:bCs/>
          <w:sz w:val="28"/>
          <w:szCs w:val="28"/>
          <w:lang w:val="uk-UA" w:eastAsia="en-US"/>
        </w:rPr>
        <w:t>C.,</w:t>
      </w:r>
      <w:hyperlink r:id="rId250" w:history="1">
        <w:r w:rsidR="00020FED" w:rsidRPr="002E6ECA">
          <w:rPr>
            <w:rFonts w:eastAsiaTheme="minorHAnsi"/>
            <w:sz w:val="28"/>
            <w:szCs w:val="28"/>
            <w:lang w:val="uk-UA" w:eastAsia="en-US"/>
          </w:rPr>
          <w:t xml:space="preserve"> Saw</w:t>
        </w:r>
      </w:hyperlink>
      <w:r w:rsidR="00020FED" w:rsidRPr="002E6ECA">
        <w:rPr>
          <w:sz w:val="28"/>
          <w:szCs w:val="28"/>
          <w:lang w:val="uk-UA"/>
        </w:rPr>
        <w:t> </w:t>
      </w:r>
      <w:r w:rsidR="00020FED" w:rsidRPr="002E6ECA">
        <w:rPr>
          <w:rFonts w:eastAsiaTheme="minorHAnsi"/>
          <w:bCs/>
          <w:sz w:val="28"/>
          <w:szCs w:val="28"/>
          <w:lang w:val="uk-UA" w:eastAsia="en-US"/>
        </w:rPr>
        <w:t>S.</w:t>
      </w:r>
      <w:r w:rsidR="00020FED" w:rsidRPr="002E6ECA">
        <w:rPr>
          <w:sz w:val="28"/>
          <w:szCs w:val="28"/>
          <w:lang w:val="uk-UA"/>
        </w:rPr>
        <w:t> </w:t>
      </w:r>
      <w:r w:rsidR="00020FED" w:rsidRPr="002E6ECA">
        <w:rPr>
          <w:rFonts w:eastAsiaTheme="minorHAnsi"/>
          <w:bCs/>
          <w:sz w:val="28"/>
          <w:szCs w:val="28"/>
          <w:lang w:val="uk-UA" w:eastAsia="en-US"/>
        </w:rPr>
        <w:t xml:space="preserve">M. A review on the epidemiology of myopia in school children worldwide. </w:t>
      </w:r>
      <w:r w:rsidR="00020FED" w:rsidRPr="002E6ECA">
        <w:rPr>
          <w:rFonts w:eastAsiaTheme="minorHAnsi"/>
          <w:bCs/>
          <w:i/>
          <w:sz w:val="28"/>
          <w:szCs w:val="28"/>
          <w:lang w:val="uk-UA" w:eastAsia="en-US"/>
        </w:rPr>
        <w:t>BMC Ophthalmol</w:t>
      </w:r>
      <w:r w:rsidR="00020FED" w:rsidRPr="002E6ECA">
        <w:rPr>
          <w:rFonts w:eastAsiaTheme="minorHAnsi"/>
          <w:bCs/>
          <w:sz w:val="28"/>
          <w:szCs w:val="28"/>
          <w:lang w:val="uk-UA" w:eastAsia="en-US"/>
        </w:rPr>
        <w:t xml:space="preserve">. 2020. Jan 14. Vol. 20 (1). 27. doi: 10.1186/s12886-019-1220-0.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Guardabass</w:t>
      </w:r>
      <w:r w:rsidRPr="002E6ECA">
        <w:rPr>
          <w:rFonts w:eastAsiaTheme="minorHAnsi"/>
          <w:sz w:val="28"/>
          <w:szCs w:val="28"/>
          <w:lang w:val="en-US" w:eastAsia="en-US"/>
        </w:rPr>
        <w:t>i</w:t>
      </w:r>
      <w:r w:rsidRPr="002E6ECA">
        <w:rPr>
          <w:sz w:val="28"/>
          <w:szCs w:val="28"/>
          <w:lang w:val="uk-UA"/>
        </w:rPr>
        <w:t> </w:t>
      </w:r>
      <w:r w:rsidRPr="002E6ECA">
        <w:rPr>
          <w:rFonts w:eastAsiaTheme="minorHAnsi"/>
          <w:sz w:val="28"/>
          <w:szCs w:val="28"/>
          <w:lang w:val="uk-UA" w:eastAsia="en-US"/>
        </w:rPr>
        <w:t>V., Mirisola</w:t>
      </w:r>
      <w:r w:rsidRPr="002E6ECA">
        <w:rPr>
          <w:sz w:val="28"/>
          <w:szCs w:val="28"/>
          <w:lang w:val="uk-UA"/>
        </w:rPr>
        <w:t> </w:t>
      </w:r>
      <w:r w:rsidRPr="002E6ECA">
        <w:rPr>
          <w:rFonts w:eastAsiaTheme="minorHAnsi"/>
          <w:sz w:val="28"/>
          <w:szCs w:val="28"/>
          <w:lang w:val="uk-UA" w:eastAsia="en-US"/>
        </w:rPr>
        <w:t>A., Tomasetto</w:t>
      </w:r>
      <w:r w:rsidRPr="002E6ECA">
        <w:rPr>
          <w:sz w:val="28"/>
          <w:szCs w:val="28"/>
          <w:lang w:val="uk-UA"/>
        </w:rPr>
        <w:t> </w:t>
      </w:r>
      <w:r w:rsidRPr="002E6ECA">
        <w:rPr>
          <w:rFonts w:eastAsiaTheme="minorHAnsi"/>
          <w:sz w:val="28"/>
          <w:szCs w:val="28"/>
          <w:lang w:val="uk-UA" w:eastAsia="en-US"/>
        </w:rPr>
        <w:t xml:space="preserve">C. How is weight stigma related to children's health-related quality of life? A model comparison approach. </w:t>
      </w:r>
      <w:r w:rsidRPr="002E6ECA">
        <w:rPr>
          <w:rFonts w:eastAsiaTheme="minorHAnsi"/>
          <w:i/>
          <w:sz w:val="28"/>
          <w:szCs w:val="28"/>
          <w:lang w:val="uk-UA" w:eastAsia="en-US"/>
        </w:rPr>
        <w:t>Qual Life Res</w:t>
      </w:r>
      <w:r w:rsidRPr="002E6ECA">
        <w:rPr>
          <w:rFonts w:eastAsiaTheme="minorHAnsi"/>
          <w:sz w:val="28"/>
          <w:szCs w:val="28"/>
          <w:lang w:val="uk-UA" w:eastAsia="en-US"/>
        </w:rPr>
        <w:t xml:space="preserve">. 2018. Vol. 27 (1). Р. 173-183.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51" w:tooltip="Найти еще записи для этого автора" w:history="1">
        <w:r w:rsidR="00020FED" w:rsidRPr="002E6ECA">
          <w:rPr>
            <w:rFonts w:eastAsiaTheme="minorHAnsi"/>
            <w:sz w:val="28"/>
            <w:szCs w:val="28"/>
            <w:lang w:val="uk-UA" w:eastAsia="en-US"/>
          </w:rPr>
          <w:t>Guerrero</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D</w:t>
        </w:r>
      </w:hyperlink>
      <w:r w:rsidR="00020FED" w:rsidRPr="002E6ECA">
        <w:rPr>
          <w:rFonts w:eastAsiaTheme="minorHAnsi"/>
          <w:sz w:val="28"/>
          <w:szCs w:val="28"/>
          <w:lang w:val="uk-UA" w:eastAsia="en-US"/>
        </w:rPr>
        <w:t xml:space="preserve">., </w:t>
      </w:r>
      <w:hyperlink r:id="rId252" w:tooltip="Найти еще записи для этого автора" w:history="1">
        <w:r w:rsidR="00020FED" w:rsidRPr="002E6ECA">
          <w:rPr>
            <w:rFonts w:eastAsiaTheme="minorHAnsi"/>
            <w:sz w:val="28"/>
            <w:szCs w:val="28"/>
            <w:lang w:val="uk-UA" w:eastAsia="en-US"/>
          </w:rPr>
          <w:t>Barnes</w:t>
        </w:r>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D</w:t>
        </w:r>
      </w:hyperlink>
      <w:r w:rsidR="00020FED" w:rsidRPr="002E6ECA">
        <w:rPr>
          <w:rFonts w:eastAsiaTheme="minorHAnsi"/>
          <w:sz w:val="28"/>
          <w:szCs w:val="28"/>
          <w:lang w:val="uk-UA" w:eastAsia="en-US"/>
        </w:rPr>
        <w:t xml:space="preserve">., </w:t>
      </w:r>
      <w:hyperlink r:id="rId253" w:tooltip="Найти еще записи для этого автора" w:history="1">
        <w:r w:rsidR="00020FED" w:rsidRPr="002E6ECA">
          <w:rPr>
            <w:rFonts w:eastAsiaTheme="minorHAnsi"/>
            <w:sz w:val="28"/>
            <w:szCs w:val="28"/>
            <w:lang w:val="uk-UA" w:eastAsia="en-US"/>
          </w:rPr>
          <w:t>Chaput</w:t>
        </w:r>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P</w:t>
        </w:r>
      </w:hyperlink>
      <w:r w:rsidR="00020FED" w:rsidRPr="002E6ECA">
        <w:rPr>
          <w:rFonts w:eastAsiaTheme="minorHAnsi"/>
          <w:sz w:val="28"/>
          <w:szCs w:val="28"/>
          <w:lang w:val="uk-UA" w:eastAsia="en-US"/>
        </w:rPr>
        <w:t xml:space="preserve">., </w:t>
      </w:r>
      <w:hyperlink r:id="rId254" w:tooltip="Найти еще записи для этого автора" w:history="1">
        <w:r w:rsidR="00020FED" w:rsidRPr="002E6ECA">
          <w:rPr>
            <w:rFonts w:eastAsiaTheme="minorHAnsi"/>
            <w:sz w:val="28"/>
            <w:szCs w:val="28"/>
            <w:lang w:val="uk-UA" w:eastAsia="en-US"/>
          </w:rPr>
          <w:t>Tremblay</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Screen time and problem behaviors in children: exploring the mediating role of sleep duration. </w:t>
      </w:r>
      <w:r w:rsidR="00020FED" w:rsidRPr="002E6ECA">
        <w:rPr>
          <w:rFonts w:eastAsiaTheme="minorHAnsi"/>
          <w:i/>
          <w:sz w:val="28"/>
          <w:szCs w:val="28"/>
          <w:lang w:val="uk-UA" w:eastAsia="en-US"/>
        </w:rPr>
        <w:t>International Journal Of Behavioral Nutrition And Physical Activity</w:t>
      </w:r>
      <w:r w:rsidR="00020FED" w:rsidRPr="002E6ECA">
        <w:rPr>
          <w:rFonts w:eastAsiaTheme="minorHAnsi"/>
          <w:sz w:val="28"/>
          <w:szCs w:val="28"/>
          <w:lang w:val="uk-UA" w:eastAsia="en-US"/>
        </w:rPr>
        <w:t xml:space="preserve">. 2019. Vol. 16 (1). 105. DOI: 10.1186/s12966-019-0862-x.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Guignard-Perret</w:t>
      </w:r>
      <w:r w:rsidRPr="002E6ECA">
        <w:rPr>
          <w:sz w:val="28"/>
          <w:szCs w:val="28"/>
          <w:lang w:val="uk-UA"/>
        </w:rPr>
        <w:t> </w:t>
      </w:r>
      <w:r w:rsidRPr="002E6ECA">
        <w:rPr>
          <w:rFonts w:eastAsiaTheme="minorHAnsi"/>
          <w:sz w:val="28"/>
          <w:szCs w:val="28"/>
          <w:lang w:val="uk-UA" w:eastAsia="en-US"/>
        </w:rPr>
        <w:t>A., Thieux</w:t>
      </w:r>
      <w:r w:rsidRPr="002E6ECA">
        <w:rPr>
          <w:sz w:val="28"/>
          <w:szCs w:val="28"/>
          <w:lang w:val="uk-UA"/>
        </w:rPr>
        <w:t> </w:t>
      </w:r>
      <w:r w:rsidRPr="002E6ECA">
        <w:rPr>
          <w:rFonts w:eastAsiaTheme="minorHAnsi"/>
          <w:sz w:val="28"/>
          <w:szCs w:val="28"/>
          <w:lang w:val="uk-UA" w:eastAsia="en-US"/>
        </w:rPr>
        <w:t>M., Guyon</w:t>
      </w:r>
      <w:r w:rsidRPr="002E6ECA">
        <w:rPr>
          <w:sz w:val="28"/>
          <w:szCs w:val="28"/>
          <w:lang w:val="uk-UA"/>
        </w:rPr>
        <w:t> </w:t>
      </w:r>
      <w:r w:rsidRPr="002E6ECA">
        <w:rPr>
          <w:rFonts w:eastAsiaTheme="minorHAnsi"/>
          <w:sz w:val="28"/>
          <w:szCs w:val="28"/>
          <w:lang w:val="uk-UA" w:eastAsia="en-US"/>
        </w:rPr>
        <w:t>A., Mazza</w:t>
      </w:r>
      <w:r w:rsidRPr="002E6ECA">
        <w:rPr>
          <w:sz w:val="28"/>
          <w:szCs w:val="28"/>
          <w:lang w:val="uk-UA"/>
        </w:rPr>
        <w:t> </w:t>
      </w:r>
      <w:r w:rsidRPr="002E6ECA">
        <w:rPr>
          <w:rFonts w:eastAsiaTheme="minorHAnsi"/>
          <w:sz w:val="28"/>
          <w:szCs w:val="28"/>
          <w:lang w:val="uk-UA" w:eastAsia="en-US"/>
        </w:rPr>
        <w:t>S., Zhang</w:t>
      </w:r>
      <w:r w:rsidRPr="002E6ECA">
        <w:rPr>
          <w:sz w:val="28"/>
          <w:szCs w:val="28"/>
          <w:lang w:val="uk-UA"/>
        </w:rPr>
        <w:t> </w:t>
      </w:r>
      <w:r w:rsidRPr="002E6ECA">
        <w:rPr>
          <w:rFonts w:eastAsiaTheme="minorHAnsi"/>
          <w:sz w:val="28"/>
          <w:szCs w:val="28"/>
          <w:lang w:val="uk-UA" w:eastAsia="en-US"/>
        </w:rPr>
        <w:t>M., Revol</w:t>
      </w:r>
      <w:r w:rsidRPr="002E6ECA">
        <w:rPr>
          <w:sz w:val="28"/>
          <w:szCs w:val="28"/>
          <w:lang w:val="uk-UA"/>
        </w:rPr>
        <w:t> </w:t>
      </w:r>
      <w:r w:rsidRPr="002E6ECA">
        <w:rPr>
          <w:rFonts w:eastAsiaTheme="minorHAnsi"/>
          <w:sz w:val="28"/>
          <w:szCs w:val="28"/>
          <w:lang w:val="uk-UA" w:eastAsia="en-US"/>
        </w:rPr>
        <w:t>O., Plancoulaine</w:t>
      </w:r>
      <w:r w:rsidRPr="002E6ECA">
        <w:rPr>
          <w:sz w:val="28"/>
          <w:szCs w:val="28"/>
          <w:lang w:val="uk-UA"/>
        </w:rPr>
        <w:t> </w:t>
      </w:r>
      <w:r w:rsidRPr="002E6ECA">
        <w:rPr>
          <w:rFonts w:eastAsiaTheme="minorHAnsi"/>
          <w:sz w:val="28"/>
          <w:szCs w:val="28"/>
          <w:lang w:val="uk-UA" w:eastAsia="en-US"/>
        </w:rPr>
        <w:t>S., Franco</w:t>
      </w:r>
      <w:r w:rsidRPr="002E6ECA">
        <w:rPr>
          <w:sz w:val="28"/>
          <w:szCs w:val="28"/>
          <w:lang w:val="uk-UA"/>
        </w:rPr>
        <w:t> </w:t>
      </w:r>
      <w:r w:rsidRPr="002E6ECA">
        <w:rPr>
          <w:rFonts w:eastAsiaTheme="minorHAnsi"/>
          <w:sz w:val="28"/>
          <w:szCs w:val="28"/>
          <w:lang w:val="uk-UA" w:eastAsia="en-US"/>
        </w:rPr>
        <w:t xml:space="preserve">P. Sleep of </w:t>
      </w:r>
      <w:r w:rsidRPr="002E6ECA">
        <w:rPr>
          <w:rFonts w:eastAsiaTheme="minorHAnsi"/>
          <w:sz w:val="28"/>
          <w:szCs w:val="28"/>
          <w:lang w:val="en-US" w:eastAsia="en-US"/>
        </w:rPr>
        <w:t>c</w:t>
      </w:r>
      <w:r w:rsidRPr="002E6ECA">
        <w:rPr>
          <w:rFonts w:eastAsiaTheme="minorHAnsi"/>
          <w:sz w:val="28"/>
          <w:szCs w:val="28"/>
          <w:lang w:val="uk-UA" w:eastAsia="en-US"/>
        </w:rPr>
        <w:t xml:space="preserve">hildren with high potentialities: A </w:t>
      </w:r>
      <w:r w:rsidRPr="002E6ECA">
        <w:rPr>
          <w:rFonts w:eastAsiaTheme="minorHAnsi"/>
          <w:sz w:val="28"/>
          <w:szCs w:val="28"/>
          <w:lang w:val="uk-UA" w:eastAsia="en-US"/>
        </w:rPr>
        <w:lastRenderedPageBreak/>
        <w:t xml:space="preserve">polysomnographic study. </w:t>
      </w:r>
      <w:r w:rsidRPr="002E6ECA">
        <w:rPr>
          <w:rFonts w:eastAsiaTheme="minorHAnsi"/>
          <w:i/>
          <w:sz w:val="28"/>
          <w:szCs w:val="28"/>
          <w:lang w:val="uk-UA" w:eastAsia="en-US"/>
        </w:rPr>
        <w:t>J Clin Med</w:t>
      </w:r>
      <w:r w:rsidRPr="002E6ECA">
        <w:rPr>
          <w:rFonts w:eastAsiaTheme="minorHAnsi"/>
          <w:sz w:val="28"/>
          <w:szCs w:val="28"/>
          <w:lang w:val="uk-UA" w:eastAsia="en-US"/>
        </w:rPr>
        <w:t>. 2020. Vol. 9 (10). Р. 3182. doi: 10.3390/jcm9103182.</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255" w:history="1">
        <w:r w:rsidR="00020FED" w:rsidRPr="002E6ECA">
          <w:rPr>
            <w:rFonts w:eastAsiaTheme="minorHAnsi"/>
            <w:sz w:val="28"/>
            <w:szCs w:val="28"/>
            <w:lang w:val="uk-UA" w:eastAsia="en-US"/>
          </w:rPr>
          <w:t>Guo</w:t>
        </w:r>
      </w:hyperlink>
      <w:r w:rsidR="00020FED" w:rsidRPr="002E6ECA">
        <w:rPr>
          <w:sz w:val="28"/>
          <w:szCs w:val="28"/>
          <w:lang w:val="uk-UA"/>
        </w:rPr>
        <w:t> </w:t>
      </w:r>
      <w:r w:rsidR="00020FED" w:rsidRPr="002E6ECA">
        <w:rPr>
          <w:rFonts w:eastAsiaTheme="minorHAnsi"/>
          <w:bCs/>
          <w:sz w:val="28"/>
          <w:szCs w:val="28"/>
          <w:lang w:val="uk-UA" w:eastAsia="en-US"/>
        </w:rPr>
        <w:t>Y.,</w:t>
      </w:r>
      <w:hyperlink r:id="rId256" w:history="1">
        <w:r w:rsidR="00020FED" w:rsidRPr="002E6ECA">
          <w:rPr>
            <w:rFonts w:eastAsiaTheme="minorHAnsi"/>
            <w:sz w:val="28"/>
            <w:szCs w:val="28"/>
            <w:lang w:val="uk-UA" w:eastAsia="en-US"/>
          </w:rPr>
          <w:t xml:space="preserve"> Duan</w:t>
        </w:r>
      </w:hyperlink>
      <w:r w:rsidR="00020FED" w:rsidRPr="002E6ECA">
        <w:rPr>
          <w:sz w:val="28"/>
          <w:szCs w:val="28"/>
          <w:lang w:val="uk-UA"/>
        </w:rPr>
        <w:t> </w:t>
      </w:r>
      <w:r w:rsidR="00020FED" w:rsidRPr="002E6ECA">
        <w:rPr>
          <w:rFonts w:eastAsiaTheme="minorHAnsi"/>
          <w:bCs/>
          <w:sz w:val="28"/>
          <w:szCs w:val="28"/>
          <w:lang w:val="uk-UA" w:eastAsia="en-US"/>
        </w:rPr>
        <w:t>J.</w:t>
      </w:r>
      <w:r w:rsidR="00020FED" w:rsidRPr="002E6ECA">
        <w:rPr>
          <w:sz w:val="28"/>
          <w:szCs w:val="28"/>
          <w:lang w:val="uk-UA"/>
        </w:rPr>
        <w:t> </w:t>
      </w:r>
      <w:r w:rsidR="00020FED" w:rsidRPr="002E6ECA">
        <w:rPr>
          <w:rFonts w:eastAsiaTheme="minorHAnsi"/>
          <w:bCs/>
          <w:sz w:val="28"/>
          <w:szCs w:val="28"/>
          <w:lang w:val="uk-UA" w:eastAsia="en-US"/>
        </w:rPr>
        <w:t>L.,</w:t>
      </w:r>
      <w:hyperlink r:id="rId257" w:history="1">
        <w:r w:rsidR="00020FED" w:rsidRPr="002E6ECA">
          <w:rPr>
            <w:rFonts w:eastAsiaTheme="minorHAnsi"/>
            <w:sz w:val="28"/>
            <w:szCs w:val="28"/>
            <w:lang w:val="uk-UA" w:eastAsia="en-US"/>
          </w:rPr>
          <w:t xml:space="preserve"> Liu</w:t>
        </w:r>
      </w:hyperlink>
      <w:r w:rsidR="00020FED" w:rsidRPr="002E6ECA">
        <w:rPr>
          <w:sz w:val="28"/>
          <w:szCs w:val="28"/>
          <w:lang w:val="uk-UA"/>
        </w:rPr>
        <w:t> </w:t>
      </w:r>
      <w:r w:rsidR="00020FED" w:rsidRPr="002E6ECA">
        <w:rPr>
          <w:rFonts w:eastAsiaTheme="minorHAnsi"/>
          <w:bCs/>
          <w:sz w:val="28"/>
          <w:szCs w:val="28"/>
          <w:lang w:val="uk-UA" w:eastAsia="en-US"/>
        </w:rPr>
        <w:t>L. J.,</w:t>
      </w:r>
      <w:hyperlink r:id="rId258" w:history="1">
        <w:r w:rsidR="00020FED" w:rsidRPr="002E6ECA">
          <w:rPr>
            <w:rFonts w:eastAsiaTheme="minorHAnsi"/>
            <w:sz w:val="28"/>
            <w:szCs w:val="28"/>
            <w:lang w:val="uk-UA" w:eastAsia="en-US"/>
          </w:rPr>
          <w:t xml:space="preserve"> Sun</w:t>
        </w:r>
      </w:hyperlink>
      <w:r w:rsidR="00020FED" w:rsidRPr="002E6ECA">
        <w:rPr>
          <w:sz w:val="28"/>
          <w:szCs w:val="28"/>
          <w:lang w:val="uk-UA"/>
        </w:rPr>
        <w:t> </w:t>
      </w:r>
      <w:r w:rsidR="00020FED" w:rsidRPr="002E6ECA">
        <w:rPr>
          <w:rFonts w:eastAsiaTheme="minorHAnsi"/>
          <w:bCs/>
          <w:sz w:val="28"/>
          <w:szCs w:val="28"/>
          <w:lang w:val="uk-UA" w:eastAsia="en-US"/>
        </w:rPr>
        <w:t>Y.,</w:t>
      </w:r>
      <w:hyperlink r:id="rId259" w:history="1">
        <w:r w:rsidR="00020FED" w:rsidRPr="002E6ECA">
          <w:rPr>
            <w:rFonts w:eastAsiaTheme="minorHAnsi"/>
            <w:sz w:val="28"/>
            <w:szCs w:val="28"/>
            <w:lang w:val="uk-UA" w:eastAsia="en-US"/>
          </w:rPr>
          <w:t xml:space="preserve"> Tang</w:t>
        </w:r>
      </w:hyperlink>
      <w:r w:rsidR="00020FED" w:rsidRPr="002E6ECA">
        <w:rPr>
          <w:sz w:val="28"/>
          <w:szCs w:val="28"/>
          <w:lang w:val="uk-UA"/>
        </w:rPr>
        <w:t> </w:t>
      </w:r>
      <w:r w:rsidR="00020FED" w:rsidRPr="002E6ECA">
        <w:rPr>
          <w:rFonts w:eastAsiaTheme="minorHAnsi"/>
          <w:bCs/>
          <w:sz w:val="28"/>
          <w:szCs w:val="28"/>
          <w:lang w:val="uk-UA" w:eastAsia="en-US"/>
        </w:rPr>
        <w:t>P.,</w:t>
      </w:r>
      <w:hyperlink r:id="rId260" w:history="1">
        <w:r w:rsidR="00020FED" w:rsidRPr="002E6ECA">
          <w:rPr>
            <w:rFonts w:eastAsiaTheme="minorHAnsi"/>
            <w:sz w:val="28"/>
            <w:szCs w:val="28"/>
            <w:lang w:val="uk-UA" w:eastAsia="en-US"/>
          </w:rPr>
          <w:t xml:space="preserve"> Lv</w:t>
        </w:r>
      </w:hyperlink>
      <w:r w:rsidR="00020FED" w:rsidRPr="002E6ECA">
        <w:rPr>
          <w:sz w:val="28"/>
          <w:szCs w:val="28"/>
          <w:lang w:val="uk-UA"/>
        </w:rPr>
        <w:t> </w:t>
      </w:r>
      <w:r w:rsidR="00020FED" w:rsidRPr="002E6ECA">
        <w:rPr>
          <w:rFonts w:eastAsiaTheme="minorHAnsi"/>
          <w:bCs/>
          <w:sz w:val="28"/>
          <w:szCs w:val="28"/>
          <w:lang w:val="uk-UA" w:eastAsia="en-US"/>
        </w:rPr>
        <w:t>Y.</w:t>
      </w:r>
      <w:r w:rsidR="00020FED" w:rsidRPr="002E6ECA">
        <w:rPr>
          <w:sz w:val="28"/>
          <w:szCs w:val="28"/>
          <w:lang w:val="uk-UA"/>
        </w:rPr>
        <w:t> </w:t>
      </w:r>
      <w:r w:rsidR="00020FED" w:rsidRPr="002E6ECA">
        <w:rPr>
          <w:rFonts w:eastAsiaTheme="minorHAnsi"/>
          <w:bCs/>
          <w:sz w:val="28"/>
          <w:szCs w:val="28"/>
          <w:lang w:val="uk-UA" w:eastAsia="en-US"/>
        </w:rPr>
        <w:t>Y.,</w:t>
      </w:r>
      <w:hyperlink r:id="rId261" w:history="1">
        <w:r w:rsidR="00020FED" w:rsidRPr="002E6ECA">
          <w:rPr>
            <w:rFonts w:eastAsiaTheme="minorHAnsi"/>
            <w:sz w:val="28"/>
            <w:szCs w:val="28"/>
            <w:lang w:val="uk-UA" w:eastAsia="en-US"/>
          </w:rPr>
          <w:t xml:space="preserve"> Xu</w:t>
        </w:r>
      </w:hyperlink>
      <w:r w:rsidR="00020FED" w:rsidRPr="002E6ECA">
        <w:rPr>
          <w:sz w:val="28"/>
          <w:szCs w:val="28"/>
          <w:lang w:val="uk-UA"/>
        </w:rPr>
        <w:t> </w:t>
      </w:r>
      <w:r w:rsidR="00020FED" w:rsidRPr="002E6ECA">
        <w:rPr>
          <w:rFonts w:eastAsiaTheme="minorHAnsi"/>
          <w:bCs/>
          <w:sz w:val="28"/>
          <w:szCs w:val="28"/>
          <w:lang w:val="uk-UA" w:eastAsia="en-US"/>
        </w:rPr>
        <w:t>L.,</w:t>
      </w:r>
      <w:hyperlink r:id="rId262" w:history="1">
        <w:r w:rsidR="00020FED" w:rsidRPr="002E6ECA">
          <w:rPr>
            <w:rFonts w:eastAsiaTheme="minorHAnsi"/>
            <w:sz w:val="28"/>
            <w:szCs w:val="28"/>
            <w:lang w:val="uk-UA" w:eastAsia="en-US"/>
          </w:rPr>
          <w:t xml:space="preserve"> Jonas</w:t>
        </w:r>
      </w:hyperlink>
      <w:r w:rsidR="00020FED" w:rsidRPr="002E6ECA">
        <w:rPr>
          <w:sz w:val="28"/>
          <w:szCs w:val="28"/>
          <w:lang w:val="uk-UA"/>
        </w:rPr>
        <w:t> </w:t>
      </w:r>
      <w:r w:rsidR="00020FED" w:rsidRPr="002E6ECA">
        <w:rPr>
          <w:rFonts w:eastAsiaTheme="minorHAnsi"/>
          <w:bCs/>
          <w:sz w:val="28"/>
          <w:szCs w:val="28"/>
          <w:lang w:val="uk-UA" w:eastAsia="en-US"/>
        </w:rPr>
        <w:t>J.</w:t>
      </w:r>
      <w:r w:rsidR="00020FED" w:rsidRPr="002E6ECA">
        <w:rPr>
          <w:sz w:val="28"/>
          <w:szCs w:val="28"/>
          <w:lang w:val="uk-UA"/>
        </w:rPr>
        <w:t> </w:t>
      </w:r>
      <w:r w:rsidR="00020FED" w:rsidRPr="002E6ECA">
        <w:rPr>
          <w:rFonts w:eastAsiaTheme="minorHAnsi"/>
          <w:bCs/>
          <w:sz w:val="28"/>
          <w:szCs w:val="28"/>
          <w:lang w:val="uk-UA" w:eastAsia="en-US"/>
        </w:rPr>
        <w:t xml:space="preserve">B. High myopia in Greater Beijing School Children in 2016. </w:t>
      </w:r>
      <w:r w:rsidR="00020FED" w:rsidRPr="002E6ECA">
        <w:rPr>
          <w:rFonts w:eastAsiaTheme="minorHAnsi"/>
          <w:bCs/>
          <w:i/>
          <w:sz w:val="28"/>
          <w:szCs w:val="28"/>
          <w:lang w:val="uk-UA" w:eastAsia="en-US"/>
        </w:rPr>
        <w:t>PLoS One</w:t>
      </w:r>
      <w:r w:rsidR="00020FED" w:rsidRPr="002E6ECA">
        <w:rPr>
          <w:rFonts w:eastAsiaTheme="minorHAnsi"/>
          <w:bCs/>
          <w:sz w:val="28"/>
          <w:szCs w:val="28"/>
          <w:lang w:val="uk-UA" w:eastAsia="en-US"/>
        </w:rPr>
        <w:t xml:space="preserve">. 2017. Nov 9. Vol. 12 (11). e0187396. doi: 10.1371/journal.pone.0187396.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Gupta</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K., Rajeswaran</w:t>
      </w:r>
      <w:r w:rsidRPr="002E6ECA">
        <w:rPr>
          <w:sz w:val="28"/>
          <w:szCs w:val="28"/>
          <w:lang w:val="uk-UA"/>
        </w:rPr>
        <w:t> </w:t>
      </w:r>
      <w:r w:rsidRPr="002E6ECA">
        <w:rPr>
          <w:rFonts w:eastAsiaTheme="minorHAnsi"/>
          <w:sz w:val="28"/>
          <w:szCs w:val="28"/>
          <w:lang w:val="uk-UA" w:eastAsia="en-US"/>
        </w:rPr>
        <w:t>J., Bhattacharya</w:t>
      </w:r>
      <w:r w:rsidRPr="002E6ECA">
        <w:rPr>
          <w:sz w:val="28"/>
          <w:szCs w:val="28"/>
          <w:lang w:val="uk-UA"/>
        </w:rPr>
        <w:t> </w:t>
      </w:r>
      <w:r w:rsidRPr="002E6ECA">
        <w:rPr>
          <w:rFonts w:eastAsiaTheme="minorHAnsi"/>
          <w:sz w:val="28"/>
          <w:szCs w:val="28"/>
          <w:lang w:val="uk-UA" w:eastAsia="en-US"/>
        </w:rPr>
        <w:t>A., Ojha</w:t>
      </w:r>
      <w:r w:rsidRPr="002E6ECA">
        <w:rPr>
          <w:sz w:val="28"/>
          <w:szCs w:val="28"/>
          <w:lang w:val="uk-UA"/>
        </w:rPr>
        <w:t> </w:t>
      </w:r>
      <w:r w:rsidRPr="002E6ECA">
        <w:rPr>
          <w:rFonts w:eastAsiaTheme="minorHAnsi"/>
          <w:sz w:val="28"/>
          <w:szCs w:val="28"/>
          <w:lang w:val="uk-UA" w:eastAsia="en-US"/>
        </w:rPr>
        <w:t>A., Bennett</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 xml:space="preserve">N. Academic stress in school children: behavioural and electrophysiological outcomes study. </w:t>
      </w:r>
      <w:r w:rsidRPr="002E6ECA">
        <w:rPr>
          <w:rFonts w:eastAsiaTheme="minorHAnsi"/>
          <w:i/>
          <w:sz w:val="28"/>
          <w:szCs w:val="28"/>
          <w:lang w:val="uk-UA" w:eastAsia="en-US"/>
        </w:rPr>
        <w:t>Indian Journal of Clinical Psychology</w:t>
      </w:r>
      <w:r w:rsidRPr="002E6ECA">
        <w:rPr>
          <w:rFonts w:eastAsiaTheme="minorHAnsi"/>
          <w:sz w:val="28"/>
          <w:szCs w:val="28"/>
          <w:lang w:val="uk-UA" w:eastAsia="en-US"/>
        </w:rPr>
        <w:t xml:space="preserve">. 2018. Vol. 45 (2). P. 18-22.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Hamulka</w:t>
      </w:r>
      <w:r w:rsidRPr="002E6ECA">
        <w:rPr>
          <w:sz w:val="28"/>
          <w:szCs w:val="28"/>
          <w:lang w:val="uk-UA"/>
        </w:rPr>
        <w:t> </w:t>
      </w:r>
      <w:r w:rsidRPr="002E6ECA">
        <w:rPr>
          <w:rFonts w:eastAsiaTheme="minorHAnsi"/>
          <w:sz w:val="28"/>
          <w:szCs w:val="28"/>
          <w:lang w:val="uk-UA" w:eastAsia="en-US"/>
        </w:rPr>
        <w:t>J., Wadolowska</w:t>
      </w:r>
      <w:r w:rsidRPr="002E6ECA">
        <w:rPr>
          <w:sz w:val="28"/>
          <w:szCs w:val="28"/>
          <w:lang w:val="uk-UA"/>
        </w:rPr>
        <w:t> </w:t>
      </w:r>
      <w:r w:rsidRPr="002E6ECA">
        <w:rPr>
          <w:rFonts w:eastAsiaTheme="minorHAnsi"/>
          <w:sz w:val="28"/>
          <w:szCs w:val="28"/>
          <w:lang w:val="uk-UA" w:eastAsia="en-US"/>
        </w:rPr>
        <w:t>L., Hoffmann</w:t>
      </w:r>
      <w:r w:rsidRPr="002E6ECA">
        <w:rPr>
          <w:sz w:val="28"/>
          <w:szCs w:val="28"/>
          <w:lang w:val="uk-UA"/>
        </w:rPr>
        <w:t> </w:t>
      </w:r>
      <w:r w:rsidRPr="002E6ECA">
        <w:rPr>
          <w:rFonts w:eastAsiaTheme="minorHAnsi"/>
          <w:sz w:val="28"/>
          <w:szCs w:val="28"/>
          <w:lang w:val="uk-UA" w:eastAsia="en-US"/>
        </w:rPr>
        <w:t xml:space="preserve">M. et al. Effect of an Education Program on Nutrition Knowledge, Attitudes toward Nutrition, Diet Quality, Lifestyle, and Body Composition in Polish Teenagers. </w:t>
      </w:r>
      <w:r w:rsidRPr="002E6ECA">
        <w:rPr>
          <w:rFonts w:eastAsiaTheme="minorHAnsi"/>
          <w:i/>
          <w:sz w:val="28"/>
          <w:szCs w:val="28"/>
          <w:lang w:val="uk-UA" w:eastAsia="en-US"/>
        </w:rPr>
        <w:t>The ABC of Healthy Eating Project: Design, Protocol, and Methodology. Nutrients</w:t>
      </w:r>
      <w:r w:rsidRPr="002E6ECA">
        <w:rPr>
          <w:rFonts w:eastAsiaTheme="minorHAnsi"/>
          <w:sz w:val="28"/>
          <w:szCs w:val="28"/>
          <w:lang w:val="uk-UA" w:eastAsia="en-US"/>
        </w:rPr>
        <w:t>. 2018. Vol. 10 (10). pii: E1439. doi:</w:t>
      </w:r>
      <w:r w:rsidRPr="002E6ECA">
        <w:rPr>
          <w:rFonts w:eastAsiaTheme="minorHAnsi"/>
          <w:sz w:val="28"/>
          <w:szCs w:val="28"/>
          <w:lang w:val="uk-UA"/>
        </w:rPr>
        <w:t> </w:t>
      </w:r>
      <w:r w:rsidRPr="002E6ECA">
        <w:rPr>
          <w:rFonts w:eastAsiaTheme="minorHAnsi"/>
          <w:sz w:val="28"/>
          <w:szCs w:val="28"/>
          <w:lang w:val="uk-UA" w:eastAsia="en-US"/>
        </w:rPr>
        <w:t>10.3390/nu10101439.</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263" w:history="1">
        <w:r w:rsidR="00020FED" w:rsidRPr="002E6ECA">
          <w:rPr>
            <w:rFonts w:eastAsiaTheme="minorHAnsi"/>
            <w:sz w:val="28"/>
            <w:szCs w:val="28"/>
            <w:lang w:val="uk-UA" w:eastAsia="en-US"/>
          </w:rPr>
          <w:t>Harrington</w:t>
        </w:r>
      </w:hyperlink>
      <w:r w:rsidR="00020FED" w:rsidRPr="002E6ECA">
        <w:rPr>
          <w:sz w:val="28"/>
          <w:szCs w:val="28"/>
          <w:lang w:val="uk-UA"/>
        </w:rPr>
        <w:t> </w:t>
      </w:r>
      <w:r w:rsidR="00020FED" w:rsidRPr="002E6ECA">
        <w:rPr>
          <w:rFonts w:eastAsiaTheme="minorHAnsi"/>
          <w:bCs/>
          <w:sz w:val="28"/>
          <w:szCs w:val="28"/>
          <w:lang w:val="uk-UA" w:eastAsia="en-US"/>
        </w:rPr>
        <w:t>S.</w:t>
      </w:r>
      <w:r w:rsidR="00020FED" w:rsidRPr="002E6ECA">
        <w:rPr>
          <w:sz w:val="28"/>
          <w:szCs w:val="28"/>
          <w:lang w:val="uk-UA"/>
        </w:rPr>
        <w:t> </w:t>
      </w:r>
      <w:r w:rsidR="00020FED" w:rsidRPr="002E6ECA">
        <w:rPr>
          <w:rFonts w:eastAsiaTheme="minorHAnsi"/>
          <w:bCs/>
          <w:sz w:val="28"/>
          <w:szCs w:val="28"/>
          <w:lang w:val="uk-UA" w:eastAsia="en-US"/>
        </w:rPr>
        <w:t>C.,</w:t>
      </w:r>
      <w:hyperlink r:id="rId264" w:history="1">
        <w:r w:rsidR="00020FED" w:rsidRPr="002E6ECA">
          <w:rPr>
            <w:rFonts w:eastAsiaTheme="minorHAnsi"/>
            <w:sz w:val="28"/>
            <w:szCs w:val="28"/>
            <w:lang w:val="uk-UA" w:eastAsia="en-US"/>
          </w:rPr>
          <w:t xml:space="preserve"> Stack</w:t>
        </w:r>
      </w:hyperlink>
      <w:r w:rsidR="00020FED" w:rsidRPr="002E6ECA">
        <w:rPr>
          <w:sz w:val="28"/>
          <w:szCs w:val="28"/>
          <w:lang w:val="uk-UA"/>
        </w:rPr>
        <w:t> </w:t>
      </w:r>
      <w:r w:rsidR="00020FED" w:rsidRPr="002E6ECA">
        <w:rPr>
          <w:rFonts w:eastAsiaTheme="minorHAnsi"/>
          <w:bCs/>
          <w:sz w:val="28"/>
          <w:szCs w:val="28"/>
          <w:lang w:val="uk-UA" w:eastAsia="en-US"/>
        </w:rPr>
        <w:t>J.,</w:t>
      </w:r>
      <w:hyperlink r:id="rId265" w:history="1">
        <w:r w:rsidR="00020FED" w:rsidRPr="002E6ECA">
          <w:rPr>
            <w:rFonts w:eastAsiaTheme="minorHAnsi"/>
            <w:sz w:val="28"/>
            <w:szCs w:val="28"/>
            <w:lang w:val="uk-UA" w:eastAsia="en-US"/>
          </w:rPr>
          <w:t xml:space="preserve"> Saunders</w:t>
        </w:r>
      </w:hyperlink>
      <w:r w:rsidR="00020FED" w:rsidRPr="002E6ECA">
        <w:rPr>
          <w:sz w:val="28"/>
          <w:szCs w:val="28"/>
          <w:lang w:val="uk-UA"/>
        </w:rPr>
        <w:t> </w:t>
      </w:r>
      <w:r w:rsidR="00020FED" w:rsidRPr="002E6ECA">
        <w:rPr>
          <w:rFonts w:eastAsiaTheme="minorHAnsi"/>
          <w:bCs/>
          <w:sz w:val="28"/>
          <w:szCs w:val="28"/>
          <w:lang w:val="uk-UA" w:eastAsia="en-US"/>
        </w:rPr>
        <w:t>K.,</w:t>
      </w:r>
      <w:hyperlink r:id="rId266" w:history="1">
        <w:r w:rsidR="00020FED" w:rsidRPr="002E6ECA">
          <w:rPr>
            <w:rFonts w:eastAsiaTheme="minorHAnsi"/>
            <w:sz w:val="28"/>
            <w:szCs w:val="28"/>
            <w:lang w:val="uk-UA" w:eastAsia="en-US"/>
          </w:rPr>
          <w:t xml:space="preserve"> O'Dwyer</w:t>
        </w:r>
      </w:hyperlink>
      <w:r w:rsidR="00020FED" w:rsidRPr="002E6ECA">
        <w:rPr>
          <w:sz w:val="28"/>
          <w:szCs w:val="28"/>
          <w:lang w:val="uk-UA"/>
        </w:rPr>
        <w:t> </w:t>
      </w:r>
      <w:r w:rsidR="00020FED" w:rsidRPr="002E6ECA">
        <w:rPr>
          <w:rFonts w:eastAsiaTheme="minorHAnsi"/>
          <w:bCs/>
          <w:sz w:val="28"/>
          <w:szCs w:val="28"/>
          <w:lang w:val="uk-UA" w:eastAsia="en-US"/>
        </w:rPr>
        <w:t xml:space="preserve">V. Refractive error and visual impairment in Ireland schoolchildren. </w:t>
      </w:r>
      <w:r w:rsidR="00020FED" w:rsidRPr="002E6ECA">
        <w:rPr>
          <w:rFonts w:eastAsiaTheme="minorHAnsi"/>
          <w:bCs/>
          <w:i/>
          <w:sz w:val="28"/>
          <w:szCs w:val="28"/>
          <w:lang w:val="uk-UA" w:eastAsia="en-US"/>
        </w:rPr>
        <w:t>Br J Ophthalmol</w:t>
      </w:r>
      <w:r w:rsidR="00020FED" w:rsidRPr="002E6ECA">
        <w:rPr>
          <w:rFonts w:eastAsiaTheme="minorHAnsi"/>
          <w:bCs/>
          <w:sz w:val="28"/>
          <w:szCs w:val="28"/>
          <w:lang w:val="uk-UA" w:eastAsia="en-US"/>
        </w:rPr>
        <w:t xml:space="preserve">. 2019. Aug. Vol. 103 (8). P 1112-1118. doi: 10.1136/bjophthalmol-2018-312573.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67" w:history="1">
        <w:r w:rsidR="00020FED" w:rsidRPr="002E6ECA">
          <w:rPr>
            <w:rFonts w:eastAsiaTheme="minorHAnsi"/>
            <w:sz w:val="28"/>
            <w:szCs w:val="28"/>
            <w:lang w:val="uk-UA" w:eastAsia="en-US"/>
          </w:rPr>
          <w:t>Hart</w:t>
        </w:r>
      </w:hyperlink>
      <w:r w:rsidR="00020FED" w:rsidRPr="002E6ECA">
        <w:rPr>
          <w:sz w:val="28"/>
          <w:szCs w:val="28"/>
          <w:lang w:val="uk-UA"/>
        </w:rPr>
        <w:t> </w:t>
      </w:r>
      <w:r w:rsidR="00020FED" w:rsidRPr="002E6ECA">
        <w:rPr>
          <w:rFonts w:eastAsiaTheme="minorHAnsi"/>
          <w:sz w:val="28"/>
          <w:szCs w:val="28"/>
          <w:lang w:val="uk-UA" w:eastAsia="en-US"/>
        </w:rPr>
        <w:t xml:space="preserve">M. The importance and elements of healthy nutrition. </w:t>
      </w:r>
      <w:hyperlink r:id="rId268" w:history="1">
        <w:r w:rsidR="00020FED" w:rsidRPr="002E6ECA">
          <w:rPr>
            <w:rFonts w:eastAsiaTheme="minorHAnsi"/>
            <w:i/>
            <w:sz w:val="28"/>
            <w:szCs w:val="28"/>
            <w:lang w:val="uk-UA" w:eastAsia="en-US"/>
          </w:rPr>
          <w:t>Advances in Eating Disorders</w:t>
        </w:r>
      </w:hyperlink>
      <w:r w:rsidR="00020FED" w:rsidRPr="002E6ECA">
        <w:rPr>
          <w:rFonts w:eastAsiaTheme="minorHAnsi"/>
          <w:i/>
          <w:sz w:val="28"/>
          <w:szCs w:val="28"/>
          <w:lang w:val="uk-UA" w:eastAsia="en-US"/>
        </w:rPr>
        <w:t xml:space="preserve"> Theory, Research and Practice</w:t>
      </w:r>
      <w:r w:rsidR="00020FED" w:rsidRPr="002E6ECA">
        <w:rPr>
          <w:rFonts w:eastAsiaTheme="minorHAnsi"/>
          <w:sz w:val="28"/>
          <w:szCs w:val="28"/>
          <w:lang w:val="uk-UA" w:eastAsia="en-US"/>
        </w:rPr>
        <w:t xml:space="preserve">. 2016 .Vol. 4 (1). Р. 14-30. </w:t>
      </w:r>
      <w:hyperlink r:id="rId269" w:history="1">
        <w:r w:rsidR="00020FED" w:rsidRPr="002E6ECA">
          <w:rPr>
            <w:rFonts w:eastAsiaTheme="minorHAnsi"/>
            <w:sz w:val="28"/>
            <w:szCs w:val="28"/>
            <w:lang w:val="uk-UA" w:eastAsia="en-US"/>
          </w:rPr>
          <w:t>https://doi.org/10.1080/21662630.2015.1130536</w:t>
        </w:r>
      </w:hyperlink>
      <w:r w:rsidR="00020FED"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Hemmingsson</w:t>
      </w:r>
      <w:r w:rsidRPr="002E6ECA">
        <w:rPr>
          <w:sz w:val="28"/>
          <w:szCs w:val="28"/>
          <w:lang w:val="uk-UA"/>
        </w:rPr>
        <w:t> </w:t>
      </w:r>
      <w:r w:rsidRPr="002E6ECA">
        <w:rPr>
          <w:rFonts w:eastAsiaTheme="minorHAnsi"/>
          <w:sz w:val="28"/>
          <w:szCs w:val="28"/>
          <w:lang w:val="uk-UA" w:eastAsia="en-US"/>
        </w:rPr>
        <w:t>H., Ólafsdóttir</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B., Egilson</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 xml:space="preserve">T. Agreements and disagreements between children and their parents in health-related assessments. </w:t>
      </w:r>
      <w:r w:rsidRPr="002E6ECA">
        <w:rPr>
          <w:rFonts w:eastAsiaTheme="minorHAnsi"/>
          <w:i/>
          <w:sz w:val="28"/>
          <w:szCs w:val="28"/>
          <w:lang w:val="uk-UA" w:eastAsia="en-US"/>
        </w:rPr>
        <w:t>Disability and Rehabilitation</w:t>
      </w:r>
      <w:r w:rsidRPr="002E6ECA">
        <w:rPr>
          <w:rFonts w:eastAsiaTheme="minorHAnsi"/>
          <w:sz w:val="28"/>
          <w:szCs w:val="28"/>
          <w:lang w:val="uk-UA" w:eastAsia="en-US"/>
        </w:rPr>
        <w:t>. 2017. Vol. 39 (11). P. 1059-1072. DOI: 10.1080/09638288.2016.1189603.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Holzman</w:t>
      </w:r>
      <w:r w:rsidRPr="002E6ECA">
        <w:rPr>
          <w:sz w:val="28"/>
          <w:szCs w:val="28"/>
          <w:lang w:val="uk-UA"/>
        </w:rPr>
        <w:t> </w:t>
      </w:r>
      <w:r w:rsidRPr="002E6ECA">
        <w:rPr>
          <w:rFonts w:eastAsiaTheme="minorHAnsi"/>
          <w:spacing w:val="-2"/>
          <w:sz w:val="28"/>
          <w:szCs w:val="28"/>
          <w:lang w:val="uk-UA" w:eastAsia="en-US"/>
        </w:rPr>
        <w:t>J.</w:t>
      </w:r>
      <w:r w:rsidRPr="002E6ECA">
        <w:rPr>
          <w:sz w:val="28"/>
          <w:szCs w:val="28"/>
          <w:lang w:val="uk-UA"/>
        </w:rPr>
        <w:t> </w:t>
      </w:r>
      <w:r w:rsidRPr="002E6ECA">
        <w:rPr>
          <w:rFonts w:eastAsiaTheme="minorHAnsi"/>
          <w:spacing w:val="-2"/>
          <w:sz w:val="28"/>
          <w:szCs w:val="28"/>
          <w:lang w:val="uk-UA" w:eastAsia="en-US"/>
        </w:rPr>
        <w:t>B., Bridgett</w:t>
      </w:r>
      <w:r w:rsidRPr="002E6ECA">
        <w:rPr>
          <w:sz w:val="28"/>
          <w:szCs w:val="28"/>
          <w:lang w:val="uk-UA"/>
        </w:rPr>
        <w:t> </w:t>
      </w:r>
      <w:r w:rsidRPr="002E6ECA">
        <w:rPr>
          <w:rFonts w:eastAsiaTheme="minorHAnsi"/>
          <w:spacing w:val="-2"/>
          <w:sz w:val="28"/>
          <w:szCs w:val="28"/>
          <w:lang w:val="uk-UA" w:eastAsia="en-US"/>
        </w:rPr>
        <w:t>D.</w:t>
      </w:r>
      <w:r w:rsidRPr="002E6ECA">
        <w:rPr>
          <w:sz w:val="28"/>
          <w:szCs w:val="28"/>
          <w:lang w:val="uk-UA"/>
        </w:rPr>
        <w:t> </w:t>
      </w:r>
      <w:r w:rsidRPr="002E6ECA">
        <w:rPr>
          <w:rFonts w:eastAsiaTheme="minorHAnsi"/>
          <w:spacing w:val="-2"/>
          <w:sz w:val="28"/>
          <w:szCs w:val="28"/>
          <w:lang w:val="uk-UA" w:eastAsia="en-US"/>
        </w:rPr>
        <w:t xml:space="preserve">J. Heart rate variability indices as bio-markers of top-down self-regulatory mechanisms: a meta-analytic review. </w:t>
      </w:r>
      <w:r w:rsidRPr="002E6ECA">
        <w:rPr>
          <w:rFonts w:eastAsiaTheme="minorHAnsi"/>
          <w:i/>
          <w:spacing w:val="-2"/>
          <w:sz w:val="28"/>
          <w:szCs w:val="28"/>
          <w:lang w:val="uk-UA" w:eastAsia="en-US"/>
        </w:rPr>
        <w:t>Neurosci.Biobehav. Rev</w:t>
      </w:r>
      <w:r w:rsidRPr="002E6ECA">
        <w:rPr>
          <w:rFonts w:eastAsiaTheme="minorHAnsi"/>
          <w:spacing w:val="-2"/>
          <w:sz w:val="28"/>
          <w:szCs w:val="28"/>
          <w:lang w:val="uk-UA" w:eastAsia="en-US"/>
        </w:rPr>
        <w:t>. 2017. Vol. 74. Р. 233-255. doi: 10.1016/j.neubiorev.2016.12.032</w:t>
      </w:r>
      <w:r w:rsidRPr="002E6ECA">
        <w:rPr>
          <w:rFonts w:eastAsiaTheme="minorHAnsi"/>
          <w:sz w:val="28"/>
          <w:szCs w:val="28"/>
          <w:lang w:val="uk-UA" w:eastAsia="en-US"/>
        </w:rPr>
        <w:t xml:space="preserve">.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70" w:tooltip="Найти еще записи для этого автора" w:history="1">
        <w:r w:rsidR="00020FED" w:rsidRPr="002E6ECA">
          <w:rPr>
            <w:rFonts w:eastAsiaTheme="minorHAnsi"/>
            <w:sz w:val="28"/>
            <w:szCs w:val="28"/>
            <w:lang w:val="uk-UA" w:eastAsia="en-US"/>
          </w:rPr>
          <w:t>Hosker</w:t>
        </w:r>
        <w:r w:rsidR="00020FED" w:rsidRPr="002E6ECA">
          <w:rPr>
            <w:sz w:val="28"/>
            <w:szCs w:val="28"/>
            <w:lang w:val="uk-UA"/>
          </w:rPr>
          <w:t> </w:t>
        </w:r>
        <w:r w:rsidR="00020FED" w:rsidRPr="002E6ECA">
          <w:rPr>
            <w:rFonts w:eastAsiaTheme="minorHAnsi"/>
            <w:sz w:val="28"/>
            <w:szCs w:val="28"/>
            <w:lang w:val="uk-UA" w:eastAsia="en-US"/>
          </w:rPr>
          <w:t>D.</w:t>
        </w:r>
        <w:r w:rsidR="00020FED" w:rsidRPr="002E6ECA">
          <w:rPr>
            <w:sz w:val="28"/>
            <w:szCs w:val="28"/>
            <w:lang w:val="uk-UA"/>
          </w:rPr>
          <w:t> </w:t>
        </w:r>
        <w:r w:rsidR="00020FED" w:rsidRPr="002E6ECA">
          <w:rPr>
            <w:rFonts w:eastAsiaTheme="minorHAnsi"/>
            <w:sz w:val="28"/>
            <w:szCs w:val="28"/>
            <w:lang w:val="uk-UA" w:eastAsia="en-US"/>
          </w:rPr>
          <w:t>K.</w:t>
        </w:r>
      </w:hyperlink>
      <w:r w:rsidR="00020FED" w:rsidRPr="002E6ECA">
        <w:rPr>
          <w:rFonts w:eastAsiaTheme="minorHAnsi"/>
          <w:sz w:val="28"/>
          <w:szCs w:val="28"/>
          <w:lang w:val="uk-UA" w:eastAsia="en-US"/>
        </w:rPr>
        <w:t xml:space="preserve">, </w:t>
      </w:r>
      <w:hyperlink r:id="rId271" w:tooltip="Найти еще записи для этого автора" w:history="1">
        <w:r w:rsidR="00020FED" w:rsidRPr="002E6ECA">
          <w:rPr>
            <w:rFonts w:eastAsiaTheme="minorHAnsi"/>
            <w:sz w:val="28"/>
            <w:szCs w:val="28"/>
            <w:lang w:val="uk-UA" w:eastAsia="en-US"/>
          </w:rPr>
          <w:t>Elkins</w:t>
        </w:r>
        <w:r w:rsidR="00020FED" w:rsidRPr="002E6ECA">
          <w:rPr>
            <w:sz w:val="28"/>
            <w:szCs w:val="28"/>
            <w:lang w:val="uk-UA"/>
          </w:rPr>
          <w:t> </w:t>
        </w:r>
        <w:r w:rsidR="00020FED" w:rsidRPr="002E6ECA">
          <w:rPr>
            <w:rFonts w:eastAsiaTheme="minorHAnsi"/>
            <w:sz w:val="28"/>
            <w:szCs w:val="28"/>
            <w:lang w:val="uk-UA" w:eastAsia="en-US"/>
          </w:rPr>
          <w:t>R.</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272" w:tooltip="Найти еще записи для этого автора" w:history="1">
        <w:r w:rsidR="00020FED" w:rsidRPr="002E6ECA">
          <w:rPr>
            <w:rFonts w:eastAsiaTheme="minorHAnsi"/>
            <w:sz w:val="28"/>
            <w:szCs w:val="28"/>
            <w:lang w:val="uk-UA" w:eastAsia="en-US"/>
          </w:rPr>
          <w:t>Potter</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P.</w:t>
        </w:r>
      </w:hyperlink>
      <w:hyperlink r:id="rId273" w:history="1">
        <w:r w:rsidR="00020FED" w:rsidRPr="002E6ECA">
          <w:rPr>
            <w:rFonts w:eastAsiaTheme="minorHAnsi"/>
            <w:sz w:val="28"/>
            <w:szCs w:val="28"/>
            <w:lang w:val="uk-UA" w:eastAsia="en-US"/>
          </w:rPr>
          <w:t>Promoting Mental Health and Wellness in Youth Through Physical Activity, Nutrition, and Sleep</w:t>
        </w:r>
      </w:hyperlink>
      <w:r w:rsidR="00020FED" w:rsidRPr="002E6ECA">
        <w:rPr>
          <w:rFonts w:eastAsiaTheme="minorHAnsi"/>
          <w:sz w:val="28"/>
          <w:szCs w:val="28"/>
          <w:lang w:val="uk-UA" w:eastAsia="en-US"/>
        </w:rPr>
        <w:t xml:space="preserve">. </w:t>
      </w:r>
      <w:r w:rsidR="00020FED" w:rsidRPr="002E6ECA">
        <w:rPr>
          <w:rFonts w:eastAsiaTheme="minorHAnsi"/>
          <w:i/>
          <w:sz w:val="28"/>
          <w:szCs w:val="28"/>
          <w:lang w:val="uk-UA" w:eastAsia="en-US"/>
        </w:rPr>
        <w:t>Child and Adolescent Psychiatric Clinics of North America</w:t>
      </w:r>
      <w:r w:rsidR="00020FED" w:rsidRPr="002E6ECA">
        <w:rPr>
          <w:rFonts w:eastAsiaTheme="minorHAnsi"/>
          <w:sz w:val="28"/>
          <w:szCs w:val="28"/>
          <w:lang w:val="uk-UA" w:eastAsia="en-US"/>
        </w:rPr>
        <w:t xml:space="preserve">. 2019. Vol. 28 (2). Р. 171. doi: 10.1016/j.chc.2018. 11.010. </w:t>
      </w:r>
    </w:p>
    <w:p w:rsidR="00020FED" w:rsidRPr="002E6ECA" w:rsidRDefault="00020FED" w:rsidP="00020FED">
      <w:pPr>
        <w:numPr>
          <w:ilvl w:val="0"/>
          <w:numId w:val="72"/>
        </w:numPr>
        <w:spacing w:line="360" w:lineRule="auto"/>
        <w:ind w:left="0" w:firstLine="709"/>
        <w:contextualSpacing/>
        <w:jc w:val="both"/>
        <w:rPr>
          <w:rFonts w:eastAsiaTheme="minorHAnsi"/>
          <w:spacing w:val="-4"/>
          <w:sz w:val="28"/>
          <w:szCs w:val="28"/>
          <w:lang w:val="uk-UA" w:eastAsia="en-US"/>
        </w:rPr>
      </w:pPr>
      <w:r w:rsidRPr="002E6ECA">
        <w:rPr>
          <w:rFonts w:eastAsiaTheme="minorHAnsi"/>
          <w:spacing w:val="-4"/>
          <w:sz w:val="28"/>
          <w:szCs w:val="28"/>
          <w:lang w:val="uk-UA" w:eastAsia="en-US"/>
        </w:rPr>
        <w:lastRenderedPageBreak/>
        <w:t>Hubbard</w:t>
      </w:r>
      <w:r w:rsidRPr="002E6ECA">
        <w:rPr>
          <w:sz w:val="28"/>
          <w:szCs w:val="28"/>
          <w:lang w:val="uk-UA"/>
        </w:rPr>
        <w:t> </w:t>
      </w:r>
      <w:r w:rsidRPr="002E6ECA">
        <w:rPr>
          <w:rFonts w:eastAsiaTheme="minorHAnsi"/>
          <w:spacing w:val="-4"/>
          <w:sz w:val="28"/>
          <w:szCs w:val="28"/>
          <w:lang w:val="uk-UA" w:eastAsia="en-US"/>
        </w:rPr>
        <w:t>K., Economos</w:t>
      </w:r>
      <w:r w:rsidRPr="002E6ECA">
        <w:rPr>
          <w:sz w:val="28"/>
          <w:szCs w:val="28"/>
          <w:lang w:val="uk-UA"/>
        </w:rPr>
        <w:t> </w:t>
      </w:r>
      <w:r w:rsidRPr="002E6ECA">
        <w:rPr>
          <w:rFonts w:eastAsiaTheme="minorHAnsi"/>
          <w:spacing w:val="-4"/>
          <w:sz w:val="28"/>
          <w:szCs w:val="28"/>
          <w:lang w:val="uk-UA" w:eastAsia="en-US"/>
        </w:rPr>
        <w:t>C.</w:t>
      </w:r>
      <w:r w:rsidRPr="002E6ECA">
        <w:rPr>
          <w:sz w:val="28"/>
          <w:szCs w:val="28"/>
          <w:lang w:val="uk-UA"/>
        </w:rPr>
        <w:t> </w:t>
      </w:r>
      <w:r w:rsidRPr="002E6ECA">
        <w:rPr>
          <w:rFonts w:eastAsiaTheme="minorHAnsi"/>
          <w:spacing w:val="-4"/>
          <w:sz w:val="28"/>
          <w:szCs w:val="28"/>
          <w:lang w:val="uk-UA" w:eastAsia="en-US"/>
        </w:rPr>
        <w:t>D., Bakun</w:t>
      </w:r>
      <w:r w:rsidRPr="002E6ECA">
        <w:rPr>
          <w:sz w:val="28"/>
          <w:szCs w:val="28"/>
          <w:lang w:val="uk-UA"/>
        </w:rPr>
        <w:t> </w:t>
      </w:r>
      <w:r w:rsidRPr="002E6ECA">
        <w:rPr>
          <w:rFonts w:eastAsiaTheme="minorHAnsi"/>
          <w:spacing w:val="-4"/>
          <w:sz w:val="28"/>
          <w:szCs w:val="28"/>
          <w:lang w:val="uk-UA" w:eastAsia="en-US"/>
        </w:rPr>
        <w:t>P., Boulos</w:t>
      </w:r>
      <w:r w:rsidRPr="002E6ECA">
        <w:rPr>
          <w:sz w:val="28"/>
          <w:szCs w:val="28"/>
          <w:lang w:val="uk-UA"/>
        </w:rPr>
        <w:t> </w:t>
      </w:r>
      <w:r w:rsidRPr="002E6ECA">
        <w:rPr>
          <w:rFonts w:eastAsiaTheme="minorHAnsi"/>
          <w:spacing w:val="-4"/>
          <w:sz w:val="28"/>
          <w:szCs w:val="28"/>
          <w:lang w:val="uk-UA" w:eastAsia="en-US"/>
        </w:rPr>
        <w:t>R., Chui</w:t>
      </w:r>
      <w:r w:rsidRPr="002E6ECA">
        <w:rPr>
          <w:sz w:val="28"/>
          <w:szCs w:val="28"/>
          <w:lang w:val="uk-UA"/>
        </w:rPr>
        <w:t> </w:t>
      </w:r>
      <w:r w:rsidRPr="002E6ECA">
        <w:rPr>
          <w:rFonts w:eastAsiaTheme="minorHAnsi"/>
          <w:spacing w:val="-4"/>
          <w:sz w:val="28"/>
          <w:szCs w:val="28"/>
          <w:lang w:val="uk-UA" w:eastAsia="en-US"/>
        </w:rPr>
        <w:t>K., Mueller</w:t>
      </w:r>
      <w:r w:rsidRPr="002E6ECA">
        <w:rPr>
          <w:sz w:val="28"/>
          <w:szCs w:val="28"/>
          <w:lang w:val="uk-UA"/>
        </w:rPr>
        <w:t> </w:t>
      </w:r>
      <w:r w:rsidRPr="002E6ECA">
        <w:rPr>
          <w:rFonts w:eastAsiaTheme="minorHAnsi"/>
          <w:spacing w:val="-4"/>
          <w:sz w:val="28"/>
          <w:szCs w:val="28"/>
          <w:lang w:val="uk-UA" w:eastAsia="en-US"/>
        </w:rPr>
        <w:t>M.</w:t>
      </w:r>
      <w:r w:rsidRPr="002E6ECA">
        <w:rPr>
          <w:sz w:val="28"/>
          <w:szCs w:val="28"/>
          <w:lang w:val="uk-UA"/>
        </w:rPr>
        <w:t> </w:t>
      </w:r>
      <w:r w:rsidRPr="002E6ECA">
        <w:rPr>
          <w:rFonts w:eastAsiaTheme="minorHAnsi"/>
          <w:spacing w:val="-4"/>
          <w:sz w:val="28"/>
          <w:szCs w:val="28"/>
          <w:lang w:val="uk-UA" w:eastAsia="en-US"/>
        </w:rPr>
        <w:t>P., Smith</w:t>
      </w:r>
      <w:r w:rsidRPr="002E6ECA">
        <w:rPr>
          <w:sz w:val="28"/>
          <w:szCs w:val="28"/>
          <w:lang w:val="uk-UA"/>
        </w:rPr>
        <w:t> </w:t>
      </w:r>
      <w:r w:rsidRPr="002E6ECA">
        <w:rPr>
          <w:rFonts w:eastAsiaTheme="minorHAnsi"/>
          <w:spacing w:val="-4"/>
          <w:sz w:val="28"/>
          <w:szCs w:val="28"/>
          <w:lang w:val="uk-UA" w:eastAsia="en-US"/>
        </w:rPr>
        <w:t>K., Sacheck</w:t>
      </w:r>
      <w:r w:rsidRPr="002E6ECA">
        <w:rPr>
          <w:sz w:val="28"/>
          <w:szCs w:val="28"/>
          <w:lang w:val="uk-UA"/>
        </w:rPr>
        <w:t> </w:t>
      </w:r>
      <w:r w:rsidRPr="002E6ECA">
        <w:rPr>
          <w:rFonts w:eastAsiaTheme="minorHAnsi"/>
          <w:spacing w:val="-4"/>
          <w:sz w:val="28"/>
          <w:szCs w:val="28"/>
          <w:lang w:val="uk-UA" w:eastAsia="en-US"/>
        </w:rPr>
        <w:t xml:space="preserve">J. Disparities in moderate-to-vigorous physical activity among girls and overweight and obese schoolchildren during school- and out-of-school time. </w:t>
      </w:r>
      <w:r w:rsidRPr="002E6ECA">
        <w:rPr>
          <w:rFonts w:eastAsiaTheme="minorHAnsi"/>
          <w:i/>
          <w:spacing w:val="-4"/>
          <w:sz w:val="28"/>
          <w:szCs w:val="28"/>
          <w:lang w:val="uk-UA" w:eastAsia="en-US"/>
        </w:rPr>
        <w:t>Int J Behav Nutr Phys Act.</w:t>
      </w:r>
      <w:r w:rsidRPr="002E6ECA">
        <w:rPr>
          <w:rFonts w:eastAsiaTheme="minorHAnsi"/>
          <w:spacing w:val="-4"/>
          <w:sz w:val="28"/>
          <w:szCs w:val="28"/>
          <w:lang w:val="uk-UA" w:eastAsia="en-US"/>
        </w:rPr>
        <w:t xml:space="preserve"> 2016. Mar 22. Vol. 13. 39. doi: 10.1186/s12966-016-0358-x. </w:t>
      </w:r>
    </w:p>
    <w:p w:rsidR="00020FED" w:rsidRPr="002E6ECA" w:rsidRDefault="00020FED" w:rsidP="00020FED">
      <w:pPr>
        <w:numPr>
          <w:ilvl w:val="0"/>
          <w:numId w:val="72"/>
        </w:numPr>
        <w:spacing w:line="360" w:lineRule="auto"/>
        <w:ind w:left="0" w:firstLine="709"/>
        <w:contextualSpacing/>
        <w:jc w:val="both"/>
        <w:rPr>
          <w:rFonts w:eastAsiaTheme="minorHAnsi"/>
          <w:spacing w:val="-4"/>
          <w:sz w:val="28"/>
          <w:szCs w:val="28"/>
          <w:lang w:val="uk-UA" w:eastAsia="en-US"/>
        </w:rPr>
      </w:pPr>
      <w:r w:rsidRPr="002E6ECA">
        <w:rPr>
          <w:rFonts w:eastAsiaTheme="minorHAnsi"/>
          <w:spacing w:val="-4"/>
          <w:sz w:val="28"/>
          <w:szCs w:val="28"/>
          <w:lang w:val="uk-UA" w:eastAsia="en-US"/>
        </w:rPr>
        <w:t>Hussain</w:t>
      </w:r>
      <w:r w:rsidRPr="002E6ECA">
        <w:rPr>
          <w:sz w:val="28"/>
          <w:szCs w:val="28"/>
          <w:lang w:val="uk-UA"/>
        </w:rPr>
        <w:t> </w:t>
      </w:r>
      <w:r w:rsidRPr="002E6ECA">
        <w:rPr>
          <w:rFonts w:eastAsiaTheme="minorHAnsi"/>
          <w:spacing w:val="-4"/>
          <w:sz w:val="28"/>
          <w:szCs w:val="28"/>
          <w:lang w:val="uk-UA" w:eastAsia="en-US"/>
        </w:rPr>
        <w:t>A., Kumar</w:t>
      </w:r>
      <w:r w:rsidRPr="002E6ECA">
        <w:rPr>
          <w:sz w:val="28"/>
          <w:szCs w:val="28"/>
          <w:lang w:val="uk-UA"/>
        </w:rPr>
        <w:t> </w:t>
      </w:r>
      <w:r w:rsidRPr="002E6ECA">
        <w:rPr>
          <w:rFonts w:eastAsiaTheme="minorHAnsi"/>
          <w:spacing w:val="-4"/>
          <w:sz w:val="28"/>
          <w:szCs w:val="28"/>
          <w:lang w:val="uk-UA" w:eastAsia="en-US"/>
        </w:rPr>
        <w:t>A., &amp; Husain</w:t>
      </w:r>
      <w:r w:rsidRPr="002E6ECA">
        <w:rPr>
          <w:sz w:val="28"/>
          <w:szCs w:val="28"/>
          <w:lang w:val="uk-UA"/>
        </w:rPr>
        <w:t> </w:t>
      </w:r>
      <w:r w:rsidRPr="002E6ECA">
        <w:rPr>
          <w:rFonts w:eastAsiaTheme="minorHAnsi"/>
          <w:spacing w:val="-4"/>
          <w:sz w:val="28"/>
          <w:szCs w:val="28"/>
          <w:lang w:val="uk-UA" w:eastAsia="en-US"/>
        </w:rPr>
        <w:t xml:space="preserve">A. Academic stress and adjustment among high school students. </w:t>
      </w:r>
      <w:r w:rsidRPr="002E6ECA">
        <w:rPr>
          <w:rFonts w:eastAsiaTheme="minorHAnsi"/>
          <w:i/>
          <w:spacing w:val="-4"/>
          <w:sz w:val="28"/>
          <w:szCs w:val="28"/>
          <w:lang w:val="uk-UA" w:eastAsia="en-US"/>
        </w:rPr>
        <w:t>J. Indian Acad. Appl. Psychol</w:t>
      </w:r>
      <w:r w:rsidRPr="002E6ECA">
        <w:rPr>
          <w:rFonts w:eastAsiaTheme="minorHAnsi"/>
          <w:spacing w:val="-4"/>
          <w:sz w:val="28"/>
          <w:szCs w:val="28"/>
          <w:lang w:val="uk-UA" w:eastAsia="en-US"/>
        </w:rPr>
        <w:t>. 2008. Vol. 34 (9). Р. 70-73.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Ilhan</w:t>
      </w:r>
      <w:r w:rsidRPr="002E6ECA">
        <w:rPr>
          <w:sz w:val="28"/>
          <w:szCs w:val="28"/>
          <w:lang w:val="uk-UA"/>
        </w:rPr>
        <w:t> </w:t>
      </w:r>
      <w:r w:rsidRPr="002E6ECA">
        <w:rPr>
          <w:rFonts w:eastAsiaTheme="minorHAnsi"/>
          <w:sz w:val="28"/>
          <w:szCs w:val="28"/>
          <w:lang w:val="uk-UA" w:eastAsia="en-US"/>
        </w:rPr>
        <w:t>N., Peker</w:t>
      </w:r>
      <w:r w:rsidRPr="002E6ECA">
        <w:rPr>
          <w:sz w:val="28"/>
          <w:szCs w:val="28"/>
          <w:lang w:val="uk-UA"/>
        </w:rPr>
        <w:t> </w:t>
      </w:r>
      <w:r w:rsidRPr="002E6ECA">
        <w:rPr>
          <w:rFonts w:eastAsiaTheme="minorHAnsi"/>
          <w:sz w:val="28"/>
          <w:szCs w:val="28"/>
          <w:lang w:val="uk-UA" w:eastAsia="en-US"/>
        </w:rPr>
        <w:t>K., Yildirim</w:t>
      </w:r>
      <w:r w:rsidRPr="002E6ECA">
        <w:rPr>
          <w:sz w:val="28"/>
          <w:szCs w:val="28"/>
          <w:lang w:val="uk-UA"/>
        </w:rPr>
        <w:t> </w:t>
      </w:r>
      <w:r w:rsidRPr="002E6ECA">
        <w:rPr>
          <w:rFonts w:eastAsiaTheme="minorHAnsi"/>
          <w:sz w:val="28"/>
          <w:szCs w:val="28"/>
          <w:lang w:val="uk-UA" w:eastAsia="en-US"/>
        </w:rPr>
        <w:t xml:space="preserve">G. et al. Relationship between healthy lifestyle behaviors and health related quality of life in turkish school-going adolescents. </w:t>
      </w:r>
      <w:r w:rsidRPr="002E6ECA">
        <w:rPr>
          <w:rFonts w:eastAsiaTheme="minorHAnsi"/>
          <w:i/>
          <w:sz w:val="28"/>
          <w:szCs w:val="28"/>
          <w:lang w:val="uk-UA" w:eastAsia="en-US"/>
        </w:rPr>
        <w:t>Niger J Clin Pract</w:t>
      </w:r>
      <w:r w:rsidRPr="002E6ECA">
        <w:rPr>
          <w:rFonts w:eastAsiaTheme="minorHAnsi"/>
          <w:sz w:val="28"/>
          <w:szCs w:val="28"/>
          <w:lang w:val="uk-UA" w:eastAsia="en-US"/>
        </w:rPr>
        <w:t>. 2019. Vol. 22 (12). Р. 1742-1751. doi: 10.4103/njcp.njcp_190_19.</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74" w:history="1">
        <w:r w:rsidR="00020FED" w:rsidRPr="002E6ECA">
          <w:rPr>
            <w:rFonts w:eastAsiaTheme="minorHAnsi"/>
            <w:sz w:val="28"/>
            <w:szCs w:val="28"/>
            <w:lang w:val="uk-UA" w:eastAsia="en-US"/>
          </w:rPr>
          <w:t>Ishii</w:t>
        </w:r>
      </w:hyperlink>
      <w:r w:rsidR="00020FED" w:rsidRPr="002E6ECA">
        <w:rPr>
          <w:sz w:val="28"/>
          <w:szCs w:val="28"/>
          <w:lang w:val="uk-UA"/>
        </w:rPr>
        <w:t> </w:t>
      </w:r>
      <w:r w:rsidR="00020FED" w:rsidRPr="002E6ECA">
        <w:rPr>
          <w:rFonts w:eastAsiaTheme="minorHAnsi"/>
          <w:sz w:val="28"/>
          <w:szCs w:val="28"/>
          <w:lang w:val="uk-UA" w:eastAsia="en-US"/>
        </w:rPr>
        <w:t xml:space="preserve">A., </w:t>
      </w:r>
      <w:hyperlink r:id="rId275" w:history="1">
        <w:r w:rsidR="00020FED" w:rsidRPr="002E6ECA">
          <w:rPr>
            <w:rFonts w:eastAsiaTheme="minorHAnsi"/>
            <w:sz w:val="28"/>
            <w:szCs w:val="28"/>
            <w:lang w:val="uk-UA" w:eastAsia="en-US"/>
          </w:rPr>
          <w:t>Tanaka</w:t>
        </w:r>
      </w:hyperlink>
      <w:r w:rsidR="00020FED" w:rsidRPr="002E6ECA">
        <w:rPr>
          <w:sz w:val="28"/>
          <w:szCs w:val="28"/>
          <w:lang w:val="uk-UA"/>
        </w:rPr>
        <w:t> </w:t>
      </w:r>
      <w:r w:rsidR="00020FED" w:rsidRPr="002E6ECA">
        <w:rPr>
          <w:rFonts w:eastAsiaTheme="minorHAnsi"/>
          <w:sz w:val="28"/>
          <w:szCs w:val="28"/>
          <w:lang w:val="uk-UA" w:eastAsia="en-US"/>
        </w:rPr>
        <w:t xml:space="preserve">M., </w:t>
      </w:r>
      <w:hyperlink r:id="rId276" w:history="1">
        <w:r w:rsidR="00020FED" w:rsidRPr="002E6ECA">
          <w:rPr>
            <w:rFonts w:eastAsiaTheme="minorHAnsi"/>
            <w:sz w:val="28"/>
            <w:szCs w:val="28"/>
            <w:lang w:val="uk-UA" w:eastAsia="en-US"/>
          </w:rPr>
          <w:t>Yoshikawa</w:t>
        </w:r>
      </w:hyperlink>
      <w:r w:rsidR="00020FED" w:rsidRPr="002E6ECA">
        <w:rPr>
          <w:sz w:val="28"/>
          <w:szCs w:val="28"/>
          <w:lang w:val="uk-UA"/>
        </w:rPr>
        <w:t> </w:t>
      </w:r>
      <w:r w:rsidR="00020FED" w:rsidRPr="002E6ECA">
        <w:rPr>
          <w:rFonts w:eastAsiaTheme="minorHAnsi"/>
          <w:sz w:val="28"/>
          <w:szCs w:val="28"/>
          <w:lang w:val="uk-UA" w:eastAsia="en-US"/>
        </w:rPr>
        <w:t xml:space="preserve">T., </w:t>
      </w:r>
      <w:hyperlink r:id="rId277" w:history="1">
        <w:r w:rsidR="00020FED" w:rsidRPr="002E6ECA">
          <w:rPr>
            <w:rFonts w:eastAsiaTheme="minorHAnsi"/>
            <w:sz w:val="28"/>
            <w:szCs w:val="28"/>
            <w:lang w:val="uk-UA" w:eastAsia="en-US"/>
          </w:rPr>
          <w:t>Watanabe</w:t>
        </w:r>
      </w:hyperlink>
      <w:r w:rsidR="00020FED" w:rsidRPr="002E6ECA">
        <w:rPr>
          <w:sz w:val="28"/>
          <w:szCs w:val="28"/>
          <w:lang w:val="uk-UA"/>
        </w:rPr>
        <w:t> </w:t>
      </w:r>
      <w:r w:rsidR="00020FED" w:rsidRPr="002E6ECA">
        <w:rPr>
          <w:rFonts w:eastAsiaTheme="minorHAnsi"/>
          <w:sz w:val="28"/>
          <w:szCs w:val="28"/>
          <w:lang w:val="uk-UA" w:eastAsia="en-US"/>
        </w:rPr>
        <w:t xml:space="preserve">Y. Evidence for unconscious regulation of performance in fatigue. </w:t>
      </w:r>
      <w:r w:rsidR="00020FED" w:rsidRPr="002E6ECA">
        <w:rPr>
          <w:rFonts w:eastAsiaTheme="minorHAnsi"/>
          <w:i/>
          <w:sz w:val="28"/>
          <w:szCs w:val="28"/>
          <w:lang w:val="uk-UA" w:eastAsia="en-US"/>
        </w:rPr>
        <w:t>Sci Rep</w:t>
      </w:r>
      <w:r w:rsidR="00020FED" w:rsidRPr="002E6ECA">
        <w:rPr>
          <w:rFonts w:eastAsiaTheme="minorHAnsi"/>
          <w:sz w:val="28"/>
          <w:szCs w:val="28"/>
          <w:lang w:val="uk-UA" w:eastAsia="en-US"/>
        </w:rPr>
        <w:t>. 2017. Vol. 7 (1). 16103. doi: 10.1038/s41598-017-16439-6.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Ishii</w:t>
      </w:r>
      <w:r w:rsidRPr="002E6ECA">
        <w:rPr>
          <w:sz w:val="28"/>
          <w:szCs w:val="28"/>
          <w:lang w:val="uk-UA"/>
        </w:rPr>
        <w:t> </w:t>
      </w:r>
      <w:r w:rsidRPr="002E6ECA">
        <w:rPr>
          <w:rFonts w:eastAsiaTheme="minorHAnsi"/>
          <w:sz w:val="28"/>
          <w:szCs w:val="28"/>
          <w:lang w:val="uk-UA" w:eastAsia="en-US"/>
        </w:rPr>
        <w:t>R., Canuet</w:t>
      </w:r>
      <w:r w:rsidRPr="002E6ECA">
        <w:rPr>
          <w:sz w:val="28"/>
          <w:szCs w:val="28"/>
          <w:lang w:val="uk-UA"/>
        </w:rPr>
        <w:t> </w:t>
      </w:r>
      <w:r w:rsidRPr="002E6ECA">
        <w:rPr>
          <w:rFonts w:eastAsiaTheme="minorHAnsi"/>
          <w:sz w:val="28"/>
          <w:szCs w:val="28"/>
          <w:lang w:val="uk-UA" w:eastAsia="en-US"/>
        </w:rPr>
        <w:t>L., Ishihara</w:t>
      </w:r>
      <w:r w:rsidRPr="002E6ECA">
        <w:rPr>
          <w:sz w:val="28"/>
          <w:szCs w:val="28"/>
          <w:lang w:val="uk-UA"/>
        </w:rPr>
        <w:t> </w:t>
      </w:r>
      <w:r w:rsidRPr="002E6ECA">
        <w:rPr>
          <w:rFonts w:eastAsiaTheme="minorHAnsi"/>
          <w:sz w:val="28"/>
          <w:szCs w:val="28"/>
          <w:lang w:val="uk-UA" w:eastAsia="en-US"/>
        </w:rPr>
        <w:t>T., Aoki</w:t>
      </w:r>
      <w:r w:rsidRPr="002E6ECA">
        <w:rPr>
          <w:sz w:val="28"/>
          <w:szCs w:val="28"/>
          <w:lang w:val="uk-UA"/>
        </w:rPr>
        <w:t> </w:t>
      </w:r>
      <w:r w:rsidRPr="002E6ECA">
        <w:rPr>
          <w:rFonts w:eastAsiaTheme="minorHAnsi"/>
          <w:sz w:val="28"/>
          <w:szCs w:val="28"/>
          <w:lang w:val="uk-UA" w:eastAsia="en-US"/>
        </w:rPr>
        <w:t>Y., Ikeda</w:t>
      </w:r>
      <w:r w:rsidRPr="002E6ECA">
        <w:rPr>
          <w:sz w:val="28"/>
          <w:szCs w:val="28"/>
          <w:lang w:val="uk-UA"/>
        </w:rPr>
        <w:t> </w:t>
      </w:r>
      <w:r w:rsidRPr="002E6ECA">
        <w:rPr>
          <w:rFonts w:eastAsiaTheme="minorHAnsi"/>
          <w:sz w:val="28"/>
          <w:szCs w:val="28"/>
          <w:lang w:val="uk-UA" w:eastAsia="en-US"/>
        </w:rPr>
        <w:t>S., Hata</w:t>
      </w:r>
      <w:r w:rsidRPr="002E6ECA">
        <w:rPr>
          <w:sz w:val="28"/>
          <w:szCs w:val="28"/>
          <w:lang w:val="uk-UA"/>
        </w:rPr>
        <w:t> </w:t>
      </w:r>
      <w:r w:rsidRPr="002E6ECA">
        <w:rPr>
          <w:rFonts w:eastAsiaTheme="minorHAnsi"/>
          <w:sz w:val="28"/>
          <w:szCs w:val="28"/>
          <w:lang w:val="uk-UA" w:eastAsia="en-US"/>
        </w:rPr>
        <w:t>M., Katsimichas</w:t>
      </w:r>
      <w:r w:rsidRPr="002E6ECA">
        <w:rPr>
          <w:sz w:val="28"/>
          <w:szCs w:val="28"/>
          <w:lang w:val="uk-UA"/>
        </w:rPr>
        <w:t> </w:t>
      </w:r>
      <w:r w:rsidRPr="002E6ECA">
        <w:rPr>
          <w:rFonts w:eastAsiaTheme="minorHAnsi"/>
          <w:sz w:val="28"/>
          <w:szCs w:val="28"/>
          <w:lang w:val="uk-UA" w:eastAsia="en-US"/>
        </w:rPr>
        <w:t>T., Gunji</w:t>
      </w:r>
      <w:r w:rsidRPr="002E6ECA">
        <w:rPr>
          <w:sz w:val="28"/>
          <w:szCs w:val="28"/>
          <w:lang w:val="uk-UA"/>
        </w:rPr>
        <w:t> </w:t>
      </w:r>
      <w:r w:rsidRPr="002E6ECA">
        <w:rPr>
          <w:rFonts w:eastAsiaTheme="minorHAnsi"/>
          <w:sz w:val="28"/>
          <w:szCs w:val="28"/>
          <w:lang w:val="uk-UA" w:eastAsia="en-US"/>
        </w:rPr>
        <w:t>A., Takahashi</w:t>
      </w:r>
      <w:r w:rsidRPr="002E6ECA">
        <w:rPr>
          <w:sz w:val="28"/>
          <w:szCs w:val="28"/>
          <w:lang w:val="uk-UA"/>
        </w:rPr>
        <w:t> </w:t>
      </w:r>
      <w:r w:rsidRPr="002E6ECA">
        <w:rPr>
          <w:rFonts w:eastAsiaTheme="minorHAnsi"/>
          <w:sz w:val="28"/>
          <w:szCs w:val="28"/>
          <w:lang w:val="uk-UA" w:eastAsia="en-US"/>
        </w:rPr>
        <w:t>H., Nakahachi</w:t>
      </w:r>
      <w:r w:rsidRPr="002E6ECA">
        <w:rPr>
          <w:sz w:val="28"/>
          <w:szCs w:val="28"/>
          <w:lang w:val="uk-UA"/>
        </w:rPr>
        <w:t> </w:t>
      </w:r>
      <w:r w:rsidRPr="002E6ECA">
        <w:rPr>
          <w:rFonts w:eastAsiaTheme="minorHAnsi"/>
          <w:sz w:val="28"/>
          <w:szCs w:val="28"/>
          <w:lang w:val="uk-UA" w:eastAsia="en-US"/>
        </w:rPr>
        <w:t>T., Iwase</w:t>
      </w:r>
      <w:r w:rsidRPr="002E6ECA">
        <w:rPr>
          <w:sz w:val="28"/>
          <w:szCs w:val="28"/>
          <w:lang w:val="uk-UA"/>
        </w:rPr>
        <w:t> </w:t>
      </w:r>
      <w:r w:rsidRPr="002E6ECA">
        <w:rPr>
          <w:rFonts w:eastAsiaTheme="minorHAnsi"/>
          <w:sz w:val="28"/>
          <w:szCs w:val="28"/>
          <w:lang w:val="uk-UA" w:eastAsia="en-US"/>
        </w:rPr>
        <w:t>M., Takeda</w:t>
      </w:r>
      <w:r w:rsidRPr="002E6ECA">
        <w:rPr>
          <w:sz w:val="28"/>
          <w:szCs w:val="28"/>
          <w:lang w:val="uk-UA"/>
        </w:rPr>
        <w:t> </w:t>
      </w:r>
      <w:r w:rsidRPr="002E6ECA">
        <w:rPr>
          <w:rFonts w:eastAsiaTheme="minorHAnsi"/>
          <w:sz w:val="28"/>
          <w:szCs w:val="28"/>
          <w:lang w:val="uk-UA" w:eastAsia="en-US"/>
        </w:rPr>
        <w:t xml:space="preserve">M. Frontal midline theta rhythm and gamma power changes during focused attention on mental calculation: an MEG beamformer analysis. </w:t>
      </w:r>
      <w:r w:rsidRPr="002E6ECA">
        <w:rPr>
          <w:rFonts w:eastAsiaTheme="minorHAnsi"/>
          <w:i/>
          <w:sz w:val="28"/>
          <w:szCs w:val="28"/>
          <w:lang w:val="uk-UA" w:eastAsia="en-US"/>
        </w:rPr>
        <w:t>Front Hum Neurosci</w:t>
      </w:r>
      <w:r w:rsidRPr="002E6ECA">
        <w:rPr>
          <w:rFonts w:eastAsiaTheme="minorHAnsi"/>
          <w:sz w:val="28"/>
          <w:szCs w:val="28"/>
          <w:lang w:val="uk-UA" w:eastAsia="en-US"/>
        </w:rPr>
        <w:t>. 2014. Vol. 8. 406. doi: 10.3389/fnhum.2014.00406.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Işik</w:t>
      </w:r>
      <w:r w:rsidRPr="002E6ECA">
        <w:rPr>
          <w:sz w:val="28"/>
          <w:szCs w:val="28"/>
          <w:lang w:val="uk-UA"/>
        </w:rPr>
        <w:t> </w:t>
      </w:r>
      <w:r w:rsidRPr="002E6ECA">
        <w:rPr>
          <w:rFonts w:eastAsiaTheme="minorHAnsi"/>
          <w:sz w:val="28"/>
          <w:szCs w:val="28"/>
          <w:lang w:val="uk-UA" w:eastAsia="en-US"/>
        </w:rPr>
        <w:t>B., Alkaya</w:t>
      </w:r>
      <w:r w:rsidRPr="002E6ECA">
        <w:rPr>
          <w:sz w:val="28"/>
          <w:szCs w:val="28"/>
          <w:lang w:val="uk-UA"/>
        </w:rPr>
        <w:t> </w:t>
      </w:r>
      <w:r w:rsidRPr="002E6ECA">
        <w:rPr>
          <w:rFonts w:eastAsiaTheme="minorHAnsi"/>
          <w:sz w:val="28"/>
          <w:szCs w:val="28"/>
          <w:lang w:val="uk-UA" w:eastAsia="en-US"/>
        </w:rPr>
        <w:t xml:space="preserve">A. S. Internet use and psychosocial health of school aged children. </w:t>
      </w:r>
      <w:r w:rsidRPr="002E6ECA">
        <w:rPr>
          <w:rFonts w:eastAsiaTheme="minorHAnsi"/>
          <w:i/>
          <w:sz w:val="28"/>
          <w:szCs w:val="28"/>
          <w:lang w:val="uk-UA" w:eastAsia="en-US"/>
        </w:rPr>
        <w:t>Psychiatry Research</w:t>
      </w:r>
      <w:r w:rsidRPr="002E6ECA">
        <w:rPr>
          <w:rFonts w:eastAsiaTheme="minorHAnsi"/>
          <w:sz w:val="28"/>
          <w:szCs w:val="28"/>
          <w:lang w:val="uk-UA" w:eastAsia="en-US"/>
        </w:rPr>
        <w:t>. 2017. Vol. 255. Р. 204-208.</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Jafflin</w:t>
      </w:r>
      <w:r w:rsidRPr="002E6ECA">
        <w:rPr>
          <w:sz w:val="28"/>
          <w:szCs w:val="28"/>
          <w:lang w:val="uk-UA"/>
        </w:rPr>
        <w:t> </w:t>
      </w:r>
      <w:r w:rsidRPr="002E6ECA">
        <w:rPr>
          <w:rFonts w:eastAsiaTheme="minorHAnsi"/>
          <w:spacing w:val="-2"/>
          <w:sz w:val="28"/>
          <w:szCs w:val="28"/>
          <w:lang w:val="uk-UA" w:eastAsia="en-US"/>
        </w:rPr>
        <w:t>K., Pfeiffer</w:t>
      </w:r>
      <w:r w:rsidRPr="002E6ECA">
        <w:rPr>
          <w:sz w:val="28"/>
          <w:szCs w:val="28"/>
          <w:lang w:val="uk-UA"/>
        </w:rPr>
        <w:t> </w:t>
      </w:r>
      <w:r w:rsidRPr="002E6ECA">
        <w:rPr>
          <w:rFonts w:eastAsiaTheme="minorHAnsi"/>
          <w:spacing w:val="-2"/>
          <w:sz w:val="28"/>
          <w:szCs w:val="28"/>
          <w:lang w:val="uk-UA" w:eastAsia="en-US"/>
        </w:rPr>
        <w:t>C., Bergman</w:t>
      </w:r>
      <w:r w:rsidRPr="002E6ECA">
        <w:rPr>
          <w:sz w:val="28"/>
          <w:szCs w:val="28"/>
          <w:lang w:val="uk-UA"/>
        </w:rPr>
        <w:t> </w:t>
      </w:r>
      <w:r w:rsidRPr="002E6ECA">
        <w:rPr>
          <w:rFonts w:eastAsiaTheme="minorHAnsi"/>
          <w:spacing w:val="-2"/>
          <w:sz w:val="28"/>
          <w:szCs w:val="28"/>
          <w:lang w:val="uk-UA" w:eastAsia="en-US"/>
        </w:rPr>
        <w:t>M.</w:t>
      </w:r>
      <w:r w:rsidRPr="002E6ECA">
        <w:rPr>
          <w:sz w:val="28"/>
          <w:szCs w:val="28"/>
          <w:lang w:val="uk-UA"/>
        </w:rPr>
        <w:t> </w:t>
      </w:r>
      <w:r w:rsidRPr="002E6ECA">
        <w:rPr>
          <w:rFonts w:eastAsiaTheme="minorHAnsi"/>
          <w:spacing w:val="-2"/>
          <w:sz w:val="28"/>
          <w:szCs w:val="28"/>
          <w:lang w:val="uk-UA" w:eastAsia="en-US"/>
        </w:rPr>
        <w:t xml:space="preserve">M. Effects of self-esteem and stress on self-assessed health: a Swiss study from adolescence to early adulthood. </w:t>
      </w:r>
      <w:r w:rsidRPr="002E6ECA">
        <w:rPr>
          <w:rFonts w:eastAsiaTheme="minorHAnsi"/>
          <w:i/>
          <w:spacing w:val="-2"/>
          <w:sz w:val="28"/>
          <w:szCs w:val="28"/>
          <w:lang w:val="uk-UA" w:eastAsia="en-US"/>
        </w:rPr>
        <w:t>Quality Life Research</w:t>
      </w:r>
      <w:r w:rsidRPr="002E6ECA">
        <w:rPr>
          <w:rFonts w:eastAsiaTheme="minorHAnsi"/>
          <w:spacing w:val="-2"/>
          <w:sz w:val="28"/>
          <w:szCs w:val="28"/>
          <w:lang w:val="uk-UA" w:eastAsia="en-US"/>
        </w:rPr>
        <w:t xml:space="preserve">. 2019. Vol. 28 (4). P. 915-924. </w:t>
      </w:r>
      <w:hyperlink r:id="rId278" w:history="1">
        <w:r w:rsidRPr="002E6ECA">
          <w:rPr>
            <w:rFonts w:eastAsiaTheme="minorHAnsi"/>
            <w:spacing w:val="-2"/>
            <w:sz w:val="28"/>
            <w:szCs w:val="28"/>
            <w:lang w:val="uk-UA" w:eastAsia="en-US"/>
          </w:rPr>
          <w:t>https://doi</w:t>
        </w:r>
      </w:hyperlink>
      <w:r w:rsidRPr="002E6ECA">
        <w:rPr>
          <w:rFonts w:eastAsiaTheme="minorHAnsi"/>
          <w:spacing w:val="-2"/>
          <w:sz w:val="28"/>
          <w:szCs w:val="28"/>
          <w:lang w:val="uk-UA" w:eastAsia="en-US"/>
        </w:rPr>
        <w:t>: 10.1007/s11136-018-2059-1.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Jansen</w:t>
      </w:r>
      <w:r w:rsidRPr="002E6ECA">
        <w:rPr>
          <w:sz w:val="28"/>
          <w:szCs w:val="28"/>
          <w:lang w:val="uk-UA"/>
        </w:rPr>
        <w:t> </w:t>
      </w:r>
      <w:r w:rsidRPr="002E6ECA">
        <w:rPr>
          <w:rFonts w:eastAsiaTheme="minorHAnsi"/>
          <w:sz w:val="28"/>
          <w:szCs w:val="28"/>
          <w:lang w:val="uk-UA" w:eastAsia="en-US"/>
        </w:rPr>
        <w:t>P.,</w:t>
      </w:r>
      <w:hyperlink r:id="rId279" w:history="1">
        <w:r w:rsidRPr="002E6ECA">
          <w:rPr>
            <w:rFonts w:eastAsiaTheme="minorHAnsi"/>
            <w:sz w:val="28"/>
            <w:szCs w:val="28"/>
            <w:lang w:val="uk-UA" w:eastAsia="en-US"/>
          </w:rPr>
          <w:t xml:space="preserve"> Scheer</w:t>
        </w:r>
      </w:hyperlink>
      <w:r w:rsidRPr="002E6ECA">
        <w:rPr>
          <w:sz w:val="28"/>
          <w:szCs w:val="28"/>
          <w:lang w:val="uk-UA"/>
        </w:rPr>
        <w:t> </w:t>
      </w:r>
      <w:r w:rsidRPr="002E6ECA">
        <w:rPr>
          <w:rFonts w:eastAsiaTheme="minorHAnsi"/>
          <w:sz w:val="28"/>
          <w:szCs w:val="28"/>
          <w:lang w:val="uk-UA" w:eastAsia="en-US"/>
        </w:rPr>
        <w:t>C.,</w:t>
      </w:r>
      <w:hyperlink r:id="rId280" w:history="1">
        <w:r w:rsidRPr="002E6ECA">
          <w:rPr>
            <w:rFonts w:eastAsiaTheme="minorHAnsi"/>
            <w:sz w:val="28"/>
            <w:szCs w:val="28"/>
            <w:lang w:val="uk-UA" w:eastAsia="en-US"/>
          </w:rPr>
          <w:t xml:space="preserve"> Zayed</w:t>
        </w:r>
      </w:hyperlink>
      <w:r w:rsidRPr="002E6ECA">
        <w:rPr>
          <w:sz w:val="28"/>
          <w:szCs w:val="28"/>
          <w:lang w:val="uk-UA"/>
        </w:rPr>
        <w:t> </w:t>
      </w:r>
      <w:r w:rsidRPr="002E6ECA">
        <w:rPr>
          <w:rFonts w:eastAsiaTheme="minorHAnsi"/>
          <w:sz w:val="28"/>
          <w:szCs w:val="28"/>
          <w:lang w:val="uk-UA" w:eastAsia="en-US"/>
        </w:rPr>
        <w:t xml:space="preserve">K. Motor ability and working memory in Omani and German primary school-aged children. </w:t>
      </w:r>
      <w:r w:rsidRPr="002E6ECA">
        <w:rPr>
          <w:rFonts w:eastAsiaTheme="minorHAnsi"/>
          <w:i/>
          <w:sz w:val="28"/>
          <w:szCs w:val="28"/>
          <w:lang w:val="uk-UA" w:eastAsia="en-US"/>
        </w:rPr>
        <w:t>PLoS One</w:t>
      </w:r>
      <w:r w:rsidRPr="002E6ECA">
        <w:rPr>
          <w:rFonts w:eastAsiaTheme="minorHAnsi"/>
          <w:sz w:val="28"/>
          <w:szCs w:val="28"/>
          <w:lang w:val="uk-UA" w:eastAsia="en-US"/>
        </w:rPr>
        <w:t>. 2019. Vol. 14 (1). e0209848. doi: 10.1371/journal.pone.0209848.</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281" w:history="1">
        <w:r w:rsidR="00020FED" w:rsidRPr="002E6ECA">
          <w:rPr>
            <w:rFonts w:eastAsiaTheme="minorHAnsi"/>
            <w:sz w:val="28"/>
            <w:szCs w:val="28"/>
            <w:lang w:val="uk-UA" w:eastAsia="en-US"/>
          </w:rPr>
          <w:t>Jansen</w:t>
        </w:r>
      </w:hyperlink>
      <w:r w:rsidR="00020FED" w:rsidRPr="002E6ECA">
        <w:rPr>
          <w:sz w:val="28"/>
          <w:szCs w:val="28"/>
          <w:lang w:val="uk-UA"/>
        </w:rPr>
        <w:t> </w:t>
      </w:r>
      <w:r w:rsidR="00020FED" w:rsidRPr="002E6ECA">
        <w:rPr>
          <w:rFonts w:eastAsiaTheme="minorHAnsi"/>
          <w:bCs/>
          <w:sz w:val="28"/>
          <w:szCs w:val="28"/>
          <w:lang w:val="uk-UA" w:eastAsia="en-US"/>
        </w:rPr>
        <w:t>E.</w:t>
      </w:r>
      <w:r w:rsidR="00020FED" w:rsidRPr="002E6ECA">
        <w:rPr>
          <w:sz w:val="28"/>
          <w:szCs w:val="28"/>
          <w:lang w:val="uk-UA"/>
        </w:rPr>
        <w:t> </w:t>
      </w:r>
      <w:r w:rsidR="00020FED" w:rsidRPr="002E6ECA">
        <w:rPr>
          <w:rFonts w:eastAsiaTheme="minorHAnsi"/>
          <w:bCs/>
          <w:sz w:val="28"/>
          <w:szCs w:val="28"/>
          <w:lang w:val="uk-UA" w:eastAsia="en-US"/>
        </w:rPr>
        <w:t>C.,</w:t>
      </w:r>
      <w:hyperlink r:id="rId282" w:history="1">
        <w:r w:rsidR="00020FED" w:rsidRPr="002E6ECA">
          <w:rPr>
            <w:rFonts w:eastAsiaTheme="minorHAnsi"/>
            <w:sz w:val="28"/>
            <w:szCs w:val="28"/>
            <w:lang w:val="uk-UA" w:eastAsia="en-US"/>
          </w:rPr>
          <w:t xml:space="preserve"> Zhou</w:t>
        </w:r>
      </w:hyperlink>
      <w:r w:rsidR="00020FED" w:rsidRPr="002E6ECA">
        <w:rPr>
          <w:sz w:val="28"/>
          <w:szCs w:val="28"/>
          <w:lang w:val="uk-UA"/>
        </w:rPr>
        <w:t> </w:t>
      </w:r>
      <w:r w:rsidR="00020FED" w:rsidRPr="002E6ECA">
        <w:rPr>
          <w:rFonts w:eastAsiaTheme="minorHAnsi"/>
          <w:bCs/>
          <w:sz w:val="28"/>
          <w:szCs w:val="28"/>
          <w:lang w:val="uk-UA" w:eastAsia="en-US"/>
        </w:rPr>
        <w:t>L.,</w:t>
      </w:r>
      <w:hyperlink r:id="rId283" w:history="1">
        <w:r w:rsidR="00020FED" w:rsidRPr="002E6ECA">
          <w:rPr>
            <w:rFonts w:eastAsiaTheme="minorHAnsi"/>
            <w:sz w:val="28"/>
            <w:szCs w:val="28"/>
            <w:lang w:val="uk-UA" w:eastAsia="en-US"/>
          </w:rPr>
          <w:t xml:space="preserve"> Perng</w:t>
        </w:r>
      </w:hyperlink>
      <w:r w:rsidR="00020FED" w:rsidRPr="002E6ECA">
        <w:rPr>
          <w:sz w:val="28"/>
          <w:szCs w:val="28"/>
          <w:lang w:val="uk-UA"/>
        </w:rPr>
        <w:t> </w:t>
      </w:r>
      <w:r w:rsidR="00020FED" w:rsidRPr="002E6ECA">
        <w:rPr>
          <w:rFonts w:eastAsiaTheme="minorHAnsi"/>
          <w:bCs/>
          <w:sz w:val="28"/>
          <w:szCs w:val="28"/>
          <w:lang w:val="uk-UA" w:eastAsia="en-US"/>
        </w:rPr>
        <w:t>W.,</w:t>
      </w:r>
      <w:hyperlink r:id="rId284" w:history="1">
        <w:r w:rsidR="00020FED" w:rsidRPr="002E6ECA">
          <w:rPr>
            <w:rFonts w:eastAsiaTheme="minorHAnsi"/>
            <w:sz w:val="28"/>
            <w:szCs w:val="28"/>
            <w:lang w:val="uk-UA" w:eastAsia="en-US"/>
          </w:rPr>
          <w:t xml:space="preserve"> Song</w:t>
        </w:r>
      </w:hyperlink>
      <w:r w:rsidR="00020FED" w:rsidRPr="002E6ECA">
        <w:rPr>
          <w:sz w:val="28"/>
          <w:szCs w:val="28"/>
          <w:lang w:val="uk-UA"/>
        </w:rPr>
        <w:t> </w:t>
      </w:r>
      <w:r w:rsidR="00020FED" w:rsidRPr="002E6ECA">
        <w:rPr>
          <w:rFonts w:eastAsiaTheme="minorHAnsi"/>
          <w:bCs/>
          <w:sz w:val="28"/>
          <w:szCs w:val="28"/>
          <w:lang w:val="uk-UA" w:eastAsia="en-US"/>
        </w:rPr>
        <w:t>P.</w:t>
      </w:r>
      <w:r w:rsidR="00020FED" w:rsidRPr="002E6ECA">
        <w:rPr>
          <w:sz w:val="28"/>
          <w:szCs w:val="28"/>
          <w:lang w:val="uk-UA"/>
        </w:rPr>
        <w:t> </w:t>
      </w:r>
      <w:r w:rsidR="00020FED" w:rsidRPr="002E6ECA">
        <w:rPr>
          <w:rFonts w:eastAsiaTheme="minorHAnsi"/>
          <w:bCs/>
          <w:sz w:val="28"/>
          <w:szCs w:val="28"/>
          <w:lang w:val="uk-UA" w:eastAsia="en-US"/>
        </w:rPr>
        <w:t>X.,</w:t>
      </w:r>
      <w:hyperlink r:id="rId285" w:history="1">
        <w:r w:rsidR="00020FED" w:rsidRPr="002E6ECA">
          <w:rPr>
            <w:rFonts w:eastAsiaTheme="minorHAnsi"/>
            <w:sz w:val="28"/>
            <w:szCs w:val="28"/>
            <w:lang w:val="uk-UA" w:eastAsia="en-US"/>
          </w:rPr>
          <w:t xml:space="preserve"> Rojo</w:t>
        </w:r>
      </w:hyperlink>
      <w:r w:rsidR="00020FED" w:rsidRPr="002E6ECA">
        <w:rPr>
          <w:sz w:val="28"/>
          <w:szCs w:val="28"/>
          <w:lang w:val="uk-UA"/>
        </w:rPr>
        <w:t> </w:t>
      </w:r>
      <w:r w:rsidR="00020FED" w:rsidRPr="002E6ECA">
        <w:rPr>
          <w:rFonts w:eastAsiaTheme="minorHAnsi"/>
          <w:bCs/>
          <w:sz w:val="28"/>
          <w:szCs w:val="28"/>
          <w:lang w:val="uk-UA" w:eastAsia="en-US"/>
        </w:rPr>
        <w:t>M.</w:t>
      </w:r>
      <w:r w:rsidR="00020FED" w:rsidRPr="002E6ECA">
        <w:rPr>
          <w:sz w:val="28"/>
          <w:szCs w:val="28"/>
          <w:lang w:val="uk-UA"/>
        </w:rPr>
        <w:t> </w:t>
      </w:r>
      <w:r w:rsidR="00020FED" w:rsidRPr="002E6ECA">
        <w:rPr>
          <w:rFonts w:eastAsiaTheme="minorHAnsi"/>
          <w:bCs/>
          <w:sz w:val="28"/>
          <w:szCs w:val="28"/>
          <w:lang w:val="uk-UA" w:eastAsia="en-US"/>
        </w:rPr>
        <w:t>M</w:t>
      </w:r>
      <w:r w:rsidR="00020FED" w:rsidRPr="002E6ECA">
        <w:rPr>
          <w:rFonts w:eastAsiaTheme="minorHAnsi"/>
          <w:sz w:val="28"/>
          <w:szCs w:val="28"/>
          <w:lang w:val="uk-UA"/>
        </w:rPr>
        <w:t> </w:t>
      </w:r>
      <w:r w:rsidR="00020FED" w:rsidRPr="002E6ECA">
        <w:rPr>
          <w:rFonts w:eastAsiaTheme="minorHAnsi"/>
          <w:bCs/>
          <w:sz w:val="28"/>
          <w:szCs w:val="28"/>
          <w:lang w:val="uk-UA" w:eastAsia="en-US"/>
        </w:rPr>
        <w:t>T.,</w:t>
      </w:r>
      <w:hyperlink r:id="rId286" w:history="1">
        <w:r w:rsidR="00020FED" w:rsidRPr="002E6ECA">
          <w:rPr>
            <w:rFonts w:eastAsiaTheme="minorHAnsi"/>
            <w:sz w:val="28"/>
            <w:szCs w:val="28"/>
            <w:lang w:val="uk-UA" w:eastAsia="en-US"/>
          </w:rPr>
          <w:t xml:space="preserve"> Mercado</w:t>
        </w:r>
      </w:hyperlink>
      <w:r w:rsidR="00020FED" w:rsidRPr="002E6ECA">
        <w:rPr>
          <w:sz w:val="28"/>
          <w:szCs w:val="28"/>
          <w:lang w:val="uk-UA"/>
        </w:rPr>
        <w:t> </w:t>
      </w:r>
      <w:r w:rsidR="00020FED" w:rsidRPr="002E6ECA">
        <w:rPr>
          <w:rFonts w:eastAsiaTheme="minorHAnsi"/>
          <w:bCs/>
          <w:sz w:val="28"/>
          <w:szCs w:val="28"/>
          <w:lang w:val="uk-UA" w:eastAsia="en-US"/>
        </w:rPr>
        <w:t>A.,</w:t>
      </w:r>
      <w:hyperlink r:id="rId287" w:history="1">
        <w:r w:rsidR="00020FED" w:rsidRPr="002E6ECA">
          <w:rPr>
            <w:rFonts w:eastAsiaTheme="minorHAnsi"/>
            <w:sz w:val="28"/>
            <w:szCs w:val="28"/>
            <w:lang w:val="uk-UA" w:eastAsia="en-US"/>
          </w:rPr>
          <w:t xml:space="preserve"> Peterson</w:t>
        </w:r>
      </w:hyperlink>
      <w:r w:rsidR="00020FED" w:rsidRPr="002E6ECA">
        <w:rPr>
          <w:sz w:val="28"/>
          <w:szCs w:val="28"/>
          <w:lang w:val="uk-UA"/>
        </w:rPr>
        <w:t> </w:t>
      </w:r>
      <w:r w:rsidR="00020FED" w:rsidRPr="002E6ECA">
        <w:rPr>
          <w:rFonts w:eastAsiaTheme="minorHAnsi"/>
          <w:bCs/>
          <w:sz w:val="28"/>
          <w:szCs w:val="28"/>
          <w:lang w:val="uk-UA" w:eastAsia="en-US"/>
        </w:rPr>
        <w:t>K.</w:t>
      </w:r>
      <w:r w:rsidR="00020FED" w:rsidRPr="002E6ECA">
        <w:rPr>
          <w:sz w:val="28"/>
          <w:szCs w:val="28"/>
          <w:lang w:val="uk-UA"/>
        </w:rPr>
        <w:t> </w:t>
      </w:r>
      <w:r w:rsidR="00020FED" w:rsidRPr="002E6ECA">
        <w:rPr>
          <w:rFonts w:eastAsiaTheme="minorHAnsi"/>
          <w:bCs/>
          <w:sz w:val="28"/>
          <w:szCs w:val="28"/>
          <w:lang w:val="uk-UA" w:eastAsia="en-US"/>
        </w:rPr>
        <w:t>E.,</w:t>
      </w:r>
      <w:hyperlink r:id="rId288" w:history="1">
        <w:r w:rsidR="00020FED" w:rsidRPr="002E6ECA">
          <w:rPr>
            <w:rFonts w:eastAsiaTheme="minorHAnsi"/>
            <w:sz w:val="28"/>
            <w:szCs w:val="28"/>
            <w:lang w:val="uk-UA" w:eastAsia="en-US"/>
          </w:rPr>
          <w:t xml:space="preserve"> Cantoral</w:t>
        </w:r>
      </w:hyperlink>
      <w:r w:rsidR="00020FED" w:rsidRPr="002E6ECA">
        <w:rPr>
          <w:sz w:val="28"/>
          <w:szCs w:val="28"/>
          <w:lang w:val="uk-UA"/>
        </w:rPr>
        <w:t> </w:t>
      </w:r>
      <w:r w:rsidR="00020FED" w:rsidRPr="002E6ECA">
        <w:rPr>
          <w:rFonts w:eastAsiaTheme="minorHAnsi"/>
          <w:bCs/>
          <w:sz w:val="28"/>
          <w:szCs w:val="28"/>
          <w:lang w:val="uk-UA" w:eastAsia="en-US"/>
        </w:rPr>
        <w:t xml:space="preserve">A. Vegetables and lean proteins-based and processed meats and refined grains -based dietary patterns in early childhood are </w:t>
      </w:r>
      <w:r w:rsidR="00020FED" w:rsidRPr="002E6ECA">
        <w:rPr>
          <w:rFonts w:eastAsiaTheme="minorHAnsi"/>
          <w:bCs/>
          <w:sz w:val="28"/>
          <w:szCs w:val="28"/>
          <w:lang w:val="uk-UA" w:eastAsia="en-US"/>
        </w:rPr>
        <w:lastRenderedPageBreak/>
        <w:t xml:space="preserve">associated with pubertal timing in a sex-specific manner: a prospective study of children from Mexico City. </w:t>
      </w:r>
      <w:r w:rsidR="00020FED" w:rsidRPr="002E6ECA">
        <w:rPr>
          <w:rFonts w:eastAsiaTheme="minorHAnsi"/>
          <w:bCs/>
          <w:i/>
          <w:sz w:val="28"/>
          <w:szCs w:val="28"/>
          <w:lang w:val="uk-UA" w:eastAsia="en-US"/>
        </w:rPr>
        <w:t>Nutr Res</w:t>
      </w:r>
      <w:r w:rsidR="00020FED" w:rsidRPr="002E6ECA">
        <w:rPr>
          <w:rFonts w:eastAsiaTheme="minorHAnsi"/>
          <w:bCs/>
          <w:sz w:val="28"/>
          <w:szCs w:val="28"/>
          <w:lang w:val="uk-UA" w:eastAsia="en-US"/>
        </w:rPr>
        <w:t xml:space="preserve">. 2018. Aug. Vol. 56. P. 41-50. doi: 10.1016/j.nutres.2018.04.021.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Jellinek</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S., Murphy</w:t>
      </w:r>
      <w:r w:rsidRPr="002E6ECA">
        <w:rPr>
          <w:sz w:val="28"/>
          <w:szCs w:val="28"/>
          <w:lang w:val="uk-UA"/>
        </w:rPr>
        <w:t> </w:t>
      </w:r>
      <w:r w:rsidRPr="002E6ECA">
        <w:rPr>
          <w:rFonts w:eastAsiaTheme="minorHAnsi"/>
          <w:sz w:val="28"/>
          <w:szCs w:val="28"/>
          <w:lang w:val="uk-UA" w:eastAsia="en-US"/>
        </w:rPr>
        <w:t>J., Little</w:t>
      </w:r>
      <w:r w:rsidRPr="002E6ECA">
        <w:rPr>
          <w:sz w:val="28"/>
          <w:szCs w:val="28"/>
          <w:lang w:val="uk-UA"/>
        </w:rPr>
        <w:t> </w:t>
      </w:r>
      <w:r w:rsidRPr="002E6ECA">
        <w:rPr>
          <w:rFonts w:eastAsiaTheme="minorHAnsi"/>
          <w:sz w:val="28"/>
          <w:szCs w:val="28"/>
          <w:lang w:val="uk-UA" w:eastAsia="en-US"/>
        </w:rPr>
        <w:t>M., Pagano</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E., Comer</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M., Kelleher</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 xml:space="preserve">J. Use of the pediatric symptom checklist to screen for psychosocial problems in pediatric primary care: a national feasibility study. </w:t>
      </w:r>
      <w:r w:rsidRPr="002E6ECA">
        <w:rPr>
          <w:rFonts w:eastAsiaTheme="minorHAnsi"/>
          <w:i/>
          <w:sz w:val="28"/>
          <w:szCs w:val="28"/>
          <w:lang w:val="uk-UA" w:eastAsia="en-US"/>
        </w:rPr>
        <w:t>Archives of pediatrics adolescent medicine</w:t>
      </w:r>
      <w:r w:rsidRPr="002E6ECA">
        <w:rPr>
          <w:rFonts w:eastAsiaTheme="minorHAnsi"/>
          <w:sz w:val="28"/>
          <w:szCs w:val="28"/>
          <w:lang w:val="uk-UA" w:eastAsia="en-US"/>
        </w:rPr>
        <w:t>. 1999. Vol. 153. Р. 254-60. doi: 10.1001/archpedi.153.3.254.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Johansson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S., Korshøj</w:t>
      </w:r>
      <w:r w:rsidRPr="002E6ECA">
        <w:rPr>
          <w:sz w:val="28"/>
          <w:szCs w:val="28"/>
          <w:lang w:val="uk-UA"/>
        </w:rPr>
        <w:t> </w:t>
      </w:r>
      <w:r w:rsidRPr="002E6ECA">
        <w:rPr>
          <w:rFonts w:eastAsiaTheme="minorHAnsi"/>
          <w:sz w:val="28"/>
          <w:szCs w:val="28"/>
          <w:lang w:val="uk-UA" w:eastAsia="en-US"/>
        </w:rPr>
        <w:t>M., Schnohr</w:t>
      </w:r>
      <w:r w:rsidRPr="002E6ECA">
        <w:rPr>
          <w:sz w:val="28"/>
          <w:szCs w:val="28"/>
          <w:lang w:val="uk-UA"/>
        </w:rPr>
        <w:t> </w:t>
      </w:r>
      <w:r w:rsidRPr="002E6ECA">
        <w:rPr>
          <w:rFonts w:eastAsiaTheme="minorHAnsi"/>
          <w:sz w:val="28"/>
          <w:szCs w:val="28"/>
          <w:lang w:val="uk-UA" w:eastAsia="en-US"/>
        </w:rPr>
        <w:t>P., Marott</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L., Prescott</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I. B., Søgaard</w:t>
      </w:r>
      <w:r w:rsidRPr="002E6ECA">
        <w:rPr>
          <w:sz w:val="28"/>
          <w:szCs w:val="28"/>
          <w:lang w:val="uk-UA"/>
        </w:rPr>
        <w:t> </w:t>
      </w:r>
      <w:r w:rsidRPr="002E6ECA">
        <w:rPr>
          <w:rFonts w:eastAsiaTheme="minorHAnsi"/>
          <w:sz w:val="28"/>
          <w:szCs w:val="28"/>
          <w:lang w:val="uk-UA" w:eastAsia="en-US"/>
        </w:rPr>
        <w:t>K., Holtermann</w:t>
      </w:r>
      <w:r w:rsidRPr="002E6ECA">
        <w:rPr>
          <w:sz w:val="28"/>
          <w:szCs w:val="28"/>
          <w:lang w:val="uk-UA"/>
        </w:rPr>
        <w:t> </w:t>
      </w:r>
      <w:r w:rsidRPr="002E6ECA">
        <w:rPr>
          <w:rFonts w:eastAsiaTheme="minorHAnsi"/>
          <w:sz w:val="28"/>
          <w:szCs w:val="28"/>
          <w:lang w:val="uk-UA" w:eastAsia="en-US"/>
        </w:rPr>
        <w:t xml:space="preserve">A. </w:t>
      </w:r>
      <w:hyperlink r:id="rId289" w:history="1">
        <w:r w:rsidRPr="002E6ECA">
          <w:rPr>
            <w:rFonts w:eastAsiaTheme="minorHAnsi"/>
            <w:sz w:val="28"/>
            <w:szCs w:val="28"/>
            <w:lang w:val="uk-UA" w:eastAsia="en-US"/>
          </w:rPr>
          <w:t>Time spent cycling, walking, running, standing and sedentary: a cross-sectional analysis of accelerometer-data from 1670 adults in the Copenhagen City Heart Study : Physical behaviours among 1670 Copenhageners.</w:t>
        </w:r>
      </w:hyperlink>
      <w:r w:rsidRPr="002E6ECA">
        <w:rPr>
          <w:rFonts w:eastAsiaTheme="minorHAnsi"/>
          <w:i/>
          <w:sz w:val="28"/>
          <w:szCs w:val="28"/>
          <w:lang w:val="uk-UA" w:eastAsia="en-US"/>
        </w:rPr>
        <w:t>BMC Public Health</w:t>
      </w:r>
      <w:r w:rsidRPr="002E6ECA">
        <w:rPr>
          <w:rFonts w:eastAsiaTheme="minorHAnsi"/>
          <w:sz w:val="28"/>
          <w:szCs w:val="28"/>
          <w:lang w:val="uk-UA" w:eastAsia="en-US"/>
        </w:rPr>
        <w:t>. 2019. Vol. 19 (1). 1370. doi: 10.1186/s12889-019-7679-z.</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lang w:val="uk-UA" w:eastAsia="en-US"/>
        </w:rPr>
        <w:t>Johnstone</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M., Roake</w:t>
      </w:r>
      <w:r w:rsidRPr="002E6ECA">
        <w:rPr>
          <w:sz w:val="28"/>
          <w:szCs w:val="28"/>
          <w:lang w:val="uk-UA"/>
        </w:rPr>
        <w:t> </w:t>
      </w:r>
      <w:r w:rsidRPr="002E6ECA">
        <w:rPr>
          <w:rFonts w:eastAsiaTheme="minorHAnsi"/>
          <w:sz w:val="28"/>
          <w:szCs w:val="28"/>
          <w:lang w:val="uk-UA" w:eastAsia="en-US"/>
        </w:rPr>
        <w:t>C., Oken</w:t>
      </w:r>
      <w:r w:rsidRPr="002E6ECA">
        <w:rPr>
          <w:sz w:val="28"/>
          <w:szCs w:val="28"/>
          <w:lang w:val="uk-UA"/>
        </w:rPr>
        <w:t> </w:t>
      </w:r>
      <w:r w:rsidRPr="002E6ECA">
        <w:rPr>
          <w:rFonts w:eastAsiaTheme="minorHAnsi"/>
          <w:sz w:val="28"/>
          <w:szCs w:val="28"/>
          <w:lang w:val="uk-UA" w:eastAsia="en-US"/>
        </w:rPr>
        <w:t xml:space="preserve">B. School-based mindfulness intervention for stress reduction in adolescents: Design and methodology of an open-label, parallel group, randomized controlled trial. </w:t>
      </w:r>
      <w:r w:rsidRPr="002E6ECA">
        <w:rPr>
          <w:rFonts w:eastAsiaTheme="minorHAnsi"/>
          <w:i/>
          <w:sz w:val="28"/>
          <w:szCs w:val="28"/>
          <w:lang w:val="uk-UA" w:eastAsia="en-US"/>
        </w:rPr>
        <w:t>Contemporary clinical trials communications</w:t>
      </w:r>
      <w:r w:rsidRPr="002E6ECA">
        <w:rPr>
          <w:rFonts w:eastAsiaTheme="minorHAnsi"/>
          <w:sz w:val="28"/>
          <w:szCs w:val="28"/>
          <w:lang w:val="uk-UA" w:eastAsia="en-US"/>
        </w:rPr>
        <w:t xml:space="preserve">. 2016. Vol. 4. Р. 99-104. </w:t>
      </w:r>
      <w:hyperlink r:id="rId290" w:history="1">
        <w:r w:rsidRPr="002E6ECA">
          <w:rPr>
            <w:rFonts w:eastAsiaTheme="minorHAnsi"/>
            <w:sz w:val="28"/>
            <w:szCs w:val="28"/>
            <w:lang w:val="uk-UA" w:eastAsia="en-US"/>
          </w:rPr>
          <w:t>https://doi.org/10.1016/ j.conctc.2016.07.001</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Jones</w:t>
      </w:r>
      <w:r w:rsidRPr="002E6ECA">
        <w:rPr>
          <w:sz w:val="28"/>
          <w:szCs w:val="28"/>
          <w:lang w:val="uk-UA"/>
        </w:rPr>
        <w:t> </w:t>
      </w:r>
      <w:r w:rsidRPr="002E6ECA">
        <w:rPr>
          <w:rFonts w:eastAsiaTheme="minorHAnsi"/>
          <w:sz w:val="28"/>
          <w:szCs w:val="28"/>
          <w:lang w:val="uk-UA" w:eastAsia="en-US"/>
        </w:rPr>
        <w:t>M., Defever</w:t>
      </w:r>
      <w:r w:rsidRPr="002E6ECA">
        <w:rPr>
          <w:sz w:val="28"/>
          <w:szCs w:val="28"/>
          <w:lang w:val="uk-UA"/>
        </w:rPr>
        <w:t> </w:t>
      </w:r>
      <w:r w:rsidRPr="002E6ECA">
        <w:rPr>
          <w:rFonts w:eastAsiaTheme="minorHAnsi"/>
          <w:sz w:val="28"/>
          <w:szCs w:val="28"/>
          <w:lang w:val="uk-UA" w:eastAsia="en-US"/>
        </w:rPr>
        <w:t>E., Letsinger</w:t>
      </w:r>
      <w:r w:rsidRPr="002E6ECA">
        <w:rPr>
          <w:sz w:val="28"/>
          <w:szCs w:val="28"/>
          <w:lang w:val="uk-UA"/>
        </w:rPr>
        <w:t> </w:t>
      </w:r>
      <w:r w:rsidRPr="002E6ECA">
        <w:rPr>
          <w:rFonts w:eastAsiaTheme="minorHAnsi"/>
          <w:sz w:val="28"/>
          <w:szCs w:val="28"/>
          <w:lang w:val="uk-UA" w:eastAsia="en-US"/>
        </w:rPr>
        <w:t>A., Steele</w:t>
      </w:r>
      <w:r w:rsidRPr="002E6ECA">
        <w:rPr>
          <w:sz w:val="28"/>
          <w:szCs w:val="28"/>
          <w:lang w:val="uk-UA"/>
        </w:rPr>
        <w:t> </w:t>
      </w:r>
      <w:r w:rsidRPr="002E6ECA">
        <w:rPr>
          <w:rFonts w:eastAsiaTheme="minorHAnsi"/>
          <w:sz w:val="28"/>
          <w:szCs w:val="28"/>
          <w:lang w:val="uk-UA" w:eastAsia="en-US"/>
        </w:rPr>
        <w:t>J., Mackintosh</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 xml:space="preserve">A. </w:t>
      </w:r>
      <w:hyperlink r:id="rId291" w:history="1">
        <w:r w:rsidRPr="002E6ECA">
          <w:rPr>
            <w:rFonts w:eastAsiaTheme="minorHAnsi"/>
            <w:sz w:val="28"/>
            <w:szCs w:val="28"/>
            <w:lang w:val="uk-UA" w:eastAsia="en-US"/>
          </w:rPr>
          <w:t xml:space="preserve">A mixed-studies systematic review and meta-analysis of school-based interventions to promote physical activity and/or reduce sedentary time in children. </w:t>
        </w:r>
      </w:hyperlink>
      <w:r w:rsidRPr="002E6ECA">
        <w:rPr>
          <w:rFonts w:eastAsiaTheme="minorHAnsi"/>
          <w:i/>
          <w:sz w:val="28"/>
          <w:szCs w:val="28"/>
          <w:lang w:val="uk-UA" w:eastAsia="en-US"/>
        </w:rPr>
        <w:t>J Sport Health Sci. 2020</w:t>
      </w:r>
      <w:r w:rsidRPr="002E6ECA">
        <w:rPr>
          <w:rFonts w:eastAsiaTheme="minorHAnsi"/>
          <w:sz w:val="28"/>
          <w:szCs w:val="28"/>
          <w:lang w:val="uk-UA" w:eastAsia="en-US"/>
        </w:rPr>
        <w:t>. Vol. 9 (1). Р. 3-17. doi: 10.1016/j.jshs.2019.06.009.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Kaplan</w:t>
      </w:r>
      <w:r w:rsidRPr="002E6ECA">
        <w:rPr>
          <w:sz w:val="28"/>
          <w:szCs w:val="28"/>
          <w:lang w:val="uk-UA"/>
        </w:rPr>
        <w:t> </w:t>
      </w:r>
      <w:r w:rsidRPr="002E6ECA">
        <w:rPr>
          <w:rFonts w:eastAsiaTheme="minorHAnsi"/>
          <w:sz w:val="28"/>
          <w:szCs w:val="28"/>
          <w:lang w:val="uk-UA" w:eastAsia="en-US"/>
        </w:rPr>
        <w:t>D., Liu</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X., &amp; Kaplan</w:t>
      </w:r>
      <w:r w:rsidRPr="002E6ECA">
        <w:rPr>
          <w:sz w:val="28"/>
          <w:szCs w:val="28"/>
          <w:lang w:val="uk-UA"/>
        </w:rPr>
        <w:t> </w:t>
      </w:r>
      <w:r w:rsidRPr="002E6ECA">
        <w:rPr>
          <w:rFonts w:eastAsiaTheme="minorHAnsi"/>
          <w:sz w:val="28"/>
          <w:szCs w:val="28"/>
          <w:lang w:val="uk-UA" w:eastAsia="en-US"/>
        </w:rPr>
        <w:t>H.</w:t>
      </w:r>
      <w:r w:rsidRPr="002E6ECA">
        <w:rPr>
          <w:sz w:val="28"/>
          <w:szCs w:val="28"/>
          <w:lang w:val="uk-UA"/>
        </w:rPr>
        <w:t> </w:t>
      </w:r>
      <w:r w:rsidRPr="002E6ECA">
        <w:rPr>
          <w:rFonts w:eastAsiaTheme="minorHAnsi"/>
          <w:sz w:val="28"/>
          <w:szCs w:val="28"/>
          <w:lang w:val="uk-UA" w:eastAsia="en-US"/>
        </w:rPr>
        <w:t xml:space="preserve">B. School related stress in early adolescence and academic performance three years later: the conditional influence of self expectations. </w:t>
      </w:r>
      <w:r w:rsidRPr="002E6ECA">
        <w:rPr>
          <w:rFonts w:eastAsiaTheme="minorHAnsi"/>
          <w:i/>
          <w:sz w:val="28"/>
          <w:szCs w:val="28"/>
          <w:lang w:val="uk-UA" w:eastAsia="en-US"/>
        </w:rPr>
        <w:t>Social Psychology of Education</w:t>
      </w:r>
      <w:r w:rsidRPr="002E6ECA">
        <w:rPr>
          <w:rFonts w:eastAsiaTheme="minorHAnsi"/>
          <w:sz w:val="28"/>
          <w:szCs w:val="28"/>
          <w:lang w:val="uk-UA" w:eastAsia="en-US"/>
        </w:rPr>
        <w:t>. 2005. Vol. 8. Р. 3-17.</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292" w:history="1">
        <w:r w:rsidR="00020FED" w:rsidRPr="002E6ECA">
          <w:rPr>
            <w:rFonts w:eastAsiaTheme="minorHAnsi"/>
            <w:sz w:val="28"/>
            <w:szCs w:val="28"/>
            <w:lang w:val="uk-UA" w:eastAsia="en-US"/>
          </w:rPr>
          <w:t>Karklina</w:t>
        </w:r>
        <w:r w:rsidR="00020FED" w:rsidRPr="002E6ECA">
          <w:rPr>
            <w:sz w:val="28"/>
            <w:szCs w:val="28"/>
            <w:lang w:val="uk-UA"/>
          </w:rPr>
          <w:t> </w:t>
        </w:r>
        <w:r w:rsidR="00020FED" w:rsidRPr="002E6ECA">
          <w:rPr>
            <w:rFonts w:eastAsiaTheme="minorHAnsi"/>
            <w:sz w:val="28"/>
            <w:szCs w:val="28"/>
            <w:lang w:val="uk-UA" w:eastAsia="en-US"/>
          </w:rPr>
          <w:t>H</w:t>
        </w:r>
      </w:hyperlink>
      <w:r w:rsidR="00020FED" w:rsidRPr="002E6ECA">
        <w:rPr>
          <w:rFonts w:eastAsiaTheme="minorHAnsi"/>
          <w:sz w:val="28"/>
          <w:szCs w:val="28"/>
          <w:lang w:val="uk-UA" w:eastAsia="en-US"/>
        </w:rPr>
        <w:t xml:space="preserve">., </w:t>
      </w:r>
      <w:hyperlink r:id="rId293" w:history="1">
        <w:r w:rsidR="00020FED" w:rsidRPr="002E6ECA">
          <w:rPr>
            <w:rFonts w:eastAsiaTheme="minorHAnsi"/>
            <w:sz w:val="28"/>
            <w:szCs w:val="28"/>
            <w:lang w:val="uk-UA" w:eastAsia="en-US"/>
          </w:rPr>
          <w:t>Apinis</w:t>
        </w:r>
        <w:r w:rsidR="00020FED" w:rsidRPr="002E6ECA">
          <w:rPr>
            <w:sz w:val="28"/>
            <w:szCs w:val="28"/>
            <w:lang w:val="uk-UA"/>
          </w:rPr>
          <w:t> </w:t>
        </w:r>
        <w:r w:rsidR="00020FED" w:rsidRPr="002E6ECA">
          <w:rPr>
            <w:rFonts w:eastAsiaTheme="minorHAnsi"/>
            <w:sz w:val="28"/>
            <w:szCs w:val="28"/>
            <w:lang w:val="uk-UA" w:eastAsia="en-US"/>
          </w:rPr>
          <w:t>P</w:t>
        </w:r>
      </w:hyperlink>
      <w:r w:rsidR="00020FED" w:rsidRPr="002E6ECA">
        <w:rPr>
          <w:rFonts w:eastAsiaTheme="minorHAnsi"/>
          <w:sz w:val="28"/>
          <w:szCs w:val="28"/>
          <w:lang w:val="uk-UA" w:eastAsia="en-US"/>
        </w:rPr>
        <w:t xml:space="preserve">., </w:t>
      </w:r>
      <w:hyperlink r:id="rId294" w:history="1">
        <w:r w:rsidR="00020FED" w:rsidRPr="002E6ECA">
          <w:rPr>
            <w:rFonts w:eastAsiaTheme="minorHAnsi"/>
            <w:sz w:val="28"/>
            <w:szCs w:val="28"/>
            <w:lang w:val="uk-UA" w:eastAsia="en-US"/>
          </w:rPr>
          <w:t>Kalnina</w:t>
        </w:r>
        <w:r w:rsidR="00020FED" w:rsidRPr="002E6ECA">
          <w:rPr>
            <w:sz w:val="28"/>
            <w:szCs w:val="28"/>
            <w:lang w:val="uk-UA"/>
          </w:rPr>
          <w:t> </w:t>
        </w:r>
        <w:r w:rsidR="00020FED" w:rsidRPr="002E6ECA">
          <w:rPr>
            <w:rFonts w:eastAsiaTheme="minorHAnsi"/>
            <w:sz w:val="28"/>
            <w:szCs w:val="28"/>
            <w:lang w:val="uk-UA" w:eastAsia="en-US"/>
          </w:rPr>
          <w:t>L</w:t>
        </w:r>
      </w:hyperlink>
      <w:r w:rsidR="00020FED" w:rsidRPr="002E6ECA">
        <w:rPr>
          <w:rFonts w:eastAsiaTheme="minorHAnsi"/>
          <w:sz w:val="28"/>
          <w:szCs w:val="28"/>
          <w:lang w:val="uk-UA" w:eastAsia="en-US"/>
        </w:rPr>
        <w:t xml:space="preserve">., </w:t>
      </w:r>
      <w:hyperlink r:id="rId295" w:history="1">
        <w:r w:rsidR="00020FED" w:rsidRPr="002E6ECA">
          <w:rPr>
            <w:rFonts w:eastAsiaTheme="minorHAnsi"/>
            <w:sz w:val="28"/>
            <w:szCs w:val="28"/>
            <w:lang w:val="uk-UA" w:eastAsia="en-US"/>
          </w:rPr>
          <w:t>Sauka</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296" w:history="1">
        <w:r w:rsidR="00020FED" w:rsidRPr="002E6ECA">
          <w:rPr>
            <w:rFonts w:eastAsiaTheme="minorHAnsi"/>
            <w:sz w:val="28"/>
            <w:szCs w:val="28"/>
            <w:lang w:val="uk-UA" w:eastAsia="en-US"/>
          </w:rPr>
          <w:t>Mozgis</w:t>
        </w:r>
        <w:r w:rsidR="00020FED" w:rsidRPr="002E6ECA">
          <w:rPr>
            <w:sz w:val="28"/>
            <w:szCs w:val="28"/>
            <w:lang w:val="uk-UA"/>
          </w:rPr>
          <w:t> </w:t>
        </w:r>
        <w:r w:rsidR="00020FED" w:rsidRPr="002E6ECA">
          <w:rPr>
            <w:rFonts w:eastAsiaTheme="minorHAnsi"/>
            <w:sz w:val="28"/>
            <w:szCs w:val="28"/>
            <w:lang w:val="uk-UA" w:eastAsia="en-US"/>
          </w:rPr>
          <w:t>D</w:t>
        </w:r>
      </w:hyperlink>
      <w:r w:rsidR="00020FED" w:rsidRPr="002E6ECA">
        <w:rPr>
          <w:rFonts w:eastAsiaTheme="minorHAnsi"/>
          <w:sz w:val="28"/>
          <w:szCs w:val="28"/>
          <w:lang w:val="uk-UA" w:eastAsia="en-US"/>
        </w:rPr>
        <w:t xml:space="preserve">., </w:t>
      </w:r>
      <w:hyperlink r:id="rId297" w:history="1">
        <w:r w:rsidR="00020FED" w:rsidRPr="002E6ECA">
          <w:rPr>
            <w:rFonts w:eastAsiaTheme="minorHAnsi"/>
            <w:sz w:val="28"/>
            <w:szCs w:val="28"/>
            <w:lang w:val="uk-UA" w:eastAsia="en-US"/>
          </w:rPr>
          <w:t>Krumina</w:t>
        </w:r>
        <w:r w:rsidR="00020FED" w:rsidRPr="002E6ECA">
          <w:rPr>
            <w:sz w:val="28"/>
            <w:szCs w:val="28"/>
            <w:lang w:val="uk-UA"/>
          </w:rPr>
          <w:t> </w:t>
        </w:r>
        <w:r w:rsidR="00020FED" w:rsidRPr="002E6ECA">
          <w:rPr>
            <w:rFonts w:eastAsiaTheme="minorHAnsi"/>
            <w:sz w:val="28"/>
            <w:szCs w:val="28"/>
            <w:lang w:val="uk-UA" w:eastAsia="en-US"/>
          </w:rPr>
          <w:t>D</w:t>
        </w:r>
      </w:hyperlink>
      <w:r w:rsidR="00020FED" w:rsidRPr="002E6ECA">
        <w:rPr>
          <w:rFonts w:eastAsiaTheme="minorHAnsi"/>
          <w:sz w:val="28"/>
          <w:szCs w:val="28"/>
          <w:lang w:val="uk-UA" w:eastAsia="en-US"/>
        </w:rPr>
        <w:t xml:space="preserve">., </w:t>
      </w:r>
      <w:hyperlink r:id="rId298" w:history="1">
        <w:r w:rsidR="00020FED" w:rsidRPr="002E6ECA">
          <w:rPr>
            <w:rFonts w:eastAsiaTheme="minorHAnsi"/>
            <w:sz w:val="28"/>
            <w:szCs w:val="28"/>
            <w:lang w:val="uk-UA" w:eastAsia="en-US"/>
          </w:rPr>
          <w:t>Knipse</w:t>
        </w:r>
        <w:r w:rsidR="00020FED" w:rsidRPr="002E6ECA">
          <w:rPr>
            <w:sz w:val="28"/>
            <w:szCs w:val="28"/>
            <w:lang w:val="uk-UA"/>
          </w:rPr>
          <w:t> </w:t>
        </w:r>
        <w:r w:rsidR="00020FED" w:rsidRPr="002E6ECA">
          <w:rPr>
            <w:rFonts w:eastAsiaTheme="minorHAnsi"/>
            <w:sz w:val="28"/>
            <w:szCs w:val="28"/>
            <w:lang w:val="uk-UA" w:eastAsia="en-US"/>
          </w:rPr>
          <w:t>G</w:t>
        </w:r>
      </w:hyperlink>
      <w:r w:rsidR="00020FED" w:rsidRPr="002E6ECA">
        <w:rPr>
          <w:rFonts w:eastAsiaTheme="minorHAnsi"/>
          <w:sz w:val="28"/>
          <w:szCs w:val="28"/>
          <w:lang w:val="uk-UA" w:eastAsia="en-US"/>
        </w:rPr>
        <w:t xml:space="preserve">. Analysis of body composition of 9- and 10-year-old children in Latvia. </w:t>
      </w:r>
      <w:hyperlink r:id="rId299" w:tooltip="Medicina (Kaunas, Lithuania)." w:history="1">
        <w:r w:rsidR="00020FED" w:rsidRPr="002E6ECA">
          <w:rPr>
            <w:rFonts w:eastAsiaTheme="minorHAnsi"/>
            <w:i/>
            <w:sz w:val="28"/>
            <w:szCs w:val="28"/>
            <w:lang w:val="uk-UA" w:eastAsia="en-US"/>
          </w:rPr>
          <w:t>Medicina (Kaunas)</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2011. Vol. 47 (10). Р. 573-578. </w:t>
      </w:r>
      <w:hyperlink r:id="rId300" w:history="1">
        <w:r w:rsidR="00020FED" w:rsidRPr="002E6ECA">
          <w:rPr>
            <w:rFonts w:eastAsiaTheme="minorHAnsi"/>
            <w:sz w:val="28"/>
            <w:szCs w:val="28"/>
            <w:lang w:val="uk-UA" w:eastAsia="en-US"/>
          </w:rPr>
          <w:t>https://www.ncbi.nlm.nih.gov/ pubmed/22186122</w:t>
        </w:r>
      </w:hyperlink>
      <w:r w:rsidR="00020FED" w:rsidRPr="002E6ECA">
        <w:rPr>
          <w:rFonts w:eastAsiaTheme="minorHAnsi"/>
          <w:sz w:val="28"/>
          <w:szCs w:val="28"/>
          <w:lang w:val="uk-UA" w:eastAsia="en-US"/>
        </w:rPr>
        <w:t xml:space="preserve">.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01" w:history="1">
        <w:r w:rsidR="00020FED" w:rsidRPr="002E6ECA">
          <w:rPr>
            <w:rFonts w:eastAsiaTheme="minorHAnsi"/>
            <w:sz w:val="28"/>
            <w:szCs w:val="28"/>
            <w:lang w:val="uk-UA" w:eastAsia="en-US"/>
          </w:rPr>
          <w:t>Kastorini</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 xml:space="preserve">M., </w:t>
      </w:r>
      <w:hyperlink r:id="rId302" w:history="1">
        <w:r w:rsidR="00020FED" w:rsidRPr="002E6ECA">
          <w:rPr>
            <w:rFonts w:eastAsiaTheme="minorHAnsi"/>
            <w:sz w:val="28"/>
            <w:szCs w:val="28"/>
            <w:lang w:val="uk-UA" w:eastAsia="en-US"/>
          </w:rPr>
          <w:t>Critselis</w:t>
        </w:r>
      </w:hyperlink>
      <w:r w:rsidR="00020FED" w:rsidRPr="002E6ECA">
        <w:rPr>
          <w:rFonts w:eastAsiaTheme="minorHAnsi"/>
          <w:sz w:val="28"/>
          <w:szCs w:val="28"/>
          <w:lang w:val="uk-UA" w:eastAsia="en-US"/>
        </w:rPr>
        <w:t xml:space="preserve"> E., </w:t>
      </w:r>
      <w:hyperlink r:id="rId303" w:history="1">
        <w:r w:rsidR="00020FED" w:rsidRPr="002E6ECA">
          <w:rPr>
            <w:rFonts w:eastAsiaTheme="minorHAnsi"/>
            <w:sz w:val="28"/>
            <w:szCs w:val="28"/>
            <w:lang w:val="uk-UA" w:eastAsia="en-US"/>
          </w:rPr>
          <w:t>Zota</w:t>
        </w:r>
      </w:hyperlink>
      <w:r w:rsidR="00020FED" w:rsidRPr="002E6ECA">
        <w:rPr>
          <w:sz w:val="28"/>
          <w:szCs w:val="28"/>
          <w:lang w:val="uk-UA"/>
        </w:rPr>
        <w:t> </w:t>
      </w:r>
      <w:r w:rsidR="00020FED" w:rsidRPr="002E6ECA">
        <w:rPr>
          <w:rFonts w:eastAsiaTheme="minorHAnsi"/>
          <w:sz w:val="28"/>
          <w:szCs w:val="28"/>
          <w:lang w:val="uk-UA" w:eastAsia="en-US"/>
        </w:rPr>
        <w:t xml:space="preserve">D., </w:t>
      </w:r>
      <w:hyperlink r:id="rId304" w:history="1">
        <w:r w:rsidR="00020FED" w:rsidRPr="002E6ECA">
          <w:rPr>
            <w:rFonts w:eastAsiaTheme="minorHAnsi"/>
            <w:sz w:val="28"/>
            <w:szCs w:val="28"/>
            <w:lang w:val="uk-UA" w:eastAsia="en-US"/>
          </w:rPr>
          <w:t>Coritsidis</w:t>
        </w:r>
      </w:hyperlink>
      <w:r w:rsidR="00020FED" w:rsidRPr="002E6ECA">
        <w:rPr>
          <w:rFonts w:eastAsiaTheme="minorHAnsi"/>
          <w:sz w:val="28"/>
          <w:szCs w:val="28"/>
          <w:lang w:val="uk-UA" w:eastAsia="en-US"/>
        </w:rPr>
        <w:t> A.</w:t>
      </w:r>
      <w:r w:rsidR="00020FED" w:rsidRPr="002E6ECA">
        <w:rPr>
          <w:sz w:val="28"/>
          <w:szCs w:val="28"/>
          <w:lang w:val="uk-UA"/>
        </w:rPr>
        <w:t> </w:t>
      </w:r>
      <w:r w:rsidR="00020FED" w:rsidRPr="002E6ECA">
        <w:rPr>
          <w:rFonts w:eastAsiaTheme="minorHAnsi"/>
          <w:sz w:val="28"/>
          <w:szCs w:val="28"/>
          <w:lang w:val="uk-UA" w:eastAsia="en-US"/>
        </w:rPr>
        <w:t>L.,</w:t>
      </w:r>
      <w:hyperlink r:id="rId305" w:history="1">
        <w:r w:rsidR="00020FED" w:rsidRPr="002E6ECA">
          <w:rPr>
            <w:rFonts w:eastAsiaTheme="minorHAnsi"/>
            <w:sz w:val="28"/>
            <w:szCs w:val="28"/>
            <w:lang w:val="uk-UA" w:eastAsia="en-US"/>
          </w:rPr>
          <w:t xml:space="preserve"> Nagarajan</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 xml:space="preserve">K, </w:t>
      </w:r>
      <w:hyperlink r:id="rId306" w:history="1">
        <w:r w:rsidR="00020FED" w:rsidRPr="002E6ECA">
          <w:rPr>
            <w:rFonts w:eastAsiaTheme="minorHAnsi"/>
            <w:sz w:val="28"/>
            <w:szCs w:val="28"/>
            <w:lang w:val="uk-UA" w:eastAsia="en-US"/>
          </w:rPr>
          <w:t>Papadimitriou</w:t>
        </w:r>
      </w:hyperlink>
      <w:r w:rsidR="00020FED" w:rsidRPr="002E6ECA">
        <w:rPr>
          <w:sz w:val="28"/>
          <w:szCs w:val="28"/>
          <w:lang w:val="uk-UA"/>
        </w:rPr>
        <w:t> </w:t>
      </w:r>
      <w:r w:rsidR="00020FED" w:rsidRPr="002E6ECA">
        <w:rPr>
          <w:rFonts w:eastAsiaTheme="minorHAnsi"/>
          <w:sz w:val="28"/>
          <w:szCs w:val="28"/>
          <w:lang w:val="uk-UA" w:eastAsia="en-US"/>
        </w:rPr>
        <w:t xml:space="preserve">E., </w:t>
      </w:r>
      <w:hyperlink r:id="rId307" w:history="1">
        <w:r w:rsidR="00020FED" w:rsidRPr="002E6ECA">
          <w:rPr>
            <w:rFonts w:eastAsiaTheme="minorHAnsi"/>
            <w:sz w:val="28"/>
            <w:szCs w:val="28"/>
            <w:lang w:val="uk-UA" w:eastAsia="en-US"/>
          </w:rPr>
          <w:t>Belogianni</w:t>
        </w:r>
      </w:hyperlink>
      <w:r w:rsidR="00020FED" w:rsidRPr="002E6ECA">
        <w:rPr>
          <w:sz w:val="28"/>
          <w:szCs w:val="28"/>
          <w:lang w:val="uk-UA"/>
        </w:rPr>
        <w:t> </w:t>
      </w:r>
      <w:r w:rsidR="00020FED" w:rsidRPr="002E6ECA">
        <w:rPr>
          <w:rFonts w:eastAsiaTheme="minorHAnsi"/>
          <w:sz w:val="28"/>
          <w:szCs w:val="28"/>
          <w:lang w:val="uk-UA" w:eastAsia="en-US"/>
        </w:rPr>
        <w:t xml:space="preserve">K., </w:t>
      </w:r>
      <w:hyperlink r:id="rId308" w:history="1">
        <w:r w:rsidR="00020FED" w:rsidRPr="002E6ECA">
          <w:rPr>
            <w:rFonts w:eastAsiaTheme="minorHAnsi"/>
            <w:sz w:val="28"/>
            <w:szCs w:val="28"/>
            <w:lang w:val="uk-UA" w:eastAsia="en-US"/>
          </w:rPr>
          <w:t>Benetou</w:t>
        </w:r>
      </w:hyperlink>
      <w:r w:rsidR="00020FED" w:rsidRPr="002E6ECA">
        <w:rPr>
          <w:sz w:val="28"/>
          <w:szCs w:val="28"/>
          <w:lang w:val="uk-UA"/>
        </w:rPr>
        <w:t> </w:t>
      </w:r>
      <w:r w:rsidR="00020FED" w:rsidRPr="002E6ECA">
        <w:rPr>
          <w:rFonts w:eastAsiaTheme="minorHAnsi"/>
          <w:sz w:val="28"/>
          <w:szCs w:val="28"/>
          <w:lang w:val="uk-UA" w:eastAsia="en-US"/>
        </w:rPr>
        <w:t xml:space="preserve">V., </w:t>
      </w:r>
      <w:hyperlink r:id="rId309" w:history="1">
        <w:r w:rsidR="00020FED" w:rsidRPr="002E6ECA">
          <w:rPr>
            <w:rFonts w:eastAsiaTheme="minorHAnsi"/>
            <w:sz w:val="28"/>
            <w:szCs w:val="28"/>
            <w:lang w:val="uk-UA" w:eastAsia="en-US"/>
          </w:rPr>
          <w:t>Linos</w:t>
        </w:r>
      </w:hyperlink>
      <w:r w:rsidR="00020FED" w:rsidRPr="002E6ECA">
        <w:rPr>
          <w:sz w:val="28"/>
          <w:szCs w:val="28"/>
          <w:lang w:val="uk-UA"/>
        </w:rPr>
        <w:t> </w:t>
      </w:r>
      <w:r w:rsidR="00020FED" w:rsidRPr="002E6ECA">
        <w:rPr>
          <w:rFonts w:eastAsiaTheme="minorHAnsi"/>
          <w:sz w:val="28"/>
          <w:szCs w:val="28"/>
          <w:lang w:val="uk-UA" w:eastAsia="en-US"/>
        </w:rPr>
        <w:t xml:space="preserve">A., </w:t>
      </w:r>
      <w:hyperlink r:id="rId310" w:history="1">
        <w:r w:rsidR="00020FED" w:rsidRPr="002E6ECA">
          <w:rPr>
            <w:rFonts w:eastAsiaTheme="minorHAnsi"/>
            <w:sz w:val="28"/>
            <w:szCs w:val="28"/>
            <w:lang w:val="uk-UA" w:eastAsia="en-US"/>
          </w:rPr>
          <w:t>Greek National Dietary Guidelines Scientific Team</w:t>
        </w:r>
      </w:hyperlink>
      <w:r w:rsidR="00020FED" w:rsidRPr="002E6ECA">
        <w:rPr>
          <w:rFonts w:eastAsiaTheme="minorHAnsi"/>
          <w:sz w:val="28"/>
          <w:szCs w:val="28"/>
          <w:lang w:val="uk-UA" w:eastAsia="en-US"/>
        </w:rPr>
        <w:t xml:space="preserve"> National Dietary Guidelines of Greece for Children and Adolescents: A tool for promoting healthy eating habits. </w:t>
      </w:r>
      <w:r w:rsidR="00020FED" w:rsidRPr="002E6ECA">
        <w:rPr>
          <w:rFonts w:eastAsiaTheme="minorHAnsi"/>
          <w:i/>
          <w:sz w:val="28"/>
          <w:szCs w:val="28"/>
          <w:lang w:val="uk-UA" w:eastAsia="en-US"/>
        </w:rPr>
        <w:t>Public Health Nutr</w:t>
      </w:r>
      <w:r w:rsidR="00020FED" w:rsidRPr="002E6ECA">
        <w:rPr>
          <w:rFonts w:eastAsiaTheme="minorHAnsi"/>
          <w:sz w:val="28"/>
          <w:szCs w:val="28"/>
          <w:lang w:val="uk-UA" w:eastAsia="en-US"/>
        </w:rPr>
        <w:t xml:space="preserve">. 2019. Vol. 22 (14). Р. 2688-2699. doi: 10.1017/S1368980019001034.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shd w:val="clear" w:color="auto" w:fill="FFFFFF"/>
          <w:lang w:val="uk-UA" w:eastAsia="en-US"/>
        </w:rPr>
      </w:pPr>
      <w:r w:rsidRPr="002E6ECA">
        <w:rPr>
          <w:rFonts w:eastAsiaTheme="minorHAnsi"/>
          <w:sz w:val="28"/>
          <w:szCs w:val="28"/>
          <w:shd w:val="clear" w:color="auto" w:fill="FFFFFF"/>
          <w:lang w:val="uk-UA" w:eastAsia="en-US"/>
        </w:rPr>
        <w:t>Katz</w:t>
      </w:r>
      <w:r w:rsidRPr="002E6ECA">
        <w:rPr>
          <w:sz w:val="28"/>
          <w:szCs w:val="28"/>
          <w:lang w:val="uk-UA"/>
        </w:rPr>
        <w:t> </w:t>
      </w:r>
      <w:r w:rsidRPr="002E6ECA">
        <w:rPr>
          <w:rFonts w:eastAsiaTheme="minorHAnsi"/>
          <w:sz w:val="28"/>
          <w:szCs w:val="28"/>
          <w:shd w:val="clear" w:color="auto" w:fill="FFFFFF"/>
          <w:lang w:val="uk-UA" w:eastAsia="en-US"/>
        </w:rPr>
        <w:t>D.</w:t>
      </w:r>
      <w:r w:rsidRPr="002E6ECA">
        <w:rPr>
          <w:sz w:val="28"/>
          <w:szCs w:val="28"/>
          <w:lang w:val="uk-UA"/>
        </w:rPr>
        <w:t> </w:t>
      </w:r>
      <w:r w:rsidRPr="002E6ECA">
        <w:rPr>
          <w:rFonts w:eastAsiaTheme="minorHAnsi"/>
          <w:sz w:val="28"/>
          <w:szCs w:val="28"/>
          <w:shd w:val="clear" w:color="auto" w:fill="FFFFFF"/>
          <w:lang w:val="uk-UA" w:eastAsia="en-US"/>
        </w:rPr>
        <w:t>A., Peckins</w:t>
      </w:r>
      <w:r w:rsidRPr="002E6ECA">
        <w:rPr>
          <w:sz w:val="28"/>
          <w:szCs w:val="28"/>
          <w:lang w:val="uk-UA"/>
        </w:rPr>
        <w:t> </w:t>
      </w:r>
      <w:r w:rsidRPr="002E6ECA">
        <w:rPr>
          <w:rFonts w:eastAsiaTheme="minorHAnsi"/>
          <w:sz w:val="28"/>
          <w:szCs w:val="28"/>
          <w:shd w:val="clear" w:color="auto" w:fill="FFFFFF"/>
          <w:lang w:val="uk-UA" w:eastAsia="en-US"/>
        </w:rPr>
        <w:t>M.</w:t>
      </w:r>
      <w:r w:rsidRPr="002E6ECA">
        <w:rPr>
          <w:sz w:val="28"/>
          <w:szCs w:val="28"/>
          <w:lang w:val="uk-UA"/>
        </w:rPr>
        <w:t> </w:t>
      </w:r>
      <w:r w:rsidRPr="002E6ECA">
        <w:rPr>
          <w:rFonts w:eastAsiaTheme="minorHAnsi"/>
          <w:sz w:val="28"/>
          <w:szCs w:val="28"/>
          <w:shd w:val="clear" w:color="auto" w:fill="FFFFFF"/>
          <w:lang w:val="uk-UA" w:eastAsia="en-US"/>
        </w:rPr>
        <w:t>K., Lyon</w:t>
      </w:r>
      <w:r w:rsidRPr="002E6ECA">
        <w:rPr>
          <w:sz w:val="28"/>
          <w:szCs w:val="28"/>
          <w:lang w:val="uk-UA"/>
        </w:rPr>
        <w:t> </w:t>
      </w:r>
      <w:r w:rsidRPr="002E6ECA">
        <w:rPr>
          <w:rFonts w:eastAsiaTheme="minorHAnsi"/>
          <w:sz w:val="28"/>
          <w:szCs w:val="28"/>
          <w:shd w:val="clear" w:color="auto" w:fill="FFFFFF"/>
          <w:lang w:val="uk-UA" w:eastAsia="en-US"/>
        </w:rPr>
        <w:t>C.</w:t>
      </w:r>
      <w:r w:rsidRPr="002E6ECA">
        <w:rPr>
          <w:sz w:val="28"/>
          <w:szCs w:val="28"/>
          <w:lang w:val="uk-UA"/>
        </w:rPr>
        <w:t> </w:t>
      </w:r>
      <w:r w:rsidRPr="002E6ECA">
        <w:rPr>
          <w:rFonts w:eastAsiaTheme="minorHAnsi"/>
          <w:sz w:val="28"/>
          <w:szCs w:val="28"/>
          <w:shd w:val="clear" w:color="auto" w:fill="FFFFFF"/>
          <w:lang w:val="uk-UA" w:eastAsia="en-US"/>
        </w:rPr>
        <w:t xml:space="preserve">C. Adolescent stress reactivity: Examining physiological, psychological and peer relationship measures with a group stress protocol in a school setting. </w:t>
      </w:r>
      <w:r w:rsidRPr="002E6ECA">
        <w:rPr>
          <w:rFonts w:eastAsiaTheme="minorHAnsi"/>
          <w:i/>
          <w:iCs/>
          <w:sz w:val="28"/>
          <w:szCs w:val="28"/>
          <w:shd w:val="clear" w:color="auto" w:fill="FFFFFF"/>
          <w:lang w:val="uk-UA" w:eastAsia="en-US"/>
        </w:rPr>
        <w:t>J Adolesc</w:t>
      </w:r>
      <w:r w:rsidRPr="002E6ECA">
        <w:rPr>
          <w:rFonts w:eastAsiaTheme="minorHAnsi"/>
          <w:sz w:val="28"/>
          <w:szCs w:val="28"/>
          <w:shd w:val="clear" w:color="auto" w:fill="FFFFFF"/>
          <w:lang w:val="uk-UA" w:eastAsia="en-US"/>
        </w:rPr>
        <w:t>. 2019. Vol. 74. Р. 45-62. doi:</w:t>
      </w:r>
      <w:r w:rsidRPr="002E6ECA">
        <w:rPr>
          <w:rFonts w:eastAsiaTheme="minorHAnsi"/>
          <w:sz w:val="28"/>
          <w:szCs w:val="28"/>
          <w:lang w:val="uk-UA"/>
        </w:rPr>
        <w:t> </w:t>
      </w:r>
      <w:r w:rsidRPr="002E6ECA">
        <w:rPr>
          <w:rFonts w:eastAsiaTheme="minorHAnsi"/>
          <w:sz w:val="28"/>
          <w:szCs w:val="28"/>
          <w:shd w:val="clear" w:color="auto" w:fill="FFFFFF"/>
          <w:lang w:val="uk-UA" w:eastAsia="en-US"/>
        </w:rPr>
        <w:t>10.1016/j.adolescence.2019.05.002.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Kendall</w:t>
      </w:r>
      <w:r w:rsidRPr="002E6ECA">
        <w:rPr>
          <w:sz w:val="28"/>
          <w:szCs w:val="28"/>
          <w:lang w:val="uk-UA"/>
        </w:rPr>
        <w:t> </w:t>
      </w:r>
      <w:r w:rsidRPr="002E6ECA">
        <w:rPr>
          <w:rFonts w:eastAsiaTheme="minorHAnsi"/>
          <w:sz w:val="28"/>
          <w:szCs w:val="28"/>
          <w:lang w:val="uk-UA" w:eastAsia="en-US"/>
        </w:rPr>
        <w:t>P.</w:t>
      </w:r>
      <w:r w:rsidRPr="002E6ECA">
        <w:rPr>
          <w:sz w:val="28"/>
          <w:szCs w:val="28"/>
          <w:lang w:val="uk-UA"/>
        </w:rPr>
        <w:t> </w:t>
      </w:r>
      <w:r w:rsidRPr="002E6ECA">
        <w:rPr>
          <w:rFonts w:eastAsiaTheme="minorHAnsi"/>
          <w:sz w:val="28"/>
          <w:szCs w:val="28"/>
          <w:lang w:val="uk-UA" w:eastAsia="en-US"/>
        </w:rPr>
        <w:t>C., Peterman</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 xml:space="preserve">S. CBT for adolescents with anxiety: mature yet still developing. </w:t>
      </w:r>
      <w:r w:rsidRPr="002E6ECA">
        <w:rPr>
          <w:rFonts w:eastAsiaTheme="minorHAnsi"/>
          <w:i/>
          <w:sz w:val="28"/>
          <w:szCs w:val="28"/>
          <w:lang w:val="uk-UA" w:eastAsia="en-US"/>
        </w:rPr>
        <w:t>Am. J. Psychiatry</w:t>
      </w:r>
      <w:r w:rsidRPr="002E6ECA">
        <w:rPr>
          <w:rFonts w:eastAsiaTheme="minorHAnsi"/>
          <w:sz w:val="28"/>
          <w:szCs w:val="28"/>
          <w:lang w:val="uk-UA" w:eastAsia="en-US"/>
        </w:rPr>
        <w:t xml:space="preserve">. 2015. Vol. 172 (6). Р. 519-530. </w:t>
      </w:r>
      <w:hyperlink r:id="rId311" w:history="1">
        <w:r w:rsidRPr="002E6ECA">
          <w:rPr>
            <w:rFonts w:eastAsiaTheme="minorHAnsi"/>
            <w:sz w:val="28"/>
            <w:szCs w:val="28"/>
            <w:lang w:val="uk-UA" w:eastAsia="en-US"/>
          </w:rPr>
          <w:t>https://doi.org/10.1176/appi.ajp.2015.14081061</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Kesztyüs</w:t>
      </w:r>
      <w:r w:rsidRPr="002E6ECA">
        <w:rPr>
          <w:sz w:val="28"/>
          <w:szCs w:val="28"/>
          <w:lang w:val="uk-UA"/>
        </w:rPr>
        <w:t> </w:t>
      </w:r>
      <w:r w:rsidRPr="002E6ECA">
        <w:rPr>
          <w:rFonts w:eastAsiaTheme="minorHAnsi"/>
          <w:sz w:val="28"/>
          <w:szCs w:val="28"/>
          <w:lang w:val="uk-UA" w:eastAsia="en-US"/>
        </w:rPr>
        <w:t>D., Wirt</w:t>
      </w:r>
      <w:r w:rsidRPr="002E6ECA">
        <w:rPr>
          <w:sz w:val="28"/>
          <w:szCs w:val="28"/>
          <w:lang w:val="uk-UA"/>
        </w:rPr>
        <w:t> </w:t>
      </w:r>
      <w:r w:rsidRPr="002E6ECA">
        <w:rPr>
          <w:rFonts w:eastAsiaTheme="minorHAnsi"/>
          <w:sz w:val="28"/>
          <w:szCs w:val="28"/>
          <w:lang w:val="uk-UA" w:eastAsia="en-US"/>
        </w:rPr>
        <w:t>T., Kobel</w:t>
      </w:r>
      <w:r w:rsidRPr="002E6ECA">
        <w:rPr>
          <w:sz w:val="28"/>
          <w:szCs w:val="28"/>
          <w:lang w:val="uk-UA"/>
        </w:rPr>
        <w:t> </w:t>
      </w:r>
      <w:r w:rsidRPr="002E6ECA">
        <w:rPr>
          <w:rFonts w:eastAsiaTheme="minorHAnsi"/>
          <w:sz w:val="28"/>
          <w:szCs w:val="28"/>
          <w:lang w:val="uk-UA" w:eastAsia="en-US"/>
        </w:rPr>
        <w:t>S., Schreiber</w:t>
      </w:r>
      <w:r w:rsidRPr="002E6ECA">
        <w:rPr>
          <w:sz w:val="28"/>
          <w:szCs w:val="28"/>
          <w:lang w:val="uk-UA"/>
        </w:rPr>
        <w:t> </w:t>
      </w:r>
      <w:r w:rsidRPr="002E6ECA">
        <w:rPr>
          <w:rFonts w:eastAsiaTheme="minorHAnsi"/>
          <w:sz w:val="28"/>
          <w:szCs w:val="28"/>
          <w:lang w:val="uk-UA" w:eastAsia="en-US"/>
        </w:rPr>
        <w:t>A., Kettner</w:t>
      </w:r>
      <w:r w:rsidRPr="002E6ECA">
        <w:rPr>
          <w:sz w:val="28"/>
          <w:szCs w:val="28"/>
          <w:lang w:val="uk-UA"/>
        </w:rPr>
        <w:t> </w:t>
      </w:r>
      <w:r w:rsidRPr="002E6ECA">
        <w:rPr>
          <w:rFonts w:eastAsiaTheme="minorHAnsi"/>
          <w:sz w:val="28"/>
          <w:szCs w:val="28"/>
          <w:lang w:val="uk-UA" w:eastAsia="en-US"/>
        </w:rPr>
        <w:t>S., Dreyhaupt</w:t>
      </w:r>
      <w:r w:rsidRPr="002E6ECA">
        <w:rPr>
          <w:sz w:val="28"/>
          <w:szCs w:val="28"/>
          <w:lang w:val="uk-UA"/>
        </w:rPr>
        <w:t> </w:t>
      </w:r>
      <w:r w:rsidRPr="002E6ECA">
        <w:rPr>
          <w:rFonts w:eastAsiaTheme="minorHAnsi"/>
          <w:sz w:val="28"/>
          <w:szCs w:val="28"/>
          <w:lang w:val="uk-UA" w:eastAsia="en-US"/>
        </w:rPr>
        <w:t>J., Kilian</w:t>
      </w:r>
      <w:r w:rsidRPr="002E6ECA">
        <w:rPr>
          <w:sz w:val="28"/>
          <w:szCs w:val="28"/>
          <w:lang w:val="uk-UA"/>
        </w:rPr>
        <w:t> </w:t>
      </w:r>
      <w:r w:rsidRPr="002E6ECA">
        <w:rPr>
          <w:rFonts w:eastAsiaTheme="minorHAnsi"/>
          <w:sz w:val="28"/>
          <w:szCs w:val="28"/>
          <w:lang w:val="uk-UA" w:eastAsia="en-US"/>
        </w:rPr>
        <w:t>R., Steinacker</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 xml:space="preserve">M. Is central obesity associated with poorer health and health-related quality of life in primary school children? Cross-sectional results from the Baden-Württemberg Study. </w:t>
      </w:r>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2013. Vol. 13. Article number 260. DOI: 10.1186/1471-2458-13-260.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Klinger</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A., Freeman</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G., Bilz</w:t>
      </w:r>
      <w:r w:rsidRPr="002E6ECA">
        <w:rPr>
          <w:sz w:val="28"/>
          <w:szCs w:val="28"/>
          <w:lang w:val="uk-UA"/>
        </w:rPr>
        <w:t> </w:t>
      </w:r>
      <w:r w:rsidRPr="002E6ECA">
        <w:rPr>
          <w:rFonts w:eastAsiaTheme="minorHAnsi"/>
          <w:sz w:val="28"/>
          <w:szCs w:val="28"/>
          <w:lang w:val="uk-UA" w:eastAsia="en-US"/>
        </w:rPr>
        <w:t>L., Liiv</w:t>
      </w:r>
      <w:r w:rsidRPr="002E6ECA">
        <w:rPr>
          <w:sz w:val="28"/>
          <w:szCs w:val="28"/>
          <w:lang w:val="uk-UA"/>
        </w:rPr>
        <w:t> </w:t>
      </w:r>
      <w:r w:rsidRPr="002E6ECA">
        <w:rPr>
          <w:rFonts w:eastAsiaTheme="minorHAnsi"/>
          <w:sz w:val="28"/>
          <w:szCs w:val="28"/>
          <w:lang w:val="uk-UA" w:eastAsia="en-US"/>
        </w:rPr>
        <w:t>K., Ramelow</w:t>
      </w:r>
      <w:r w:rsidRPr="002E6ECA">
        <w:rPr>
          <w:sz w:val="28"/>
          <w:szCs w:val="28"/>
          <w:lang w:val="uk-UA"/>
        </w:rPr>
        <w:t> </w:t>
      </w:r>
      <w:r w:rsidRPr="002E6ECA">
        <w:rPr>
          <w:rFonts w:eastAsiaTheme="minorHAnsi"/>
          <w:sz w:val="28"/>
          <w:szCs w:val="28"/>
          <w:lang w:val="uk-UA" w:eastAsia="en-US"/>
        </w:rPr>
        <w:t>D., Sebok</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S., Rasmussen</w:t>
      </w:r>
      <w:r w:rsidRPr="002E6ECA">
        <w:rPr>
          <w:sz w:val="28"/>
          <w:szCs w:val="28"/>
          <w:lang w:val="uk-UA"/>
        </w:rPr>
        <w:t> </w:t>
      </w:r>
      <w:r w:rsidRPr="002E6ECA">
        <w:rPr>
          <w:rFonts w:eastAsiaTheme="minorHAnsi"/>
          <w:sz w:val="28"/>
          <w:szCs w:val="28"/>
          <w:lang w:val="uk-UA" w:eastAsia="en-US"/>
        </w:rPr>
        <w:t xml:space="preserve">M. Cross-national trends in perceived school pressure by gender and age from 1994 to 2010. </w:t>
      </w:r>
      <w:r w:rsidRPr="002E6ECA">
        <w:rPr>
          <w:rFonts w:eastAsiaTheme="minorHAnsi"/>
          <w:i/>
          <w:sz w:val="28"/>
          <w:szCs w:val="28"/>
          <w:lang w:val="uk-UA" w:eastAsia="en-US"/>
        </w:rPr>
        <w:t>European Journal of Public Health</w:t>
      </w:r>
      <w:r w:rsidRPr="002E6ECA">
        <w:rPr>
          <w:rFonts w:eastAsiaTheme="minorHAnsi"/>
          <w:sz w:val="28"/>
          <w:szCs w:val="28"/>
          <w:lang w:val="uk-UA" w:eastAsia="en-US"/>
        </w:rPr>
        <w:t xml:space="preserve">. 2015. Vol. 25 (Supplement 2). Р. 51-56. DOI: </w:t>
      </w:r>
      <w:hyperlink r:id="rId312" w:tgtFrame="_blank" w:history="1">
        <w:r w:rsidRPr="002E6ECA">
          <w:rPr>
            <w:rFonts w:eastAsiaTheme="minorHAnsi"/>
            <w:sz w:val="28"/>
            <w:szCs w:val="28"/>
            <w:lang w:val="uk-UA" w:eastAsia="en-US"/>
          </w:rPr>
          <w:t>10.1093/eurpub/ckv027</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Kong</w:t>
      </w:r>
      <w:r w:rsidRPr="002E6ECA">
        <w:rPr>
          <w:sz w:val="28"/>
          <w:szCs w:val="28"/>
          <w:lang w:val="uk-UA"/>
        </w:rPr>
        <w:t> </w:t>
      </w:r>
      <w:r w:rsidRPr="002E6ECA">
        <w:rPr>
          <w:rFonts w:eastAsiaTheme="minorHAnsi"/>
          <w:sz w:val="28"/>
          <w:szCs w:val="28"/>
          <w:lang w:val="uk-UA" w:eastAsia="en-US"/>
        </w:rPr>
        <w:t>J., Wang</w:t>
      </w:r>
      <w:r w:rsidRPr="002E6ECA">
        <w:rPr>
          <w:sz w:val="28"/>
          <w:szCs w:val="28"/>
          <w:lang w:val="uk-UA"/>
        </w:rPr>
        <w:t> </w:t>
      </w:r>
      <w:r w:rsidRPr="002E6ECA">
        <w:rPr>
          <w:rFonts w:eastAsiaTheme="minorHAnsi"/>
          <w:sz w:val="28"/>
          <w:szCs w:val="28"/>
          <w:lang w:val="uk-UA" w:eastAsia="en-US"/>
        </w:rPr>
        <w:t>C., Kwong</w:t>
      </w:r>
      <w:r w:rsidRPr="002E6ECA">
        <w:rPr>
          <w:sz w:val="28"/>
          <w:szCs w:val="28"/>
          <w:lang w:val="uk-UA"/>
        </w:rPr>
        <w:t> </w:t>
      </w:r>
      <w:r w:rsidRPr="002E6ECA">
        <w:rPr>
          <w:rFonts w:eastAsiaTheme="minorHAnsi"/>
          <w:sz w:val="28"/>
          <w:szCs w:val="28"/>
          <w:lang w:val="uk-UA" w:eastAsia="en-US"/>
        </w:rPr>
        <w:t>K., Vangel</w:t>
      </w:r>
      <w:r w:rsidRPr="002E6ECA">
        <w:rPr>
          <w:sz w:val="28"/>
          <w:szCs w:val="28"/>
          <w:lang w:val="uk-UA"/>
        </w:rPr>
        <w:t> </w:t>
      </w:r>
      <w:r w:rsidRPr="002E6ECA">
        <w:rPr>
          <w:rFonts w:eastAsiaTheme="minorHAnsi"/>
          <w:sz w:val="28"/>
          <w:szCs w:val="28"/>
          <w:lang w:val="uk-UA" w:eastAsia="en-US"/>
        </w:rPr>
        <w:t>M., Chua</w:t>
      </w:r>
      <w:r w:rsidRPr="002E6ECA">
        <w:rPr>
          <w:sz w:val="28"/>
          <w:szCs w:val="28"/>
          <w:lang w:val="uk-UA"/>
        </w:rPr>
        <w:t> </w:t>
      </w:r>
      <w:r w:rsidRPr="002E6ECA">
        <w:rPr>
          <w:rFonts w:eastAsiaTheme="minorHAnsi"/>
          <w:sz w:val="28"/>
          <w:szCs w:val="28"/>
          <w:lang w:val="uk-UA" w:eastAsia="en-US"/>
        </w:rPr>
        <w:t>E., Gollub</w:t>
      </w:r>
      <w:r w:rsidRPr="002E6ECA">
        <w:rPr>
          <w:sz w:val="28"/>
          <w:szCs w:val="28"/>
          <w:lang w:val="uk-UA"/>
        </w:rPr>
        <w:t> </w:t>
      </w:r>
      <w:r w:rsidRPr="002E6ECA">
        <w:rPr>
          <w:rFonts w:eastAsiaTheme="minorHAnsi"/>
          <w:sz w:val="28"/>
          <w:szCs w:val="28"/>
          <w:lang w:val="uk-UA" w:eastAsia="en-US"/>
        </w:rPr>
        <w:t xml:space="preserve">R. The neural substrate of arithmetic operations and procedure complexity. </w:t>
      </w:r>
      <w:r w:rsidRPr="002E6ECA">
        <w:rPr>
          <w:rFonts w:eastAsiaTheme="minorHAnsi"/>
          <w:i/>
          <w:sz w:val="28"/>
          <w:szCs w:val="28"/>
          <w:lang w:val="uk-UA" w:eastAsia="en-US"/>
        </w:rPr>
        <w:t>Brain Res Cogn Brain Res</w:t>
      </w:r>
      <w:r w:rsidRPr="002E6ECA">
        <w:rPr>
          <w:rFonts w:eastAsiaTheme="minorHAnsi"/>
          <w:sz w:val="28"/>
          <w:szCs w:val="28"/>
          <w:lang w:val="uk-UA" w:eastAsia="en-US"/>
        </w:rPr>
        <w:t>. 2005. Vol. 22 (3). Р. 397-405. doi: 10.1016/j.cogbrainres.2004.09.011.</w:t>
      </w:r>
    </w:p>
    <w:p w:rsidR="00020FED" w:rsidRPr="002E6ECA" w:rsidRDefault="00020FED" w:rsidP="00020FED">
      <w:pPr>
        <w:numPr>
          <w:ilvl w:val="0"/>
          <w:numId w:val="72"/>
        </w:numPr>
        <w:spacing w:line="348" w:lineRule="auto"/>
        <w:ind w:left="0" w:firstLine="709"/>
        <w:contextualSpacing/>
        <w:jc w:val="both"/>
        <w:rPr>
          <w:rFonts w:eastAsiaTheme="minorHAnsi"/>
          <w:bCs/>
          <w:sz w:val="28"/>
          <w:szCs w:val="28"/>
          <w:lang w:val="uk-UA" w:eastAsia="en-US"/>
        </w:rPr>
      </w:pPr>
      <w:r w:rsidRPr="002E6ECA">
        <w:rPr>
          <w:rFonts w:eastAsiaTheme="minorHAnsi"/>
          <w:iCs/>
          <w:sz w:val="28"/>
          <w:szCs w:val="28"/>
          <w:lang w:val="uk-UA" w:eastAsia="en-US"/>
        </w:rPr>
        <w:t>Kostenius</w:t>
      </w:r>
      <w:r w:rsidRPr="002E6ECA">
        <w:rPr>
          <w:sz w:val="28"/>
          <w:szCs w:val="28"/>
          <w:lang w:val="uk-UA"/>
        </w:rPr>
        <w:t> </w:t>
      </w:r>
      <w:r w:rsidRPr="002E6ECA">
        <w:rPr>
          <w:rFonts w:eastAsiaTheme="minorHAnsi"/>
          <w:iCs/>
          <w:sz w:val="28"/>
          <w:szCs w:val="28"/>
          <w:lang w:val="uk-UA" w:eastAsia="en-US"/>
        </w:rPr>
        <w:t>C.,</w:t>
      </w:r>
      <w:hyperlink r:id="rId313" w:history="1">
        <w:r w:rsidRPr="002E6ECA">
          <w:rPr>
            <w:rFonts w:eastAsiaTheme="minorHAnsi"/>
            <w:iCs/>
            <w:sz w:val="28"/>
            <w:szCs w:val="28"/>
            <w:lang w:val="uk-UA" w:eastAsia="en-US"/>
          </w:rPr>
          <w:t xml:space="preserve"> Öhrling</w:t>
        </w:r>
      </w:hyperlink>
      <w:r w:rsidRPr="002E6ECA">
        <w:rPr>
          <w:sz w:val="28"/>
          <w:szCs w:val="28"/>
          <w:lang w:val="uk-UA"/>
        </w:rPr>
        <w:t> </w:t>
      </w:r>
      <w:r w:rsidRPr="002E6ECA">
        <w:rPr>
          <w:rFonts w:eastAsiaTheme="minorHAnsi"/>
          <w:iCs/>
          <w:sz w:val="28"/>
          <w:szCs w:val="28"/>
          <w:lang w:val="uk-UA" w:eastAsia="en-US"/>
        </w:rPr>
        <w:t xml:space="preserve">K. </w:t>
      </w:r>
      <w:r w:rsidRPr="002E6ECA">
        <w:rPr>
          <w:rFonts w:eastAsiaTheme="minorHAnsi"/>
          <w:bCs/>
          <w:sz w:val="28"/>
          <w:szCs w:val="28"/>
          <w:lang w:val="uk-UA" w:eastAsia="en-US"/>
        </w:rPr>
        <w:t>T</w:t>
      </w:r>
      <w:r w:rsidRPr="002E6ECA">
        <w:rPr>
          <w:rFonts w:eastAsiaTheme="minorHAnsi"/>
          <w:sz w:val="28"/>
          <w:szCs w:val="28"/>
          <w:lang w:val="uk-UA" w:eastAsia="en-US"/>
        </w:rPr>
        <w:t xml:space="preserve">he meaning of stress from schoolchildren’s perspective. </w:t>
      </w:r>
      <w:r w:rsidRPr="002E6ECA">
        <w:rPr>
          <w:rFonts w:eastAsiaTheme="minorHAnsi"/>
          <w:i/>
          <w:sz w:val="28"/>
          <w:szCs w:val="28"/>
          <w:lang w:val="uk-UA" w:eastAsia="en-US"/>
        </w:rPr>
        <w:t>Stress and Health</w:t>
      </w:r>
      <w:r w:rsidRPr="002E6ECA">
        <w:rPr>
          <w:rFonts w:eastAsiaTheme="minorHAnsi"/>
          <w:sz w:val="28"/>
          <w:szCs w:val="28"/>
          <w:lang w:val="uk-UA" w:eastAsia="en-US"/>
        </w:rPr>
        <w:t xml:space="preserve">. 2008. Vol. 24. P. 287-293. </w:t>
      </w:r>
      <w:hyperlink r:id="rId314" w:history="1">
        <w:r w:rsidRPr="002E6ECA">
          <w:rPr>
            <w:rFonts w:eastAsiaTheme="minorHAnsi"/>
            <w:bCs/>
            <w:sz w:val="28"/>
            <w:szCs w:val="28"/>
            <w:lang w:val="uk-UA" w:eastAsia="en-US"/>
          </w:rPr>
          <w:t>https://doi.org/10.1002/smi.1180</w:t>
        </w:r>
      </w:hyperlink>
      <w:r w:rsidRPr="002E6ECA">
        <w:rPr>
          <w:rFonts w:eastAsiaTheme="minorHAnsi"/>
          <w:sz w:val="28"/>
          <w:szCs w:val="28"/>
          <w:lang w:val="uk-UA" w:eastAsia="en-US"/>
        </w:rPr>
        <w:t>.</w:t>
      </w:r>
    </w:p>
    <w:p w:rsidR="00020FED" w:rsidRPr="002E6ECA" w:rsidRDefault="00020FED" w:rsidP="00020FED">
      <w:pPr>
        <w:numPr>
          <w:ilvl w:val="0"/>
          <w:numId w:val="72"/>
        </w:numPr>
        <w:spacing w:line="348"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Koury</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C., Ribeiro</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A., Massarani</w:t>
      </w:r>
      <w:r w:rsidRPr="002E6ECA">
        <w:rPr>
          <w:sz w:val="28"/>
          <w:szCs w:val="28"/>
          <w:lang w:val="uk-UA"/>
        </w:rPr>
        <w:t> </w:t>
      </w:r>
      <w:r w:rsidRPr="002E6ECA">
        <w:rPr>
          <w:rFonts w:eastAsiaTheme="minorHAnsi"/>
          <w:sz w:val="28"/>
          <w:szCs w:val="28"/>
          <w:lang w:val="uk-UA" w:eastAsia="en-US"/>
        </w:rPr>
        <w:t>F.</w:t>
      </w:r>
      <w:r w:rsidRPr="002E6ECA">
        <w:rPr>
          <w:sz w:val="28"/>
          <w:szCs w:val="28"/>
          <w:lang w:val="uk-UA"/>
        </w:rPr>
        <w:t> </w:t>
      </w:r>
      <w:r w:rsidRPr="002E6ECA">
        <w:rPr>
          <w:rFonts w:eastAsiaTheme="minorHAnsi"/>
          <w:sz w:val="28"/>
          <w:szCs w:val="28"/>
          <w:lang w:val="uk-UA" w:eastAsia="en-US"/>
        </w:rPr>
        <w:t xml:space="preserve">A., et al. Fat-free mass in adolescent athletes: Accuracy of bioimpedance equations and identification of new </w:t>
      </w:r>
      <w:r w:rsidRPr="002E6ECA">
        <w:rPr>
          <w:rFonts w:eastAsiaTheme="minorHAnsi"/>
          <w:sz w:val="28"/>
          <w:szCs w:val="28"/>
          <w:lang w:val="uk-UA" w:eastAsia="en-US"/>
        </w:rPr>
        <w:lastRenderedPageBreak/>
        <w:t xml:space="preserve">predictive equations. </w:t>
      </w:r>
      <w:r w:rsidRPr="002E6ECA">
        <w:rPr>
          <w:rFonts w:eastAsiaTheme="minorHAnsi"/>
          <w:i/>
          <w:sz w:val="28"/>
          <w:szCs w:val="28"/>
          <w:lang w:val="uk-UA" w:eastAsia="en-US"/>
        </w:rPr>
        <w:t>Nutrition</w:t>
      </w:r>
      <w:r w:rsidRPr="002E6ECA">
        <w:rPr>
          <w:rFonts w:eastAsiaTheme="minorHAnsi"/>
          <w:sz w:val="28"/>
          <w:szCs w:val="28"/>
          <w:lang w:val="uk-UA" w:eastAsia="en-US"/>
        </w:rPr>
        <w:t>. 2019. Vol. 60. Р. 59-65. https://doi.org/10.1016/j.nut.2018.09.029.</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Krivolapchuk</w:t>
      </w:r>
      <w:r w:rsidRPr="002E6ECA">
        <w:rPr>
          <w:sz w:val="28"/>
          <w:szCs w:val="28"/>
          <w:lang w:val="uk-UA"/>
        </w:rPr>
        <w:t> </w:t>
      </w:r>
      <w:r w:rsidRPr="002E6ECA">
        <w:rPr>
          <w:rFonts w:eastAsiaTheme="minorHAnsi"/>
          <w:sz w:val="28"/>
          <w:szCs w:val="28"/>
          <w:lang w:val="uk-UA" w:eastAsia="en-US"/>
        </w:rPr>
        <w:t>I.</w:t>
      </w:r>
      <w:r w:rsidRPr="002E6ECA">
        <w:rPr>
          <w:sz w:val="28"/>
          <w:szCs w:val="28"/>
          <w:lang w:val="uk-UA"/>
        </w:rPr>
        <w:t> </w:t>
      </w:r>
      <w:r w:rsidRPr="002E6ECA">
        <w:rPr>
          <w:rFonts w:eastAsiaTheme="minorHAnsi"/>
          <w:sz w:val="28"/>
          <w:szCs w:val="28"/>
          <w:lang w:val="uk-UA" w:eastAsia="en-US"/>
        </w:rPr>
        <w:t xml:space="preserve">A. The psychophysiological cost of intense information load in 5-to 14-year-old children and adolescents. </w:t>
      </w:r>
      <w:r w:rsidRPr="002E6ECA">
        <w:rPr>
          <w:rFonts w:eastAsiaTheme="minorHAnsi"/>
          <w:i/>
          <w:sz w:val="28"/>
          <w:szCs w:val="28"/>
          <w:lang w:val="uk-UA" w:eastAsia="en-US"/>
        </w:rPr>
        <w:t>Hum Physiol</w:t>
      </w:r>
      <w:r w:rsidRPr="002E6ECA">
        <w:rPr>
          <w:rFonts w:eastAsiaTheme="minorHAnsi"/>
          <w:sz w:val="28"/>
          <w:szCs w:val="28"/>
          <w:lang w:val="uk-UA" w:eastAsia="en-US"/>
        </w:rPr>
        <w:t xml:space="preserve">. 2008. Vol. 34. Р. 413-420. </w:t>
      </w:r>
      <w:hyperlink r:id="rId315" w:history="1">
        <w:r w:rsidRPr="002E6ECA">
          <w:rPr>
            <w:rFonts w:eastAsiaTheme="minorHAnsi"/>
            <w:sz w:val="28"/>
            <w:szCs w:val="28"/>
            <w:lang w:val="uk-UA" w:eastAsia="en-US"/>
          </w:rPr>
          <w:t>https://doi.org/10.1134/S036211970804004X</w:t>
        </w:r>
      </w:hyperlink>
      <w:r w:rsidRPr="002E6ECA">
        <w:rPr>
          <w:rFonts w:eastAsiaTheme="minorHAnsi"/>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16" w:history="1">
        <w:r w:rsidR="00020FED" w:rsidRPr="002E6ECA">
          <w:rPr>
            <w:rFonts w:eastAsiaTheme="minorHAnsi"/>
            <w:sz w:val="28"/>
            <w:szCs w:val="28"/>
            <w:lang w:val="uk-UA" w:eastAsia="en-US"/>
          </w:rPr>
          <w:t>Kromeyer-Hauschild</w:t>
        </w:r>
        <w:r w:rsidR="00020FED" w:rsidRPr="002E6ECA">
          <w:rPr>
            <w:sz w:val="28"/>
            <w:szCs w:val="28"/>
            <w:lang w:val="uk-UA"/>
          </w:rPr>
          <w:t> </w:t>
        </w:r>
        <w:r w:rsidR="00020FED" w:rsidRPr="002E6ECA">
          <w:rPr>
            <w:rFonts w:eastAsiaTheme="minorHAnsi"/>
            <w:sz w:val="28"/>
            <w:szCs w:val="28"/>
            <w:lang w:val="uk-UA" w:eastAsia="en-US"/>
          </w:rPr>
          <w:t>K</w:t>
        </w:r>
      </w:hyperlink>
      <w:r w:rsidR="00020FED" w:rsidRPr="002E6ECA">
        <w:rPr>
          <w:rFonts w:eastAsiaTheme="minorHAnsi"/>
          <w:sz w:val="28"/>
          <w:szCs w:val="28"/>
          <w:lang w:val="uk-UA" w:eastAsia="en-US"/>
        </w:rPr>
        <w:t xml:space="preserve">., </w:t>
      </w:r>
      <w:hyperlink r:id="rId317" w:history="1">
        <w:r w:rsidR="00020FED" w:rsidRPr="002E6ECA">
          <w:rPr>
            <w:rFonts w:eastAsiaTheme="minorHAnsi"/>
            <w:sz w:val="28"/>
            <w:szCs w:val="28"/>
            <w:lang w:val="uk-UA" w:eastAsia="en-US"/>
          </w:rPr>
          <w:t>Glässer</w:t>
        </w:r>
        <w:r w:rsidR="00020FED" w:rsidRPr="002E6ECA">
          <w:rPr>
            <w:sz w:val="28"/>
            <w:szCs w:val="28"/>
            <w:lang w:val="uk-UA"/>
          </w:rPr>
          <w:t> </w:t>
        </w:r>
        <w:r w:rsidR="00020FED" w:rsidRPr="002E6ECA">
          <w:rPr>
            <w:rFonts w:eastAsiaTheme="minorHAnsi"/>
            <w:sz w:val="28"/>
            <w:szCs w:val="28"/>
            <w:lang w:val="uk-UA" w:eastAsia="en-US"/>
          </w:rPr>
          <w:t>N</w:t>
        </w:r>
      </w:hyperlink>
      <w:r w:rsidR="00020FED" w:rsidRPr="002E6ECA">
        <w:rPr>
          <w:rFonts w:eastAsiaTheme="minorHAnsi"/>
          <w:sz w:val="28"/>
          <w:szCs w:val="28"/>
          <w:lang w:val="uk-UA" w:eastAsia="en-US"/>
        </w:rPr>
        <w:t xml:space="preserve">., </w:t>
      </w:r>
      <w:hyperlink r:id="rId318" w:history="1">
        <w:r w:rsidR="00020FED" w:rsidRPr="002E6ECA">
          <w:rPr>
            <w:rFonts w:eastAsiaTheme="minorHAnsi"/>
            <w:sz w:val="28"/>
            <w:szCs w:val="28"/>
            <w:lang w:val="uk-UA" w:eastAsia="en-US"/>
          </w:rPr>
          <w:t>Zellner</w:t>
        </w:r>
        <w:r w:rsidR="00020FED" w:rsidRPr="002E6ECA">
          <w:rPr>
            <w:sz w:val="28"/>
            <w:szCs w:val="28"/>
            <w:lang w:val="uk-UA"/>
          </w:rPr>
          <w:t> </w:t>
        </w:r>
        <w:r w:rsidR="00020FED" w:rsidRPr="002E6ECA">
          <w:rPr>
            <w:rFonts w:eastAsiaTheme="minorHAnsi"/>
            <w:sz w:val="28"/>
            <w:szCs w:val="28"/>
            <w:lang w:val="uk-UA" w:eastAsia="en-US"/>
          </w:rPr>
          <w:t>K</w:t>
        </w:r>
      </w:hyperlink>
      <w:r w:rsidR="00020FED" w:rsidRPr="002E6ECA">
        <w:rPr>
          <w:rFonts w:eastAsiaTheme="minorHAnsi"/>
          <w:sz w:val="28"/>
          <w:szCs w:val="28"/>
          <w:lang w:val="uk-UA" w:eastAsia="en-US"/>
        </w:rPr>
        <w:t xml:space="preserve">. Percentile curves for skinfold thickness in 7- to 14-year-old children and adolescents from Jena, Germany. </w:t>
      </w:r>
      <w:hyperlink r:id="rId319" w:tooltip="European journal of clinical nutrition." w:history="1">
        <w:r w:rsidR="00020FED" w:rsidRPr="002E6ECA">
          <w:rPr>
            <w:rFonts w:eastAsiaTheme="minorHAnsi"/>
            <w:i/>
            <w:sz w:val="28"/>
            <w:szCs w:val="28"/>
            <w:lang w:val="uk-UA" w:eastAsia="en-US"/>
          </w:rPr>
          <w:t>Eur J Clin Nutr</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2012. Vol. 66 (5). Р. 613-21. doi: 10.1038/ejcn.2011.216.</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20" w:history="1">
        <w:r w:rsidR="00020FED" w:rsidRPr="002E6ECA">
          <w:rPr>
            <w:rFonts w:eastAsiaTheme="minorHAnsi"/>
            <w:sz w:val="28"/>
            <w:szCs w:val="28"/>
            <w:lang w:val="uk-UA" w:eastAsia="en-US"/>
          </w:rPr>
          <w:t>Kuhle</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321" w:history="1">
        <w:r w:rsidR="00020FED" w:rsidRPr="002E6ECA">
          <w:rPr>
            <w:rFonts w:eastAsiaTheme="minorHAnsi"/>
            <w:sz w:val="28"/>
            <w:szCs w:val="28"/>
            <w:lang w:val="uk-UA" w:eastAsia="en-US"/>
          </w:rPr>
          <w:t>Ashley-Martin</w:t>
        </w:r>
        <w:r w:rsidR="00020FED" w:rsidRPr="002E6ECA">
          <w:rPr>
            <w:sz w:val="28"/>
            <w:szCs w:val="28"/>
            <w:lang w:val="uk-UA"/>
          </w:rPr>
          <w:t> </w:t>
        </w:r>
        <w:r w:rsidR="00020FED" w:rsidRPr="002E6ECA">
          <w:rPr>
            <w:rFonts w:eastAsiaTheme="minorHAnsi"/>
            <w:sz w:val="28"/>
            <w:szCs w:val="28"/>
            <w:lang w:val="uk-UA" w:eastAsia="en-US"/>
          </w:rPr>
          <w:t>J</w:t>
        </w:r>
      </w:hyperlink>
      <w:r w:rsidR="00020FED" w:rsidRPr="002E6ECA">
        <w:rPr>
          <w:rFonts w:eastAsiaTheme="minorHAnsi"/>
          <w:sz w:val="28"/>
          <w:szCs w:val="28"/>
          <w:lang w:val="uk-UA" w:eastAsia="en-US"/>
        </w:rPr>
        <w:t xml:space="preserve">., </w:t>
      </w:r>
      <w:hyperlink r:id="rId322" w:history="1">
        <w:r w:rsidR="00020FED" w:rsidRPr="002E6ECA">
          <w:rPr>
            <w:rFonts w:eastAsiaTheme="minorHAnsi"/>
            <w:sz w:val="28"/>
            <w:szCs w:val="28"/>
            <w:lang w:val="uk-UA" w:eastAsia="en-US"/>
          </w:rPr>
          <w:t>Maguire</w:t>
        </w:r>
        <w:r w:rsidR="00020FED" w:rsidRPr="002E6ECA">
          <w:rPr>
            <w:sz w:val="28"/>
            <w:szCs w:val="28"/>
            <w:lang w:val="uk-UA"/>
          </w:rPr>
          <w:t> </w:t>
        </w:r>
        <w:r w:rsidR="00020FED" w:rsidRPr="002E6ECA">
          <w:rPr>
            <w:rFonts w:eastAsiaTheme="minorHAnsi"/>
            <w:sz w:val="28"/>
            <w:szCs w:val="28"/>
            <w:lang w:val="uk-UA" w:eastAsia="en-US"/>
          </w:rPr>
          <w:t>B</w:t>
        </w:r>
      </w:hyperlink>
      <w:r w:rsidR="00020FED" w:rsidRPr="002E6ECA">
        <w:rPr>
          <w:rFonts w:eastAsiaTheme="minorHAnsi"/>
          <w:sz w:val="28"/>
          <w:szCs w:val="28"/>
          <w:lang w:val="uk-UA" w:eastAsia="en-US"/>
        </w:rPr>
        <w:t xml:space="preserve">., </w:t>
      </w:r>
      <w:hyperlink r:id="rId323" w:history="1">
        <w:r w:rsidR="00020FED" w:rsidRPr="002E6ECA">
          <w:rPr>
            <w:rFonts w:eastAsiaTheme="minorHAnsi"/>
            <w:sz w:val="28"/>
            <w:szCs w:val="28"/>
            <w:lang w:val="uk-UA" w:eastAsia="en-US"/>
          </w:rPr>
          <w:t>Hamilton</w:t>
        </w:r>
        <w:r w:rsidR="00020FED" w:rsidRPr="002E6ECA">
          <w:rPr>
            <w:sz w:val="28"/>
            <w:szCs w:val="28"/>
            <w:lang w:val="uk-UA"/>
          </w:rPr>
          <w:t> </w:t>
        </w:r>
        <w:r w:rsidR="00020FED" w:rsidRPr="002E6ECA">
          <w:rPr>
            <w:rFonts w:eastAsiaTheme="minorHAnsi"/>
            <w:sz w:val="28"/>
            <w:szCs w:val="28"/>
            <w:lang w:val="uk-UA" w:eastAsia="en-US"/>
          </w:rPr>
          <w:t>D.</w:t>
        </w:r>
        <w:r w:rsidR="00020FED" w:rsidRPr="002E6ECA">
          <w:rPr>
            <w:sz w:val="28"/>
            <w:szCs w:val="28"/>
            <w:lang w:val="uk-UA"/>
          </w:rPr>
          <w:t> </w:t>
        </w:r>
        <w:r w:rsidR="00020FED" w:rsidRPr="002E6ECA">
          <w:rPr>
            <w:rFonts w:eastAsiaTheme="minorHAnsi"/>
            <w:sz w:val="28"/>
            <w:szCs w:val="28"/>
            <w:lang w:val="uk-UA" w:eastAsia="en-US"/>
          </w:rPr>
          <w:t>C</w:t>
        </w:r>
      </w:hyperlink>
      <w:r w:rsidR="00020FED" w:rsidRPr="002E6ECA">
        <w:rPr>
          <w:rFonts w:eastAsiaTheme="minorHAnsi"/>
          <w:sz w:val="28"/>
          <w:szCs w:val="28"/>
          <w:lang w:val="uk-UA" w:eastAsia="en-US"/>
        </w:rPr>
        <w:t xml:space="preserve">. Percentile curves for skinfold thickness for Canadian children and youth. </w:t>
      </w:r>
      <w:hyperlink r:id="rId324" w:tooltip="PeerJ." w:history="1">
        <w:r w:rsidR="00020FED" w:rsidRPr="002E6ECA">
          <w:rPr>
            <w:rFonts w:eastAsiaTheme="minorHAnsi"/>
            <w:i/>
            <w:sz w:val="28"/>
            <w:szCs w:val="28"/>
            <w:lang w:val="uk-UA" w:eastAsia="en-US"/>
          </w:rPr>
          <w:t>PeerJ</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2016. Vol. 4. e2247. doi: 10.7717/peerj.2247.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25" w:history="1">
        <w:r w:rsidR="00020FED" w:rsidRPr="002E6ECA">
          <w:rPr>
            <w:rFonts w:eastAsiaTheme="minorHAnsi"/>
            <w:sz w:val="28"/>
            <w:szCs w:val="28"/>
            <w:lang w:val="uk-UA" w:eastAsia="en-US"/>
          </w:rPr>
          <w:t>Kuhle</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326" w:history="1">
        <w:r w:rsidR="00020FED" w:rsidRPr="002E6ECA">
          <w:rPr>
            <w:rFonts w:eastAsiaTheme="minorHAnsi"/>
            <w:sz w:val="28"/>
            <w:szCs w:val="28"/>
            <w:lang w:val="uk-UA" w:eastAsia="en-US"/>
          </w:rPr>
          <w:t>Maguire</w:t>
        </w:r>
        <w:r w:rsidR="00020FED" w:rsidRPr="002E6ECA">
          <w:rPr>
            <w:sz w:val="28"/>
            <w:szCs w:val="28"/>
            <w:lang w:val="uk-UA"/>
          </w:rPr>
          <w:t> </w:t>
        </w:r>
        <w:r w:rsidR="00020FED" w:rsidRPr="002E6ECA">
          <w:rPr>
            <w:rFonts w:eastAsiaTheme="minorHAnsi"/>
            <w:sz w:val="28"/>
            <w:szCs w:val="28"/>
            <w:lang w:val="uk-UA" w:eastAsia="en-US"/>
          </w:rPr>
          <w:t>B</w:t>
        </w:r>
      </w:hyperlink>
      <w:r w:rsidR="00020FED" w:rsidRPr="002E6ECA">
        <w:rPr>
          <w:rFonts w:eastAsiaTheme="minorHAnsi"/>
          <w:sz w:val="28"/>
          <w:szCs w:val="28"/>
          <w:lang w:val="uk-UA" w:eastAsia="en-US"/>
        </w:rPr>
        <w:t xml:space="preserve">., </w:t>
      </w:r>
      <w:hyperlink r:id="rId327" w:history="1">
        <w:r w:rsidR="00020FED" w:rsidRPr="002E6ECA">
          <w:rPr>
            <w:rFonts w:eastAsiaTheme="minorHAnsi"/>
            <w:sz w:val="28"/>
            <w:szCs w:val="28"/>
            <w:lang w:val="uk-UA" w:eastAsia="en-US"/>
          </w:rPr>
          <w:t>Ata</w:t>
        </w:r>
        <w:r w:rsidR="00020FED" w:rsidRPr="002E6ECA">
          <w:rPr>
            <w:sz w:val="28"/>
            <w:szCs w:val="28"/>
            <w:lang w:val="uk-UA"/>
          </w:rPr>
          <w:t> </w:t>
        </w:r>
        <w:r w:rsidR="00020FED" w:rsidRPr="002E6ECA">
          <w:rPr>
            <w:rFonts w:eastAsiaTheme="minorHAnsi"/>
            <w:sz w:val="28"/>
            <w:szCs w:val="28"/>
            <w:lang w:val="uk-UA" w:eastAsia="en-US"/>
          </w:rPr>
          <w:t>N</w:t>
        </w:r>
      </w:hyperlink>
      <w:r w:rsidR="00020FED" w:rsidRPr="002E6ECA">
        <w:rPr>
          <w:rFonts w:eastAsiaTheme="minorHAnsi"/>
          <w:sz w:val="28"/>
          <w:szCs w:val="28"/>
          <w:lang w:val="uk-UA" w:eastAsia="en-US"/>
        </w:rPr>
        <w:t xml:space="preserve">., </w:t>
      </w:r>
      <w:hyperlink r:id="rId328" w:history="1">
        <w:r w:rsidR="00020FED" w:rsidRPr="002E6ECA">
          <w:rPr>
            <w:rFonts w:eastAsiaTheme="minorHAnsi"/>
            <w:sz w:val="28"/>
            <w:szCs w:val="28"/>
            <w:lang w:val="uk-UA" w:eastAsia="en-US"/>
          </w:rPr>
          <w:t>Hamilton</w:t>
        </w:r>
        <w:r w:rsidR="00020FED" w:rsidRPr="002E6ECA">
          <w:rPr>
            <w:sz w:val="28"/>
            <w:szCs w:val="28"/>
            <w:lang w:val="uk-UA"/>
          </w:rPr>
          <w:t> </w:t>
        </w:r>
        <w:r w:rsidR="00020FED" w:rsidRPr="002E6ECA">
          <w:rPr>
            <w:rFonts w:eastAsiaTheme="minorHAnsi"/>
            <w:sz w:val="28"/>
            <w:szCs w:val="28"/>
            <w:lang w:val="uk-UA" w:eastAsia="en-US"/>
          </w:rPr>
          <w:t>D</w:t>
        </w:r>
      </w:hyperlink>
      <w:r w:rsidR="00020FED" w:rsidRPr="002E6ECA">
        <w:rPr>
          <w:rFonts w:eastAsiaTheme="minorHAnsi"/>
          <w:sz w:val="28"/>
          <w:szCs w:val="28"/>
          <w:lang w:val="uk-UA" w:eastAsia="en-US"/>
        </w:rPr>
        <w:t xml:space="preserve">. Percentile </w:t>
      </w:r>
      <w:r w:rsidR="00020FED" w:rsidRPr="002E6ECA">
        <w:rPr>
          <w:rFonts w:eastAsiaTheme="minorHAnsi"/>
          <w:sz w:val="28"/>
          <w:szCs w:val="28"/>
          <w:lang w:val="en-US" w:eastAsia="en-US"/>
        </w:rPr>
        <w:t>c</w:t>
      </w:r>
      <w:r w:rsidR="00020FED" w:rsidRPr="002E6ECA">
        <w:rPr>
          <w:rFonts w:eastAsiaTheme="minorHAnsi"/>
          <w:sz w:val="28"/>
          <w:szCs w:val="28"/>
          <w:lang w:val="uk-UA" w:eastAsia="en-US"/>
        </w:rPr>
        <w:t xml:space="preserve">urves for anthropometric </w:t>
      </w:r>
      <w:r w:rsidR="00020FED" w:rsidRPr="002E6ECA">
        <w:rPr>
          <w:rFonts w:eastAsiaTheme="minorHAnsi"/>
          <w:sz w:val="28"/>
          <w:szCs w:val="28"/>
          <w:lang w:val="en-US" w:eastAsia="en-US"/>
        </w:rPr>
        <w:t>m</w:t>
      </w:r>
      <w:r w:rsidR="00020FED" w:rsidRPr="002E6ECA">
        <w:rPr>
          <w:rFonts w:eastAsiaTheme="minorHAnsi"/>
          <w:sz w:val="28"/>
          <w:szCs w:val="28"/>
          <w:lang w:val="uk-UA" w:eastAsia="en-US"/>
        </w:rPr>
        <w:t xml:space="preserve">easures for Canadian </w:t>
      </w:r>
      <w:r w:rsidR="00020FED" w:rsidRPr="002E6ECA">
        <w:rPr>
          <w:rFonts w:eastAsiaTheme="minorHAnsi"/>
          <w:sz w:val="28"/>
          <w:szCs w:val="28"/>
          <w:lang w:val="en-US" w:eastAsia="en-US"/>
        </w:rPr>
        <w:t>c</w:t>
      </w:r>
      <w:r w:rsidR="00020FED" w:rsidRPr="002E6ECA">
        <w:rPr>
          <w:rFonts w:eastAsiaTheme="minorHAnsi"/>
          <w:sz w:val="28"/>
          <w:szCs w:val="28"/>
          <w:lang w:val="uk-UA" w:eastAsia="en-US"/>
        </w:rPr>
        <w:t xml:space="preserve">hildren and youth. </w:t>
      </w:r>
      <w:hyperlink r:id="rId329" w:tooltip="PloS one." w:history="1">
        <w:r w:rsidR="00020FED" w:rsidRPr="002E6ECA">
          <w:rPr>
            <w:rFonts w:eastAsiaTheme="minorHAnsi"/>
            <w:i/>
            <w:sz w:val="28"/>
            <w:szCs w:val="28"/>
            <w:lang w:val="uk-UA" w:eastAsia="en-US"/>
          </w:rPr>
          <w:t>PLoS One</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2015. Vol. 10 (7). e0132891. doi: 10.1371/journal.pone.0132891.</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shd w:val="clear" w:color="auto" w:fill="FFFFFF"/>
          <w:lang w:val="uk-UA" w:eastAsia="en-US"/>
        </w:rPr>
      </w:pPr>
      <w:r w:rsidRPr="002E6ECA">
        <w:rPr>
          <w:rFonts w:eastAsiaTheme="minorHAnsi"/>
          <w:sz w:val="28"/>
          <w:szCs w:val="28"/>
          <w:shd w:val="clear" w:color="auto" w:fill="FFFFFF"/>
          <w:lang w:val="uk-UA" w:eastAsia="en-US"/>
        </w:rPr>
        <w:t>Kumar</w:t>
      </w:r>
      <w:r w:rsidRPr="002E6ECA">
        <w:rPr>
          <w:sz w:val="28"/>
          <w:szCs w:val="28"/>
          <w:lang w:val="uk-UA"/>
        </w:rPr>
        <w:t> </w:t>
      </w:r>
      <w:r w:rsidRPr="002E6ECA">
        <w:rPr>
          <w:rFonts w:eastAsiaTheme="minorHAnsi"/>
          <w:sz w:val="28"/>
          <w:szCs w:val="28"/>
          <w:shd w:val="clear" w:color="auto" w:fill="FFFFFF"/>
          <w:lang w:val="uk-UA" w:eastAsia="en-US"/>
        </w:rPr>
        <w:t>A., Shekhar</w:t>
      </w:r>
      <w:r w:rsidRPr="002E6ECA">
        <w:rPr>
          <w:sz w:val="28"/>
          <w:szCs w:val="28"/>
          <w:lang w:val="uk-UA"/>
        </w:rPr>
        <w:t> </w:t>
      </w:r>
      <w:r w:rsidRPr="002E6ECA">
        <w:rPr>
          <w:rFonts w:eastAsiaTheme="minorHAnsi"/>
          <w:sz w:val="28"/>
          <w:szCs w:val="28"/>
          <w:shd w:val="clear" w:color="auto" w:fill="FFFFFF"/>
          <w:lang w:val="uk-UA" w:eastAsia="en-US"/>
        </w:rPr>
        <w:t>S., Dhole</w:t>
      </w:r>
      <w:r w:rsidRPr="002E6ECA">
        <w:rPr>
          <w:sz w:val="28"/>
          <w:szCs w:val="28"/>
          <w:lang w:val="uk-UA"/>
        </w:rPr>
        <w:t> </w:t>
      </w:r>
      <w:r w:rsidRPr="002E6ECA">
        <w:rPr>
          <w:rFonts w:eastAsiaTheme="minorHAnsi"/>
          <w:sz w:val="28"/>
          <w:szCs w:val="28"/>
          <w:shd w:val="clear" w:color="auto" w:fill="FFFFFF"/>
          <w:lang w:val="uk-UA" w:eastAsia="en-US"/>
        </w:rPr>
        <w:t xml:space="preserve">B. </w:t>
      </w:r>
      <w:r w:rsidRPr="002E6ECA">
        <w:rPr>
          <w:rFonts w:eastAsiaTheme="minorHAnsi"/>
          <w:bCs/>
          <w:sz w:val="28"/>
          <w:szCs w:val="28"/>
          <w:shd w:val="clear" w:color="auto" w:fill="FFFFFF"/>
          <w:lang w:val="uk-UA" w:eastAsia="en-US"/>
        </w:rPr>
        <w:t xml:space="preserve">Thyroid and male reproduction. </w:t>
      </w:r>
      <w:r w:rsidRPr="002E6ECA">
        <w:rPr>
          <w:rFonts w:eastAsiaTheme="minorHAnsi"/>
          <w:i/>
          <w:iCs/>
          <w:sz w:val="28"/>
          <w:szCs w:val="28"/>
          <w:shd w:val="clear" w:color="auto" w:fill="FFFFFF"/>
          <w:lang w:val="uk-UA" w:eastAsia="en-US"/>
        </w:rPr>
        <w:t>Indian J Endocrinol Metab</w:t>
      </w:r>
      <w:r w:rsidRPr="002E6ECA">
        <w:rPr>
          <w:rFonts w:eastAsiaTheme="minorHAnsi"/>
          <w:sz w:val="28"/>
          <w:szCs w:val="28"/>
          <w:shd w:val="clear" w:color="auto" w:fill="FFFFFF"/>
          <w:lang w:val="uk-UA" w:eastAsia="en-US"/>
        </w:rPr>
        <w:t>. 2014. Vol. 18 (1). P. 23-31. doi</w:t>
      </w:r>
      <w:r w:rsidRPr="002E6ECA">
        <w:rPr>
          <w:rFonts w:eastAsiaTheme="minorHAnsi"/>
          <w:bCs/>
          <w:sz w:val="28"/>
          <w:szCs w:val="28"/>
          <w:shd w:val="clear" w:color="auto" w:fill="FFFFFF"/>
          <w:lang w:val="uk-UA" w:eastAsia="en-US"/>
        </w:rPr>
        <w:t xml:space="preserve">: </w:t>
      </w:r>
      <w:r w:rsidRPr="002E6ECA">
        <w:rPr>
          <w:rFonts w:eastAsiaTheme="minorHAnsi"/>
          <w:sz w:val="28"/>
          <w:szCs w:val="28"/>
          <w:shd w:val="clear" w:color="auto" w:fill="FFFFFF"/>
          <w:lang w:val="uk-UA" w:eastAsia="en-US"/>
        </w:rPr>
        <w:t xml:space="preserve">10.4103/2230-8210.126523.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30" w:anchor="!" w:history="1">
        <w:r w:rsidR="00020FED" w:rsidRPr="002E6ECA">
          <w:rPr>
            <w:rFonts w:eastAsiaTheme="minorHAnsi"/>
            <w:sz w:val="28"/>
            <w:szCs w:val="28"/>
            <w:lang w:val="uk-UA" w:eastAsia="en-US"/>
          </w:rPr>
          <w:t>Kurata</w:t>
        </w:r>
      </w:hyperlink>
      <w:r w:rsidR="00020FED" w:rsidRPr="002E6ECA">
        <w:rPr>
          <w:sz w:val="28"/>
          <w:szCs w:val="28"/>
          <w:lang w:val="uk-UA"/>
        </w:rPr>
        <w:t> </w:t>
      </w:r>
      <w:r w:rsidR="00020FED" w:rsidRPr="002E6ECA">
        <w:rPr>
          <w:rFonts w:eastAsiaTheme="minorHAnsi"/>
          <w:sz w:val="28"/>
          <w:szCs w:val="28"/>
          <w:lang w:val="uk-UA" w:eastAsia="en-US"/>
        </w:rPr>
        <w:t>Y.</w:t>
      </w:r>
      <w:r w:rsidR="00020FED" w:rsidRPr="002E6ECA">
        <w:rPr>
          <w:sz w:val="28"/>
          <w:szCs w:val="28"/>
          <w:lang w:val="uk-UA"/>
        </w:rPr>
        <w:t> </w:t>
      </w:r>
      <w:r w:rsidR="00020FED" w:rsidRPr="002E6ECA">
        <w:rPr>
          <w:rFonts w:eastAsiaTheme="minorHAnsi"/>
          <w:sz w:val="28"/>
          <w:szCs w:val="28"/>
          <w:lang w:val="uk-UA" w:eastAsia="en-US"/>
        </w:rPr>
        <w:t>B., Lou</w:t>
      </w:r>
      <w:r w:rsidR="00020FED" w:rsidRPr="002E6ECA">
        <w:rPr>
          <w:sz w:val="28"/>
          <w:szCs w:val="28"/>
          <w:lang w:val="uk-UA"/>
        </w:rPr>
        <w:t> </w:t>
      </w:r>
      <w:r w:rsidR="00020FED" w:rsidRPr="002E6ECA">
        <w:rPr>
          <w:rFonts w:eastAsiaTheme="minorHAnsi"/>
          <w:sz w:val="28"/>
          <w:szCs w:val="28"/>
          <w:lang w:val="uk-UA" w:eastAsia="en-US"/>
        </w:rPr>
        <w:t>R.</w:t>
      </w:r>
      <w:r w:rsidR="00020FED" w:rsidRPr="002E6ECA">
        <w:rPr>
          <w:sz w:val="28"/>
          <w:szCs w:val="28"/>
          <w:lang w:val="uk-UA"/>
        </w:rPr>
        <w:t> </w:t>
      </w:r>
      <w:r w:rsidR="00020FED" w:rsidRPr="002E6ECA">
        <w:rPr>
          <w:rFonts w:eastAsiaTheme="minorHAnsi"/>
          <w:sz w:val="28"/>
          <w:szCs w:val="28"/>
          <w:lang w:val="uk-UA" w:eastAsia="en-US"/>
        </w:rPr>
        <w:t>M., Bano</w:t>
      </w:r>
      <w:r w:rsidR="00020FED" w:rsidRPr="002E6ECA">
        <w:rPr>
          <w:sz w:val="28"/>
          <w:szCs w:val="28"/>
          <w:lang w:val="uk-UA"/>
        </w:rPr>
        <w:t> </w:t>
      </w:r>
      <w:r w:rsidR="00020FED" w:rsidRPr="002E6ECA">
        <w:rPr>
          <w:rFonts w:eastAsiaTheme="minorHAnsi"/>
          <w:sz w:val="28"/>
          <w:szCs w:val="28"/>
          <w:lang w:val="uk-UA" w:eastAsia="en-US"/>
        </w:rPr>
        <w:t>P., Matias</w:t>
      </w:r>
      <w:r w:rsidR="00020FED" w:rsidRPr="002E6ECA">
        <w:rPr>
          <w:sz w:val="28"/>
          <w:szCs w:val="28"/>
          <w:lang w:val="uk-UA"/>
        </w:rPr>
        <w:t> </w:t>
      </w:r>
      <w:r w:rsidR="00020FED" w:rsidRPr="002E6ECA">
        <w:rPr>
          <w:rFonts w:eastAsiaTheme="minorHAnsi"/>
          <w:sz w:val="28"/>
          <w:szCs w:val="28"/>
          <w:lang w:val="uk-UA" w:eastAsia="en-US"/>
        </w:rPr>
        <w:t>A.</w:t>
      </w:r>
      <w:r w:rsidR="00020FED" w:rsidRPr="002E6ECA">
        <w:rPr>
          <w:sz w:val="28"/>
          <w:szCs w:val="28"/>
          <w:lang w:val="uk-UA"/>
        </w:rPr>
        <w:t> </w:t>
      </w:r>
      <w:r w:rsidR="00020FED" w:rsidRPr="002E6ECA">
        <w:rPr>
          <w:rFonts w:eastAsiaTheme="minorHAnsi"/>
          <w:sz w:val="28"/>
          <w:szCs w:val="28"/>
          <w:lang w:val="uk-UA" w:eastAsia="en-US"/>
        </w:rPr>
        <w:t xml:space="preserve">C. Effects of Workload on Academic Performance among Working Students in an Undergraduate Engineering Program. </w:t>
      </w:r>
      <w:hyperlink r:id="rId331" w:tooltip="Go to Procedia Manufacturing on ScienceDirect" w:history="1">
        <w:r w:rsidR="00020FED" w:rsidRPr="002E6ECA">
          <w:rPr>
            <w:rFonts w:eastAsiaTheme="minorHAnsi"/>
            <w:sz w:val="28"/>
            <w:szCs w:val="28"/>
            <w:lang w:val="uk-UA" w:eastAsia="en-US"/>
          </w:rPr>
          <w:t>P</w:t>
        </w:r>
        <w:r w:rsidR="00020FED" w:rsidRPr="002E6ECA">
          <w:rPr>
            <w:rFonts w:eastAsiaTheme="minorHAnsi"/>
            <w:i/>
            <w:sz w:val="28"/>
            <w:szCs w:val="28"/>
            <w:lang w:val="uk-UA" w:eastAsia="en-US"/>
          </w:rPr>
          <w:t>rocedia Manufacturing</w:t>
        </w:r>
      </w:hyperlink>
      <w:r w:rsidR="00020FED" w:rsidRPr="002E6ECA">
        <w:rPr>
          <w:rFonts w:eastAsiaTheme="minorHAnsi"/>
          <w:sz w:val="28"/>
          <w:szCs w:val="28"/>
          <w:lang w:val="uk-UA" w:eastAsia="en-US"/>
        </w:rPr>
        <w:t>. 2015.</w:t>
      </w:r>
      <w:hyperlink r:id="rId332" w:history="1">
        <w:r w:rsidR="00020FED" w:rsidRPr="002E6ECA">
          <w:rPr>
            <w:rFonts w:eastAsiaTheme="minorHAnsi"/>
            <w:sz w:val="28"/>
            <w:szCs w:val="28"/>
            <w:lang w:val="uk-UA" w:eastAsia="en-US"/>
          </w:rPr>
          <w:t>Vol. 3</w:t>
        </w:r>
      </w:hyperlink>
      <w:r w:rsidR="00020FED" w:rsidRPr="002E6ECA">
        <w:rPr>
          <w:rFonts w:eastAsiaTheme="minorHAnsi"/>
          <w:sz w:val="28"/>
          <w:szCs w:val="28"/>
          <w:lang w:val="uk-UA" w:eastAsia="en-US"/>
        </w:rPr>
        <w:t xml:space="preserve">. P. 3360-3367. </w:t>
      </w:r>
      <w:hyperlink r:id="rId333" w:history="1">
        <w:r w:rsidR="00020FED" w:rsidRPr="002E6ECA">
          <w:rPr>
            <w:rFonts w:eastAsiaTheme="minorHAnsi"/>
            <w:sz w:val="28"/>
            <w:szCs w:val="28"/>
            <w:lang w:val="uk-UA" w:eastAsia="en-US"/>
          </w:rPr>
          <w:t>https://doi.org/ 10.1016/j.promfg.2015.07.497</w:t>
        </w:r>
      </w:hyperlink>
      <w:r w:rsidR="00020FED"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Laborde</w:t>
      </w:r>
      <w:r w:rsidRPr="002E6ECA">
        <w:rPr>
          <w:sz w:val="28"/>
          <w:szCs w:val="28"/>
          <w:lang w:val="uk-UA"/>
        </w:rPr>
        <w:t> </w:t>
      </w:r>
      <w:r w:rsidRPr="002E6ECA">
        <w:rPr>
          <w:rFonts w:eastAsiaTheme="minorHAnsi"/>
          <w:sz w:val="28"/>
          <w:szCs w:val="28"/>
          <w:lang w:val="uk-UA" w:eastAsia="en-US"/>
        </w:rPr>
        <w:t>S., Mosley</w:t>
      </w:r>
      <w:r w:rsidRPr="002E6ECA">
        <w:rPr>
          <w:sz w:val="28"/>
          <w:szCs w:val="28"/>
          <w:lang w:val="uk-UA"/>
        </w:rPr>
        <w:t> </w:t>
      </w:r>
      <w:r w:rsidRPr="002E6ECA">
        <w:rPr>
          <w:rFonts w:eastAsiaTheme="minorHAnsi"/>
          <w:sz w:val="28"/>
          <w:szCs w:val="28"/>
          <w:lang w:val="uk-UA" w:eastAsia="en-US"/>
        </w:rPr>
        <w:t>E., Mertgen</w:t>
      </w:r>
      <w:r w:rsidRPr="002E6ECA">
        <w:rPr>
          <w:sz w:val="28"/>
          <w:szCs w:val="28"/>
          <w:lang w:val="uk-UA"/>
        </w:rPr>
        <w:t> </w:t>
      </w:r>
      <w:r w:rsidRPr="002E6ECA">
        <w:rPr>
          <w:rFonts w:eastAsiaTheme="minorHAnsi"/>
          <w:sz w:val="28"/>
          <w:szCs w:val="28"/>
          <w:lang w:val="uk-UA" w:eastAsia="en-US"/>
        </w:rPr>
        <w:t xml:space="preserve">A. Vagal tank theory: The three Rs of cardiac vagal control functioning - resting, reactivity, and recovery. </w:t>
      </w:r>
      <w:r w:rsidRPr="002E6ECA">
        <w:rPr>
          <w:rFonts w:eastAsiaTheme="minorHAnsi"/>
          <w:i/>
          <w:sz w:val="28"/>
          <w:szCs w:val="28"/>
          <w:lang w:val="uk-UA" w:eastAsia="en-US"/>
        </w:rPr>
        <w:t>Frontiers in neuroscience</w:t>
      </w:r>
      <w:r w:rsidRPr="002E6ECA">
        <w:rPr>
          <w:rFonts w:eastAsiaTheme="minorHAnsi"/>
          <w:sz w:val="28"/>
          <w:szCs w:val="28"/>
          <w:lang w:val="uk-UA" w:eastAsia="en-US"/>
        </w:rPr>
        <w:t>. 2018. Vol. 12. Р. 458. https://doi.org/10.3389/fnins.2018.00458.</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34" w:history="1">
        <w:r w:rsidR="00020FED" w:rsidRPr="002E6ECA">
          <w:rPr>
            <w:rFonts w:eastAsiaTheme="minorHAnsi"/>
            <w:sz w:val="28"/>
            <w:szCs w:val="28"/>
            <w:lang w:val="uk-UA" w:eastAsia="en-US"/>
          </w:rPr>
          <w:t>Lancia</w:t>
        </w:r>
      </w:hyperlink>
      <w:r w:rsidR="00020FED" w:rsidRPr="002E6ECA">
        <w:rPr>
          <w:sz w:val="28"/>
          <w:szCs w:val="28"/>
          <w:lang w:val="uk-UA"/>
        </w:rPr>
        <w:t> </w:t>
      </w:r>
      <w:r w:rsidR="00020FED" w:rsidRPr="002E6ECA">
        <w:rPr>
          <w:rFonts w:eastAsiaTheme="minorHAnsi"/>
          <w:sz w:val="28"/>
          <w:szCs w:val="28"/>
          <w:lang w:val="uk-UA" w:eastAsia="en-US"/>
        </w:rPr>
        <w:t>S.,</w:t>
      </w:r>
      <w:hyperlink r:id="rId335" w:history="1">
        <w:r w:rsidR="00020FED" w:rsidRPr="002E6ECA">
          <w:rPr>
            <w:rFonts w:eastAsiaTheme="minorHAnsi"/>
            <w:sz w:val="28"/>
            <w:szCs w:val="28"/>
            <w:lang w:val="uk-UA" w:eastAsia="en-US"/>
          </w:rPr>
          <w:t xml:space="preserve"> Cofini</w:t>
        </w:r>
      </w:hyperlink>
      <w:r w:rsidR="00020FED" w:rsidRPr="002E6ECA">
        <w:rPr>
          <w:sz w:val="28"/>
          <w:szCs w:val="28"/>
          <w:lang w:val="uk-UA"/>
        </w:rPr>
        <w:t> </w:t>
      </w:r>
      <w:r w:rsidR="00020FED" w:rsidRPr="002E6ECA">
        <w:rPr>
          <w:rFonts w:eastAsiaTheme="minorHAnsi"/>
          <w:sz w:val="28"/>
          <w:szCs w:val="28"/>
          <w:lang w:val="uk-UA" w:eastAsia="en-US"/>
        </w:rPr>
        <w:t>V.,</w:t>
      </w:r>
      <w:hyperlink r:id="rId336" w:history="1">
        <w:r w:rsidR="00020FED" w:rsidRPr="002E6ECA">
          <w:rPr>
            <w:rFonts w:eastAsiaTheme="minorHAnsi"/>
            <w:sz w:val="28"/>
            <w:szCs w:val="28"/>
            <w:lang w:val="uk-UA" w:eastAsia="en-US"/>
          </w:rPr>
          <w:t xml:space="preserve"> Carrieri</w:t>
        </w:r>
      </w:hyperlink>
      <w:r w:rsidR="00020FED" w:rsidRPr="002E6ECA">
        <w:rPr>
          <w:sz w:val="28"/>
          <w:szCs w:val="28"/>
          <w:lang w:val="uk-UA"/>
        </w:rPr>
        <w:t> </w:t>
      </w:r>
      <w:r w:rsidR="00020FED" w:rsidRPr="002E6ECA">
        <w:rPr>
          <w:rFonts w:eastAsiaTheme="minorHAnsi"/>
          <w:sz w:val="28"/>
          <w:szCs w:val="28"/>
          <w:lang w:val="uk-UA" w:eastAsia="en-US"/>
        </w:rPr>
        <w:t>M.,</w:t>
      </w:r>
      <w:hyperlink r:id="rId337" w:history="1">
        <w:r w:rsidR="00020FED" w:rsidRPr="002E6ECA">
          <w:rPr>
            <w:rFonts w:eastAsiaTheme="minorHAnsi"/>
            <w:sz w:val="28"/>
            <w:szCs w:val="28"/>
            <w:lang w:val="uk-UA" w:eastAsia="en-US"/>
          </w:rPr>
          <w:t xml:space="preserve"> Ferrari</w:t>
        </w:r>
      </w:hyperlink>
      <w:r w:rsidR="00020FED" w:rsidRPr="002E6ECA">
        <w:rPr>
          <w:sz w:val="28"/>
          <w:szCs w:val="28"/>
          <w:lang w:val="uk-UA"/>
        </w:rPr>
        <w:t> </w:t>
      </w:r>
      <w:r w:rsidR="00020FED" w:rsidRPr="002E6ECA">
        <w:rPr>
          <w:rFonts w:eastAsiaTheme="minorHAnsi"/>
          <w:sz w:val="28"/>
          <w:szCs w:val="28"/>
          <w:lang w:val="uk-UA" w:eastAsia="en-US"/>
        </w:rPr>
        <w:t>M.,</w:t>
      </w:r>
      <w:hyperlink r:id="rId338" w:history="1">
        <w:r w:rsidR="00020FED" w:rsidRPr="002E6ECA">
          <w:rPr>
            <w:rFonts w:eastAsiaTheme="minorHAnsi"/>
            <w:sz w:val="28"/>
            <w:szCs w:val="28"/>
            <w:lang w:val="uk-UA" w:eastAsia="en-US"/>
          </w:rPr>
          <w:t xml:space="preserve"> Quaresima</w:t>
        </w:r>
      </w:hyperlink>
      <w:r w:rsidR="00020FED" w:rsidRPr="002E6ECA">
        <w:rPr>
          <w:sz w:val="28"/>
          <w:szCs w:val="28"/>
          <w:lang w:val="uk-UA"/>
        </w:rPr>
        <w:t> </w:t>
      </w:r>
      <w:r w:rsidR="00020FED" w:rsidRPr="002E6ECA">
        <w:rPr>
          <w:rFonts w:eastAsiaTheme="minorHAnsi"/>
          <w:sz w:val="28"/>
          <w:szCs w:val="28"/>
          <w:lang w:val="uk-UA" w:eastAsia="en-US"/>
        </w:rPr>
        <w:t xml:space="preserve">V. Are ventrolateral and dorsolateral prefrontal cortices involved in the computerized Corsi block-tapping test execution? An fNIRS study. </w:t>
      </w:r>
      <w:r w:rsidR="00020FED" w:rsidRPr="002E6ECA">
        <w:rPr>
          <w:rFonts w:eastAsiaTheme="minorHAnsi"/>
          <w:i/>
          <w:sz w:val="28"/>
          <w:szCs w:val="28"/>
          <w:lang w:val="uk-UA" w:eastAsia="en-US"/>
        </w:rPr>
        <w:t>Neurophotonics</w:t>
      </w:r>
      <w:r w:rsidR="00020FED" w:rsidRPr="002E6ECA">
        <w:rPr>
          <w:rFonts w:eastAsiaTheme="minorHAnsi"/>
          <w:sz w:val="28"/>
          <w:szCs w:val="28"/>
          <w:lang w:val="uk-UA" w:eastAsia="en-US"/>
        </w:rPr>
        <w:t>. 2018. Vol. 5 (1).</w:t>
      </w:r>
      <w:r w:rsidR="00020FED" w:rsidRPr="002E6ECA">
        <w:rPr>
          <w:rFonts w:eastAsiaTheme="minorHAnsi"/>
          <w:sz w:val="28"/>
          <w:szCs w:val="28"/>
        </w:rPr>
        <w:t xml:space="preserve"> </w:t>
      </w:r>
      <w:r w:rsidR="00020FED" w:rsidRPr="002E6ECA">
        <w:rPr>
          <w:rFonts w:eastAsiaTheme="minorHAnsi"/>
          <w:sz w:val="28"/>
          <w:szCs w:val="28"/>
          <w:lang w:val="uk-UA" w:eastAsia="en-US"/>
        </w:rPr>
        <w:t xml:space="preserve">011019. doi: 10.1117/1.NPh.5.1.011019.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shd w:val="clear" w:color="auto" w:fill="FFFFFF"/>
          <w:lang w:val="en-US"/>
        </w:rPr>
        <w:t>Lenard</w:t>
      </w:r>
      <w:r w:rsidRPr="002E6ECA">
        <w:rPr>
          <w:sz w:val="28"/>
          <w:szCs w:val="28"/>
          <w:lang w:val="uk-UA"/>
        </w:rPr>
        <w:t> </w:t>
      </w:r>
      <w:r w:rsidRPr="002E6ECA">
        <w:rPr>
          <w:sz w:val="28"/>
          <w:szCs w:val="28"/>
          <w:shd w:val="clear" w:color="auto" w:fill="FFFFFF"/>
          <w:lang w:val="en-US"/>
        </w:rPr>
        <w:t>Z., Studinger</w:t>
      </w:r>
      <w:r w:rsidRPr="002E6ECA">
        <w:rPr>
          <w:sz w:val="28"/>
          <w:szCs w:val="28"/>
          <w:lang w:val="uk-UA"/>
        </w:rPr>
        <w:t> </w:t>
      </w:r>
      <w:r w:rsidRPr="002E6ECA">
        <w:rPr>
          <w:sz w:val="28"/>
          <w:szCs w:val="28"/>
          <w:shd w:val="clear" w:color="auto" w:fill="FFFFFF"/>
          <w:lang w:val="en-US"/>
        </w:rPr>
        <w:t>P., Mersich</w:t>
      </w:r>
      <w:r w:rsidRPr="002E6ECA">
        <w:rPr>
          <w:sz w:val="28"/>
          <w:szCs w:val="28"/>
          <w:lang w:val="uk-UA"/>
        </w:rPr>
        <w:t> </w:t>
      </w:r>
      <w:r w:rsidRPr="002E6ECA">
        <w:rPr>
          <w:sz w:val="28"/>
          <w:szCs w:val="28"/>
          <w:shd w:val="clear" w:color="auto" w:fill="FFFFFF"/>
          <w:lang w:val="en-US"/>
        </w:rPr>
        <w:t>B., Kocsis</w:t>
      </w:r>
      <w:r w:rsidRPr="002E6ECA">
        <w:rPr>
          <w:sz w:val="28"/>
          <w:szCs w:val="28"/>
          <w:lang w:val="uk-UA"/>
        </w:rPr>
        <w:t> </w:t>
      </w:r>
      <w:r w:rsidRPr="002E6ECA">
        <w:rPr>
          <w:sz w:val="28"/>
          <w:szCs w:val="28"/>
          <w:shd w:val="clear" w:color="auto" w:fill="FFFFFF"/>
          <w:lang w:val="en-US"/>
        </w:rPr>
        <w:t>L., Kollai</w:t>
      </w:r>
      <w:r w:rsidRPr="002E6ECA">
        <w:rPr>
          <w:sz w:val="28"/>
          <w:szCs w:val="28"/>
          <w:lang w:val="uk-UA"/>
        </w:rPr>
        <w:t> </w:t>
      </w:r>
      <w:r w:rsidRPr="002E6ECA">
        <w:rPr>
          <w:sz w:val="28"/>
          <w:szCs w:val="28"/>
          <w:shd w:val="clear" w:color="auto" w:fill="FFFFFF"/>
          <w:lang w:val="en-US"/>
        </w:rPr>
        <w:t xml:space="preserve">M. Maturation of cardiovagal autonomic function from childhood to young adult age. </w:t>
      </w:r>
      <w:r w:rsidRPr="002E6ECA">
        <w:rPr>
          <w:rStyle w:val="ref-journal"/>
          <w:sz w:val="28"/>
          <w:szCs w:val="28"/>
          <w:shd w:val="clear" w:color="auto" w:fill="FFFFFF"/>
        </w:rPr>
        <w:t xml:space="preserve">Circulation. </w:t>
      </w:r>
      <w:r w:rsidRPr="002E6ECA">
        <w:rPr>
          <w:sz w:val="28"/>
          <w:szCs w:val="28"/>
          <w:shd w:val="clear" w:color="auto" w:fill="FFFFFF"/>
        </w:rPr>
        <w:t xml:space="preserve">2004. Vol. </w:t>
      </w:r>
      <w:r w:rsidRPr="002E6ECA">
        <w:rPr>
          <w:rStyle w:val="ref-vol"/>
          <w:sz w:val="28"/>
          <w:szCs w:val="28"/>
          <w:shd w:val="clear" w:color="auto" w:fill="FFFFFF"/>
        </w:rPr>
        <w:t>110</w:t>
      </w:r>
      <w:r w:rsidRPr="002E6ECA">
        <w:rPr>
          <w:rStyle w:val="ref-vol"/>
          <w:sz w:val="28"/>
          <w:szCs w:val="28"/>
          <w:shd w:val="clear" w:color="auto" w:fill="FFFFFF"/>
          <w:lang w:val="uk-UA"/>
        </w:rPr>
        <w:t xml:space="preserve"> </w:t>
      </w:r>
      <w:r w:rsidRPr="002E6ECA">
        <w:rPr>
          <w:sz w:val="28"/>
          <w:szCs w:val="28"/>
          <w:shd w:val="clear" w:color="auto" w:fill="FFFFFF"/>
        </w:rPr>
        <w:t>(16). 2307-2312.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Löfstedt</w:t>
      </w:r>
      <w:r w:rsidRPr="002E6ECA">
        <w:rPr>
          <w:sz w:val="28"/>
          <w:szCs w:val="28"/>
          <w:lang w:val="uk-UA"/>
        </w:rPr>
        <w:t> </w:t>
      </w:r>
      <w:r w:rsidRPr="002E6ECA">
        <w:rPr>
          <w:rFonts w:eastAsiaTheme="minorHAnsi"/>
          <w:sz w:val="28"/>
          <w:szCs w:val="28"/>
          <w:lang w:val="uk-UA" w:eastAsia="en-US"/>
        </w:rPr>
        <w:t>P., Eriksson</w:t>
      </w:r>
      <w:r w:rsidRPr="002E6ECA">
        <w:rPr>
          <w:sz w:val="28"/>
          <w:szCs w:val="28"/>
          <w:lang w:val="uk-UA"/>
        </w:rPr>
        <w:t> </w:t>
      </w:r>
      <w:r w:rsidRPr="002E6ECA">
        <w:rPr>
          <w:rFonts w:eastAsiaTheme="minorHAnsi"/>
          <w:sz w:val="28"/>
          <w:szCs w:val="28"/>
          <w:lang w:val="uk-UA" w:eastAsia="en-US"/>
        </w:rPr>
        <w:t>C., Potrebny</w:t>
      </w:r>
      <w:r w:rsidRPr="002E6ECA">
        <w:rPr>
          <w:sz w:val="28"/>
          <w:szCs w:val="28"/>
          <w:lang w:val="uk-UA"/>
        </w:rPr>
        <w:t> </w:t>
      </w:r>
      <w:r w:rsidRPr="002E6ECA">
        <w:rPr>
          <w:rFonts w:eastAsiaTheme="minorHAnsi"/>
          <w:sz w:val="28"/>
          <w:szCs w:val="28"/>
          <w:lang w:val="uk-UA" w:eastAsia="en-US"/>
        </w:rPr>
        <w:t>T., Välimaa</w:t>
      </w:r>
      <w:r w:rsidRPr="002E6ECA">
        <w:rPr>
          <w:sz w:val="28"/>
          <w:szCs w:val="28"/>
          <w:lang w:val="uk-UA"/>
        </w:rPr>
        <w:t> </w:t>
      </w:r>
      <w:r w:rsidRPr="002E6ECA">
        <w:rPr>
          <w:rFonts w:eastAsiaTheme="minorHAnsi"/>
          <w:sz w:val="28"/>
          <w:szCs w:val="28"/>
          <w:lang w:val="uk-UA" w:eastAsia="en-US"/>
        </w:rPr>
        <w:t>R., Thorsteinsson</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B., Due</w:t>
      </w:r>
      <w:r w:rsidRPr="002E6ECA">
        <w:rPr>
          <w:sz w:val="28"/>
          <w:szCs w:val="28"/>
          <w:lang w:val="uk-UA"/>
        </w:rPr>
        <w:t> </w:t>
      </w:r>
      <w:r w:rsidRPr="002E6ECA">
        <w:rPr>
          <w:rFonts w:eastAsiaTheme="minorHAnsi"/>
          <w:sz w:val="28"/>
          <w:szCs w:val="28"/>
          <w:lang w:val="uk-UA" w:eastAsia="en-US"/>
        </w:rPr>
        <w:t>P., Torsheim</w:t>
      </w:r>
      <w:r w:rsidRPr="002E6ECA">
        <w:rPr>
          <w:sz w:val="28"/>
          <w:szCs w:val="28"/>
          <w:lang w:val="uk-UA"/>
        </w:rPr>
        <w:t> </w:t>
      </w:r>
      <w:r w:rsidRPr="002E6ECA">
        <w:rPr>
          <w:rFonts w:eastAsiaTheme="minorHAnsi"/>
          <w:sz w:val="28"/>
          <w:szCs w:val="28"/>
          <w:lang w:val="uk-UA" w:eastAsia="en-US"/>
        </w:rPr>
        <w:t xml:space="preserve">T. Trends in perceived school stress among adolescents in five Nordic countries 2002-2014. </w:t>
      </w:r>
      <w:r w:rsidRPr="002E6ECA">
        <w:rPr>
          <w:rFonts w:eastAsiaTheme="minorHAnsi"/>
          <w:i/>
          <w:sz w:val="28"/>
          <w:szCs w:val="28"/>
          <w:lang w:val="uk-UA" w:eastAsia="en-US"/>
        </w:rPr>
        <w:t>Nordisk välfärdsforskning</w:t>
      </w:r>
      <w:r w:rsidRPr="002E6ECA">
        <w:rPr>
          <w:rFonts w:eastAsiaTheme="minorHAnsi"/>
          <w:sz w:val="28"/>
          <w:szCs w:val="28"/>
          <w:lang w:val="uk-UA" w:eastAsia="en-US"/>
        </w:rPr>
        <w:t>. 2019. Vol. 4 (2). Р. 101-112. DOI: 10.18261/issn.2464-4161-2019-02- 07.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Louis</w:t>
      </w:r>
      <w:r w:rsidRPr="002E6ECA">
        <w:rPr>
          <w:sz w:val="28"/>
          <w:szCs w:val="28"/>
          <w:lang w:val="uk-UA"/>
        </w:rPr>
        <w:t> </w:t>
      </w:r>
      <w:r w:rsidRPr="002E6ECA">
        <w:rPr>
          <w:rFonts w:eastAsiaTheme="minorHAnsi"/>
          <w:sz w:val="28"/>
          <w:szCs w:val="28"/>
          <w:lang w:val="uk-UA" w:eastAsia="en-US"/>
        </w:rPr>
        <w:t>J., Revol</w:t>
      </w:r>
      <w:r w:rsidRPr="002E6ECA">
        <w:rPr>
          <w:sz w:val="28"/>
          <w:szCs w:val="28"/>
          <w:lang w:val="uk-UA"/>
        </w:rPr>
        <w:t> </w:t>
      </w:r>
      <w:r w:rsidRPr="002E6ECA">
        <w:rPr>
          <w:rFonts w:eastAsiaTheme="minorHAnsi"/>
          <w:sz w:val="28"/>
          <w:szCs w:val="28"/>
          <w:lang w:val="uk-UA" w:eastAsia="en-US"/>
        </w:rPr>
        <w:t>O., Nemoz</w:t>
      </w:r>
      <w:r w:rsidRPr="002E6ECA">
        <w:rPr>
          <w:sz w:val="28"/>
          <w:szCs w:val="28"/>
          <w:lang w:val="uk-UA"/>
        </w:rPr>
        <w:t> </w:t>
      </w:r>
      <w:r w:rsidRPr="002E6ECA">
        <w:rPr>
          <w:rFonts w:eastAsiaTheme="minorHAnsi"/>
          <w:sz w:val="28"/>
          <w:szCs w:val="28"/>
          <w:lang w:val="uk-UA" w:eastAsia="en-US"/>
        </w:rPr>
        <w:t>C., Dulac</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 xml:space="preserve">M., Fourneret P. Psychophysiological factors in high intellectual potential: comparative study in children aged from 8 to 11 years old. </w:t>
      </w:r>
      <w:r w:rsidRPr="002E6ECA">
        <w:rPr>
          <w:rFonts w:eastAsiaTheme="minorHAnsi"/>
          <w:i/>
          <w:sz w:val="28"/>
          <w:szCs w:val="28"/>
          <w:lang w:val="uk-UA" w:eastAsia="en-US"/>
        </w:rPr>
        <w:t>Archives de Pediatrie</w:t>
      </w:r>
      <w:r w:rsidRPr="002E6ECA">
        <w:rPr>
          <w:rFonts w:eastAsiaTheme="minorHAnsi"/>
          <w:sz w:val="28"/>
          <w:szCs w:val="28"/>
          <w:lang w:val="uk-UA" w:eastAsia="en-US"/>
        </w:rPr>
        <w:t xml:space="preserve">. 2005. Vol. 12 (5). Р. 520-525. </w:t>
      </w:r>
      <w:hyperlink r:id="rId339" w:history="1">
        <w:r w:rsidRPr="002E6ECA">
          <w:rPr>
            <w:rFonts w:eastAsiaTheme="minorHAnsi"/>
            <w:sz w:val="28"/>
            <w:szCs w:val="28"/>
            <w:lang w:val="uk-UA" w:eastAsia="en-US"/>
          </w:rPr>
          <w:t>https://doi.org/10.1016/j.arcped.2004.10.022</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Malik</w:t>
      </w:r>
      <w:r w:rsidRPr="002E6ECA">
        <w:rPr>
          <w:sz w:val="28"/>
          <w:szCs w:val="28"/>
          <w:lang w:val="uk-UA"/>
        </w:rPr>
        <w:t> </w:t>
      </w:r>
      <w:r w:rsidRPr="002E6ECA">
        <w:rPr>
          <w:rFonts w:eastAsiaTheme="minorHAnsi"/>
          <w:sz w:val="28"/>
          <w:szCs w:val="28"/>
          <w:lang w:val="uk-UA" w:eastAsia="en-US"/>
        </w:rPr>
        <w:t xml:space="preserve">M. Heart rate variability. standards of measurement, physiological interpretation, and clinical use. Task force of the european society of cardiology and the north american society of pacing and electrophysiology. </w:t>
      </w:r>
      <w:r w:rsidRPr="002E6ECA">
        <w:rPr>
          <w:rFonts w:eastAsiaTheme="minorHAnsi"/>
          <w:i/>
          <w:sz w:val="28"/>
          <w:szCs w:val="28"/>
          <w:lang w:val="uk-UA" w:eastAsia="en-US"/>
        </w:rPr>
        <w:t>Eur. Heart J.</w:t>
      </w:r>
      <w:r w:rsidRPr="002E6ECA">
        <w:rPr>
          <w:rFonts w:eastAsiaTheme="minorHAnsi"/>
          <w:sz w:val="28"/>
          <w:szCs w:val="28"/>
          <w:lang w:val="uk-UA" w:eastAsia="en-US"/>
        </w:rPr>
        <w:t xml:space="preserve"> 1996. Vol. 17. Р. 354-381. doi: 10.1093/oxfordjournals.eurheartj.a014868.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Marandi</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Z., Madeleine</w:t>
      </w:r>
      <w:r w:rsidRPr="002E6ECA">
        <w:rPr>
          <w:sz w:val="28"/>
          <w:szCs w:val="28"/>
          <w:lang w:val="uk-UA"/>
        </w:rPr>
        <w:t> </w:t>
      </w:r>
      <w:r w:rsidRPr="002E6ECA">
        <w:rPr>
          <w:rFonts w:eastAsiaTheme="minorHAnsi"/>
          <w:sz w:val="28"/>
          <w:szCs w:val="28"/>
          <w:lang w:val="uk-UA" w:eastAsia="en-US"/>
        </w:rPr>
        <w:t>P., Omland</w:t>
      </w:r>
      <w:r w:rsidRPr="002E6ECA">
        <w:rPr>
          <w:sz w:val="28"/>
          <w:szCs w:val="28"/>
          <w:lang w:val="uk-UA"/>
        </w:rPr>
        <w:t> </w:t>
      </w:r>
      <w:r w:rsidRPr="002E6ECA">
        <w:rPr>
          <w:rFonts w:eastAsiaTheme="minorHAnsi"/>
          <w:sz w:val="28"/>
          <w:szCs w:val="28"/>
          <w:lang w:val="uk-UA" w:eastAsia="en-US"/>
        </w:rPr>
        <w:t>Ø., Vuillerme</w:t>
      </w:r>
      <w:r w:rsidRPr="002E6ECA">
        <w:rPr>
          <w:sz w:val="28"/>
          <w:szCs w:val="28"/>
          <w:lang w:val="uk-UA"/>
        </w:rPr>
        <w:t> </w:t>
      </w:r>
      <w:r w:rsidRPr="002E6ECA">
        <w:rPr>
          <w:rFonts w:eastAsiaTheme="minorHAnsi"/>
          <w:sz w:val="28"/>
          <w:szCs w:val="28"/>
          <w:lang w:val="uk-UA" w:eastAsia="en-US"/>
        </w:rPr>
        <w:t>N., Samani</w:t>
      </w:r>
      <w:r w:rsidRPr="002E6ECA">
        <w:rPr>
          <w:sz w:val="28"/>
          <w:szCs w:val="28"/>
          <w:lang w:val="uk-UA"/>
        </w:rPr>
        <w:t> </w:t>
      </w:r>
      <w:r w:rsidRPr="002E6ECA">
        <w:rPr>
          <w:rFonts w:eastAsiaTheme="minorHAnsi"/>
          <w:sz w:val="28"/>
          <w:szCs w:val="28"/>
          <w:lang w:val="uk-UA" w:eastAsia="en-US"/>
        </w:rPr>
        <w:t xml:space="preserve">A. An oculometrics-based biofeedback system to impede fatigue development during computer work: A proof-of-concept study. </w:t>
      </w:r>
      <w:r w:rsidRPr="002E6ECA">
        <w:rPr>
          <w:rFonts w:eastAsiaTheme="minorHAnsi"/>
          <w:i/>
          <w:sz w:val="28"/>
          <w:szCs w:val="28"/>
          <w:lang w:val="uk-UA" w:eastAsia="en-US"/>
        </w:rPr>
        <w:t>PLoS One</w:t>
      </w:r>
      <w:r w:rsidRPr="002E6ECA">
        <w:rPr>
          <w:rFonts w:eastAsiaTheme="minorHAnsi"/>
          <w:sz w:val="28"/>
          <w:szCs w:val="28"/>
          <w:lang w:val="uk-UA" w:eastAsia="en-US"/>
        </w:rPr>
        <w:t xml:space="preserve">. 2019. Vol. 14 (5). e0213704. doi: 10.1371/journal.pone.0213704.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Marandi</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Z., Madeleine</w:t>
      </w:r>
      <w:r w:rsidRPr="002E6ECA">
        <w:rPr>
          <w:sz w:val="28"/>
          <w:szCs w:val="28"/>
          <w:lang w:val="uk-UA"/>
        </w:rPr>
        <w:t> </w:t>
      </w:r>
      <w:r w:rsidRPr="002E6ECA">
        <w:rPr>
          <w:rFonts w:eastAsiaTheme="minorHAnsi"/>
          <w:sz w:val="28"/>
          <w:szCs w:val="28"/>
          <w:lang w:val="uk-UA" w:eastAsia="en-US"/>
        </w:rPr>
        <w:t>P., Omland</w:t>
      </w:r>
      <w:r w:rsidRPr="002E6ECA">
        <w:rPr>
          <w:sz w:val="28"/>
          <w:szCs w:val="28"/>
          <w:lang w:val="uk-UA"/>
        </w:rPr>
        <w:t> </w:t>
      </w:r>
      <w:r w:rsidRPr="002E6ECA">
        <w:rPr>
          <w:rFonts w:eastAsiaTheme="minorHAnsi"/>
          <w:sz w:val="28"/>
          <w:szCs w:val="28"/>
          <w:lang w:val="uk-UA" w:eastAsia="en-US"/>
        </w:rPr>
        <w:t>Ø., Vuillerme</w:t>
      </w:r>
      <w:r w:rsidRPr="002E6ECA">
        <w:rPr>
          <w:sz w:val="28"/>
          <w:szCs w:val="28"/>
          <w:lang w:val="uk-UA"/>
        </w:rPr>
        <w:t> </w:t>
      </w:r>
      <w:r w:rsidRPr="002E6ECA">
        <w:rPr>
          <w:rFonts w:eastAsiaTheme="minorHAnsi"/>
          <w:sz w:val="28"/>
          <w:szCs w:val="28"/>
          <w:lang w:val="uk-UA" w:eastAsia="en-US"/>
        </w:rPr>
        <w:t>N., Samani</w:t>
      </w:r>
      <w:r w:rsidRPr="002E6ECA">
        <w:rPr>
          <w:sz w:val="28"/>
          <w:szCs w:val="28"/>
          <w:lang w:val="uk-UA"/>
        </w:rPr>
        <w:t> </w:t>
      </w:r>
      <w:r w:rsidRPr="002E6ECA">
        <w:rPr>
          <w:rFonts w:eastAsiaTheme="minorHAnsi"/>
          <w:sz w:val="28"/>
          <w:szCs w:val="28"/>
          <w:lang w:val="uk-UA" w:eastAsia="en-US"/>
        </w:rPr>
        <w:t xml:space="preserve">A. Author Correction: Eye movement characteristics reflected fatigue development in both young and elderly individuals. </w:t>
      </w:r>
      <w:hyperlink r:id="rId340" w:history="1">
        <w:r w:rsidRPr="002E6ECA">
          <w:rPr>
            <w:rFonts w:eastAsiaTheme="minorHAnsi"/>
            <w:i/>
            <w:sz w:val="28"/>
            <w:szCs w:val="28"/>
            <w:lang w:val="uk-UA" w:eastAsia="en-US"/>
          </w:rPr>
          <w:t>Scientific Reports</w:t>
        </w:r>
      </w:hyperlink>
      <w:r w:rsidRPr="002E6ECA">
        <w:rPr>
          <w:rFonts w:eastAsiaTheme="minorHAnsi"/>
          <w:sz w:val="28"/>
          <w:szCs w:val="28"/>
          <w:lang w:val="uk-UA" w:eastAsia="en-US"/>
        </w:rPr>
        <w:t xml:space="preserve">. 2020. Vol. 10 (1). 3964. doi: 10.1038/s41598-020-60914-6.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41" w:history="1">
        <w:r w:rsidR="00020FED" w:rsidRPr="002E6ECA">
          <w:rPr>
            <w:rFonts w:eastAsiaTheme="minorHAnsi"/>
            <w:sz w:val="28"/>
            <w:szCs w:val="28"/>
            <w:lang w:val="uk-UA" w:eastAsia="en-US"/>
          </w:rPr>
          <w:t>Marques</w:t>
        </w:r>
      </w:hyperlink>
      <w:r w:rsidR="00020FED" w:rsidRPr="002E6ECA">
        <w:rPr>
          <w:sz w:val="28"/>
          <w:szCs w:val="28"/>
          <w:lang w:val="uk-UA"/>
        </w:rPr>
        <w:t> </w:t>
      </w:r>
      <w:r w:rsidR="00020FED" w:rsidRPr="002E6ECA">
        <w:rPr>
          <w:rFonts w:eastAsiaTheme="minorHAnsi"/>
          <w:sz w:val="28"/>
          <w:szCs w:val="28"/>
          <w:lang w:val="uk-UA" w:eastAsia="en-US"/>
        </w:rPr>
        <w:t xml:space="preserve">A., </w:t>
      </w:r>
      <w:hyperlink r:id="rId342" w:history="1">
        <w:r w:rsidR="00020FED" w:rsidRPr="002E6ECA">
          <w:rPr>
            <w:rFonts w:eastAsiaTheme="minorHAnsi"/>
            <w:sz w:val="28"/>
            <w:szCs w:val="28"/>
            <w:lang w:val="uk-UA" w:eastAsia="en-US"/>
          </w:rPr>
          <w:t>Demetriou</w:t>
        </w:r>
      </w:hyperlink>
      <w:r w:rsidR="00020FED" w:rsidRPr="002E6ECA">
        <w:rPr>
          <w:sz w:val="28"/>
          <w:szCs w:val="28"/>
          <w:lang w:val="uk-UA"/>
        </w:rPr>
        <w:t> </w:t>
      </w:r>
      <w:r w:rsidR="00020FED" w:rsidRPr="002E6ECA">
        <w:rPr>
          <w:rFonts w:eastAsiaTheme="minorHAnsi"/>
          <w:sz w:val="28"/>
          <w:szCs w:val="28"/>
          <w:lang w:val="uk-UA" w:eastAsia="en-US"/>
        </w:rPr>
        <w:t xml:space="preserve">Y., </w:t>
      </w:r>
      <w:hyperlink r:id="rId343" w:history="1">
        <w:r w:rsidR="00020FED" w:rsidRPr="002E6ECA">
          <w:rPr>
            <w:rFonts w:eastAsiaTheme="minorHAnsi"/>
            <w:sz w:val="28"/>
            <w:szCs w:val="28"/>
            <w:lang w:val="uk-UA" w:eastAsia="en-US"/>
          </w:rPr>
          <w:t>Tesler</w:t>
        </w:r>
      </w:hyperlink>
      <w:r w:rsidR="00020FED" w:rsidRPr="002E6ECA">
        <w:rPr>
          <w:sz w:val="28"/>
          <w:szCs w:val="28"/>
          <w:lang w:val="uk-UA"/>
        </w:rPr>
        <w:t> </w:t>
      </w:r>
      <w:r w:rsidR="00020FED" w:rsidRPr="002E6ECA">
        <w:rPr>
          <w:rFonts w:eastAsiaTheme="minorHAnsi"/>
          <w:sz w:val="28"/>
          <w:szCs w:val="28"/>
          <w:lang w:val="uk-UA" w:eastAsia="en-US"/>
        </w:rPr>
        <w:t xml:space="preserve">R., </w:t>
      </w:r>
      <w:hyperlink r:id="rId344" w:history="1">
        <w:r w:rsidR="00020FED" w:rsidRPr="002E6ECA">
          <w:rPr>
            <w:rFonts w:eastAsiaTheme="minorHAnsi"/>
            <w:sz w:val="28"/>
            <w:szCs w:val="28"/>
            <w:lang w:val="uk-UA" w:eastAsia="en-US"/>
          </w:rPr>
          <w:t>Gouveia</w:t>
        </w:r>
      </w:hyperlink>
      <w:r w:rsidR="00020FED" w:rsidRPr="002E6ECA">
        <w:rPr>
          <w:sz w:val="28"/>
          <w:szCs w:val="28"/>
          <w:lang w:val="uk-UA"/>
        </w:rPr>
        <w:t> </w:t>
      </w:r>
      <w:r w:rsidR="00020FED" w:rsidRPr="002E6ECA">
        <w:rPr>
          <w:rFonts w:eastAsiaTheme="minorHAnsi"/>
          <w:sz w:val="28"/>
          <w:szCs w:val="28"/>
          <w:lang w:val="uk-UA" w:eastAsia="en-US"/>
        </w:rPr>
        <w:t>É.</w:t>
      </w:r>
      <w:r w:rsidR="00020FED" w:rsidRPr="002E6ECA">
        <w:rPr>
          <w:sz w:val="28"/>
          <w:szCs w:val="28"/>
          <w:lang w:val="uk-UA"/>
        </w:rPr>
        <w:t> </w:t>
      </w:r>
      <w:r w:rsidR="00020FED" w:rsidRPr="002E6ECA">
        <w:rPr>
          <w:rFonts w:eastAsiaTheme="minorHAnsi"/>
          <w:sz w:val="28"/>
          <w:szCs w:val="28"/>
          <w:lang w:val="uk-UA" w:eastAsia="en-US"/>
        </w:rPr>
        <w:t xml:space="preserve">R., </w:t>
      </w:r>
      <w:hyperlink r:id="rId345" w:history="1">
        <w:r w:rsidR="00020FED" w:rsidRPr="002E6ECA">
          <w:rPr>
            <w:rFonts w:eastAsiaTheme="minorHAnsi"/>
            <w:sz w:val="28"/>
            <w:szCs w:val="28"/>
            <w:lang w:val="uk-UA" w:eastAsia="en-US"/>
          </w:rPr>
          <w:t>Peralta</w:t>
        </w:r>
      </w:hyperlink>
      <w:r w:rsidR="00020FED" w:rsidRPr="002E6ECA">
        <w:rPr>
          <w:sz w:val="28"/>
          <w:szCs w:val="28"/>
          <w:lang w:val="uk-UA"/>
        </w:rPr>
        <w:t> </w:t>
      </w:r>
      <w:r w:rsidR="00020FED" w:rsidRPr="002E6ECA">
        <w:rPr>
          <w:rFonts w:eastAsiaTheme="minorHAnsi"/>
          <w:sz w:val="28"/>
          <w:szCs w:val="28"/>
          <w:lang w:val="uk-UA" w:eastAsia="en-US"/>
        </w:rPr>
        <w:t xml:space="preserve">M., </w:t>
      </w:r>
      <w:hyperlink r:id="rId346" w:history="1">
        <w:r w:rsidR="00020FED" w:rsidRPr="002E6ECA">
          <w:rPr>
            <w:rFonts w:eastAsiaTheme="minorHAnsi"/>
            <w:sz w:val="28"/>
            <w:szCs w:val="28"/>
            <w:lang w:val="uk-UA" w:eastAsia="en-US"/>
          </w:rPr>
          <w:t>de Matos</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 xml:space="preserve">G. Healthy Lifestyle in Children and Adolescents and Its Association with Subjective Health Complaints: Findings from 37 Countries and Regions from the HBSC Study. </w:t>
      </w:r>
      <w:r w:rsidR="00020FED" w:rsidRPr="002E6ECA">
        <w:rPr>
          <w:rFonts w:eastAsiaTheme="minorHAnsi"/>
          <w:i/>
          <w:sz w:val="28"/>
          <w:szCs w:val="28"/>
          <w:lang w:val="uk-UA" w:eastAsia="en-US"/>
        </w:rPr>
        <w:t>International Journal of Environmental Research and Public Health</w:t>
      </w:r>
      <w:r w:rsidR="00020FED" w:rsidRPr="002E6ECA">
        <w:rPr>
          <w:rFonts w:eastAsiaTheme="minorHAnsi"/>
          <w:sz w:val="28"/>
          <w:szCs w:val="28"/>
          <w:lang w:val="uk-UA" w:eastAsia="en-US"/>
        </w:rPr>
        <w:t xml:space="preserve">. 2019. Vol. 16 (18). 3292. doi: 10.3390/ijerph16183292.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Marques</w:t>
      </w:r>
      <w:r w:rsidRPr="002E6ECA">
        <w:rPr>
          <w:sz w:val="28"/>
          <w:szCs w:val="28"/>
          <w:lang w:val="uk-UA"/>
        </w:rPr>
        <w:t> </w:t>
      </w:r>
      <w:r w:rsidRPr="002E6ECA">
        <w:rPr>
          <w:rFonts w:eastAsiaTheme="minorHAnsi"/>
          <w:sz w:val="28"/>
          <w:szCs w:val="28"/>
          <w:lang w:val="uk-UA" w:eastAsia="en-US"/>
        </w:rPr>
        <w:t>A., Peralta</w:t>
      </w:r>
      <w:r w:rsidRPr="002E6ECA">
        <w:rPr>
          <w:sz w:val="28"/>
          <w:szCs w:val="28"/>
          <w:lang w:val="uk-UA"/>
        </w:rPr>
        <w:t> </w:t>
      </w:r>
      <w:r w:rsidRPr="002E6ECA">
        <w:rPr>
          <w:rFonts w:eastAsiaTheme="minorHAnsi"/>
          <w:sz w:val="28"/>
          <w:szCs w:val="28"/>
          <w:lang w:val="uk-UA" w:eastAsia="en-US"/>
        </w:rPr>
        <w:t>M., Santos</w:t>
      </w:r>
      <w:r w:rsidRPr="002E6ECA">
        <w:rPr>
          <w:sz w:val="28"/>
          <w:szCs w:val="28"/>
          <w:lang w:val="uk-UA"/>
        </w:rPr>
        <w:t> </w:t>
      </w:r>
      <w:r w:rsidRPr="002E6ECA">
        <w:rPr>
          <w:rFonts w:eastAsiaTheme="minorHAnsi"/>
          <w:sz w:val="28"/>
          <w:szCs w:val="28"/>
          <w:lang w:val="uk-UA" w:eastAsia="en-US"/>
        </w:rPr>
        <w:t xml:space="preserve">T. et al. Self-rated health and health-related quality of life are related with adolescents' healthy lifestyle. </w:t>
      </w:r>
      <w:r w:rsidRPr="002E6ECA">
        <w:rPr>
          <w:rFonts w:eastAsiaTheme="minorHAnsi"/>
          <w:i/>
          <w:sz w:val="28"/>
          <w:szCs w:val="28"/>
          <w:lang w:val="uk-UA" w:eastAsia="en-US"/>
        </w:rPr>
        <w:t>Public Health</w:t>
      </w:r>
      <w:r w:rsidRPr="002E6ECA">
        <w:rPr>
          <w:rFonts w:eastAsiaTheme="minorHAnsi"/>
          <w:sz w:val="28"/>
          <w:szCs w:val="28"/>
          <w:lang w:val="uk-UA" w:eastAsia="en-US"/>
        </w:rPr>
        <w:t>. 2019. Vol. 170. Р. 89-94. doi: 10.1016/j.puhe.2019.02.022.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Martin</w:t>
      </w:r>
      <w:r w:rsidRPr="002E6ECA">
        <w:rPr>
          <w:sz w:val="28"/>
          <w:szCs w:val="28"/>
          <w:lang w:val="uk-UA"/>
        </w:rPr>
        <w:t> </w:t>
      </w:r>
      <w:r w:rsidRPr="002E6ECA">
        <w:rPr>
          <w:rFonts w:eastAsiaTheme="minorHAnsi"/>
          <w:sz w:val="28"/>
          <w:szCs w:val="28"/>
          <w:lang w:val="uk-UA" w:eastAsia="en-US"/>
        </w:rPr>
        <w:t>A., Saunders</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H., Shenkin</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 xml:space="preserve">D. et al. Lifestyle intervention for improving school achievement in overweight or obese children and adolescents. </w:t>
      </w:r>
      <w:r w:rsidRPr="002E6ECA">
        <w:rPr>
          <w:rFonts w:eastAsiaTheme="minorHAnsi"/>
          <w:i/>
          <w:sz w:val="28"/>
          <w:szCs w:val="28"/>
          <w:lang w:val="uk-UA" w:eastAsia="en-US"/>
        </w:rPr>
        <w:lastRenderedPageBreak/>
        <w:t>Cochrane Database Syst Rev</w:t>
      </w:r>
      <w:r w:rsidRPr="002E6ECA">
        <w:rPr>
          <w:rFonts w:eastAsiaTheme="minorHAnsi"/>
          <w:sz w:val="28"/>
          <w:szCs w:val="28"/>
          <w:lang w:val="uk-UA" w:eastAsia="en-US"/>
        </w:rPr>
        <w:t>. 2014. Vol. 14 (3). CD009728. doi: 10.1002/14651858.CD009728.pub2.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Martindale</w:t>
      </w:r>
      <w:r w:rsidRPr="002E6ECA">
        <w:rPr>
          <w:sz w:val="28"/>
          <w:szCs w:val="28"/>
          <w:lang w:val="uk-UA"/>
        </w:rPr>
        <w:t> </w:t>
      </w:r>
      <w:r w:rsidRPr="002E6ECA">
        <w:rPr>
          <w:rFonts w:eastAsiaTheme="minorHAnsi"/>
          <w:sz w:val="28"/>
          <w:szCs w:val="28"/>
          <w:lang w:val="uk-UA" w:eastAsia="en-US"/>
        </w:rPr>
        <w:t>C. Biological Bases of Creativity. In: Sternberg</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J., editor. Handbook of Creativity. Cambridge University Press; Cambridge: 1999. Р. 137-152.</w:t>
      </w:r>
    </w:p>
    <w:p w:rsidR="00020FED" w:rsidRPr="002E6ECA" w:rsidRDefault="00020FED" w:rsidP="00020FED">
      <w:pPr>
        <w:pStyle w:val="a3"/>
        <w:numPr>
          <w:ilvl w:val="0"/>
          <w:numId w:val="72"/>
        </w:numPr>
        <w:spacing w:line="360" w:lineRule="auto"/>
        <w:ind w:left="0" w:firstLine="709"/>
        <w:jc w:val="both"/>
        <w:rPr>
          <w:spacing w:val="-2"/>
          <w:sz w:val="28"/>
          <w:szCs w:val="28"/>
        </w:rPr>
      </w:pPr>
      <w:r w:rsidRPr="002E6ECA">
        <w:rPr>
          <w:bCs/>
          <w:iCs/>
          <w:spacing w:val="-2"/>
          <w:sz w:val="28"/>
          <w:szCs w:val="28"/>
          <w:lang w:val="uk-UA"/>
        </w:rPr>
        <w:t>Martynenko</w:t>
      </w:r>
      <w:r w:rsidRPr="002E6ECA">
        <w:rPr>
          <w:spacing w:val="-2"/>
          <w:sz w:val="28"/>
          <w:szCs w:val="28"/>
          <w:lang w:val="uk-UA"/>
        </w:rPr>
        <w:t> </w:t>
      </w:r>
      <w:r w:rsidRPr="002E6ECA">
        <w:rPr>
          <w:bCs/>
          <w:iCs/>
          <w:spacing w:val="-2"/>
          <w:sz w:val="28"/>
          <w:szCs w:val="28"/>
          <w:lang w:val="uk-UA"/>
        </w:rPr>
        <w:t>A., Raimondi</w:t>
      </w:r>
      <w:r w:rsidRPr="002E6ECA">
        <w:rPr>
          <w:spacing w:val="-2"/>
          <w:sz w:val="28"/>
          <w:szCs w:val="28"/>
          <w:lang w:val="uk-UA"/>
        </w:rPr>
        <w:t> </w:t>
      </w:r>
      <w:r w:rsidRPr="002E6ECA">
        <w:rPr>
          <w:bCs/>
          <w:iCs/>
          <w:spacing w:val="-2"/>
          <w:sz w:val="28"/>
          <w:szCs w:val="28"/>
          <w:lang w:val="uk-UA"/>
        </w:rPr>
        <w:t>G., Sotnikova</w:t>
      </w:r>
      <w:r w:rsidRPr="002E6ECA">
        <w:rPr>
          <w:spacing w:val="-2"/>
          <w:sz w:val="28"/>
          <w:szCs w:val="28"/>
          <w:lang w:val="uk-UA"/>
        </w:rPr>
        <w:t>-</w:t>
      </w:r>
      <w:r w:rsidRPr="002E6ECA">
        <w:rPr>
          <w:bCs/>
          <w:iCs/>
          <w:spacing w:val="-2"/>
          <w:sz w:val="28"/>
          <w:szCs w:val="28"/>
          <w:lang w:val="uk-UA"/>
        </w:rPr>
        <w:t>Meleshkina</w:t>
      </w:r>
      <w:r w:rsidRPr="002E6ECA">
        <w:rPr>
          <w:spacing w:val="-2"/>
          <w:sz w:val="28"/>
          <w:szCs w:val="28"/>
          <w:lang w:val="uk-UA"/>
        </w:rPr>
        <w:t> </w:t>
      </w:r>
      <w:r w:rsidRPr="002E6ECA">
        <w:rPr>
          <w:bCs/>
          <w:iCs/>
          <w:spacing w:val="-2"/>
          <w:sz w:val="28"/>
          <w:szCs w:val="28"/>
          <w:lang w:val="uk-UA"/>
        </w:rPr>
        <w:t>Zh., Danylenko</w:t>
      </w:r>
      <w:r w:rsidRPr="002E6ECA">
        <w:rPr>
          <w:spacing w:val="-2"/>
          <w:sz w:val="28"/>
          <w:szCs w:val="28"/>
          <w:lang w:val="uk-UA"/>
        </w:rPr>
        <w:t> </w:t>
      </w:r>
      <w:r w:rsidRPr="002E6ECA">
        <w:rPr>
          <w:bCs/>
          <w:iCs/>
          <w:spacing w:val="-2"/>
          <w:sz w:val="28"/>
          <w:szCs w:val="28"/>
          <w:lang w:val="uk-UA"/>
        </w:rPr>
        <w:t>H., Budreiko</w:t>
      </w:r>
      <w:r w:rsidRPr="002E6ECA">
        <w:rPr>
          <w:spacing w:val="-2"/>
          <w:sz w:val="28"/>
          <w:szCs w:val="28"/>
          <w:lang w:val="uk-UA"/>
        </w:rPr>
        <w:t> </w:t>
      </w:r>
      <w:r w:rsidRPr="002E6ECA">
        <w:rPr>
          <w:bCs/>
          <w:iCs/>
          <w:spacing w:val="-2"/>
          <w:sz w:val="28"/>
          <w:szCs w:val="28"/>
          <w:lang w:val="uk-UA"/>
        </w:rPr>
        <w:t xml:space="preserve">N. </w:t>
      </w:r>
      <w:r w:rsidRPr="002E6ECA">
        <w:rPr>
          <w:spacing w:val="-2"/>
          <w:sz w:val="28"/>
          <w:szCs w:val="28"/>
          <w:lang w:val="en-US"/>
        </w:rPr>
        <w:t xml:space="preserve">Statistical analysis of medical time series. </w:t>
      </w:r>
      <w:r w:rsidRPr="002E6ECA">
        <w:rPr>
          <w:i/>
          <w:spacing w:val="-2"/>
          <w:sz w:val="28"/>
          <w:szCs w:val="28"/>
          <w:lang w:val="en-US"/>
        </w:rPr>
        <w:t>Journal of V. N. Karazin` KhNU. Series «Medicine»</w:t>
      </w:r>
      <w:r w:rsidRPr="002E6ECA">
        <w:rPr>
          <w:spacing w:val="-2"/>
          <w:sz w:val="28"/>
          <w:szCs w:val="28"/>
          <w:lang w:val="en-US"/>
        </w:rPr>
        <w:t xml:space="preserve">. 2020. Issue 40. </w:t>
      </w:r>
      <w:r w:rsidRPr="002E6ECA">
        <w:rPr>
          <w:spacing w:val="-2"/>
          <w:sz w:val="28"/>
          <w:szCs w:val="28"/>
        </w:rPr>
        <w:t>Р</w:t>
      </w:r>
      <w:r w:rsidRPr="002E6ECA">
        <w:rPr>
          <w:spacing w:val="-2"/>
          <w:sz w:val="28"/>
          <w:szCs w:val="28"/>
          <w:lang w:val="en-US"/>
        </w:rPr>
        <w:t xml:space="preserve">. 5-12. </w:t>
      </w:r>
      <w:r w:rsidRPr="002E6ECA">
        <w:rPr>
          <w:iCs/>
          <w:spacing w:val="-2"/>
          <w:sz w:val="28"/>
          <w:szCs w:val="28"/>
        </w:rPr>
        <w:t>DOI: 10.26565/2313-6693-2020-40-01.</w:t>
      </w:r>
      <w:r w:rsidRPr="002E6ECA">
        <w:rPr>
          <w:i/>
          <w:iCs/>
          <w:spacing w:val="-2"/>
          <w:sz w:val="28"/>
          <w:szCs w:val="28"/>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sz w:val="28"/>
          <w:szCs w:val="28"/>
          <w:shd w:val="clear" w:color="auto" w:fill="FFFFFF"/>
          <w:lang w:val="en-US"/>
        </w:rPr>
        <w:t>Massin</w:t>
      </w:r>
      <w:r w:rsidRPr="002E6ECA">
        <w:rPr>
          <w:sz w:val="28"/>
          <w:szCs w:val="28"/>
          <w:lang w:val="uk-UA"/>
        </w:rPr>
        <w:t> </w:t>
      </w:r>
      <w:r w:rsidRPr="002E6ECA">
        <w:rPr>
          <w:sz w:val="28"/>
          <w:szCs w:val="28"/>
          <w:shd w:val="clear" w:color="auto" w:fill="FFFFFF"/>
          <w:lang w:val="en-US"/>
        </w:rPr>
        <w:t>M., von Bernuth</w:t>
      </w:r>
      <w:r w:rsidRPr="002E6ECA">
        <w:rPr>
          <w:sz w:val="28"/>
          <w:szCs w:val="28"/>
          <w:lang w:val="uk-UA"/>
        </w:rPr>
        <w:t> </w:t>
      </w:r>
      <w:r w:rsidRPr="002E6ECA">
        <w:rPr>
          <w:sz w:val="28"/>
          <w:szCs w:val="28"/>
          <w:shd w:val="clear" w:color="auto" w:fill="FFFFFF"/>
          <w:lang w:val="en-US"/>
        </w:rPr>
        <w:t xml:space="preserve">G. </w:t>
      </w:r>
      <w:r w:rsidRPr="002E6ECA">
        <w:rPr>
          <w:rStyle w:val="ref-title"/>
          <w:sz w:val="28"/>
          <w:szCs w:val="28"/>
          <w:shd w:val="clear" w:color="auto" w:fill="FFFFFF"/>
          <w:lang w:val="en-US"/>
        </w:rPr>
        <w:t>Clinical and haemodynamic correlates of heart rate variability in children with congenital heart disease</w:t>
      </w:r>
      <w:r w:rsidRPr="002E6ECA">
        <w:rPr>
          <w:sz w:val="28"/>
          <w:szCs w:val="28"/>
          <w:shd w:val="clear" w:color="auto" w:fill="FFFFFF"/>
          <w:lang w:val="en-US"/>
        </w:rPr>
        <w:t xml:space="preserve">. </w:t>
      </w:r>
      <w:r w:rsidRPr="002E6ECA">
        <w:rPr>
          <w:rStyle w:val="ref-journal"/>
          <w:sz w:val="28"/>
          <w:szCs w:val="28"/>
          <w:shd w:val="clear" w:color="auto" w:fill="FFFFFF"/>
        </w:rPr>
        <w:t>Eur. J. Pediatr.</w:t>
      </w:r>
      <w:r w:rsidRPr="002E6ECA">
        <w:rPr>
          <w:sz w:val="28"/>
          <w:szCs w:val="28"/>
          <w:shd w:val="clear" w:color="auto" w:fill="FFFFFF"/>
        </w:rPr>
        <w:t xml:space="preserve"> 1998. Vol. </w:t>
      </w:r>
      <w:r w:rsidRPr="002E6ECA">
        <w:rPr>
          <w:rStyle w:val="ref-vol"/>
          <w:sz w:val="28"/>
          <w:szCs w:val="28"/>
          <w:shd w:val="clear" w:color="auto" w:fill="FFFFFF"/>
        </w:rPr>
        <w:t>157</w:t>
      </w:r>
      <w:r w:rsidRPr="002E6ECA">
        <w:rPr>
          <w:sz w:val="28"/>
          <w:szCs w:val="28"/>
          <w:shd w:val="clear" w:color="auto" w:fill="FFFFFF"/>
        </w:rPr>
        <w:t>. Р. 967-971. 10.1007/s004310050979.</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47" w:history="1">
        <w:r w:rsidR="00020FED" w:rsidRPr="002E6ECA">
          <w:rPr>
            <w:rFonts w:eastAsiaTheme="minorHAnsi"/>
            <w:sz w:val="28"/>
            <w:szCs w:val="28"/>
            <w:lang w:val="uk-UA" w:eastAsia="en-US"/>
          </w:rPr>
          <w:t>Matsuo</w:t>
        </w:r>
      </w:hyperlink>
      <w:r w:rsidR="00020FED" w:rsidRPr="002E6ECA">
        <w:rPr>
          <w:sz w:val="28"/>
          <w:szCs w:val="28"/>
          <w:lang w:val="uk-UA"/>
        </w:rPr>
        <w:t> </w:t>
      </w:r>
      <w:r w:rsidR="00020FED" w:rsidRPr="002E6ECA">
        <w:rPr>
          <w:rFonts w:eastAsiaTheme="minorHAnsi"/>
          <w:sz w:val="28"/>
          <w:szCs w:val="28"/>
          <w:lang w:val="uk-UA" w:eastAsia="en-US"/>
        </w:rPr>
        <w:t>T.,</w:t>
      </w:r>
      <w:hyperlink r:id="rId348" w:history="1">
        <w:r w:rsidR="00020FED" w:rsidRPr="002E6ECA">
          <w:rPr>
            <w:rFonts w:eastAsiaTheme="minorHAnsi"/>
            <w:sz w:val="28"/>
            <w:szCs w:val="28"/>
            <w:lang w:val="uk-UA" w:eastAsia="en-US"/>
          </w:rPr>
          <w:t xml:space="preserve"> Ishii</w:t>
        </w:r>
      </w:hyperlink>
      <w:r w:rsidR="00020FED" w:rsidRPr="002E6ECA">
        <w:rPr>
          <w:sz w:val="28"/>
          <w:szCs w:val="28"/>
          <w:lang w:val="uk-UA"/>
        </w:rPr>
        <w:t> </w:t>
      </w:r>
      <w:r w:rsidR="00020FED" w:rsidRPr="002E6ECA">
        <w:rPr>
          <w:rFonts w:eastAsiaTheme="minorHAnsi"/>
          <w:sz w:val="28"/>
          <w:szCs w:val="28"/>
          <w:lang w:val="uk-UA" w:eastAsia="en-US"/>
        </w:rPr>
        <w:t xml:space="preserve">A., </w:t>
      </w:r>
      <w:hyperlink r:id="rId349" w:history="1">
        <w:r w:rsidR="00020FED" w:rsidRPr="002E6ECA">
          <w:rPr>
            <w:rFonts w:eastAsiaTheme="minorHAnsi"/>
            <w:sz w:val="28"/>
            <w:szCs w:val="28"/>
            <w:lang w:val="uk-UA" w:eastAsia="en-US"/>
          </w:rPr>
          <w:t>Nakamura</w:t>
        </w:r>
      </w:hyperlink>
      <w:r w:rsidR="00020FED" w:rsidRPr="002E6ECA">
        <w:rPr>
          <w:sz w:val="28"/>
          <w:szCs w:val="28"/>
          <w:lang w:val="uk-UA"/>
        </w:rPr>
        <w:t> </w:t>
      </w:r>
      <w:r w:rsidR="00020FED" w:rsidRPr="002E6ECA">
        <w:rPr>
          <w:rFonts w:eastAsiaTheme="minorHAnsi"/>
          <w:sz w:val="28"/>
          <w:szCs w:val="28"/>
          <w:lang w:val="uk-UA" w:eastAsia="en-US"/>
        </w:rPr>
        <w:t xml:space="preserve">C., </w:t>
      </w:r>
      <w:hyperlink r:id="rId350" w:history="1">
        <w:r w:rsidR="00020FED" w:rsidRPr="002E6ECA">
          <w:rPr>
            <w:rFonts w:eastAsiaTheme="minorHAnsi"/>
            <w:sz w:val="28"/>
            <w:szCs w:val="28"/>
            <w:lang w:val="uk-UA" w:eastAsia="en-US"/>
          </w:rPr>
          <w:t>Ishida</w:t>
        </w:r>
      </w:hyperlink>
      <w:r w:rsidR="00020FED" w:rsidRPr="002E6ECA">
        <w:rPr>
          <w:sz w:val="28"/>
          <w:szCs w:val="28"/>
          <w:lang w:val="uk-UA"/>
        </w:rPr>
        <w:t> </w:t>
      </w:r>
      <w:r w:rsidR="00020FED" w:rsidRPr="002E6ECA">
        <w:rPr>
          <w:rFonts w:eastAsiaTheme="minorHAnsi"/>
          <w:sz w:val="28"/>
          <w:szCs w:val="28"/>
          <w:lang w:val="uk-UA" w:eastAsia="en-US"/>
        </w:rPr>
        <w:t xml:space="preserve">R., </w:t>
      </w:r>
      <w:hyperlink r:id="rId351" w:history="1">
        <w:r w:rsidR="00020FED" w:rsidRPr="002E6ECA">
          <w:rPr>
            <w:rFonts w:eastAsiaTheme="minorHAnsi"/>
            <w:sz w:val="28"/>
            <w:szCs w:val="28"/>
            <w:lang w:val="uk-UA" w:eastAsia="en-US"/>
          </w:rPr>
          <w:t>Yamaguchi</w:t>
        </w:r>
      </w:hyperlink>
      <w:r w:rsidR="00020FED" w:rsidRPr="002E6ECA">
        <w:rPr>
          <w:sz w:val="28"/>
          <w:szCs w:val="28"/>
          <w:lang w:val="uk-UA"/>
        </w:rPr>
        <w:t> </w:t>
      </w:r>
      <w:r w:rsidR="00020FED" w:rsidRPr="002E6ECA">
        <w:rPr>
          <w:rFonts w:eastAsiaTheme="minorHAnsi"/>
          <w:sz w:val="28"/>
          <w:szCs w:val="28"/>
          <w:lang w:val="uk-UA" w:eastAsia="en-US"/>
        </w:rPr>
        <w:t xml:space="preserve">T., </w:t>
      </w:r>
      <w:hyperlink r:id="rId352" w:history="1">
        <w:r w:rsidR="00020FED" w:rsidRPr="002E6ECA">
          <w:rPr>
            <w:rFonts w:eastAsiaTheme="minorHAnsi"/>
            <w:sz w:val="28"/>
            <w:szCs w:val="28"/>
            <w:lang w:val="uk-UA" w:eastAsia="en-US"/>
          </w:rPr>
          <w:t>Takada</w:t>
        </w:r>
      </w:hyperlink>
      <w:r w:rsidR="00020FED" w:rsidRPr="002E6ECA">
        <w:rPr>
          <w:sz w:val="28"/>
          <w:szCs w:val="28"/>
          <w:lang w:val="uk-UA"/>
        </w:rPr>
        <w:t> </w:t>
      </w:r>
      <w:r w:rsidR="00020FED" w:rsidRPr="002E6ECA">
        <w:rPr>
          <w:rFonts w:eastAsiaTheme="minorHAnsi"/>
          <w:sz w:val="28"/>
          <w:szCs w:val="28"/>
          <w:lang w:val="uk-UA" w:eastAsia="en-US"/>
        </w:rPr>
        <w:t xml:space="preserve">K., </w:t>
      </w:r>
      <w:hyperlink r:id="rId353" w:history="1">
        <w:r w:rsidR="00020FED" w:rsidRPr="002E6ECA">
          <w:rPr>
            <w:rFonts w:eastAsiaTheme="minorHAnsi"/>
            <w:sz w:val="28"/>
            <w:szCs w:val="28"/>
            <w:lang w:val="uk-UA" w:eastAsia="en-US"/>
          </w:rPr>
          <w:t>Uji</w:t>
        </w:r>
      </w:hyperlink>
      <w:r w:rsidR="00020FED" w:rsidRPr="002E6ECA">
        <w:rPr>
          <w:sz w:val="28"/>
          <w:szCs w:val="28"/>
          <w:lang w:val="uk-UA"/>
        </w:rPr>
        <w:t> </w:t>
      </w:r>
      <w:r w:rsidR="00020FED" w:rsidRPr="002E6ECA">
        <w:rPr>
          <w:rFonts w:eastAsiaTheme="minorHAnsi"/>
          <w:sz w:val="28"/>
          <w:szCs w:val="28"/>
          <w:lang w:val="uk-UA" w:eastAsia="en-US"/>
        </w:rPr>
        <w:t xml:space="preserve">M., </w:t>
      </w:r>
      <w:hyperlink r:id="rId354" w:history="1">
        <w:r w:rsidR="00020FED" w:rsidRPr="002E6ECA">
          <w:rPr>
            <w:rFonts w:eastAsiaTheme="minorHAnsi"/>
            <w:sz w:val="28"/>
            <w:szCs w:val="28"/>
            <w:lang w:val="uk-UA" w:eastAsia="en-US"/>
          </w:rPr>
          <w:t>Yoshikawa</w:t>
        </w:r>
      </w:hyperlink>
      <w:r w:rsidR="00020FED" w:rsidRPr="002E6ECA">
        <w:rPr>
          <w:sz w:val="28"/>
          <w:szCs w:val="28"/>
          <w:lang w:val="uk-UA"/>
        </w:rPr>
        <w:t> </w:t>
      </w:r>
      <w:r w:rsidR="00020FED" w:rsidRPr="002E6ECA">
        <w:rPr>
          <w:rFonts w:eastAsiaTheme="minorHAnsi"/>
          <w:sz w:val="28"/>
          <w:szCs w:val="28"/>
          <w:lang w:val="uk-UA" w:eastAsia="en-US"/>
        </w:rPr>
        <w:t xml:space="preserve">T. Neural effects of hand-grip-activity induced fatigue sensation on appetite: a magnetoencephalography study. </w:t>
      </w:r>
      <w:r w:rsidR="00020FED" w:rsidRPr="002E6ECA">
        <w:rPr>
          <w:rFonts w:eastAsiaTheme="minorHAnsi"/>
          <w:i/>
          <w:sz w:val="28"/>
          <w:szCs w:val="28"/>
          <w:lang w:val="uk-UA" w:eastAsia="en-US"/>
        </w:rPr>
        <w:t>Sci Rep</w:t>
      </w:r>
      <w:r w:rsidR="00020FED" w:rsidRPr="002E6ECA">
        <w:rPr>
          <w:rFonts w:eastAsiaTheme="minorHAnsi"/>
          <w:sz w:val="28"/>
          <w:szCs w:val="28"/>
          <w:lang w:val="uk-UA" w:eastAsia="en-US"/>
        </w:rPr>
        <w:t xml:space="preserve">. 2019. Vol. 9 (1). 11044. doi: 10.1038/s41598-019-47580-z.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Mayne</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L., Virudachalam</w:t>
      </w:r>
      <w:r w:rsidRPr="002E6ECA">
        <w:rPr>
          <w:sz w:val="28"/>
          <w:szCs w:val="28"/>
          <w:lang w:val="uk-UA"/>
        </w:rPr>
        <w:t> </w:t>
      </w:r>
      <w:r w:rsidRPr="002E6ECA">
        <w:rPr>
          <w:rFonts w:eastAsiaTheme="minorHAnsi"/>
          <w:sz w:val="28"/>
          <w:szCs w:val="28"/>
          <w:lang w:val="uk-UA" w:eastAsia="en-US"/>
        </w:rPr>
        <w:t>S., Fiks</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 xml:space="preserve">G. Clustering of unhealthy behaviors in a nationally representative sample of U.S. children and adolescents. </w:t>
      </w:r>
      <w:r w:rsidRPr="002E6ECA">
        <w:rPr>
          <w:rFonts w:eastAsiaTheme="minorHAnsi"/>
          <w:i/>
          <w:sz w:val="28"/>
          <w:szCs w:val="28"/>
          <w:lang w:val="uk-UA" w:eastAsia="en-US"/>
        </w:rPr>
        <w:t>Prev Med</w:t>
      </w:r>
      <w:r w:rsidRPr="002E6ECA">
        <w:rPr>
          <w:rFonts w:eastAsiaTheme="minorHAnsi"/>
          <w:sz w:val="28"/>
          <w:szCs w:val="28"/>
          <w:lang w:val="uk-UA" w:eastAsia="en-US"/>
        </w:rPr>
        <w:t>. 2020. Vol. 130. 105892. doi: 10.1016/j.ypmed.2019.105892.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McCarthy</w:t>
      </w:r>
      <w:r w:rsidRPr="002E6ECA">
        <w:rPr>
          <w:sz w:val="28"/>
          <w:szCs w:val="28"/>
          <w:lang w:val="uk-UA"/>
        </w:rPr>
        <w:t> </w:t>
      </w:r>
      <w:r w:rsidRPr="002E6ECA">
        <w:rPr>
          <w:rFonts w:eastAsiaTheme="minorHAnsi"/>
          <w:sz w:val="28"/>
          <w:szCs w:val="28"/>
          <w:lang w:val="uk-UA" w:eastAsia="en-US"/>
        </w:rPr>
        <w:t>A., Asghar</w:t>
      </w:r>
      <w:r w:rsidRPr="002E6ECA">
        <w:rPr>
          <w:sz w:val="28"/>
          <w:szCs w:val="28"/>
          <w:lang w:val="uk-UA"/>
        </w:rPr>
        <w:t> </w:t>
      </w:r>
      <w:r w:rsidRPr="002E6ECA">
        <w:rPr>
          <w:rFonts w:eastAsiaTheme="minorHAnsi"/>
          <w:sz w:val="28"/>
          <w:szCs w:val="28"/>
          <w:lang w:val="uk-UA" w:eastAsia="en-US"/>
        </w:rPr>
        <w:t>S., Wilens</w:t>
      </w:r>
      <w:r w:rsidRPr="002E6ECA">
        <w:rPr>
          <w:sz w:val="28"/>
          <w:szCs w:val="28"/>
          <w:lang w:val="uk-UA"/>
        </w:rPr>
        <w:t> </w:t>
      </w:r>
      <w:r w:rsidRPr="002E6ECA">
        <w:rPr>
          <w:rFonts w:eastAsiaTheme="minorHAnsi"/>
          <w:sz w:val="28"/>
          <w:szCs w:val="28"/>
          <w:lang w:val="uk-UA" w:eastAsia="en-US"/>
        </w:rPr>
        <w:t>T., Romo</w:t>
      </w:r>
      <w:r w:rsidRPr="002E6ECA">
        <w:rPr>
          <w:sz w:val="28"/>
          <w:szCs w:val="28"/>
          <w:lang w:val="uk-UA"/>
        </w:rPr>
        <w:t> </w:t>
      </w:r>
      <w:r w:rsidRPr="002E6ECA">
        <w:rPr>
          <w:rFonts w:eastAsiaTheme="minorHAnsi"/>
          <w:sz w:val="28"/>
          <w:szCs w:val="28"/>
          <w:lang w:val="uk-UA" w:eastAsia="en-US"/>
        </w:rPr>
        <w:t>S., Kamin</w:t>
      </w:r>
      <w:r w:rsidRPr="002E6ECA">
        <w:rPr>
          <w:sz w:val="28"/>
          <w:szCs w:val="28"/>
          <w:lang w:val="uk-UA"/>
        </w:rPr>
        <w:t> </w:t>
      </w:r>
      <w:r w:rsidRPr="002E6ECA">
        <w:rPr>
          <w:rFonts w:eastAsiaTheme="minorHAnsi"/>
          <w:sz w:val="28"/>
          <w:szCs w:val="28"/>
          <w:lang w:val="uk-UA" w:eastAsia="en-US"/>
        </w:rPr>
        <w:t>H., Jellinek</w:t>
      </w:r>
      <w:r w:rsidRPr="002E6ECA">
        <w:rPr>
          <w:sz w:val="28"/>
          <w:szCs w:val="28"/>
          <w:lang w:val="uk-UA"/>
        </w:rPr>
        <w:t> </w:t>
      </w:r>
      <w:r w:rsidRPr="002E6ECA">
        <w:rPr>
          <w:rFonts w:eastAsiaTheme="minorHAnsi"/>
          <w:sz w:val="28"/>
          <w:szCs w:val="28"/>
          <w:lang w:val="uk-UA" w:eastAsia="en-US"/>
        </w:rPr>
        <w:t>M., Murphy</w:t>
      </w:r>
      <w:r w:rsidRPr="002E6ECA">
        <w:rPr>
          <w:sz w:val="28"/>
          <w:szCs w:val="28"/>
          <w:lang w:val="uk-UA"/>
        </w:rPr>
        <w:t> </w:t>
      </w:r>
      <w:r w:rsidRPr="002E6ECA">
        <w:rPr>
          <w:rFonts w:eastAsiaTheme="minorHAnsi"/>
          <w:sz w:val="28"/>
          <w:szCs w:val="28"/>
          <w:lang w:val="uk-UA" w:eastAsia="en-US"/>
        </w:rPr>
        <w:t xml:space="preserve">M. Using a brief parent-report measure to track outcomes for children and teens with ADHD. </w:t>
      </w:r>
      <w:r w:rsidRPr="002E6ECA">
        <w:rPr>
          <w:rFonts w:eastAsiaTheme="minorHAnsi"/>
          <w:i/>
          <w:sz w:val="28"/>
          <w:szCs w:val="28"/>
          <w:lang w:val="uk-UA" w:eastAsia="en-US"/>
        </w:rPr>
        <w:t>Child Psychiatry &amp; Human Development</w:t>
      </w:r>
      <w:r w:rsidRPr="002E6ECA">
        <w:rPr>
          <w:rFonts w:eastAsiaTheme="minorHAnsi"/>
          <w:sz w:val="28"/>
          <w:szCs w:val="28"/>
          <w:lang w:val="uk-UA" w:eastAsia="en-US"/>
        </w:rPr>
        <w:t>. 2016. Vol. 47. Р. 407-416. DOI:10.1007/s10578-015-0575-6.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McLaughlin</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A., Rith-Najarian</w:t>
      </w:r>
      <w:r w:rsidRPr="002E6ECA">
        <w:rPr>
          <w:sz w:val="28"/>
          <w:szCs w:val="28"/>
          <w:lang w:val="uk-UA"/>
        </w:rPr>
        <w:t> </w:t>
      </w:r>
      <w:r w:rsidRPr="002E6ECA">
        <w:rPr>
          <w:rFonts w:eastAsiaTheme="minorHAnsi"/>
          <w:sz w:val="28"/>
          <w:szCs w:val="28"/>
          <w:lang w:val="uk-UA" w:eastAsia="en-US"/>
        </w:rPr>
        <w:t>L., Dirks</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A., &amp; Sheridan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A. Low vagal tone magnifies the association between psychosocial stress exposure and internalizing psychopathology in adolescents. </w:t>
      </w:r>
      <w:r w:rsidRPr="002E6ECA">
        <w:rPr>
          <w:rFonts w:eastAsiaTheme="minorHAnsi"/>
          <w:i/>
          <w:sz w:val="28"/>
          <w:szCs w:val="28"/>
          <w:lang w:val="uk-UA" w:eastAsia="en-US"/>
        </w:rPr>
        <w:t>Journal of clinical child and adolescent psychology : the official journal for the Society of Clinical Child and Adolescent Psychology, American Psychological Association, Division</w:t>
      </w:r>
      <w:r w:rsidRPr="002E6ECA">
        <w:rPr>
          <w:rFonts w:eastAsiaTheme="minorHAnsi"/>
          <w:sz w:val="28"/>
          <w:szCs w:val="28"/>
          <w:lang w:val="uk-UA" w:eastAsia="en-US"/>
        </w:rPr>
        <w:t xml:space="preserve"> 53. 2015. Vol. 44 (2). Р. 314-328. https://doi.org/10.1080/15374416.2013.843464.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Mehta</w:t>
      </w:r>
      <w:r w:rsidRPr="002E6ECA">
        <w:rPr>
          <w:sz w:val="28"/>
          <w:szCs w:val="28"/>
          <w:lang w:val="uk-UA"/>
        </w:rPr>
        <w:t> </w:t>
      </w:r>
      <w:r w:rsidRPr="002E6ECA">
        <w:rPr>
          <w:rFonts w:eastAsiaTheme="minorHAnsi"/>
          <w:sz w:val="28"/>
          <w:szCs w:val="28"/>
          <w:lang w:val="uk-UA" w:eastAsia="en-US"/>
        </w:rPr>
        <w:t>S., Mittal</w:t>
      </w:r>
      <w:r w:rsidRPr="002E6ECA">
        <w:rPr>
          <w:sz w:val="28"/>
          <w:szCs w:val="28"/>
          <w:lang w:val="uk-UA"/>
        </w:rPr>
        <w:t> </w:t>
      </w:r>
      <w:r w:rsidRPr="002E6ECA">
        <w:rPr>
          <w:rFonts w:eastAsiaTheme="minorHAnsi"/>
          <w:sz w:val="28"/>
          <w:szCs w:val="28"/>
          <w:lang w:val="uk-UA" w:eastAsia="en-US"/>
        </w:rPr>
        <w:t>P.</w:t>
      </w:r>
      <w:r w:rsidRPr="002E6ECA">
        <w:rPr>
          <w:sz w:val="28"/>
          <w:szCs w:val="28"/>
          <w:lang w:val="uk-UA"/>
        </w:rPr>
        <w:t> </w:t>
      </w:r>
      <w:r w:rsidRPr="002E6ECA">
        <w:rPr>
          <w:rFonts w:eastAsiaTheme="minorHAnsi"/>
          <w:sz w:val="28"/>
          <w:szCs w:val="28"/>
          <w:lang w:val="uk-UA" w:eastAsia="en-US"/>
        </w:rPr>
        <w:t>K., Swami</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K. Psychosocial functioning in depressive patients: a comparative study between major depressive disorder and </w:t>
      </w:r>
      <w:r w:rsidRPr="002E6ECA">
        <w:rPr>
          <w:rFonts w:eastAsiaTheme="minorHAnsi"/>
          <w:sz w:val="28"/>
          <w:szCs w:val="28"/>
          <w:lang w:val="uk-UA" w:eastAsia="en-US"/>
        </w:rPr>
        <w:lastRenderedPageBreak/>
        <w:t xml:space="preserve">bipolar affective disorder. </w:t>
      </w:r>
      <w:r w:rsidRPr="002E6ECA">
        <w:rPr>
          <w:rFonts w:eastAsiaTheme="minorHAnsi"/>
          <w:i/>
          <w:sz w:val="28"/>
          <w:szCs w:val="28"/>
          <w:lang w:val="uk-UA" w:eastAsia="en-US"/>
        </w:rPr>
        <w:t>Depression Research and Treatment</w:t>
      </w:r>
      <w:r w:rsidRPr="002E6ECA">
        <w:rPr>
          <w:rFonts w:eastAsiaTheme="minorHAnsi"/>
          <w:sz w:val="28"/>
          <w:szCs w:val="28"/>
          <w:lang w:val="uk-UA" w:eastAsia="en-US"/>
        </w:rPr>
        <w:t>. 2014. 302741. DOI:10.1155/2014/302741.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Mendoza-Castejón</w:t>
      </w:r>
      <w:r w:rsidRPr="002E6ECA">
        <w:rPr>
          <w:sz w:val="28"/>
          <w:szCs w:val="28"/>
          <w:lang w:val="uk-UA"/>
        </w:rPr>
        <w:t> </w:t>
      </w:r>
      <w:r w:rsidRPr="002E6ECA">
        <w:rPr>
          <w:rFonts w:eastAsiaTheme="minorHAnsi"/>
          <w:sz w:val="28"/>
          <w:szCs w:val="28"/>
          <w:lang w:val="uk-UA" w:eastAsia="en-US"/>
        </w:rPr>
        <w:t>D., Clemente-Suárez</w:t>
      </w:r>
      <w:r w:rsidRPr="002E6ECA">
        <w:rPr>
          <w:sz w:val="28"/>
          <w:szCs w:val="28"/>
          <w:lang w:val="uk-UA"/>
        </w:rPr>
        <w:t> </w:t>
      </w:r>
      <w:r w:rsidRPr="002E6ECA">
        <w:rPr>
          <w:rFonts w:eastAsiaTheme="minorHAnsi"/>
          <w:sz w:val="28"/>
          <w:szCs w:val="28"/>
          <w:lang w:val="uk-UA" w:eastAsia="en-US"/>
        </w:rPr>
        <w:t>V.</w:t>
      </w:r>
      <w:r w:rsidRPr="002E6ECA">
        <w:rPr>
          <w:sz w:val="28"/>
          <w:szCs w:val="28"/>
          <w:lang w:val="uk-UA"/>
        </w:rPr>
        <w:t> </w:t>
      </w:r>
      <w:r w:rsidRPr="002E6ECA">
        <w:rPr>
          <w:rFonts w:eastAsiaTheme="minorHAnsi"/>
          <w:sz w:val="28"/>
          <w:szCs w:val="28"/>
          <w:lang w:val="uk-UA" w:eastAsia="en-US"/>
        </w:rPr>
        <w:t xml:space="preserve">J. Psychophysiological stress markers and behavioural differences between rural and city primary school students. </w:t>
      </w:r>
      <w:r w:rsidRPr="002E6ECA">
        <w:rPr>
          <w:rFonts w:eastAsiaTheme="minorHAnsi"/>
          <w:i/>
          <w:sz w:val="28"/>
          <w:szCs w:val="28"/>
          <w:lang w:val="uk-UA" w:eastAsia="en-US"/>
        </w:rPr>
        <w:t>International Journal of Environmental Research and Public Health</w:t>
      </w:r>
      <w:r w:rsidRPr="002E6ECA">
        <w:rPr>
          <w:rFonts w:eastAsiaTheme="minorHAnsi"/>
          <w:sz w:val="28"/>
          <w:szCs w:val="28"/>
          <w:lang w:val="uk-UA" w:eastAsia="en-US"/>
        </w:rPr>
        <w:t xml:space="preserve">. 2020. Vol. 17 (9). Р. 3157. </w:t>
      </w:r>
      <w:hyperlink r:id="rId355" w:history="1">
        <w:r w:rsidRPr="002E6ECA">
          <w:rPr>
            <w:rFonts w:eastAsiaTheme="minorHAnsi"/>
            <w:sz w:val="28"/>
            <w:szCs w:val="28"/>
            <w:lang w:val="uk-UA" w:eastAsia="en-US"/>
          </w:rPr>
          <w:t>https://doi.org/10.3390/ijerph17093157</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Michels</w:t>
      </w:r>
      <w:r w:rsidRPr="002E6ECA">
        <w:rPr>
          <w:sz w:val="28"/>
          <w:szCs w:val="28"/>
          <w:lang w:val="uk-UA"/>
        </w:rPr>
        <w:t> </w:t>
      </w:r>
      <w:r w:rsidRPr="002E6ECA">
        <w:rPr>
          <w:rFonts w:eastAsiaTheme="minorHAnsi"/>
          <w:sz w:val="28"/>
          <w:szCs w:val="28"/>
          <w:lang w:val="uk-UA" w:eastAsia="en-US"/>
        </w:rPr>
        <w:t>N., Sioen</w:t>
      </w:r>
      <w:r w:rsidRPr="002E6ECA">
        <w:rPr>
          <w:sz w:val="28"/>
          <w:szCs w:val="28"/>
          <w:lang w:val="uk-UA"/>
        </w:rPr>
        <w:t> </w:t>
      </w:r>
      <w:r w:rsidRPr="002E6ECA">
        <w:rPr>
          <w:rFonts w:eastAsiaTheme="minorHAnsi"/>
          <w:sz w:val="28"/>
          <w:szCs w:val="28"/>
          <w:lang w:val="uk-UA" w:eastAsia="en-US"/>
        </w:rPr>
        <w:t>I., Clays</w:t>
      </w:r>
      <w:r w:rsidRPr="002E6ECA">
        <w:rPr>
          <w:sz w:val="28"/>
          <w:szCs w:val="28"/>
          <w:lang w:val="uk-UA"/>
        </w:rPr>
        <w:t> </w:t>
      </w:r>
      <w:r w:rsidRPr="002E6ECA">
        <w:rPr>
          <w:rFonts w:eastAsiaTheme="minorHAnsi"/>
          <w:sz w:val="28"/>
          <w:szCs w:val="28"/>
          <w:lang w:val="uk-UA" w:eastAsia="en-US"/>
        </w:rPr>
        <w:t>E., De Buyzere</w:t>
      </w:r>
      <w:r w:rsidRPr="002E6ECA">
        <w:rPr>
          <w:sz w:val="28"/>
          <w:szCs w:val="28"/>
          <w:lang w:val="uk-UA"/>
        </w:rPr>
        <w:t> </w:t>
      </w:r>
      <w:r w:rsidRPr="002E6ECA">
        <w:rPr>
          <w:rFonts w:eastAsiaTheme="minorHAnsi"/>
          <w:sz w:val="28"/>
          <w:szCs w:val="28"/>
          <w:lang w:val="uk-UA" w:eastAsia="en-US"/>
        </w:rPr>
        <w:t>M., Ahrens</w:t>
      </w:r>
      <w:r w:rsidRPr="002E6ECA">
        <w:rPr>
          <w:sz w:val="28"/>
          <w:szCs w:val="28"/>
          <w:lang w:val="uk-UA"/>
        </w:rPr>
        <w:t> </w:t>
      </w:r>
      <w:r w:rsidRPr="002E6ECA">
        <w:rPr>
          <w:rFonts w:eastAsiaTheme="minorHAnsi"/>
          <w:sz w:val="28"/>
          <w:szCs w:val="28"/>
          <w:lang w:val="uk-UA" w:eastAsia="en-US"/>
        </w:rPr>
        <w:t>W., Huybrechts</w:t>
      </w:r>
      <w:r w:rsidRPr="002E6ECA">
        <w:rPr>
          <w:sz w:val="28"/>
          <w:szCs w:val="28"/>
          <w:lang w:val="uk-UA"/>
        </w:rPr>
        <w:t> </w:t>
      </w:r>
      <w:r w:rsidRPr="002E6ECA">
        <w:rPr>
          <w:rFonts w:eastAsiaTheme="minorHAnsi"/>
          <w:sz w:val="28"/>
          <w:szCs w:val="28"/>
          <w:lang w:val="uk-UA" w:eastAsia="en-US"/>
        </w:rPr>
        <w:t>I., De Henauw</w:t>
      </w:r>
      <w:r w:rsidRPr="002E6ECA">
        <w:rPr>
          <w:sz w:val="28"/>
          <w:szCs w:val="28"/>
          <w:lang w:val="uk-UA"/>
        </w:rPr>
        <w:t> </w:t>
      </w:r>
      <w:r w:rsidRPr="002E6ECA">
        <w:rPr>
          <w:rFonts w:eastAsiaTheme="minorHAnsi"/>
          <w:sz w:val="28"/>
          <w:szCs w:val="28"/>
          <w:lang w:val="uk-UA" w:eastAsia="en-US"/>
        </w:rPr>
        <w:t xml:space="preserve">S. Children's heart rate variability as stress indicator: association with reported stress and cortisol. </w:t>
      </w:r>
      <w:r w:rsidRPr="002E6ECA">
        <w:rPr>
          <w:rFonts w:eastAsiaTheme="minorHAnsi"/>
          <w:i/>
          <w:sz w:val="28"/>
          <w:szCs w:val="28"/>
          <w:lang w:val="uk-UA" w:eastAsia="en-US"/>
        </w:rPr>
        <w:t>Biological psychology</w:t>
      </w:r>
      <w:r w:rsidRPr="002E6ECA">
        <w:rPr>
          <w:rFonts w:eastAsiaTheme="minorHAnsi"/>
          <w:sz w:val="28"/>
          <w:szCs w:val="28"/>
          <w:lang w:val="uk-UA" w:eastAsia="en-US"/>
        </w:rPr>
        <w:t xml:space="preserve">. 2013. Vol. 94 (2). Р. 433-440. </w:t>
      </w:r>
      <w:hyperlink r:id="rId356" w:history="1">
        <w:r w:rsidRPr="002E6ECA">
          <w:rPr>
            <w:rFonts w:eastAsiaTheme="minorHAnsi"/>
            <w:sz w:val="28"/>
            <w:szCs w:val="28"/>
            <w:lang w:val="uk-UA" w:eastAsia="en-US"/>
          </w:rPr>
          <w:t>https://doi.org/10.1016/j.biopsycho.2013.08.005</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Moeijes</w:t>
      </w:r>
      <w:r w:rsidRPr="002E6ECA">
        <w:rPr>
          <w:sz w:val="28"/>
          <w:szCs w:val="28"/>
          <w:lang w:val="uk-UA"/>
        </w:rPr>
        <w:t> </w:t>
      </w:r>
      <w:r w:rsidRPr="002E6ECA">
        <w:rPr>
          <w:rFonts w:eastAsiaTheme="minorHAnsi"/>
          <w:sz w:val="28"/>
          <w:szCs w:val="28"/>
          <w:lang w:val="uk-UA" w:eastAsia="en-US"/>
        </w:rPr>
        <w:t>J., van Busschbach</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T., Bosscher</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J., Twisk</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 xml:space="preserve">W. R. Sports participation and health-related quality of life: a longitudinal observational study in children. </w:t>
      </w:r>
      <w:r w:rsidRPr="002E6ECA">
        <w:rPr>
          <w:rFonts w:eastAsiaTheme="minorHAnsi"/>
          <w:i/>
          <w:sz w:val="28"/>
          <w:szCs w:val="28"/>
          <w:lang w:val="uk-UA" w:eastAsia="en-US"/>
        </w:rPr>
        <w:t>Quality of Life Research</w:t>
      </w:r>
      <w:r w:rsidRPr="002E6ECA">
        <w:rPr>
          <w:rFonts w:eastAsiaTheme="minorHAnsi"/>
          <w:sz w:val="28"/>
          <w:szCs w:val="28"/>
          <w:lang w:val="uk-UA" w:eastAsia="en-US"/>
        </w:rPr>
        <w:t xml:space="preserve">. 2019. Vol. 28 (9). Р. 2453-2469. DOI: 10.1007/s11136-019-02219-4.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Moksnes</w:t>
      </w:r>
      <w:r w:rsidRPr="002E6ECA">
        <w:rPr>
          <w:sz w:val="28"/>
          <w:szCs w:val="28"/>
          <w:lang w:val="uk-UA"/>
        </w:rPr>
        <w:t> </w:t>
      </w:r>
      <w:r w:rsidRPr="002E6ECA">
        <w:rPr>
          <w:rFonts w:eastAsiaTheme="minorHAnsi"/>
          <w:sz w:val="28"/>
          <w:szCs w:val="28"/>
          <w:lang w:val="uk-UA" w:eastAsia="en-US"/>
        </w:rPr>
        <w:t>U.</w:t>
      </w:r>
      <w:r w:rsidRPr="002E6ECA">
        <w:rPr>
          <w:sz w:val="28"/>
          <w:szCs w:val="28"/>
          <w:lang w:val="uk-UA"/>
        </w:rPr>
        <w:t> </w:t>
      </w:r>
      <w:r w:rsidRPr="002E6ECA">
        <w:rPr>
          <w:rFonts w:eastAsiaTheme="minorHAnsi"/>
          <w:sz w:val="28"/>
          <w:szCs w:val="28"/>
          <w:lang w:val="uk-UA" w:eastAsia="en-US"/>
        </w:rPr>
        <w:t>K., Løhre</w:t>
      </w:r>
      <w:r w:rsidRPr="002E6ECA">
        <w:rPr>
          <w:sz w:val="28"/>
          <w:szCs w:val="28"/>
          <w:lang w:val="uk-UA"/>
        </w:rPr>
        <w:t> </w:t>
      </w:r>
      <w:r w:rsidRPr="002E6ECA">
        <w:rPr>
          <w:rFonts w:eastAsiaTheme="minorHAnsi"/>
          <w:sz w:val="28"/>
          <w:szCs w:val="28"/>
          <w:lang w:val="uk-UA" w:eastAsia="en-US"/>
        </w:rPr>
        <w:t>A., &amp;</w:t>
      </w:r>
      <w:hyperlink r:id="rId357" w:history="1">
        <w:r w:rsidRPr="002E6ECA">
          <w:rPr>
            <w:rFonts w:eastAsiaTheme="minorHAnsi"/>
            <w:sz w:val="28"/>
            <w:szCs w:val="28"/>
            <w:lang w:val="uk-UA" w:eastAsia="en-US"/>
          </w:rPr>
          <w:t xml:space="preserve"> Haugan</w:t>
        </w:r>
      </w:hyperlink>
      <w:r w:rsidRPr="002E6ECA">
        <w:rPr>
          <w:sz w:val="28"/>
          <w:szCs w:val="28"/>
          <w:lang w:val="uk-UA"/>
        </w:rPr>
        <w:t> </w:t>
      </w:r>
      <w:r w:rsidRPr="002E6ECA">
        <w:rPr>
          <w:rFonts w:eastAsiaTheme="minorHAnsi"/>
          <w:sz w:val="28"/>
          <w:szCs w:val="28"/>
          <w:lang w:val="uk-UA" w:eastAsia="en-US"/>
        </w:rPr>
        <w:t xml:space="preserve">G. The Association Between School Stress, Life Satisfaction and Depressive Symptoms in Adolescents: Life Satisfaction as a Potential Mediator. </w:t>
      </w:r>
      <w:r w:rsidRPr="002E6ECA">
        <w:rPr>
          <w:rFonts w:eastAsiaTheme="minorHAnsi"/>
          <w:i/>
          <w:sz w:val="28"/>
          <w:szCs w:val="28"/>
          <w:lang w:val="uk-UA" w:eastAsia="en-US"/>
        </w:rPr>
        <w:t>Soc Indic Re</w:t>
      </w:r>
      <w:r w:rsidRPr="002E6ECA">
        <w:rPr>
          <w:rFonts w:eastAsiaTheme="minorHAnsi"/>
          <w:sz w:val="28"/>
          <w:szCs w:val="28"/>
          <w:lang w:val="uk-UA" w:eastAsia="en-US"/>
        </w:rPr>
        <w:t xml:space="preserve">. 2016. Vol. 125. Р. 339-357. </w:t>
      </w:r>
      <w:hyperlink r:id="rId358" w:history="1">
        <w:r w:rsidRPr="002E6ECA">
          <w:rPr>
            <w:rFonts w:eastAsiaTheme="minorHAnsi"/>
            <w:sz w:val="28"/>
            <w:szCs w:val="28"/>
            <w:lang w:val="uk-UA" w:eastAsia="en-US"/>
          </w:rPr>
          <w:t>https://doi.org/10.1007/s11205-014-0842-0</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Monteiro</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M., Balogun</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K., &amp; Oratile</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 xml:space="preserve">N. Managing stress: the influence of gender, age and emotion regulation on coping among university students in Botswana. </w:t>
      </w:r>
      <w:r w:rsidRPr="002E6ECA">
        <w:rPr>
          <w:rFonts w:eastAsiaTheme="minorHAnsi"/>
          <w:i/>
          <w:sz w:val="28"/>
          <w:szCs w:val="28"/>
          <w:lang w:val="uk-UA" w:eastAsia="en-US"/>
        </w:rPr>
        <w:t>International Journal of Adolescence and Youth</w:t>
      </w:r>
      <w:r w:rsidRPr="002E6ECA">
        <w:rPr>
          <w:rFonts w:eastAsiaTheme="minorHAnsi"/>
          <w:sz w:val="28"/>
          <w:szCs w:val="28"/>
          <w:lang w:val="uk-UA" w:eastAsia="en-US"/>
        </w:rPr>
        <w:t xml:space="preserve">. 2014. Vol. 19 (2). Р. 153-173. DOI: </w:t>
      </w:r>
      <w:hyperlink r:id="rId359" w:history="1">
        <w:r w:rsidRPr="002E6ECA">
          <w:rPr>
            <w:rFonts w:eastAsiaTheme="minorHAnsi"/>
            <w:sz w:val="28"/>
            <w:szCs w:val="28"/>
            <w:lang w:val="uk-UA" w:eastAsia="en-US"/>
          </w:rPr>
          <w:t>10.1080/02673843.2014.908784</w:t>
        </w:r>
      </w:hyperlink>
      <w:r w:rsidRPr="002E6ECA">
        <w:rPr>
          <w:rFonts w:eastAsiaTheme="minorHAnsi"/>
          <w:sz w:val="28"/>
          <w:szCs w:val="28"/>
          <w:lang w:val="uk-UA" w:eastAsia="en-US"/>
        </w:rPr>
        <w:t xml:space="preserve">.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60" w:history="1">
        <w:r w:rsidR="00020FED" w:rsidRPr="002E6ECA">
          <w:rPr>
            <w:rFonts w:eastAsiaTheme="minorHAnsi"/>
            <w:sz w:val="28"/>
            <w:szCs w:val="28"/>
            <w:lang w:val="uk-UA" w:eastAsia="en-US"/>
          </w:rPr>
          <w:t>Moreno-Maldonado</w:t>
        </w:r>
      </w:hyperlink>
      <w:r w:rsidR="00020FED" w:rsidRPr="002E6ECA">
        <w:rPr>
          <w:sz w:val="28"/>
          <w:szCs w:val="28"/>
          <w:lang w:val="uk-UA"/>
        </w:rPr>
        <w:t> </w:t>
      </w:r>
      <w:r w:rsidR="00020FED" w:rsidRPr="002E6ECA">
        <w:rPr>
          <w:rFonts w:eastAsiaTheme="minorHAnsi"/>
          <w:sz w:val="28"/>
          <w:szCs w:val="28"/>
          <w:lang w:val="uk-UA" w:eastAsia="en-US"/>
        </w:rPr>
        <w:t xml:space="preserve">C., </w:t>
      </w:r>
      <w:hyperlink r:id="rId361" w:history="1">
        <w:r w:rsidR="00020FED" w:rsidRPr="002E6ECA">
          <w:rPr>
            <w:rFonts w:eastAsiaTheme="minorHAnsi"/>
            <w:sz w:val="28"/>
            <w:szCs w:val="28"/>
            <w:lang w:val="uk-UA" w:eastAsia="en-US"/>
          </w:rPr>
          <w:t>Ramos</w:t>
        </w:r>
      </w:hyperlink>
      <w:r w:rsidR="00020FED" w:rsidRPr="002E6ECA">
        <w:rPr>
          <w:sz w:val="28"/>
          <w:szCs w:val="28"/>
          <w:lang w:val="uk-UA"/>
        </w:rPr>
        <w:t> </w:t>
      </w:r>
      <w:r w:rsidR="00020FED" w:rsidRPr="002E6ECA">
        <w:rPr>
          <w:rFonts w:eastAsiaTheme="minorHAnsi"/>
          <w:sz w:val="28"/>
          <w:szCs w:val="28"/>
          <w:lang w:val="uk-UA" w:eastAsia="en-US"/>
        </w:rPr>
        <w:t xml:space="preserve">P., </w:t>
      </w:r>
      <w:hyperlink r:id="rId362" w:history="1">
        <w:r w:rsidR="00020FED" w:rsidRPr="002E6ECA">
          <w:rPr>
            <w:rFonts w:eastAsiaTheme="minorHAnsi"/>
            <w:sz w:val="28"/>
            <w:szCs w:val="28"/>
            <w:lang w:val="uk-UA" w:eastAsia="en-US"/>
          </w:rPr>
          <w:t>Moreno</w:t>
        </w:r>
      </w:hyperlink>
      <w:r w:rsidR="00020FED" w:rsidRPr="002E6ECA">
        <w:rPr>
          <w:sz w:val="28"/>
          <w:szCs w:val="28"/>
          <w:lang w:val="uk-UA"/>
        </w:rPr>
        <w:t> </w:t>
      </w:r>
      <w:r w:rsidR="00020FED" w:rsidRPr="002E6ECA">
        <w:rPr>
          <w:rFonts w:eastAsiaTheme="minorHAnsi"/>
          <w:sz w:val="28"/>
          <w:szCs w:val="28"/>
          <w:lang w:val="uk-UA" w:eastAsia="en-US"/>
        </w:rPr>
        <w:t xml:space="preserve">C., </w:t>
      </w:r>
      <w:hyperlink r:id="rId363" w:history="1">
        <w:r w:rsidR="00020FED" w:rsidRPr="002E6ECA">
          <w:rPr>
            <w:rFonts w:eastAsiaTheme="minorHAnsi"/>
            <w:sz w:val="28"/>
            <w:szCs w:val="28"/>
            <w:lang w:val="uk-UA" w:eastAsia="en-US"/>
          </w:rPr>
          <w:t>Rivera</w:t>
        </w:r>
      </w:hyperlink>
      <w:r w:rsidR="00020FED" w:rsidRPr="002E6ECA">
        <w:rPr>
          <w:sz w:val="28"/>
          <w:szCs w:val="28"/>
          <w:lang w:val="uk-UA"/>
        </w:rPr>
        <w:t> </w:t>
      </w:r>
      <w:r w:rsidR="00020FED" w:rsidRPr="002E6ECA">
        <w:rPr>
          <w:rFonts w:eastAsiaTheme="minorHAnsi"/>
          <w:sz w:val="28"/>
          <w:szCs w:val="28"/>
          <w:lang w:val="uk-UA" w:eastAsia="en-US"/>
        </w:rPr>
        <w:t xml:space="preserve">F. Direct and Indirect Influences of Objective Socioeconomic Position on Adolescent Health: The Mediating Roles of Subjective Socioeconomic Status and Lifestyles. </w:t>
      </w:r>
      <w:r w:rsidR="00020FED" w:rsidRPr="002E6ECA">
        <w:rPr>
          <w:rFonts w:eastAsiaTheme="minorHAnsi"/>
          <w:i/>
          <w:sz w:val="28"/>
          <w:szCs w:val="28"/>
          <w:lang w:val="uk-UA" w:eastAsia="en-US"/>
        </w:rPr>
        <w:t>International Journal Of Environmental Research And Public Health</w:t>
      </w:r>
      <w:r w:rsidR="00020FED" w:rsidRPr="002E6ECA">
        <w:rPr>
          <w:rFonts w:eastAsiaTheme="minorHAnsi"/>
          <w:sz w:val="28"/>
          <w:szCs w:val="28"/>
          <w:lang w:val="uk-UA" w:eastAsia="en-US"/>
        </w:rPr>
        <w:t xml:space="preserve">. </w:t>
      </w:r>
      <w:r w:rsidR="00020FED" w:rsidRPr="002E6ECA">
        <w:rPr>
          <w:rFonts w:eastAsiaTheme="minorHAnsi"/>
          <w:sz w:val="28"/>
          <w:szCs w:val="28"/>
          <w:lang w:val="en-US" w:eastAsia="en-US"/>
        </w:rPr>
        <w:t xml:space="preserve">2019. </w:t>
      </w:r>
      <w:r w:rsidR="00020FED" w:rsidRPr="002E6ECA">
        <w:rPr>
          <w:rFonts w:eastAsiaTheme="minorHAnsi"/>
          <w:sz w:val="28"/>
          <w:szCs w:val="28"/>
          <w:lang w:val="uk-UA" w:eastAsia="en-US"/>
        </w:rPr>
        <w:t>Vol. 16 (9). 1637. doi: 10.3390/ijerph16091637.</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364" w:history="1">
        <w:r w:rsidR="00020FED" w:rsidRPr="002E6ECA">
          <w:rPr>
            <w:rFonts w:eastAsiaTheme="minorHAnsi"/>
            <w:sz w:val="28"/>
            <w:szCs w:val="28"/>
            <w:lang w:val="uk-UA" w:eastAsia="en-US"/>
          </w:rPr>
          <w:t>Morgan</w:t>
        </w:r>
      </w:hyperlink>
      <w:r w:rsidR="00020FED" w:rsidRPr="002E6ECA">
        <w:rPr>
          <w:sz w:val="28"/>
          <w:szCs w:val="28"/>
          <w:lang w:val="uk-UA"/>
        </w:rPr>
        <w:t> </w:t>
      </w:r>
      <w:r w:rsidR="00020FED" w:rsidRPr="002E6ECA">
        <w:rPr>
          <w:rFonts w:eastAsiaTheme="minorHAnsi"/>
          <w:bCs/>
          <w:sz w:val="28"/>
          <w:szCs w:val="28"/>
          <w:lang w:val="uk-UA" w:eastAsia="en-US"/>
        </w:rPr>
        <w:t>I.</w:t>
      </w:r>
      <w:r w:rsidR="00020FED" w:rsidRPr="002E6ECA">
        <w:rPr>
          <w:sz w:val="28"/>
          <w:szCs w:val="28"/>
          <w:lang w:val="uk-UA"/>
        </w:rPr>
        <w:t> </w:t>
      </w:r>
      <w:r w:rsidR="00020FED" w:rsidRPr="002E6ECA">
        <w:rPr>
          <w:rFonts w:eastAsiaTheme="minorHAnsi"/>
          <w:bCs/>
          <w:sz w:val="28"/>
          <w:szCs w:val="28"/>
          <w:lang w:val="uk-UA" w:eastAsia="en-US"/>
        </w:rPr>
        <w:t>G.,</w:t>
      </w:r>
      <w:hyperlink r:id="rId365" w:history="1">
        <w:r w:rsidR="00020FED" w:rsidRPr="002E6ECA">
          <w:rPr>
            <w:rFonts w:eastAsiaTheme="minorHAnsi"/>
            <w:sz w:val="28"/>
            <w:szCs w:val="28"/>
            <w:lang w:val="uk-UA" w:eastAsia="en-US"/>
          </w:rPr>
          <w:t xml:space="preserve"> French</w:t>
        </w:r>
      </w:hyperlink>
      <w:r w:rsidR="00020FED" w:rsidRPr="002E6ECA">
        <w:rPr>
          <w:sz w:val="28"/>
          <w:szCs w:val="28"/>
          <w:lang w:val="uk-UA"/>
        </w:rPr>
        <w:t> </w:t>
      </w:r>
      <w:r w:rsidR="00020FED" w:rsidRPr="002E6ECA">
        <w:rPr>
          <w:rFonts w:eastAsiaTheme="minorHAnsi"/>
          <w:bCs/>
          <w:sz w:val="28"/>
          <w:szCs w:val="28"/>
          <w:lang w:val="uk-UA" w:eastAsia="en-US"/>
        </w:rPr>
        <w:t>A.</w:t>
      </w:r>
      <w:r w:rsidR="00020FED" w:rsidRPr="002E6ECA">
        <w:rPr>
          <w:sz w:val="28"/>
          <w:szCs w:val="28"/>
          <w:lang w:val="uk-UA"/>
        </w:rPr>
        <w:t> </w:t>
      </w:r>
      <w:r w:rsidR="00020FED" w:rsidRPr="002E6ECA">
        <w:rPr>
          <w:rFonts w:eastAsiaTheme="minorHAnsi"/>
          <w:bCs/>
          <w:sz w:val="28"/>
          <w:szCs w:val="28"/>
          <w:lang w:val="uk-UA" w:eastAsia="en-US"/>
        </w:rPr>
        <w:t>N.,</w:t>
      </w:r>
      <w:hyperlink r:id="rId366" w:history="1">
        <w:r w:rsidR="00020FED" w:rsidRPr="002E6ECA">
          <w:rPr>
            <w:rFonts w:eastAsiaTheme="minorHAnsi"/>
            <w:sz w:val="28"/>
            <w:szCs w:val="28"/>
            <w:lang w:val="uk-UA" w:eastAsia="en-US"/>
          </w:rPr>
          <w:t xml:space="preserve"> Ashby</w:t>
        </w:r>
      </w:hyperlink>
      <w:r w:rsidR="00020FED" w:rsidRPr="002E6ECA">
        <w:rPr>
          <w:sz w:val="28"/>
          <w:szCs w:val="28"/>
          <w:lang w:val="uk-UA"/>
        </w:rPr>
        <w:t> </w:t>
      </w:r>
      <w:r w:rsidR="00020FED" w:rsidRPr="002E6ECA">
        <w:rPr>
          <w:rFonts w:eastAsiaTheme="minorHAnsi"/>
          <w:bCs/>
          <w:sz w:val="28"/>
          <w:szCs w:val="28"/>
          <w:lang w:val="uk-UA" w:eastAsia="en-US"/>
        </w:rPr>
        <w:t>R.</w:t>
      </w:r>
      <w:r w:rsidR="00020FED" w:rsidRPr="002E6ECA">
        <w:rPr>
          <w:sz w:val="28"/>
          <w:szCs w:val="28"/>
          <w:lang w:val="uk-UA"/>
        </w:rPr>
        <w:t> </w:t>
      </w:r>
      <w:r w:rsidR="00020FED" w:rsidRPr="002E6ECA">
        <w:rPr>
          <w:rFonts w:eastAsiaTheme="minorHAnsi"/>
          <w:bCs/>
          <w:sz w:val="28"/>
          <w:szCs w:val="28"/>
          <w:lang w:val="uk-UA" w:eastAsia="en-US"/>
        </w:rPr>
        <w:t>S.,</w:t>
      </w:r>
      <w:hyperlink r:id="rId367" w:history="1">
        <w:r w:rsidR="00020FED" w:rsidRPr="002E6ECA">
          <w:rPr>
            <w:rFonts w:eastAsiaTheme="minorHAnsi"/>
            <w:sz w:val="28"/>
            <w:szCs w:val="28"/>
            <w:lang w:val="uk-UA" w:eastAsia="en-US"/>
          </w:rPr>
          <w:t xml:space="preserve"> Guo</w:t>
        </w:r>
      </w:hyperlink>
      <w:r w:rsidR="00020FED" w:rsidRPr="002E6ECA">
        <w:rPr>
          <w:sz w:val="28"/>
          <w:szCs w:val="28"/>
          <w:lang w:val="uk-UA"/>
        </w:rPr>
        <w:t> </w:t>
      </w:r>
      <w:r w:rsidR="00020FED" w:rsidRPr="002E6ECA">
        <w:rPr>
          <w:rFonts w:eastAsiaTheme="minorHAnsi"/>
          <w:bCs/>
          <w:sz w:val="28"/>
          <w:szCs w:val="28"/>
          <w:lang w:val="uk-UA" w:eastAsia="en-US"/>
        </w:rPr>
        <w:t>X.,</w:t>
      </w:r>
      <w:hyperlink r:id="rId368" w:history="1">
        <w:r w:rsidR="00020FED" w:rsidRPr="002E6ECA">
          <w:rPr>
            <w:rFonts w:eastAsiaTheme="minorHAnsi"/>
            <w:sz w:val="28"/>
            <w:szCs w:val="28"/>
            <w:lang w:val="uk-UA" w:eastAsia="en-US"/>
          </w:rPr>
          <w:t xml:space="preserve"> Ding</w:t>
        </w:r>
      </w:hyperlink>
      <w:r w:rsidR="00020FED" w:rsidRPr="002E6ECA">
        <w:rPr>
          <w:sz w:val="28"/>
          <w:szCs w:val="28"/>
          <w:lang w:val="uk-UA"/>
        </w:rPr>
        <w:t> </w:t>
      </w:r>
      <w:r w:rsidR="00020FED" w:rsidRPr="002E6ECA">
        <w:rPr>
          <w:rFonts w:eastAsiaTheme="minorHAnsi"/>
          <w:bCs/>
          <w:sz w:val="28"/>
          <w:szCs w:val="28"/>
          <w:lang w:val="uk-UA" w:eastAsia="en-US"/>
        </w:rPr>
        <w:t>X.,</w:t>
      </w:r>
      <w:hyperlink r:id="rId369" w:history="1">
        <w:r w:rsidR="00020FED" w:rsidRPr="002E6ECA">
          <w:rPr>
            <w:rFonts w:eastAsiaTheme="minorHAnsi"/>
            <w:sz w:val="28"/>
            <w:szCs w:val="28"/>
            <w:lang w:val="uk-UA" w:eastAsia="en-US"/>
          </w:rPr>
          <w:t xml:space="preserve"> He</w:t>
        </w:r>
      </w:hyperlink>
      <w:r w:rsidR="00020FED" w:rsidRPr="002E6ECA">
        <w:rPr>
          <w:sz w:val="28"/>
          <w:szCs w:val="28"/>
          <w:lang w:val="uk-UA"/>
        </w:rPr>
        <w:t> </w:t>
      </w:r>
      <w:r w:rsidR="00020FED" w:rsidRPr="002E6ECA">
        <w:rPr>
          <w:rFonts w:eastAsiaTheme="minorHAnsi"/>
          <w:bCs/>
          <w:sz w:val="28"/>
          <w:szCs w:val="28"/>
          <w:lang w:val="uk-UA" w:eastAsia="en-US"/>
        </w:rPr>
        <w:t>M.,</w:t>
      </w:r>
      <w:hyperlink r:id="rId370" w:history="1">
        <w:r w:rsidR="00020FED" w:rsidRPr="002E6ECA">
          <w:rPr>
            <w:rFonts w:eastAsiaTheme="minorHAnsi"/>
            <w:sz w:val="28"/>
            <w:szCs w:val="28"/>
            <w:lang w:val="uk-UA" w:eastAsia="en-US"/>
          </w:rPr>
          <w:t xml:space="preserve"> Rose</w:t>
        </w:r>
      </w:hyperlink>
      <w:r w:rsidR="00020FED" w:rsidRPr="002E6ECA">
        <w:rPr>
          <w:sz w:val="28"/>
          <w:szCs w:val="28"/>
          <w:lang w:val="uk-UA"/>
        </w:rPr>
        <w:t> </w:t>
      </w:r>
      <w:r w:rsidR="00020FED" w:rsidRPr="002E6ECA">
        <w:rPr>
          <w:rFonts w:eastAsiaTheme="minorHAnsi"/>
          <w:bCs/>
          <w:sz w:val="28"/>
          <w:szCs w:val="28"/>
          <w:lang w:val="uk-UA" w:eastAsia="en-US"/>
        </w:rPr>
        <w:t>K.</w:t>
      </w:r>
      <w:r w:rsidR="00020FED" w:rsidRPr="002E6ECA">
        <w:rPr>
          <w:sz w:val="28"/>
          <w:szCs w:val="28"/>
          <w:lang w:val="uk-UA"/>
        </w:rPr>
        <w:t> </w:t>
      </w:r>
      <w:r w:rsidR="00020FED" w:rsidRPr="002E6ECA">
        <w:rPr>
          <w:rFonts w:eastAsiaTheme="minorHAnsi"/>
          <w:bCs/>
          <w:sz w:val="28"/>
          <w:szCs w:val="28"/>
          <w:lang w:val="uk-UA" w:eastAsia="en-US"/>
        </w:rPr>
        <w:t xml:space="preserve">A. The epidemics of myopia: Aetiology and prevention. </w:t>
      </w:r>
      <w:r w:rsidR="00020FED" w:rsidRPr="002E6ECA">
        <w:rPr>
          <w:rFonts w:eastAsiaTheme="minorHAnsi"/>
          <w:bCs/>
          <w:i/>
          <w:sz w:val="28"/>
          <w:szCs w:val="28"/>
          <w:lang w:val="uk-UA" w:eastAsia="en-US"/>
        </w:rPr>
        <w:t>Prog Retin Eye Res</w:t>
      </w:r>
      <w:r w:rsidR="00020FED" w:rsidRPr="002E6ECA">
        <w:rPr>
          <w:rFonts w:eastAsiaTheme="minorHAnsi"/>
          <w:bCs/>
          <w:sz w:val="28"/>
          <w:szCs w:val="28"/>
          <w:lang w:val="uk-UA" w:eastAsia="en-US"/>
        </w:rPr>
        <w:t xml:space="preserve">. 2018. Jan. Vol. 62. P. 134-149. doi: 10.1016/j.preteyeres.2017.09.004.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Morton</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L., Atkin</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J., Corder</w:t>
      </w:r>
      <w:r w:rsidRPr="002E6ECA">
        <w:rPr>
          <w:sz w:val="28"/>
          <w:szCs w:val="28"/>
          <w:lang w:val="uk-UA"/>
        </w:rPr>
        <w:t> </w:t>
      </w:r>
      <w:r w:rsidRPr="002E6ECA">
        <w:rPr>
          <w:rFonts w:eastAsiaTheme="minorHAnsi"/>
          <w:sz w:val="28"/>
          <w:szCs w:val="28"/>
          <w:lang w:val="uk-UA" w:eastAsia="en-US"/>
        </w:rPr>
        <w:t>K., Suhrcke</w:t>
      </w:r>
      <w:r w:rsidRPr="002E6ECA">
        <w:rPr>
          <w:sz w:val="28"/>
          <w:szCs w:val="28"/>
          <w:lang w:val="uk-UA"/>
        </w:rPr>
        <w:t> </w:t>
      </w:r>
      <w:r w:rsidRPr="002E6ECA">
        <w:rPr>
          <w:rFonts w:eastAsiaTheme="minorHAnsi"/>
          <w:sz w:val="28"/>
          <w:szCs w:val="28"/>
          <w:lang w:val="uk-UA" w:eastAsia="en-US"/>
        </w:rPr>
        <w:t>M., van Sluijs</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 xml:space="preserve">M. </w:t>
      </w:r>
      <w:hyperlink r:id="rId371" w:history="1">
        <w:r w:rsidRPr="002E6ECA">
          <w:rPr>
            <w:rFonts w:eastAsiaTheme="minorHAnsi"/>
            <w:sz w:val="28"/>
            <w:szCs w:val="28"/>
            <w:lang w:val="uk-UA" w:eastAsia="en-US"/>
          </w:rPr>
          <w:t xml:space="preserve">The school environment and adolescent physical activity and sedentary behaviour: a mixed-studies systematic review. </w:t>
        </w:r>
      </w:hyperlink>
      <w:r w:rsidRPr="002E6ECA">
        <w:rPr>
          <w:rFonts w:eastAsiaTheme="minorHAnsi"/>
          <w:i/>
          <w:sz w:val="28"/>
          <w:szCs w:val="28"/>
          <w:lang w:val="uk-UA" w:eastAsia="en-US"/>
        </w:rPr>
        <w:t>Obes Rev</w:t>
      </w:r>
      <w:r w:rsidRPr="002E6ECA">
        <w:rPr>
          <w:rFonts w:eastAsiaTheme="minorHAnsi"/>
          <w:sz w:val="28"/>
          <w:szCs w:val="28"/>
          <w:lang w:val="uk-UA" w:eastAsia="en-US"/>
        </w:rPr>
        <w:t xml:space="preserve">. 2016. Vol. 17 (2). Р. 142-58. doi: 10.1111/obr.12352.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72" w:history="1">
        <w:r w:rsidR="00020FED" w:rsidRPr="002E6ECA">
          <w:rPr>
            <w:rFonts w:eastAsiaTheme="minorHAnsi"/>
            <w:sz w:val="28"/>
            <w:szCs w:val="28"/>
            <w:lang w:val="uk-UA" w:eastAsia="en-US"/>
          </w:rPr>
          <w:t>Mukherjee</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373" w:history="1">
        <w:r w:rsidR="00020FED" w:rsidRPr="002E6ECA">
          <w:rPr>
            <w:rFonts w:eastAsiaTheme="minorHAnsi"/>
            <w:sz w:val="28"/>
            <w:szCs w:val="28"/>
            <w:lang w:val="uk-UA" w:eastAsia="en-US"/>
          </w:rPr>
          <w:t>Leong</w:t>
        </w:r>
        <w:r w:rsidR="00020FED" w:rsidRPr="002E6ECA">
          <w:rPr>
            <w:sz w:val="28"/>
            <w:szCs w:val="28"/>
            <w:lang w:val="uk-UA"/>
          </w:rPr>
          <w:t> </w:t>
        </w:r>
        <w:r w:rsidR="00020FED" w:rsidRPr="002E6ECA">
          <w:rPr>
            <w:rFonts w:eastAsiaTheme="minorHAnsi"/>
            <w:sz w:val="28"/>
            <w:szCs w:val="28"/>
            <w:lang w:val="uk-UA" w:eastAsia="en-US"/>
          </w:rPr>
          <w:t>H.</w:t>
        </w:r>
        <w:r w:rsidR="00020FED" w:rsidRPr="002E6ECA">
          <w:rPr>
            <w:sz w:val="28"/>
            <w:szCs w:val="28"/>
            <w:lang w:val="uk-UA"/>
          </w:rPr>
          <w:t> </w:t>
        </w:r>
        <w:r w:rsidR="00020FED" w:rsidRPr="002E6ECA">
          <w:rPr>
            <w:rFonts w:eastAsiaTheme="minorHAnsi"/>
            <w:sz w:val="28"/>
            <w:szCs w:val="28"/>
            <w:lang w:val="uk-UA" w:eastAsia="en-US"/>
          </w:rPr>
          <w:t>F</w:t>
        </w:r>
      </w:hyperlink>
      <w:r w:rsidR="00020FED" w:rsidRPr="002E6ECA">
        <w:rPr>
          <w:rFonts w:eastAsiaTheme="minorHAnsi"/>
          <w:sz w:val="28"/>
          <w:szCs w:val="28"/>
          <w:lang w:val="uk-UA" w:eastAsia="en-US"/>
        </w:rPr>
        <w:t xml:space="preserve">., </w:t>
      </w:r>
      <w:hyperlink r:id="rId374" w:history="1">
        <w:r w:rsidR="00020FED" w:rsidRPr="002E6ECA">
          <w:rPr>
            <w:rFonts w:eastAsiaTheme="minorHAnsi"/>
            <w:sz w:val="28"/>
            <w:szCs w:val="28"/>
            <w:lang w:val="uk-UA" w:eastAsia="en-US"/>
          </w:rPr>
          <w:t>Wong</w:t>
        </w:r>
        <w:r w:rsidR="00020FED" w:rsidRPr="002E6ECA">
          <w:rPr>
            <w:sz w:val="28"/>
            <w:szCs w:val="28"/>
            <w:lang w:val="uk-UA"/>
          </w:rPr>
          <w:t> </w:t>
        </w:r>
        <w:r w:rsidR="00020FED" w:rsidRPr="002E6ECA">
          <w:rPr>
            <w:rFonts w:eastAsiaTheme="minorHAnsi"/>
            <w:sz w:val="28"/>
            <w:szCs w:val="28"/>
            <w:lang w:val="uk-UA" w:eastAsia="en-US"/>
          </w:rPr>
          <w:t>X.</w:t>
        </w:r>
        <w:r w:rsidR="00020FED" w:rsidRPr="002E6ECA">
          <w:rPr>
            <w:sz w:val="28"/>
            <w:szCs w:val="28"/>
            <w:lang w:val="uk-UA"/>
          </w:rPr>
          <w:t> </w:t>
        </w:r>
        <w:r w:rsidR="00020FED" w:rsidRPr="002E6ECA">
          <w:rPr>
            <w:rFonts w:eastAsiaTheme="minorHAnsi"/>
            <w:sz w:val="28"/>
            <w:szCs w:val="28"/>
            <w:lang w:val="uk-UA" w:eastAsia="en-US"/>
          </w:rPr>
          <w:t>X</w:t>
        </w:r>
      </w:hyperlink>
      <w:r w:rsidR="00020FED" w:rsidRPr="002E6ECA">
        <w:rPr>
          <w:rFonts w:eastAsiaTheme="minorHAnsi"/>
          <w:sz w:val="28"/>
          <w:szCs w:val="28"/>
          <w:lang w:val="uk-UA" w:eastAsia="en-US"/>
        </w:rPr>
        <w:t xml:space="preserve">. Waist circumference percentiles for Singaporean children and adolescents aged 6-17 years. </w:t>
      </w:r>
      <w:hyperlink r:id="rId375" w:tooltip="Obesity research &amp; clinical practice." w:history="1">
        <w:r w:rsidR="00020FED" w:rsidRPr="002E6ECA">
          <w:rPr>
            <w:rFonts w:eastAsiaTheme="minorHAnsi"/>
            <w:i/>
            <w:sz w:val="28"/>
            <w:szCs w:val="28"/>
            <w:lang w:val="uk-UA" w:eastAsia="en-US"/>
          </w:rPr>
          <w:t>Obes Res Clin Pract</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2016. Vol. 10. Suppl 1. Р. 17-25. doi: 10.1016/j.orcp.2016.04.004.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Mundi</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S., Patel</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J., Martindale</w:t>
      </w:r>
      <w:r w:rsidRPr="002E6ECA">
        <w:rPr>
          <w:sz w:val="28"/>
          <w:szCs w:val="28"/>
          <w:lang w:val="uk-UA"/>
        </w:rPr>
        <w:t> </w:t>
      </w:r>
      <w:r w:rsidRPr="002E6ECA">
        <w:rPr>
          <w:rFonts w:eastAsiaTheme="minorHAnsi"/>
          <w:sz w:val="28"/>
          <w:szCs w:val="28"/>
          <w:lang w:val="uk-UA" w:eastAsia="en-US"/>
        </w:rPr>
        <w:t xml:space="preserve">R. Body Composition Technology: Implications for the ICU. </w:t>
      </w:r>
      <w:r w:rsidRPr="002E6ECA">
        <w:rPr>
          <w:rFonts w:eastAsiaTheme="minorHAnsi"/>
          <w:i/>
          <w:sz w:val="28"/>
          <w:szCs w:val="28"/>
          <w:lang w:val="uk-UA" w:eastAsia="en-US"/>
        </w:rPr>
        <w:t>Nutrition in Clinical Practice</w:t>
      </w:r>
      <w:r w:rsidRPr="002E6ECA">
        <w:rPr>
          <w:rFonts w:eastAsiaTheme="minorHAnsi"/>
          <w:sz w:val="28"/>
          <w:szCs w:val="28"/>
          <w:lang w:val="uk-UA" w:eastAsia="en-US"/>
        </w:rPr>
        <w:t>. 2019. Vol. 34 (1). Р. 48-58. doi: 10.1002/ncp.10230.</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76" w:history="1">
        <w:r w:rsidR="00020FED" w:rsidRPr="002E6ECA">
          <w:rPr>
            <w:rFonts w:eastAsiaTheme="minorHAnsi"/>
            <w:sz w:val="28"/>
            <w:szCs w:val="28"/>
            <w:lang w:val="uk-UA" w:eastAsia="en-US"/>
          </w:rPr>
          <w:t>Murasko</w:t>
        </w:r>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E</w:t>
        </w:r>
      </w:hyperlink>
      <w:r w:rsidR="00020FED" w:rsidRPr="002E6ECA">
        <w:rPr>
          <w:rFonts w:eastAsiaTheme="minorHAnsi"/>
          <w:sz w:val="28"/>
          <w:szCs w:val="28"/>
          <w:lang w:val="uk-UA" w:eastAsia="en-US"/>
        </w:rPr>
        <w:t xml:space="preserve">. Associations between household income, height, and BMI in contemporary US schoolchildren. </w:t>
      </w:r>
      <w:hyperlink r:id="rId377" w:tooltip="Economics and human biology." w:history="1">
        <w:r w:rsidR="00020FED" w:rsidRPr="002E6ECA">
          <w:rPr>
            <w:rFonts w:eastAsiaTheme="minorHAnsi"/>
            <w:i/>
            <w:sz w:val="28"/>
            <w:szCs w:val="28"/>
            <w:lang w:val="uk-UA" w:eastAsia="en-US"/>
          </w:rPr>
          <w:t>Econ Hum Biol</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2013. Vol. 11 (2). Р. 185-96. doi: 10.1016/j.ehb.2011.09.001.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Murphy</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M., Jellinek</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S. Screening for psychosocial dysfunction in economically disadvantaged and minority-group children: Further validation of the pediatric symptom checklist. </w:t>
      </w:r>
      <w:r w:rsidRPr="002E6ECA">
        <w:rPr>
          <w:rFonts w:eastAsiaTheme="minorHAnsi"/>
          <w:i/>
          <w:sz w:val="28"/>
          <w:szCs w:val="28"/>
          <w:lang w:val="uk-UA" w:eastAsia="en-US"/>
        </w:rPr>
        <w:t>American Journal of Orthopsychiatry</w:t>
      </w:r>
      <w:r w:rsidRPr="002E6ECA">
        <w:rPr>
          <w:rFonts w:eastAsiaTheme="minorHAnsi"/>
          <w:sz w:val="28"/>
          <w:szCs w:val="28"/>
          <w:lang w:val="uk-UA" w:eastAsia="en-US"/>
        </w:rPr>
        <w:t>. 1988. Vol. 58 (3). Р. 450-456. DOI:10.1111/j.1939-0025.1988.tb01605.x.</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78" w:history="1">
        <w:r w:rsidR="00020FED" w:rsidRPr="002E6ECA">
          <w:rPr>
            <w:rFonts w:eastAsiaTheme="minorHAnsi"/>
            <w:sz w:val="28"/>
            <w:szCs w:val="28"/>
            <w:lang w:val="uk-UA" w:eastAsia="en-US"/>
          </w:rPr>
          <w:t>Nakamura</w:t>
        </w:r>
      </w:hyperlink>
      <w:r w:rsidR="00020FED" w:rsidRPr="002E6ECA">
        <w:rPr>
          <w:sz w:val="28"/>
          <w:szCs w:val="28"/>
          <w:lang w:val="uk-UA"/>
        </w:rPr>
        <w:t> </w:t>
      </w:r>
      <w:r w:rsidR="00020FED" w:rsidRPr="002E6ECA">
        <w:rPr>
          <w:rFonts w:eastAsiaTheme="minorHAnsi"/>
          <w:sz w:val="28"/>
          <w:szCs w:val="28"/>
          <w:lang w:val="uk-UA" w:eastAsia="en-US"/>
        </w:rPr>
        <w:t>C.,</w:t>
      </w:r>
      <w:hyperlink r:id="rId379" w:history="1">
        <w:r w:rsidR="00020FED" w:rsidRPr="002E6ECA">
          <w:rPr>
            <w:rFonts w:eastAsiaTheme="minorHAnsi"/>
            <w:sz w:val="28"/>
            <w:szCs w:val="28"/>
            <w:lang w:val="uk-UA" w:eastAsia="en-US"/>
          </w:rPr>
          <w:t xml:space="preserve"> Ishii</w:t>
        </w:r>
      </w:hyperlink>
      <w:r w:rsidR="00020FED" w:rsidRPr="002E6ECA">
        <w:rPr>
          <w:sz w:val="28"/>
          <w:szCs w:val="28"/>
          <w:lang w:val="uk-UA"/>
        </w:rPr>
        <w:t> </w:t>
      </w:r>
      <w:r w:rsidR="00020FED" w:rsidRPr="002E6ECA">
        <w:rPr>
          <w:rFonts w:eastAsiaTheme="minorHAnsi"/>
          <w:sz w:val="28"/>
          <w:szCs w:val="28"/>
          <w:lang w:val="uk-UA" w:eastAsia="en-US"/>
        </w:rPr>
        <w:t xml:space="preserve">A., </w:t>
      </w:r>
      <w:hyperlink r:id="rId380" w:history="1">
        <w:r w:rsidR="00020FED" w:rsidRPr="002E6ECA">
          <w:rPr>
            <w:rFonts w:eastAsiaTheme="minorHAnsi"/>
            <w:sz w:val="28"/>
            <w:szCs w:val="28"/>
            <w:lang w:val="uk-UA" w:eastAsia="en-US"/>
          </w:rPr>
          <w:t>Matsuo</w:t>
        </w:r>
      </w:hyperlink>
      <w:r w:rsidR="00020FED" w:rsidRPr="002E6ECA">
        <w:rPr>
          <w:sz w:val="28"/>
          <w:szCs w:val="28"/>
          <w:lang w:val="uk-UA"/>
        </w:rPr>
        <w:t> </w:t>
      </w:r>
      <w:r w:rsidR="00020FED" w:rsidRPr="002E6ECA">
        <w:rPr>
          <w:rFonts w:eastAsiaTheme="minorHAnsi"/>
          <w:sz w:val="28"/>
          <w:szCs w:val="28"/>
          <w:lang w:val="uk-UA" w:eastAsia="en-US"/>
        </w:rPr>
        <w:t>T.,</w:t>
      </w:r>
      <w:hyperlink r:id="rId381" w:history="1">
        <w:r w:rsidR="00020FED" w:rsidRPr="002E6ECA">
          <w:rPr>
            <w:rFonts w:eastAsiaTheme="minorHAnsi"/>
            <w:sz w:val="28"/>
            <w:szCs w:val="28"/>
            <w:lang w:val="uk-UA" w:eastAsia="en-US"/>
          </w:rPr>
          <w:t xml:space="preserve"> Ishida</w:t>
        </w:r>
      </w:hyperlink>
      <w:r w:rsidR="00020FED" w:rsidRPr="002E6ECA">
        <w:rPr>
          <w:sz w:val="28"/>
          <w:szCs w:val="28"/>
          <w:lang w:val="uk-UA"/>
        </w:rPr>
        <w:t> </w:t>
      </w:r>
      <w:r w:rsidR="00020FED" w:rsidRPr="002E6ECA">
        <w:rPr>
          <w:rFonts w:eastAsiaTheme="minorHAnsi"/>
          <w:sz w:val="28"/>
          <w:szCs w:val="28"/>
          <w:lang w:val="uk-UA" w:eastAsia="en-US"/>
        </w:rPr>
        <w:t xml:space="preserve">R., </w:t>
      </w:r>
      <w:hyperlink r:id="rId382" w:history="1">
        <w:r w:rsidR="00020FED" w:rsidRPr="002E6ECA">
          <w:rPr>
            <w:rFonts w:eastAsiaTheme="minorHAnsi"/>
            <w:sz w:val="28"/>
            <w:szCs w:val="28"/>
            <w:lang w:val="uk-UA" w:eastAsia="en-US"/>
          </w:rPr>
          <w:t>Yamaguchi</w:t>
        </w:r>
      </w:hyperlink>
      <w:r w:rsidR="00020FED" w:rsidRPr="002E6ECA">
        <w:rPr>
          <w:sz w:val="28"/>
          <w:szCs w:val="28"/>
          <w:lang w:val="uk-UA"/>
        </w:rPr>
        <w:t> </w:t>
      </w:r>
      <w:r w:rsidR="00020FED" w:rsidRPr="002E6ECA">
        <w:rPr>
          <w:rFonts w:eastAsiaTheme="minorHAnsi"/>
          <w:sz w:val="28"/>
          <w:szCs w:val="28"/>
          <w:lang w:val="uk-UA" w:eastAsia="en-US"/>
        </w:rPr>
        <w:t xml:space="preserve">T., </w:t>
      </w:r>
      <w:hyperlink r:id="rId383" w:history="1">
        <w:r w:rsidR="00020FED" w:rsidRPr="002E6ECA">
          <w:rPr>
            <w:rFonts w:eastAsiaTheme="minorHAnsi"/>
            <w:sz w:val="28"/>
            <w:szCs w:val="28"/>
            <w:lang w:val="uk-UA" w:eastAsia="en-US"/>
          </w:rPr>
          <w:t>Takada</w:t>
        </w:r>
      </w:hyperlink>
      <w:r w:rsidR="00020FED" w:rsidRPr="002E6ECA">
        <w:rPr>
          <w:sz w:val="28"/>
          <w:szCs w:val="28"/>
          <w:lang w:val="uk-UA"/>
        </w:rPr>
        <w:t> </w:t>
      </w:r>
      <w:r w:rsidR="00020FED" w:rsidRPr="002E6ECA">
        <w:rPr>
          <w:rFonts w:eastAsiaTheme="minorHAnsi"/>
          <w:sz w:val="28"/>
          <w:szCs w:val="28"/>
          <w:lang w:val="uk-UA" w:eastAsia="en-US"/>
        </w:rPr>
        <w:t xml:space="preserve">K., </w:t>
      </w:r>
      <w:hyperlink r:id="rId384" w:history="1">
        <w:r w:rsidR="00020FED" w:rsidRPr="002E6ECA">
          <w:rPr>
            <w:rFonts w:eastAsiaTheme="minorHAnsi"/>
            <w:sz w:val="28"/>
            <w:szCs w:val="28"/>
            <w:lang w:val="uk-UA" w:eastAsia="en-US"/>
          </w:rPr>
          <w:t>Uji</w:t>
        </w:r>
      </w:hyperlink>
      <w:r w:rsidR="00020FED" w:rsidRPr="002E6ECA">
        <w:rPr>
          <w:sz w:val="28"/>
          <w:szCs w:val="28"/>
          <w:lang w:val="uk-UA"/>
        </w:rPr>
        <w:t> </w:t>
      </w:r>
      <w:r w:rsidR="00020FED" w:rsidRPr="002E6ECA">
        <w:rPr>
          <w:rFonts w:eastAsiaTheme="minorHAnsi"/>
          <w:sz w:val="28"/>
          <w:szCs w:val="28"/>
          <w:lang w:val="uk-UA" w:eastAsia="en-US"/>
        </w:rPr>
        <w:t xml:space="preserve">M., </w:t>
      </w:r>
      <w:hyperlink r:id="rId385" w:history="1">
        <w:r w:rsidR="00020FED" w:rsidRPr="002E6ECA">
          <w:rPr>
            <w:rFonts w:eastAsiaTheme="minorHAnsi"/>
            <w:sz w:val="28"/>
            <w:szCs w:val="28"/>
            <w:lang w:val="uk-UA" w:eastAsia="en-US"/>
          </w:rPr>
          <w:t>Yoshikawa</w:t>
        </w:r>
      </w:hyperlink>
      <w:r w:rsidR="00020FED" w:rsidRPr="002E6ECA">
        <w:rPr>
          <w:sz w:val="28"/>
          <w:szCs w:val="28"/>
          <w:lang w:val="uk-UA"/>
        </w:rPr>
        <w:t> </w:t>
      </w:r>
      <w:r w:rsidR="00020FED" w:rsidRPr="002E6ECA">
        <w:rPr>
          <w:rFonts w:eastAsiaTheme="minorHAnsi"/>
          <w:sz w:val="28"/>
          <w:szCs w:val="28"/>
          <w:lang w:val="uk-UA" w:eastAsia="en-US"/>
        </w:rPr>
        <w:t xml:space="preserve">T. Neural effects of acute stress on appetite: A magnetoencephalography study. </w:t>
      </w:r>
      <w:r w:rsidR="00020FED" w:rsidRPr="002E6ECA">
        <w:rPr>
          <w:rFonts w:eastAsiaTheme="minorHAnsi"/>
          <w:i/>
          <w:sz w:val="28"/>
          <w:szCs w:val="28"/>
          <w:lang w:val="uk-UA" w:eastAsia="en-US"/>
        </w:rPr>
        <w:t>PLoS One</w:t>
      </w:r>
      <w:r w:rsidR="00020FED" w:rsidRPr="002E6ECA">
        <w:rPr>
          <w:rFonts w:eastAsiaTheme="minorHAnsi"/>
          <w:sz w:val="28"/>
          <w:szCs w:val="28"/>
          <w:lang w:val="uk-UA" w:eastAsia="en-US"/>
        </w:rPr>
        <w:t>. 2020. Vol. 15 (1). e0228039. doi:</w:t>
      </w:r>
      <w:r w:rsidR="00020FED" w:rsidRPr="002E6ECA">
        <w:rPr>
          <w:rFonts w:eastAsiaTheme="minorHAnsi"/>
          <w:sz w:val="28"/>
          <w:szCs w:val="28"/>
          <w:lang w:val="uk-UA"/>
        </w:rPr>
        <w:t> </w:t>
      </w:r>
      <w:r w:rsidR="00020FED" w:rsidRPr="002E6ECA">
        <w:rPr>
          <w:rFonts w:eastAsiaTheme="minorHAnsi"/>
          <w:sz w:val="28"/>
          <w:szCs w:val="28"/>
          <w:lang w:val="uk-UA" w:eastAsia="en-US"/>
        </w:rPr>
        <w:t xml:space="preserve">10.1371/journal.pone.0228039.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Nickerson</w:t>
      </w:r>
      <w:r w:rsidRPr="002E6ECA">
        <w:rPr>
          <w:sz w:val="28"/>
          <w:szCs w:val="28"/>
          <w:lang w:val="uk-UA"/>
        </w:rPr>
        <w:t> </w:t>
      </w:r>
      <w:r w:rsidRPr="002E6ECA">
        <w:rPr>
          <w:rFonts w:eastAsiaTheme="minorHAnsi"/>
          <w:sz w:val="28"/>
          <w:szCs w:val="28"/>
          <w:lang w:val="uk-UA" w:eastAsia="en-US"/>
        </w:rPr>
        <w:t>B.</w:t>
      </w:r>
      <w:r w:rsidRPr="002E6ECA">
        <w:rPr>
          <w:sz w:val="28"/>
          <w:szCs w:val="28"/>
          <w:lang w:val="uk-UA"/>
        </w:rPr>
        <w:t> </w:t>
      </w:r>
      <w:r w:rsidRPr="002E6ECA">
        <w:rPr>
          <w:rFonts w:eastAsiaTheme="minorHAnsi"/>
          <w:sz w:val="28"/>
          <w:szCs w:val="28"/>
          <w:lang w:val="uk-UA" w:eastAsia="en-US"/>
        </w:rPr>
        <w:t>S., Tinsley</w:t>
      </w:r>
      <w:r w:rsidRPr="002E6ECA">
        <w:rPr>
          <w:sz w:val="28"/>
          <w:szCs w:val="28"/>
          <w:lang w:val="uk-UA"/>
        </w:rPr>
        <w:t> </w:t>
      </w:r>
      <w:r w:rsidRPr="002E6ECA">
        <w:rPr>
          <w:rFonts w:eastAsiaTheme="minorHAnsi"/>
          <w:sz w:val="28"/>
          <w:szCs w:val="28"/>
          <w:lang w:val="uk-UA" w:eastAsia="en-US"/>
        </w:rPr>
        <w:t>G.</w:t>
      </w:r>
      <w:r w:rsidRPr="002E6ECA">
        <w:rPr>
          <w:sz w:val="28"/>
          <w:szCs w:val="28"/>
          <w:lang w:val="uk-UA"/>
        </w:rPr>
        <w:t> </w:t>
      </w:r>
      <w:r w:rsidRPr="002E6ECA">
        <w:rPr>
          <w:rFonts w:eastAsiaTheme="minorHAnsi"/>
          <w:sz w:val="28"/>
          <w:szCs w:val="28"/>
          <w:lang w:val="uk-UA" w:eastAsia="en-US"/>
        </w:rPr>
        <w:t>M., Esco</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R.. Validity of Field and Laboratory Three-Compartment Models in Healthy Adults. </w:t>
      </w:r>
      <w:r w:rsidRPr="002E6ECA">
        <w:rPr>
          <w:rFonts w:eastAsiaTheme="minorHAnsi"/>
          <w:i/>
          <w:sz w:val="28"/>
          <w:szCs w:val="28"/>
          <w:lang w:val="uk-UA" w:eastAsia="en-US"/>
        </w:rPr>
        <w:t>Medicine and Science in Sports and Exercise</w:t>
      </w:r>
      <w:r w:rsidRPr="002E6ECA">
        <w:rPr>
          <w:rFonts w:eastAsiaTheme="minorHAnsi"/>
          <w:sz w:val="28"/>
          <w:szCs w:val="28"/>
          <w:lang w:val="uk-UA" w:eastAsia="en-US"/>
        </w:rPr>
        <w:t>. 2019. Vol. 5. Р. 1032-1039. DOI:10.1249/MSS. 0000000000001876.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Novik</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A., Ivanova</w:t>
      </w:r>
      <w:r w:rsidRPr="002E6ECA">
        <w:rPr>
          <w:sz w:val="28"/>
          <w:szCs w:val="28"/>
          <w:lang w:val="uk-UA"/>
        </w:rPr>
        <w:t> </w:t>
      </w:r>
      <w:r w:rsidRPr="002E6ECA">
        <w:rPr>
          <w:rFonts w:eastAsiaTheme="minorHAnsi"/>
          <w:sz w:val="28"/>
          <w:szCs w:val="28"/>
          <w:lang w:val="uk-UA" w:eastAsia="en-US"/>
        </w:rPr>
        <w:t>T., Kishtovich</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 xml:space="preserve">V. Stratification of patients using Qol parameters by the method of integral profiles. </w:t>
      </w:r>
      <w:r w:rsidRPr="002E6ECA">
        <w:rPr>
          <w:rFonts w:eastAsiaTheme="minorHAnsi"/>
          <w:i/>
          <w:sz w:val="28"/>
          <w:szCs w:val="28"/>
          <w:lang w:val="uk-UA" w:eastAsia="en-US"/>
        </w:rPr>
        <w:t>Quality of life research</w:t>
      </w:r>
      <w:r w:rsidRPr="002E6ECA">
        <w:rPr>
          <w:rFonts w:eastAsiaTheme="minorHAnsi"/>
          <w:sz w:val="28"/>
          <w:szCs w:val="28"/>
          <w:lang w:val="uk-UA" w:eastAsia="en-US"/>
        </w:rPr>
        <w:t xml:space="preserve">. 2003. Vol. 12 (7). P. 770-789. </w:t>
      </w:r>
      <w:hyperlink r:id="rId386" w:history="1">
        <w:r w:rsidRPr="002E6ECA">
          <w:rPr>
            <w:rFonts w:eastAsiaTheme="minorHAnsi"/>
            <w:sz w:val="28"/>
            <w:szCs w:val="28"/>
            <w:lang w:val="uk-UA" w:eastAsia="en-US"/>
          </w:rPr>
          <w:t>https://www.jstor.org/stable/4038411</w:t>
        </w:r>
      </w:hyperlink>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Odum</w:t>
      </w:r>
      <w:r w:rsidRPr="002E6ECA">
        <w:rPr>
          <w:sz w:val="28"/>
          <w:szCs w:val="28"/>
          <w:lang w:val="uk-UA"/>
        </w:rPr>
        <w:t> </w:t>
      </w:r>
      <w:r w:rsidRPr="002E6ECA">
        <w:rPr>
          <w:rFonts w:eastAsiaTheme="minorHAnsi"/>
          <w:sz w:val="28"/>
          <w:szCs w:val="28"/>
          <w:lang w:val="uk-UA" w:eastAsia="en-US"/>
        </w:rPr>
        <w:t>M., Outley</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W., McKyer</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L. J., Tisone</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A., McWhinney</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 xml:space="preserve">L. </w:t>
      </w:r>
      <w:hyperlink r:id="rId387" w:history="1">
        <w:r w:rsidRPr="002E6ECA">
          <w:rPr>
            <w:rFonts w:eastAsiaTheme="minorHAnsi"/>
            <w:sz w:val="28"/>
            <w:szCs w:val="28"/>
            <w:lang w:val="uk-UA" w:eastAsia="en-US"/>
          </w:rPr>
          <w:t xml:space="preserve">Weight-Related Barriers for Overweight Students in an Elementary </w:t>
        </w:r>
        <w:r w:rsidRPr="002E6ECA">
          <w:rPr>
            <w:rFonts w:eastAsiaTheme="minorHAnsi"/>
            <w:sz w:val="28"/>
            <w:szCs w:val="28"/>
            <w:lang w:val="uk-UA" w:eastAsia="en-US"/>
          </w:rPr>
          <w:lastRenderedPageBreak/>
          <w:t xml:space="preserve">Physical Education Classroom: An Exploratory Case Study with One Physical Education Teacher. </w:t>
        </w:r>
      </w:hyperlink>
      <w:r w:rsidRPr="002E6ECA">
        <w:rPr>
          <w:rFonts w:eastAsiaTheme="minorHAnsi"/>
          <w:i/>
          <w:sz w:val="28"/>
          <w:szCs w:val="28"/>
          <w:lang w:val="uk-UA" w:eastAsia="en-US"/>
        </w:rPr>
        <w:t>Front Public Health</w:t>
      </w:r>
      <w:r w:rsidRPr="002E6ECA">
        <w:rPr>
          <w:rFonts w:eastAsiaTheme="minorHAnsi"/>
          <w:sz w:val="28"/>
          <w:szCs w:val="28"/>
          <w:lang w:val="uk-UA" w:eastAsia="en-US"/>
        </w:rPr>
        <w:t xml:space="preserve">. 2017. Vol. 5:305. doi: 10.3389/fpubh.2017.00305.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Okuda</w:t>
      </w:r>
      <w:r w:rsidRPr="002E6ECA">
        <w:rPr>
          <w:sz w:val="28"/>
          <w:szCs w:val="28"/>
          <w:lang w:val="uk-UA"/>
        </w:rPr>
        <w:t> </w:t>
      </w:r>
      <w:r w:rsidRPr="002E6ECA">
        <w:rPr>
          <w:rFonts w:eastAsiaTheme="minorHAnsi"/>
          <w:sz w:val="28"/>
          <w:szCs w:val="28"/>
          <w:lang w:val="uk-UA" w:eastAsia="en-US"/>
        </w:rPr>
        <w:t>M., Sekiya</w:t>
      </w:r>
      <w:r w:rsidRPr="002E6ECA">
        <w:rPr>
          <w:sz w:val="28"/>
          <w:szCs w:val="28"/>
          <w:lang w:val="uk-UA"/>
        </w:rPr>
        <w:t> </w:t>
      </w:r>
      <w:r w:rsidRPr="002E6ECA">
        <w:rPr>
          <w:rFonts w:eastAsiaTheme="minorHAnsi"/>
          <w:sz w:val="28"/>
          <w:szCs w:val="28"/>
          <w:lang w:val="uk-UA" w:eastAsia="en-US"/>
        </w:rPr>
        <w:t>M., Okuda</w:t>
      </w:r>
      <w:r w:rsidRPr="002E6ECA">
        <w:rPr>
          <w:sz w:val="28"/>
          <w:szCs w:val="28"/>
          <w:lang w:val="uk-UA"/>
        </w:rPr>
        <w:t> </w:t>
      </w:r>
      <w:r w:rsidRPr="002E6ECA">
        <w:rPr>
          <w:rFonts w:eastAsiaTheme="minorHAnsi"/>
          <w:sz w:val="28"/>
          <w:szCs w:val="28"/>
          <w:lang w:val="uk-UA" w:eastAsia="en-US"/>
        </w:rPr>
        <w:t>Y., Kunitsugu</w:t>
      </w:r>
      <w:r w:rsidRPr="002E6ECA">
        <w:rPr>
          <w:sz w:val="28"/>
          <w:szCs w:val="28"/>
          <w:lang w:val="uk-UA"/>
        </w:rPr>
        <w:t> </w:t>
      </w:r>
      <w:r w:rsidRPr="002E6ECA">
        <w:rPr>
          <w:rFonts w:eastAsiaTheme="minorHAnsi"/>
          <w:sz w:val="28"/>
          <w:szCs w:val="28"/>
          <w:lang w:val="uk-UA" w:eastAsia="en-US"/>
        </w:rPr>
        <w:t>I., Yoshitake</w:t>
      </w:r>
      <w:r w:rsidRPr="002E6ECA">
        <w:rPr>
          <w:sz w:val="28"/>
          <w:szCs w:val="28"/>
          <w:lang w:val="uk-UA"/>
        </w:rPr>
        <w:t> </w:t>
      </w:r>
      <w:r w:rsidRPr="002E6ECA">
        <w:rPr>
          <w:rFonts w:eastAsiaTheme="minorHAnsi"/>
          <w:sz w:val="28"/>
          <w:szCs w:val="28"/>
          <w:lang w:val="uk-UA" w:eastAsia="en-US"/>
        </w:rPr>
        <w:t>N., Hobara</w:t>
      </w:r>
      <w:r w:rsidRPr="002E6ECA">
        <w:rPr>
          <w:sz w:val="28"/>
          <w:szCs w:val="28"/>
          <w:lang w:val="uk-UA"/>
        </w:rPr>
        <w:t> </w:t>
      </w:r>
      <w:r w:rsidRPr="002E6ECA">
        <w:rPr>
          <w:rFonts w:eastAsiaTheme="minorHAnsi"/>
          <w:sz w:val="28"/>
          <w:szCs w:val="28"/>
          <w:lang w:val="uk-UA" w:eastAsia="en-US"/>
        </w:rPr>
        <w:t xml:space="preserve">T. Psychosocial functioning and self-rated health in Japanese school-aged children: A cross-sectional study. </w:t>
      </w:r>
      <w:r w:rsidRPr="002E6ECA">
        <w:rPr>
          <w:rFonts w:eastAsiaTheme="minorHAnsi"/>
          <w:i/>
          <w:sz w:val="28"/>
          <w:szCs w:val="28"/>
          <w:lang w:val="uk-UA" w:eastAsia="en-US"/>
        </w:rPr>
        <w:t>Nursing&amp;Health Sciences</w:t>
      </w:r>
      <w:r w:rsidRPr="002E6ECA">
        <w:rPr>
          <w:rFonts w:eastAsiaTheme="minorHAnsi"/>
          <w:sz w:val="28"/>
          <w:szCs w:val="28"/>
          <w:lang w:val="uk-UA" w:eastAsia="en-US"/>
        </w:rPr>
        <w:t xml:space="preserve">. 2013. Vol. </w:t>
      </w:r>
      <w:hyperlink r:id="rId388" w:tooltip="View Volume 15, Issue 2" w:history="1">
        <w:r w:rsidRPr="002E6ECA">
          <w:rPr>
            <w:rFonts w:eastAsiaTheme="minorHAnsi"/>
            <w:sz w:val="28"/>
            <w:szCs w:val="28"/>
            <w:lang w:val="uk-UA" w:eastAsia="en-US"/>
          </w:rPr>
          <w:t>15 (2</w:t>
        </w:r>
      </w:hyperlink>
      <w:r w:rsidRPr="002E6ECA">
        <w:rPr>
          <w:rFonts w:eastAsiaTheme="minorHAnsi"/>
          <w:sz w:val="28"/>
          <w:szCs w:val="28"/>
          <w:lang w:val="uk-UA" w:eastAsia="en-US"/>
        </w:rPr>
        <w:t xml:space="preserve">). Р. 157-163. DOI: 10.1111/nhs.12005. </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389" w:history="1">
        <w:r w:rsidR="00020FED" w:rsidRPr="002E6ECA">
          <w:rPr>
            <w:rFonts w:eastAsiaTheme="minorHAnsi"/>
            <w:sz w:val="28"/>
            <w:szCs w:val="28"/>
            <w:lang w:val="uk-UA" w:eastAsia="en-US"/>
          </w:rPr>
          <w:t>Pärssinen</w:t>
        </w:r>
      </w:hyperlink>
      <w:r w:rsidR="00020FED" w:rsidRPr="002E6ECA">
        <w:rPr>
          <w:sz w:val="28"/>
          <w:szCs w:val="28"/>
          <w:lang w:val="uk-UA"/>
        </w:rPr>
        <w:t> </w:t>
      </w:r>
      <w:r w:rsidR="00020FED" w:rsidRPr="002E6ECA">
        <w:rPr>
          <w:rFonts w:eastAsiaTheme="minorHAnsi"/>
          <w:bCs/>
          <w:sz w:val="28"/>
          <w:szCs w:val="28"/>
          <w:lang w:val="uk-UA" w:eastAsia="en-US"/>
        </w:rPr>
        <w:t>O.,</w:t>
      </w:r>
      <w:hyperlink r:id="rId390" w:history="1">
        <w:r w:rsidR="00020FED" w:rsidRPr="002E6ECA">
          <w:rPr>
            <w:rFonts w:eastAsiaTheme="minorHAnsi"/>
            <w:sz w:val="28"/>
            <w:szCs w:val="28"/>
            <w:lang w:val="uk-UA" w:eastAsia="en-US"/>
          </w:rPr>
          <w:t xml:space="preserve"> Kauppinen</w:t>
        </w:r>
      </w:hyperlink>
      <w:r w:rsidR="00020FED" w:rsidRPr="002E6ECA">
        <w:rPr>
          <w:sz w:val="28"/>
          <w:szCs w:val="28"/>
          <w:lang w:val="uk-UA"/>
        </w:rPr>
        <w:t> </w:t>
      </w:r>
      <w:r w:rsidR="00020FED" w:rsidRPr="002E6ECA">
        <w:rPr>
          <w:rFonts w:eastAsiaTheme="minorHAnsi"/>
          <w:bCs/>
          <w:sz w:val="28"/>
          <w:szCs w:val="28"/>
          <w:lang w:val="uk-UA" w:eastAsia="en-US"/>
        </w:rPr>
        <w:t xml:space="preserve">M. Associations of reading posture, gaze angle and reading distance with myopia and myopic progression. </w:t>
      </w:r>
      <w:r w:rsidR="00020FED" w:rsidRPr="002E6ECA">
        <w:rPr>
          <w:rFonts w:eastAsiaTheme="minorHAnsi"/>
          <w:bCs/>
          <w:i/>
          <w:sz w:val="28"/>
          <w:szCs w:val="28"/>
          <w:lang w:val="uk-UA" w:eastAsia="en-US"/>
        </w:rPr>
        <w:t>Acta Ophthalmol</w:t>
      </w:r>
      <w:r w:rsidR="00020FED" w:rsidRPr="002E6ECA">
        <w:rPr>
          <w:rFonts w:eastAsiaTheme="minorHAnsi"/>
          <w:bCs/>
          <w:sz w:val="28"/>
          <w:szCs w:val="28"/>
          <w:lang w:val="uk-UA" w:eastAsia="en-US"/>
        </w:rPr>
        <w:t xml:space="preserve">. 2016. Dec. Vol. 94 (8). P. 775-779. doi: 10.1111/aos.13148.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Patil</w:t>
      </w:r>
      <w:r w:rsidRPr="002E6ECA">
        <w:rPr>
          <w:sz w:val="28"/>
          <w:szCs w:val="28"/>
          <w:lang w:val="uk-UA"/>
        </w:rPr>
        <w:t> </w:t>
      </w:r>
      <w:r w:rsidRPr="002E6ECA">
        <w:rPr>
          <w:rFonts w:eastAsiaTheme="minorHAnsi"/>
          <w:sz w:val="28"/>
          <w:szCs w:val="28"/>
          <w:lang w:val="uk-UA" w:eastAsia="en-US"/>
        </w:rPr>
        <w:t>S., Joglekar</w:t>
      </w:r>
      <w:r w:rsidRPr="002E6ECA">
        <w:rPr>
          <w:sz w:val="28"/>
          <w:szCs w:val="28"/>
          <w:lang w:val="uk-UA"/>
        </w:rPr>
        <w:t> </w:t>
      </w:r>
      <w:r w:rsidRPr="002E6ECA">
        <w:rPr>
          <w:rFonts w:eastAsiaTheme="minorHAnsi"/>
          <w:sz w:val="28"/>
          <w:szCs w:val="28"/>
          <w:lang w:val="uk-UA" w:eastAsia="en-US"/>
        </w:rPr>
        <w:t>C., Desai</w:t>
      </w:r>
      <w:r w:rsidRPr="002E6ECA">
        <w:rPr>
          <w:sz w:val="28"/>
          <w:szCs w:val="28"/>
          <w:lang w:val="uk-UA"/>
        </w:rPr>
        <w:t> </w:t>
      </w:r>
      <w:r w:rsidRPr="002E6ECA">
        <w:rPr>
          <w:rFonts w:eastAsiaTheme="minorHAnsi"/>
          <w:sz w:val="28"/>
          <w:szCs w:val="28"/>
          <w:lang w:val="uk-UA" w:eastAsia="en-US"/>
        </w:rPr>
        <w:t>M., Yadav</w:t>
      </w:r>
      <w:r w:rsidRPr="002E6ECA">
        <w:rPr>
          <w:sz w:val="28"/>
          <w:szCs w:val="28"/>
          <w:lang w:val="uk-UA"/>
        </w:rPr>
        <w:t> </w:t>
      </w:r>
      <w:r w:rsidRPr="002E6ECA">
        <w:rPr>
          <w:rFonts w:eastAsiaTheme="minorHAnsi"/>
          <w:sz w:val="28"/>
          <w:szCs w:val="28"/>
          <w:lang w:val="uk-UA" w:eastAsia="en-US"/>
        </w:rPr>
        <w:t>A., Sonawane</w:t>
      </w:r>
      <w:r w:rsidRPr="002E6ECA">
        <w:rPr>
          <w:sz w:val="28"/>
          <w:szCs w:val="28"/>
          <w:lang w:val="uk-UA"/>
        </w:rPr>
        <w:t> </w:t>
      </w:r>
      <w:r w:rsidRPr="002E6ECA">
        <w:rPr>
          <w:rFonts w:eastAsiaTheme="minorHAnsi"/>
          <w:sz w:val="28"/>
          <w:szCs w:val="28"/>
          <w:lang w:val="uk-UA" w:eastAsia="en-US"/>
        </w:rPr>
        <w:t>S., Chavan</w:t>
      </w:r>
      <w:r w:rsidRPr="002E6ECA">
        <w:rPr>
          <w:sz w:val="28"/>
          <w:szCs w:val="28"/>
          <w:lang w:val="uk-UA"/>
        </w:rPr>
        <w:t> </w:t>
      </w:r>
      <w:r w:rsidRPr="002E6ECA">
        <w:rPr>
          <w:rFonts w:eastAsiaTheme="minorHAnsi"/>
          <w:sz w:val="28"/>
          <w:szCs w:val="28"/>
          <w:lang w:val="uk-UA" w:eastAsia="en-US"/>
        </w:rPr>
        <w:t>R., Mohite</w:t>
      </w:r>
      <w:r w:rsidRPr="002E6ECA">
        <w:rPr>
          <w:sz w:val="28"/>
          <w:szCs w:val="28"/>
          <w:lang w:val="uk-UA"/>
        </w:rPr>
        <w:t> </w:t>
      </w:r>
      <w:r w:rsidRPr="002E6ECA">
        <w:rPr>
          <w:rFonts w:eastAsiaTheme="minorHAnsi"/>
          <w:sz w:val="28"/>
          <w:szCs w:val="28"/>
          <w:lang w:val="uk-UA" w:eastAsia="en-US"/>
        </w:rPr>
        <w:t xml:space="preserve">R. </w:t>
      </w:r>
      <w:hyperlink r:id="rId391" w:history="1">
        <w:r w:rsidRPr="002E6ECA">
          <w:rPr>
            <w:rFonts w:eastAsiaTheme="minorHAnsi"/>
            <w:sz w:val="28"/>
            <w:szCs w:val="28"/>
            <w:lang w:val="uk-UA" w:eastAsia="en-US"/>
          </w:rPr>
          <w:t xml:space="preserve">Nutritional status and psychological impairment in rural adolescent girls: Pilot data from "KOKAN" region of Western India. </w:t>
        </w:r>
      </w:hyperlink>
      <w:r w:rsidRPr="002E6ECA">
        <w:rPr>
          <w:rFonts w:eastAsiaTheme="minorHAnsi"/>
          <w:i/>
          <w:sz w:val="28"/>
          <w:szCs w:val="28"/>
          <w:lang w:val="uk-UA" w:eastAsia="en-US"/>
        </w:rPr>
        <w:t>Front Public Health</w:t>
      </w:r>
      <w:r w:rsidRPr="002E6ECA">
        <w:rPr>
          <w:rFonts w:eastAsiaTheme="minorHAnsi"/>
          <w:sz w:val="28"/>
          <w:szCs w:val="28"/>
          <w:lang w:val="uk-UA" w:eastAsia="en-US"/>
        </w:rPr>
        <w:t>. 2018. Vol.</w:t>
      </w:r>
      <w:r w:rsidRPr="002E6ECA">
        <w:rPr>
          <w:sz w:val="28"/>
          <w:szCs w:val="28"/>
          <w:lang w:val="en-US"/>
        </w:rPr>
        <w:t> </w:t>
      </w:r>
      <w:r w:rsidRPr="002E6ECA">
        <w:rPr>
          <w:rFonts w:eastAsiaTheme="minorHAnsi"/>
          <w:sz w:val="28"/>
          <w:szCs w:val="28"/>
          <w:lang w:val="uk-UA" w:eastAsia="en-US"/>
        </w:rPr>
        <w:t xml:space="preserve">6. 160. doi: 10.3389/fpubh.2018.00160.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Paulick</w:t>
      </w:r>
      <w:r w:rsidRPr="002E6ECA">
        <w:rPr>
          <w:sz w:val="28"/>
          <w:szCs w:val="28"/>
          <w:lang w:val="uk-UA"/>
        </w:rPr>
        <w:t> </w:t>
      </w:r>
      <w:r w:rsidRPr="002E6ECA">
        <w:rPr>
          <w:rFonts w:eastAsiaTheme="minorHAnsi"/>
          <w:sz w:val="28"/>
          <w:szCs w:val="28"/>
          <w:lang w:val="uk-UA" w:eastAsia="en-US"/>
        </w:rPr>
        <w:t>I., Watermann</w:t>
      </w:r>
      <w:r w:rsidRPr="002E6ECA">
        <w:rPr>
          <w:sz w:val="28"/>
          <w:szCs w:val="28"/>
          <w:lang w:val="uk-UA"/>
        </w:rPr>
        <w:t> </w:t>
      </w:r>
      <w:r w:rsidRPr="002E6ECA">
        <w:rPr>
          <w:rFonts w:eastAsiaTheme="minorHAnsi"/>
          <w:sz w:val="28"/>
          <w:szCs w:val="28"/>
          <w:lang w:val="uk-UA" w:eastAsia="en-US"/>
        </w:rPr>
        <w:t>R., Nückles</w:t>
      </w:r>
      <w:r w:rsidRPr="002E6ECA">
        <w:rPr>
          <w:sz w:val="28"/>
          <w:szCs w:val="28"/>
          <w:lang w:val="uk-UA"/>
        </w:rPr>
        <w:t> </w:t>
      </w:r>
      <w:r w:rsidRPr="002E6ECA">
        <w:rPr>
          <w:rFonts w:eastAsiaTheme="minorHAnsi"/>
          <w:sz w:val="28"/>
          <w:szCs w:val="28"/>
          <w:lang w:val="uk-UA" w:eastAsia="en-US"/>
        </w:rPr>
        <w:t xml:space="preserve">M. Achievement goals and school achievement: The transition to different school tracks in secondary school. </w:t>
      </w:r>
      <w:r w:rsidRPr="002E6ECA">
        <w:rPr>
          <w:rFonts w:eastAsiaTheme="minorHAnsi"/>
          <w:i/>
          <w:sz w:val="28"/>
          <w:szCs w:val="28"/>
          <w:lang w:val="uk-UA" w:eastAsia="en-US"/>
        </w:rPr>
        <w:t>Contemporary Educational Psychology</w:t>
      </w:r>
      <w:r w:rsidRPr="002E6ECA">
        <w:rPr>
          <w:rFonts w:eastAsiaTheme="minorHAnsi"/>
          <w:sz w:val="28"/>
          <w:szCs w:val="28"/>
          <w:lang w:val="uk-UA" w:eastAsia="en-US"/>
        </w:rPr>
        <w:t xml:space="preserve">. 2013. Vol. 38, Issue 1. P. 75-86. </w:t>
      </w:r>
      <w:hyperlink r:id="rId392" w:history="1">
        <w:r w:rsidRPr="002E6ECA">
          <w:rPr>
            <w:rFonts w:eastAsiaTheme="minorHAnsi"/>
            <w:sz w:val="28"/>
            <w:szCs w:val="28"/>
            <w:lang w:val="uk-UA" w:eastAsia="en-US"/>
          </w:rPr>
          <w:t>https://doi.org/10.1016/j.cedpsych.2012.10.003</w:t>
        </w:r>
      </w:hyperlink>
      <w:r w:rsidRPr="002E6ECA">
        <w:rPr>
          <w:rFonts w:eastAsiaTheme="minorHAnsi"/>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393" w:history="1">
        <w:r w:rsidR="00020FED" w:rsidRPr="002E6ECA">
          <w:rPr>
            <w:rFonts w:eastAsiaTheme="minorHAnsi"/>
            <w:sz w:val="28"/>
            <w:szCs w:val="28"/>
            <w:lang w:val="uk-UA" w:eastAsia="en-US"/>
          </w:rPr>
          <w:t>Perrochon</w:t>
        </w:r>
      </w:hyperlink>
      <w:r w:rsidR="00020FED" w:rsidRPr="002E6ECA">
        <w:rPr>
          <w:sz w:val="28"/>
          <w:szCs w:val="28"/>
          <w:lang w:val="uk-UA"/>
        </w:rPr>
        <w:t> </w:t>
      </w:r>
      <w:r w:rsidR="00020FED" w:rsidRPr="002E6ECA">
        <w:rPr>
          <w:rFonts w:eastAsiaTheme="minorHAnsi"/>
          <w:sz w:val="28"/>
          <w:szCs w:val="28"/>
          <w:lang w:val="uk-UA" w:eastAsia="en-US"/>
        </w:rPr>
        <w:t>A.,</w:t>
      </w:r>
      <w:hyperlink r:id="rId394" w:history="1">
        <w:r w:rsidR="00020FED" w:rsidRPr="002E6ECA">
          <w:rPr>
            <w:rFonts w:eastAsiaTheme="minorHAnsi"/>
            <w:sz w:val="28"/>
            <w:szCs w:val="28"/>
            <w:lang w:val="uk-UA" w:eastAsia="en-US"/>
          </w:rPr>
          <w:t xml:space="preserve"> Mandigout</w:t>
        </w:r>
      </w:hyperlink>
      <w:r w:rsidR="00020FED" w:rsidRPr="002E6ECA">
        <w:rPr>
          <w:sz w:val="28"/>
          <w:szCs w:val="28"/>
          <w:lang w:val="uk-UA"/>
        </w:rPr>
        <w:t> </w:t>
      </w:r>
      <w:r w:rsidR="00020FED" w:rsidRPr="002E6ECA">
        <w:rPr>
          <w:rFonts w:eastAsiaTheme="minorHAnsi"/>
          <w:sz w:val="28"/>
          <w:szCs w:val="28"/>
          <w:lang w:val="uk-UA" w:eastAsia="en-US"/>
        </w:rPr>
        <w:t>S.,</w:t>
      </w:r>
      <w:hyperlink r:id="rId395" w:history="1">
        <w:r w:rsidR="00020FED" w:rsidRPr="002E6ECA">
          <w:rPr>
            <w:rFonts w:eastAsiaTheme="minorHAnsi"/>
            <w:sz w:val="28"/>
            <w:szCs w:val="28"/>
            <w:lang w:val="uk-UA" w:eastAsia="en-US"/>
          </w:rPr>
          <w:t xml:space="preserve"> Petruzzellis</w:t>
        </w:r>
      </w:hyperlink>
      <w:r w:rsidR="00020FED" w:rsidRPr="002E6ECA">
        <w:rPr>
          <w:sz w:val="28"/>
          <w:szCs w:val="28"/>
          <w:lang w:val="uk-UA"/>
        </w:rPr>
        <w:t> </w:t>
      </w:r>
      <w:r w:rsidR="00020FED" w:rsidRPr="002E6ECA">
        <w:rPr>
          <w:rFonts w:eastAsiaTheme="minorHAnsi"/>
          <w:sz w:val="28"/>
          <w:szCs w:val="28"/>
          <w:lang w:val="uk-UA" w:eastAsia="en-US"/>
        </w:rPr>
        <w:t>S.,</w:t>
      </w:r>
      <w:hyperlink r:id="rId396" w:history="1">
        <w:r w:rsidR="00020FED" w:rsidRPr="002E6ECA">
          <w:rPr>
            <w:rFonts w:eastAsiaTheme="minorHAnsi"/>
            <w:sz w:val="28"/>
            <w:szCs w:val="28"/>
            <w:lang w:val="uk-UA" w:eastAsia="en-US"/>
          </w:rPr>
          <w:t xml:space="preserve"> Garcia</w:t>
        </w:r>
      </w:hyperlink>
      <w:r w:rsidR="00020FED" w:rsidRPr="002E6ECA">
        <w:rPr>
          <w:sz w:val="28"/>
          <w:szCs w:val="28"/>
          <w:lang w:val="uk-UA"/>
        </w:rPr>
        <w:t> </w:t>
      </w:r>
      <w:r w:rsidR="00020FED" w:rsidRPr="002E6ECA">
        <w:rPr>
          <w:rFonts w:eastAsiaTheme="minorHAnsi"/>
          <w:sz w:val="28"/>
          <w:szCs w:val="28"/>
          <w:lang w:val="uk-UA" w:eastAsia="en-US"/>
        </w:rPr>
        <w:t>N.</w:t>
      </w:r>
      <w:r w:rsidR="00020FED" w:rsidRPr="002E6ECA">
        <w:rPr>
          <w:sz w:val="28"/>
          <w:szCs w:val="28"/>
          <w:lang w:val="uk-UA"/>
        </w:rPr>
        <w:t> </w:t>
      </w:r>
      <w:r w:rsidR="00020FED" w:rsidRPr="002E6ECA">
        <w:rPr>
          <w:rFonts w:eastAsiaTheme="minorHAnsi"/>
          <w:sz w:val="28"/>
          <w:szCs w:val="28"/>
          <w:lang w:val="uk-UA" w:eastAsia="en-US"/>
        </w:rPr>
        <w:t>S.,</w:t>
      </w:r>
      <w:hyperlink r:id="rId397" w:history="1">
        <w:r w:rsidR="00020FED" w:rsidRPr="002E6ECA">
          <w:rPr>
            <w:rFonts w:eastAsiaTheme="minorHAnsi"/>
            <w:sz w:val="28"/>
            <w:szCs w:val="28"/>
            <w:lang w:val="uk-UA" w:eastAsia="en-US"/>
          </w:rPr>
          <w:t xml:space="preserve"> Zaoui</w:t>
        </w:r>
      </w:hyperlink>
      <w:r w:rsidR="00020FED" w:rsidRPr="002E6ECA">
        <w:rPr>
          <w:sz w:val="28"/>
          <w:szCs w:val="28"/>
          <w:lang w:val="uk-UA"/>
        </w:rPr>
        <w:t> </w:t>
      </w:r>
      <w:r w:rsidR="00020FED" w:rsidRPr="002E6ECA">
        <w:rPr>
          <w:rFonts w:eastAsiaTheme="minorHAnsi"/>
          <w:sz w:val="28"/>
          <w:szCs w:val="28"/>
          <w:lang w:val="uk-UA" w:eastAsia="en-US"/>
        </w:rPr>
        <w:t>M.,</w:t>
      </w:r>
      <w:hyperlink r:id="rId398" w:history="1">
        <w:r w:rsidR="00020FED" w:rsidRPr="002E6ECA">
          <w:rPr>
            <w:rFonts w:eastAsiaTheme="minorHAnsi"/>
            <w:sz w:val="28"/>
            <w:szCs w:val="28"/>
            <w:lang w:val="uk-UA" w:eastAsia="en-US"/>
          </w:rPr>
          <w:t xml:space="preserve"> Berthoz</w:t>
        </w:r>
      </w:hyperlink>
      <w:r w:rsidR="00020FED" w:rsidRPr="002E6ECA">
        <w:rPr>
          <w:sz w:val="28"/>
          <w:szCs w:val="28"/>
          <w:lang w:val="uk-UA"/>
        </w:rPr>
        <w:t> </w:t>
      </w:r>
      <w:r w:rsidR="00020FED" w:rsidRPr="002E6ECA">
        <w:rPr>
          <w:rFonts w:eastAsiaTheme="minorHAnsi"/>
          <w:sz w:val="28"/>
          <w:szCs w:val="28"/>
          <w:lang w:val="uk-UA" w:eastAsia="en-US"/>
        </w:rPr>
        <w:t>A.,</w:t>
      </w:r>
      <w:hyperlink r:id="rId399" w:history="1">
        <w:r w:rsidR="00020FED" w:rsidRPr="002E6ECA">
          <w:rPr>
            <w:rFonts w:eastAsiaTheme="minorHAnsi"/>
            <w:sz w:val="28"/>
            <w:szCs w:val="28"/>
            <w:lang w:val="uk-UA" w:eastAsia="en-US"/>
          </w:rPr>
          <w:t xml:space="preserve"> Daviet</w:t>
        </w:r>
      </w:hyperlink>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 xml:space="preserve">C. The influence of age in women in visuo-spatial memory in reaching and navigation tasks with and without landmarks. </w:t>
      </w:r>
      <w:hyperlink r:id="rId400" w:tooltip="Go to Neuroscience Letters on ScienceDirect" w:history="1">
        <w:r w:rsidR="00020FED" w:rsidRPr="002E6ECA">
          <w:rPr>
            <w:rFonts w:eastAsiaTheme="minorHAnsi"/>
            <w:i/>
            <w:sz w:val="28"/>
            <w:szCs w:val="28"/>
            <w:lang w:val="uk-UA" w:eastAsia="en-US"/>
          </w:rPr>
          <w:t>Neuroscience Letters</w:t>
        </w:r>
      </w:hyperlink>
      <w:r w:rsidR="00020FED" w:rsidRPr="002E6ECA">
        <w:rPr>
          <w:rFonts w:eastAsiaTheme="minorHAnsi"/>
          <w:sz w:val="28"/>
          <w:szCs w:val="28"/>
          <w:lang w:val="uk-UA" w:eastAsia="en-US"/>
        </w:rPr>
        <w:t xml:space="preserve">. 2018. Vol. 684. Р. 13-17. doi: 10.1016/j.neulet.2018.06.054.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Petraviciene</w:t>
      </w:r>
      <w:r w:rsidRPr="002E6ECA">
        <w:rPr>
          <w:sz w:val="28"/>
          <w:szCs w:val="28"/>
          <w:lang w:val="uk-UA"/>
        </w:rPr>
        <w:t> </w:t>
      </w:r>
      <w:r w:rsidRPr="002E6ECA">
        <w:rPr>
          <w:rFonts w:eastAsiaTheme="minorHAnsi"/>
          <w:sz w:val="28"/>
          <w:szCs w:val="28"/>
          <w:lang w:val="uk-UA" w:eastAsia="en-US"/>
        </w:rPr>
        <w:t>I., Grazuleviciene</w:t>
      </w:r>
      <w:r w:rsidRPr="002E6ECA">
        <w:rPr>
          <w:sz w:val="28"/>
          <w:szCs w:val="28"/>
          <w:lang w:val="uk-UA"/>
        </w:rPr>
        <w:t> </w:t>
      </w:r>
      <w:r w:rsidRPr="002E6ECA">
        <w:rPr>
          <w:rFonts w:eastAsiaTheme="minorHAnsi"/>
          <w:sz w:val="28"/>
          <w:szCs w:val="28"/>
          <w:lang w:val="uk-UA" w:eastAsia="en-US"/>
        </w:rPr>
        <w:t>R., Andrusaityte</w:t>
      </w:r>
      <w:r w:rsidRPr="002E6ECA">
        <w:rPr>
          <w:sz w:val="28"/>
          <w:szCs w:val="28"/>
          <w:lang w:val="uk-UA"/>
        </w:rPr>
        <w:t> </w:t>
      </w:r>
      <w:r w:rsidRPr="002E6ECA">
        <w:rPr>
          <w:rFonts w:eastAsiaTheme="minorHAnsi"/>
          <w:sz w:val="28"/>
          <w:szCs w:val="28"/>
          <w:lang w:val="uk-UA" w:eastAsia="en-US"/>
        </w:rPr>
        <w:t>S., Dedele</w:t>
      </w:r>
      <w:r w:rsidRPr="002E6ECA">
        <w:rPr>
          <w:sz w:val="28"/>
          <w:szCs w:val="28"/>
          <w:lang w:val="uk-UA"/>
        </w:rPr>
        <w:t> </w:t>
      </w:r>
      <w:r w:rsidRPr="002E6ECA">
        <w:rPr>
          <w:rFonts w:eastAsiaTheme="minorHAnsi"/>
          <w:sz w:val="28"/>
          <w:szCs w:val="28"/>
          <w:lang w:val="uk-UA" w:eastAsia="en-US"/>
        </w:rPr>
        <w:t>A., Nieuwenhuijsen</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J. Impact of the social and </w:t>
      </w:r>
      <w:r w:rsidRPr="002E6ECA">
        <w:rPr>
          <w:rFonts w:eastAsiaTheme="minorHAnsi"/>
          <w:sz w:val="28"/>
          <w:szCs w:val="28"/>
          <w:lang w:val="en-US" w:eastAsia="en-US"/>
        </w:rPr>
        <w:t>t</w:t>
      </w:r>
      <w:r w:rsidRPr="002E6ECA">
        <w:rPr>
          <w:rFonts w:eastAsiaTheme="minorHAnsi"/>
          <w:sz w:val="28"/>
          <w:szCs w:val="28"/>
          <w:lang w:val="uk-UA" w:eastAsia="en-US"/>
        </w:rPr>
        <w:t xml:space="preserve">atural environment on preschool-age </w:t>
      </w:r>
      <w:r w:rsidRPr="002E6ECA">
        <w:rPr>
          <w:rFonts w:eastAsiaTheme="minorHAnsi"/>
          <w:sz w:val="28"/>
          <w:szCs w:val="28"/>
          <w:lang w:val="en-US" w:eastAsia="en-US"/>
        </w:rPr>
        <w:t>c</w:t>
      </w:r>
      <w:r w:rsidRPr="002E6ECA">
        <w:rPr>
          <w:rFonts w:eastAsiaTheme="minorHAnsi"/>
          <w:sz w:val="28"/>
          <w:szCs w:val="28"/>
          <w:lang w:val="uk-UA" w:eastAsia="en-US"/>
        </w:rPr>
        <w:t xml:space="preserve">hildren weight. </w:t>
      </w:r>
      <w:r w:rsidRPr="002E6ECA">
        <w:rPr>
          <w:rFonts w:eastAsiaTheme="minorHAnsi"/>
          <w:i/>
          <w:sz w:val="28"/>
          <w:szCs w:val="28"/>
          <w:lang w:val="uk-UA" w:eastAsia="en-US"/>
        </w:rPr>
        <w:t>Int J Environ Res Public Health</w:t>
      </w:r>
      <w:r w:rsidRPr="002E6ECA">
        <w:rPr>
          <w:rFonts w:eastAsiaTheme="minorHAnsi"/>
          <w:sz w:val="28"/>
          <w:szCs w:val="28"/>
          <w:lang w:val="uk-UA" w:eastAsia="en-US"/>
        </w:rPr>
        <w:t xml:space="preserve">. 2018. Vol. 15 (3). E449. doi: 10.3390/ijerph15030449.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Platonova</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 xml:space="preserve">G. Changes in the physical development of Kiev schoolchildren over a ten-year period (1996-2008). </w:t>
      </w:r>
      <w:r w:rsidRPr="002E6ECA">
        <w:rPr>
          <w:rFonts w:eastAsiaTheme="minorHAnsi"/>
          <w:i/>
          <w:sz w:val="28"/>
          <w:szCs w:val="28"/>
          <w:lang w:val="uk-UA" w:eastAsia="en-US"/>
        </w:rPr>
        <w:t>Gig Sanit</w:t>
      </w:r>
      <w:r w:rsidRPr="002E6ECA">
        <w:rPr>
          <w:rFonts w:eastAsiaTheme="minorHAnsi"/>
          <w:sz w:val="28"/>
          <w:szCs w:val="28"/>
          <w:lang w:val="uk-UA" w:eastAsia="en-US"/>
        </w:rPr>
        <w:t xml:space="preserve">. 2012. Vol. 2. Р. 69-73. </w:t>
      </w:r>
      <w:hyperlink r:id="rId401" w:history="1">
        <w:r w:rsidRPr="002E6ECA">
          <w:rPr>
            <w:rFonts w:eastAsiaTheme="minorHAnsi"/>
            <w:sz w:val="28"/>
            <w:szCs w:val="28"/>
            <w:lang w:val="uk-UA" w:eastAsia="en-US"/>
          </w:rPr>
          <w:t>https://pubmed.ncbi.nlm.nih.gov/22834272/</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Platonova</w:t>
      </w:r>
      <w:r w:rsidRPr="002E6ECA">
        <w:rPr>
          <w:sz w:val="28"/>
          <w:szCs w:val="28"/>
          <w:lang w:val="uk-UA"/>
        </w:rPr>
        <w:t> </w:t>
      </w:r>
      <w:r w:rsidRPr="002E6ECA">
        <w:rPr>
          <w:rFonts w:eastAsiaTheme="minorHAnsi"/>
          <w:sz w:val="28"/>
          <w:szCs w:val="28"/>
          <w:lang w:val="uk-UA" w:eastAsia="en-US"/>
        </w:rPr>
        <w:t>A., Podrigalo</w:t>
      </w:r>
      <w:r w:rsidRPr="002E6ECA">
        <w:rPr>
          <w:sz w:val="28"/>
          <w:szCs w:val="28"/>
          <w:lang w:val="uk-UA"/>
        </w:rPr>
        <w:t> </w:t>
      </w:r>
      <w:r w:rsidRPr="002E6ECA">
        <w:rPr>
          <w:rFonts w:eastAsiaTheme="minorHAnsi"/>
          <w:sz w:val="28"/>
          <w:szCs w:val="28"/>
          <w:lang w:val="uk-UA" w:eastAsia="en-US"/>
        </w:rPr>
        <w:t>L., Iermakov</w:t>
      </w:r>
      <w:r w:rsidRPr="002E6ECA">
        <w:rPr>
          <w:sz w:val="28"/>
          <w:szCs w:val="28"/>
          <w:lang w:val="uk-UA"/>
        </w:rPr>
        <w:t> </w:t>
      </w:r>
      <w:r w:rsidRPr="002E6ECA">
        <w:rPr>
          <w:rFonts w:eastAsiaTheme="minorHAnsi"/>
          <w:sz w:val="28"/>
          <w:szCs w:val="28"/>
          <w:lang w:val="uk-UA" w:eastAsia="en-US"/>
        </w:rPr>
        <w:t>S., Cieślicka</w:t>
      </w:r>
      <w:r w:rsidRPr="002E6ECA">
        <w:rPr>
          <w:sz w:val="28"/>
          <w:szCs w:val="28"/>
          <w:lang w:val="uk-UA"/>
        </w:rPr>
        <w:t> </w:t>
      </w:r>
      <w:r w:rsidRPr="002E6ECA">
        <w:rPr>
          <w:rFonts w:eastAsiaTheme="minorHAnsi"/>
          <w:sz w:val="28"/>
          <w:szCs w:val="28"/>
          <w:lang w:val="uk-UA" w:eastAsia="en-US"/>
        </w:rPr>
        <w:t>M., Muszkieta</w:t>
      </w:r>
      <w:r w:rsidRPr="002E6ECA">
        <w:rPr>
          <w:sz w:val="28"/>
          <w:szCs w:val="28"/>
          <w:lang w:val="uk-UA"/>
        </w:rPr>
        <w:t> </w:t>
      </w:r>
      <w:r w:rsidRPr="002E6ECA">
        <w:rPr>
          <w:rFonts w:eastAsiaTheme="minorHAnsi"/>
          <w:sz w:val="28"/>
          <w:szCs w:val="28"/>
          <w:lang w:val="uk-UA" w:eastAsia="en-US"/>
        </w:rPr>
        <w:t xml:space="preserve">R. Evaluation of physical development in Ukrainian city pupils during 35 year - monitoring period (1974 -2009). </w:t>
      </w:r>
      <w:r w:rsidRPr="002E6ECA">
        <w:rPr>
          <w:rFonts w:eastAsiaTheme="minorHAnsi"/>
          <w:i/>
          <w:sz w:val="28"/>
          <w:szCs w:val="28"/>
          <w:lang w:val="uk-UA" w:eastAsia="en-US"/>
        </w:rPr>
        <w:t>Coll. Antropol</w:t>
      </w:r>
      <w:r w:rsidRPr="002E6ECA">
        <w:rPr>
          <w:rFonts w:eastAsiaTheme="minorHAnsi"/>
          <w:sz w:val="28"/>
          <w:szCs w:val="28"/>
          <w:lang w:val="uk-UA" w:eastAsia="en-US"/>
        </w:rPr>
        <w:t>. 2018. Vol. 42 (1). Р. 7-12.</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Podrigalo L. V., Artemieva H. P., Rovnaya O. A., Misevra N. S., Sotnikova-Meleshkina Zh. V., Podavalenko A. P., Sokol K. M., Robak I. Yu. </w:t>
      </w:r>
      <w:r w:rsidRPr="002E6ECA">
        <w:rPr>
          <w:sz w:val="28"/>
          <w:szCs w:val="28"/>
          <w:lang w:val="en-US"/>
        </w:rPr>
        <w:t xml:space="preserve">Features of physical development and somatotype of girls and women involved in fitness. </w:t>
      </w:r>
      <w:r w:rsidRPr="002E6ECA">
        <w:rPr>
          <w:i/>
          <w:sz w:val="28"/>
          <w:szCs w:val="28"/>
          <w:lang w:val="en-US"/>
        </w:rPr>
        <w:t>Pedagogics Psychology medical-biological problems of physical training and sports</w:t>
      </w:r>
      <w:r w:rsidRPr="002E6ECA">
        <w:rPr>
          <w:sz w:val="28"/>
          <w:szCs w:val="28"/>
          <w:lang w:val="en-US"/>
        </w:rPr>
        <w:t xml:space="preserve">. 2019. Vol. 4. </w:t>
      </w:r>
      <w:r w:rsidRPr="002E6ECA">
        <w:rPr>
          <w:sz w:val="28"/>
          <w:szCs w:val="28"/>
          <w:lang w:val="uk-UA"/>
        </w:rPr>
        <w:t>Р</w:t>
      </w:r>
      <w:r w:rsidRPr="002E6ECA">
        <w:rPr>
          <w:sz w:val="28"/>
          <w:szCs w:val="28"/>
          <w:lang w:val="en-US"/>
        </w:rPr>
        <w:t>.</w:t>
      </w:r>
      <w:r w:rsidRPr="002E6ECA">
        <w:rPr>
          <w:sz w:val="28"/>
          <w:szCs w:val="28"/>
          <w:lang w:val="uk-UA"/>
        </w:rPr>
        <w:t xml:space="preserve"> </w:t>
      </w:r>
      <w:r w:rsidRPr="002E6ECA">
        <w:rPr>
          <w:sz w:val="28"/>
          <w:szCs w:val="28"/>
          <w:lang w:val="en-US"/>
        </w:rPr>
        <w:t>189-195</w:t>
      </w:r>
      <w:r w:rsidRPr="002E6ECA">
        <w:rPr>
          <w:sz w:val="28"/>
          <w:szCs w:val="28"/>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Podrigalo</w:t>
      </w:r>
      <w:r w:rsidRPr="002E6ECA">
        <w:rPr>
          <w:sz w:val="28"/>
          <w:szCs w:val="28"/>
          <w:lang w:val="uk-UA"/>
        </w:rPr>
        <w:t> </w:t>
      </w:r>
      <w:r w:rsidRPr="002E6ECA">
        <w:rPr>
          <w:rFonts w:eastAsiaTheme="minorHAnsi"/>
          <w:sz w:val="28"/>
          <w:szCs w:val="28"/>
          <w:lang w:val="uk-UA" w:eastAsia="en-US"/>
        </w:rPr>
        <w:t>L., Iermakov</w:t>
      </w:r>
      <w:r w:rsidRPr="002E6ECA">
        <w:rPr>
          <w:sz w:val="28"/>
          <w:szCs w:val="28"/>
          <w:lang w:val="uk-UA"/>
        </w:rPr>
        <w:t> </w:t>
      </w:r>
      <w:r w:rsidRPr="002E6ECA">
        <w:rPr>
          <w:rFonts w:eastAsiaTheme="minorHAnsi"/>
          <w:sz w:val="28"/>
          <w:szCs w:val="28"/>
          <w:lang w:val="uk-UA" w:eastAsia="en-US"/>
        </w:rPr>
        <w:t>S., Rovnaya</w:t>
      </w:r>
      <w:r w:rsidRPr="002E6ECA">
        <w:rPr>
          <w:sz w:val="28"/>
          <w:szCs w:val="28"/>
          <w:lang w:val="uk-UA"/>
        </w:rPr>
        <w:t> </w:t>
      </w:r>
      <w:r w:rsidRPr="002E6ECA">
        <w:rPr>
          <w:rFonts w:eastAsiaTheme="minorHAnsi"/>
          <w:sz w:val="28"/>
          <w:szCs w:val="28"/>
          <w:lang w:val="uk-UA" w:eastAsia="en-US"/>
        </w:rPr>
        <w:t>O., Zukov</w:t>
      </w:r>
      <w:r w:rsidRPr="002E6ECA">
        <w:rPr>
          <w:sz w:val="28"/>
          <w:szCs w:val="28"/>
          <w:lang w:val="uk-UA"/>
        </w:rPr>
        <w:t> </w:t>
      </w:r>
      <w:r w:rsidRPr="002E6ECA">
        <w:rPr>
          <w:rFonts w:eastAsiaTheme="minorHAnsi"/>
          <w:sz w:val="28"/>
          <w:szCs w:val="28"/>
          <w:lang w:val="uk-UA" w:eastAsia="en-US"/>
        </w:rPr>
        <w:t>W., Nosko</w:t>
      </w:r>
      <w:r w:rsidRPr="002E6ECA">
        <w:rPr>
          <w:sz w:val="28"/>
          <w:szCs w:val="28"/>
          <w:lang w:val="uk-UA"/>
        </w:rPr>
        <w:t> </w:t>
      </w:r>
      <w:r w:rsidRPr="002E6ECA">
        <w:rPr>
          <w:rFonts w:eastAsiaTheme="minorHAnsi"/>
          <w:sz w:val="28"/>
          <w:szCs w:val="28"/>
          <w:lang w:val="uk-UA" w:eastAsia="en-US"/>
        </w:rPr>
        <w:t xml:space="preserve">M. Peculiar features between the studied indicators of the dynamic and interconnections of mental workability of students. </w:t>
      </w:r>
      <w:r w:rsidRPr="002E6ECA">
        <w:rPr>
          <w:rFonts w:eastAsiaTheme="minorHAnsi"/>
          <w:i/>
          <w:sz w:val="28"/>
          <w:szCs w:val="28"/>
          <w:lang w:val="uk-UA" w:eastAsia="en-US"/>
        </w:rPr>
        <w:t>Journal of Physical Education and Sport</w:t>
      </w:r>
      <w:r w:rsidRPr="002E6ECA">
        <w:rPr>
          <w:rFonts w:eastAsiaTheme="minorHAnsi"/>
          <w:sz w:val="28"/>
          <w:szCs w:val="28"/>
          <w:lang w:val="uk-UA" w:eastAsia="en-US"/>
        </w:rPr>
        <w:t>. 2016. Vol. 16 (4). Art 193, Р. 1211-1218. DOI:10.7752/jpes.2016.04193.</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02" w:history="1">
        <w:r w:rsidR="00020FED" w:rsidRPr="002E6ECA">
          <w:rPr>
            <w:rFonts w:eastAsiaTheme="minorHAnsi"/>
            <w:sz w:val="28"/>
            <w:szCs w:val="28"/>
            <w:lang w:val="uk-UA" w:eastAsia="en-US"/>
          </w:rPr>
          <w:t>Prigatano</w:t>
        </w:r>
      </w:hyperlink>
      <w:r w:rsidR="00020FED" w:rsidRPr="002E6ECA">
        <w:rPr>
          <w:sz w:val="28"/>
          <w:szCs w:val="28"/>
          <w:lang w:val="uk-UA"/>
        </w:rPr>
        <w:t> </w:t>
      </w:r>
      <w:r w:rsidR="00020FED" w:rsidRPr="002E6ECA">
        <w:rPr>
          <w:rFonts w:eastAsiaTheme="minorHAnsi"/>
          <w:sz w:val="28"/>
          <w:szCs w:val="28"/>
          <w:lang w:val="uk-UA" w:eastAsia="en-US"/>
        </w:rPr>
        <w:t>G.</w:t>
      </w:r>
      <w:r w:rsidR="00020FED" w:rsidRPr="002E6ECA">
        <w:rPr>
          <w:sz w:val="28"/>
          <w:szCs w:val="28"/>
          <w:lang w:val="uk-UA"/>
        </w:rPr>
        <w:t> </w:t>
      </w:r>
      <w:r w:rsidR="00020FED" w:rsidRPr="002E6ECA">
        <w:rPr>
          <w:rFonts w:eastAsiaTheme="minorHAnsi"/>
          <w:sz w:val="28"/>
          <w:szCs w:val="28"/>
          <w:lang w:val="uk-UA" w:eastAsia="en-US"/>
        </w:rPr>
        <w:t>P.,</w:t>
      </w:r>
      <w:hyperlink r:id="rId403" w:history="1">
        <w:r w:rsidR="00020FED" w:rsidRPr="002E6ECA">
          <w:rPr>
            <w:rFonts w:eastAsiaTheme="minorHAnsi"/>
            <w:sz w:val="28"/>
            <w:szCs w:val="28"/>
            <w:lang w:val="uk-UA" w:eastAsia="en-US"/>
          </w:rPr>
          <w:t xml:space="preserve"> Goncalves</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W. P.,</w:t>
      </w:r>
      <w:hyperlink r:id="rId404" w:history="1">
        <w:r w:rsidR="00020FED" w:rsidRPr="002E6ECA">
          <w:rPr>
            <w:rFonts w:eastAsiaTheme="minorHAnsi"/>
            <w:sz w:val="28"/>
            <w:szCs w:val="28"/>
            <w:lang w:val="uk-UA" w:eastAsia="en-US"/>
          </w:rPr>
          <w:t xml:space="preserve"> de Oliveira</w:t>
        </w:r>
      </w:hyperlink>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B.,</w:t>
      </w:r>
      <w:hyperlink r:id="rId405" w:history="1">
        <w:r w:rsidR="00020FED" w:rsidRPr="002E6ECA">
          <w:rPr>
            <w:rFonts w:eastAsiaTheme="minorHAnsi"/>
            <w:sz w:val="28"/>
            <w:szCs w:val="28"/>
            <w:lang w:val="uk-UA" w:eastAsia="en-US"/>
          </w:rPr>
          <w:t xml:space="preserve"> Denucci</w:t>
        </w:r>
      </w:hyperlink>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M.,</w:t>
      </w:r>
      <w:hyperlink r:id="rId406" w:history="1">
        <w:r w:rsidR="00020FED" w:rsidRPr="002E6ECA">
          <w:rPr>
            <w:rFonts w:eastAsiaTheme="minorHAnsi"/>
            <w:sz w:val="28"/>
            <w:szCs w:val="28"/>
            <w:lang w:val="uk-UA" w:eastAsia="en-US"/>
          </w:rPr>
          <w:t xml:space="preserve"> Pereira</w:t>
        </w:r>
      </w:hyperlink>
      <w:r w:rsidR="00020FED" w:rsidRPr="002E6ECA">
        <w:rPr>
          <w:sz w:val="28"/>
          <w:szCs w:val="28"/>
          <w:lang w:val="uk-UA"/>
        </w:rPr>
        <w:t> </w:t>
      </w:r>
      <w:r w:rsidR="00020FED" w:rsidRPr="002E6ECA">
        <w:rPr>
          <w:rFonts w:eastAsiaTheme="minorHAnsi"/>
          <w:sz w:val="28"/>
          <w:szCs w:val="28"/>
          <w:lang w:val="uk-UA" w:eastAsia="en-US"/>
        </w:rPr>
        <w:t>R.</w:t>
      </w:r>
      <w:r w:rsidR="00020FED" w:rsidRPr="002E6ECA">
        <w:rPr>
          <w:sz w:val="28"/>
          <w:szCs w:val="28"/>
          <w:lang w:val="uk-UA"/>
        </w:rPr>
        <w:t> </w:t>
      </w:r>
      <w:r w:rsidR="00020FED" w:rsidRPr="002E6ECA">
        <w:rPr>
          <w:rFonts w:eastAsiaTheme="minorHAnsi"/>
          <w:sz w:val="28"/>
          <w:szCs w:val="28"/>
          <w:lang w:val="uk-UA" w:eastAsia="en-US"/>
        </w:rPr>
        <w:t>M.,</w:t>
      </w:r>
      <w:hyperlink r:id="rId407" w:history="1">
        <w:r w:rsidR="00020FED" w:rsidRPr="002E6ECA">
          <w:rPr>
            <w:rFonts w:eastAsiaTheme="minorHAnsi"/>
            <w:sz w:val="28"/>
            <w:szCs w:val="28"/>
            <w:lang w:val="uk-UA" w:eastAsia="en-US"/>
          </w:rPr>
          <w:t xml:space="preserve"> Braga</w:t>
        </w:r>
      </w:hyperlink>
      <w:r w:rsidR="00020FED" w:rsidRPr="002E6ECA">
        <w:rPr>
          <w:sz w:val="28"/>
          <w:szCs w:val="28"/>
          <w:lang w:val="uk-UA"/>
        </w:rPr>
        <w:t> </w:t>
      </w:r>
      <w:r w:rsidR="00020FED" w:rsidRPr="002E6ECA">
        <w:rPr>
          <w:rFonts w:eastAsiaTheme="minorHAnsi"/>
          <w:sz w:val="28"/>
          <w:szCs w:val="28"/>
          <w:lang w:val="uk-UA" w:eastAsia="en-US"/>
        </w:rPr>
        <w:t>L.</w:t>
      </w:r>
      <w:r w:rsidR="00020FED" w:rsidRPr="002E6ECA">
        <w:rPr>
          <w:sz w:val="28"/>
          <w:szCs w:val="28"/>
          <w:lang w:val="uk-UA"/>
        </w:rPr>
        <w:t> </w:t>
      </w:r>
      <w:r w:rsidR="00020FED" w:rsidRPr="002E6ECA">
        <w:rPr>
          <w:rFonts w:eastAsiaTheme="minorHAnsi"/>
          <w:sz w:val="28"/>
          <w:szCs w:val="28"/>
          <w:lang w:val="uk-UA" w:eastAsia="en-US"/>
        </w:rPr>
        <w:t xml:space="preserve">W. Kinematic recordings while performing a modified version of the Halstead Finger Tapping Test: Age, sex, and education effects. </w:t>
      </w:r>
      <w:r w:rsidR="00020FED" w:rsidRPr="002E6ECA">
        <w:rPr>
          <w:rFonts w:eastAsiaTheme="minorHAnsi"/>
          <w:i/>
          <w:sz w:val="28"/>
          <w:szCs w:val="28"/>
          <w:lang w:val="uk-UA" w:eastAsia="en-US"/>
        </w:rPr>
        <w:t>J Clin Exp Neuropsychol</w:t>
      </w:r>
      <w:r w:rsidR="00020FED" w:rsidRPr="002E6ECA">
        <w:rPr>
          <w:rFonts w:eastAsiaTheme="minorHAnsi"/>
          <w:sz w:val="28"/>
          <w:szCs w:val="28"/>
          <w:lang w:val="uk-UA" w:eastAsia="en-US"/>
        </w:rPr>
        <w:t xml:space="preserve">. 2020. Vol. 42 (1). Р. 42-54. doi: 10.1080/13803395.2019.1665170.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Przybylski</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K., Orben</w:t>
      </w:r>
      <w:r w:rsidRPr="002E6ECA">
        <w:rPr>
          <w:sz w:val="28"/>
          <w:szCs w:val="28"/>
          <w:lang w:val="uk-UA"/>
        </w:rPr>
        <w:t> </w:t>
      </w:r>
      <w:r w:rsidRPr="002E6ECA">
        <w:rPr>
          <w:rFonts w:eastAsiaTheme="minorHAnsi"/>
          <w:sz w:val="28"/>
          <w:szCs w:val="28"/>
          <w:lang w:val="uk-UA" w:eastAsia="en-US"/>
        </w:rPr>
        <w:t>A., Weinstein</w:t>
      </w:r>
      <w:r w:rsidRPr="002E6ECA">
        <w:rPr>
          <w:sz w:val="28"/>
          <w:szCs w:val="28"/>
          <w:lang w:val="uk-UA"/>
        </w:rPr>
        <w:t> </w:t>
      </w:r>
      <w:r w:rsidRPr="002E6ECA">
        <w:rPr>
          <w:rFonts w:eastAsiaTheme="minorHAnsi"/>
          <w:sz w:val="28"/>
          <w:szCs w:val="28"/>
          <w:lang w:val="uk-UA" w:eastAsia="en-US"/>
        </w:rPr>
        <w:t xml:space="preserve">N. How Much Is Too Much? Examining the relationship between digital screen engagement and psychosocial functioning in a confirmatory cohort study. </w:t>
      </w:r>
      <w:r w:rsidRPr="002E6ECA">
        <w:rPr>
          <w:rFonts w:eastAsiaTheme="minorHAnsi"/>
          <w:i/>
          <w:sz w:val="28"/>
          <w:szCs w:val="28"/>
          <w:lang w:val="uk-UA" w:eastAsia="en-US"/>
        </w:rPr>
        <w:t>Journal of the American Academy of Child &amp; Adolescent Psychiatry</w:t>
      </w:r>
      <w:r w:rsidRPr="002E6ECA">
        <w:rPr>
          <w:rFonts w:eastAsiaTheme="minorHAnsi"/>
          <w:sz w:val="28"/>
          <w:szCs w:val="28"/>
          <w:lang w:val="uk-UA" w:eastAsia="en-US"/>
        </w:rPr>
        <w:t>. 2020. Vol. 59 (9). Р. 1025-1027. DOI: 10.1016/j.jaac.2019.06.017.</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Rajendran</w:t>
      </w:r>
      <w:r w:rsidRPr="002E6ECA">
        <w:rPr>
          <w:sz w:val="28"/>
          <w:szCs w:val="28"/>
          <w:lang w:val="uk-UA"/>
        </w:rPr>
        <w:t> </w:t>
      </w:r>
      <w:r w:rsidRPr="002E6ECA">
        <w:rPr>
          <w:rFonts w:eastAsiaTheme="minorHAnsi"/>
          <w:sz w:val="28"/>
          <w:szCs w:val="28"/>
          <w:lang w:val="uk-UA" w:eastAsia="en-US"/>
        </w:rPr>
        <w:t>V., Roy</w:t>
      </w:r>
      <w:r w:rsidRPr="002E6ECA">
        <w:rPr>
          <w:sz w:val="28"/>
          <w:szCs w:val="28"/>
          <w:lang w:val="uk-UA"/>
        </w:rPr>
        <w:t> </w:t>
      </w:r>
      <w:r w:rsidRPr="002E6ECA">
        <w:rPr>
          <w:rFonts w:eastAsiaTheme="minorHAnsi"/>
          <w:sz w:val="28"/>
          <w:szCs w:val="28"/>
          <w:lang w:val="uk-UA" w:eastAsia="en-US"/>
        </w:rPr>
        <w:t>F.</w:t>
      </w:r>
      <w:r w:rsidRPr="002E6ECA">
        <w:rPr>
          <w:sz w:val="28"/>
          <w:szCs w:val="28"/>
          <w:lang w:val="uk-UA"/>
        </w:rPr>
        <w:t> </w:t>
      </w:r>
      <w:r w:rsidRPr="002E6ECA">
        <w:rPr>
          <w:rFonts w:eastAsiaTheme="minorHAnsi"/>
          <w:sz w:val="28"/>
          <w:szCs w:val="28"/>
          <w:lang w:val="uk-UA" w:eastAsia="en-US"/>
        </w:rPr>
        <w:t xml:space="preserve">G. Comparison of health related quality of life of primary school deaf children with and without motor impairment. </w:t>
      </w:r>
      <w:r w:rsidRPr="002E6ECA">
        <w:rPr>
          <w:rFonts w:eastAsiaTheme="minorHAnsi"/>
          <w:i/>
          <w:sz w:val="28"/>
          <w:szCs w:val="28"/>
          <w:lang w:val="uk-UA" w:eastAsia="en-US"/>
        </w:rPr>
        <w:t>Italian Journal of Pediatrics</w:t>
      </w:r>
      <w:r w:rsidRPr="002E6ECA">
        <w:rPr>
          <w:rFonts w:eastAsiaTheme="minorHAnsi"/>
          <w:sz w:val="28"/>
          <w:szCs w:val="28"/>
          <w:lang w:val="uk-UA" w:eastAsia="en-US"/>
        </w:rPr>
        <w:t>. 2010. Vol. 36. Article number: 75. DOI: 10.1186/1824-7288-36-75.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Ramos-Jimenez</w:t>
      </w:r>
      <w:r w:rsidRPr="002E6ECA">
        <w:rPr>
          <w:sz w:val="28"/>
          <w:szCs w:val="28"/>
          <w:lang w:val="uk-UA"/>
        </w:rPr>
        <w:t> </w:t>
      </w:r>
      <w:r w:rsidRPr="002E6ECA">
        <w:rPr>
          <w:rFonts w:eastAsiaTheme="minorHAnsi"/>
          <w:sz w:val="28"/>
          <w:szCs w:val="28"/>
          <w:lang w:val="uk-UA" w:eastAsia="en-US"/>
        </w:rPr>
        <w:t>A., Hernandez-Torres</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P., Murguia-Romero</w:t>
      </w:r>
      <w:r w:rsidRPr="002E6ECA">
        <w:rPr>
          <w:sz w:val="28"/>
          <w:szCs w:val="28"/>
          <w:lang w:val="uk-UA"/>
        </w:rPr>
        <w:t> </w:t>
      </w:r>
      <w:r w:rsidRPr="002E6ECA">
        <w:rPr>
          <w:rFonts w:eastAsiaTheme="minorHAnsi"/>
          <w:sz w:val="28"/>
          <w:szCs w:val="28"/>
          <w:lang w:val="uk-UA" w:eastAsia="en-US"/>
        </w:rPr>
        <w:t xml:space="preserve">M. Anthropometric equations for calculating body fat in young adults. </w:t>
      </w:r>
      <w:r w:rsidRPr="002E6ECA">
        <w:rPr>
          <w:rFonts w:eastAsiaTheme="minorHAnsi"/>
          <w:i/>
          <w:sz w:val="28"/>
          <w:szCs w:val="28"/>
          <w:lang w:val="uk-UA" w:eastAsia="en-US"/>
        </w:rPr>
        <w:t>Archivos Latinoamericanos de Nutricion</w:t>
      </w:r>
      <w:r w:rsidRPr="002E6ECA">
        <w:rPr>
          <w:rFonts w:eastAsiaTheme="minorHAnsi"/>
          <w:sz w:val="28"/>
          <w:szCs w:val="28"/>
          <w:lang w:val="uk-UA" w:eastAsia="en-US"/>
        </w:rPr>
        <w:t>. 2018. Vol. 68 (2). Р. 111-121.</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08" w:tooltip="Найти еще записи для этого автора" w:history="1">
        <w:r w:rsidR="00020FED" w:rsidRPr="002E6ECA">
          <w:rPr>
            <w:rFonts w:eastAsiaTheme="minorHAnsi"/>
            <w:sz w:val="28"/>
            <w:szCs w:val="28"/>
            <w:lang w:val="uk-UA" w:eastAsia="en-US"/>
          </w:rPr>
          <w:t>Rasmussen</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G. B</w:t>
        </w:r>
      </w:hyperlink>
      <w:r w:rsidR="00020FED" w:rsidRPr="002E6ECA">
        <w:rPr>
          <w:rFonts w:eastAsiaTheme="minorHAnsi"/>
          <w:sz w:val="28"/>
          <w:szCs w:val="28"/>
          <w:lang w:val="uk-UA" w:eastAsia="en-US"/>
        </w:rPr>
        <w:t xml:space="preserve">., </w:t>
      </w:r>
      <w:hyperlink r:id="rId409" w:tooltip="Найти еще записи для этого автора" w:history="1">
        <w:r w:rsidR="00020FED" w:rsidRPr="002E6ECA">
          <w:rPr>
            <w:rFonts w:eastAsiaTheme="minorHAnsi"/>
            <w:sz w:val="28"/>
            <w:szCs w:val="28"/>
            <w:lang w:val="uk-UA" w:eastAsia="en-US"/>
          </w:rPr>
          <w:t>Pedersen</w:t>
        </w:r>
        <w:r w:rsidR="00020FED" w:rsidRPr="002E6ECA">
          <w:rPr>
            <w:sz w:val="28"/>
            <w:szCs w:val="28"/>
            <w:lang w:val="uk-UA"/>
          </w:rPr>
          <w:t> </w:t>
        </w:r>
        <w:r w:rsidR="00020FED" w:rsidRPr="002E6ECA">
          <w:rPr>
            <w:rFonts w:eastAsiaTheme="minorHAnsi"/>
            <w:sz w:val="28"/>
            <w:szCs w:val="28"/>
            <w:lang w:val="uk-UA" w:eastAsia="en-US"/>
          </w:rPr>
          <w:t>J</w:t>
        </w:r>
      </w:hyperlink>
      <w:r w:rsidR="00020FED" w:rsidRPr="002E6ECA">
        <w:rPr>
          <w:rFonts w:eastAsiaTheme="minorHAnsi"/>
          <w:sz w:val="28"/>
          <w:szCs w:val="28"/>
          <w:lang w:val="uk-UA" w:eastAsia="en-US"/>
        </w:rPr>
        <w:t xml:space="preserve">., </w:t>
      </w:r>
      <w:hyperlink r:id="rId410" w:tooltip="Найти еще записи для этого автора" w:history="1">
        <w:r w:rsidR="00020FED" w:rsidRPr="002E6ECA">
          <w:rPr>
            <w:rFonts w:eastAsiaTheme="minorHAnsi"/>
            <w:sz w:val="28"/>
            <w:szCs w:val="28"/>
            <w:lang w:val="uk-UA" w:eastAsia="en-US"/>
          </w:rPr>
          <w:t>Olesen</w:t>
        </w:r>
        <w:r w:rsidR="00020FED" w:rsidRPr="002E6ECA">
          <w:rPr>
            <w:sz w:val="28"/>
            <w:szCs w:val="28"/>
            <w:lang w:val="uk-UA"/>
          </w:rPr>
          <w:t> </w:t>
        </w:r>
        <w:r w:rsidR="00020FED" w:rsidRPr="002E6ECA">
          <w:rPr>
            <w:rFonts w:eastAsiaTheme="minorHAnsi"/>
            <w:sz w:val="28"/>
            <w:szCs w:val="28"/>
            <w:lang w:val="uk-UA" w:eastAsia="en-US"/>
          </w:rPr>
          <w:t>L.</w:t>
        </w:r>
        <w:r w:rsidR="00020FED" w:rsidRPr="002E6ECA">
          <w:rPr>
            <w:sz w:val="28"/>
            <w:szCs w:val="28"/>
            <w:lang w:val="uk-UA"/>
          </w:rPr>
          <w:t> </w:t>
        </w:r>
        <w:r w:rsidR="00020FED" w:rsidRPr="002E6ECA">
          <w:rPr>
            <w:rFonts w:eastAsiaTheme="minorHAnsi"/>
            <w:sz w:val="28"/>
            <w:szCs w:val="28"/>
            <w:lang w:val="uk-UA" w:eastAsia="en-US"/>
          </w:rPr>
          <w:t>G</w:t>
        </w:r>
      </w:hyperlink>
      <w:r w:rsidR="00020FED" w:rsidRPr="002E6ECA">
        <w:rPr>
          <w:rFonts w:eastAsiaTheme="minorHAnsi"/>
          <w:sz w:val="28"/>
          <w:szCs w:val="28"/>
          <w:lang w:val="uk-UA" w:eastAsia="en-US"/>
        </w:rPr>
        <w:t xml:space="preserve">., </w:t>
      </w:r>
      <w:hyperlink r:id="rId411" w:tooltip="Найти еще записи для этого автора" w:history="1">
        <w:r w:rsidR="00020FED" w:rsidRPr="002E6ECA">
          <w:rPr>
            <w:rFonts w:eastAsiaTheme="minorHAnsi"/>
            <w:sz w:val="28"/>
            <w:szCs w:val="28"/>
            <w:lang w:val="uk-UA" w:eastAsia="en-US"/>
          </w:rPr>
          <w:t>Brage</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412" w:tooltip="Найти еще записи для этого автора" w:history="1">
        <w:r w:rsidR="00020FED" w:rsidRPr="002E6ECA">
          <w:rPr>
            <w:rFonts w:eastAsiaTheme="minorHAnsi"/>
            <w:sz w:val="28"/>
            <w:szCs w:val="28"/>
            <w:lang w:val="uk-UA" w:eastAsia="en-US"/>
          </w:rPr>
          <w:t>Klakk</w:t>
        </w:r>
        <w:r w:rsidR="00020FED" w:rsidRPr="002E6ECA">
          <w:rPr>
            <w:sz w:val="28"/>
            <w:szCs w:val="28"/>
            <w:lang w:val="uk-UA"/>
          </w:rPr>
          <w:t> </w:t>
        </w:r>
        <w:r w:rsidR="00020FED" w:rsidRPr="002E6ECA">
          <w:rPr>
            <w:rFonts w:eastAsiaTheme="minorHAnsi"/>
            <w:sz w:val="28"/>
            <w:szCs w:val="28"/>
            <w:lang w:val="uk-UA" w:eastAsia="en-US"/>
          </w:rPr>
          <w:t>H</w:t>
        </w:r>
      </w:hyperlink>
      <w:r w:rsidR="00020FED" w:rsidRPr="002E6ECA">
        <w:rPr>
          <w:rFonts w:eastAsiaTheme="minorHAnsi"/>
          <w:sz w:val="28"/>
          <w:szCs w:val="28"/>
          <w:lang w:val="uk-UA" w:eastAsia="en-US"/>
        </w:rPr>
        <w:t xml:space="preserve">., </w:t>
      </w:r>
      <w:hyperlink r:id="rId413" w:tooltip="Найти еще записи для этого автора" w:history="1">
        <w:r w:rsidR="00020FED" w:rsidRPr="002E6ECA">
          <w:rPr>
            <w:rFonts w:eastAsiaTheme="minorHAnsi"/>
            <w:sz w:val="28"/>
            <w:szCs w:val="28"/>
            <w:lang w:val="uk-UA" w:eastAsia="en-US"/>
          </w:rPr>
          <w:t>Kristensen</w:t>
        </w:r>
        <w:r w:rsidR="00020FED" w:rsidRPr="002E6ECA">
          <w:rPr>
            <w:sz w:val="28"/>
            <w:szCs w:val="28"/>
            <w:lang w:val="uk-UA"/>
          </w:rPr>
          <w:t> </w:t>
        </w:r>
        <w:r w:rsidR="00020FED" w:rsidRPr="002E6ECA">
          <w:rPr>
            <w:rFonts w:eastAsiaTheme="minorHAnsi"/>
            <w:sz w:val="28"/>
            <w:szCs w:val="28"/>
            <w:lang w:val="uk-UA" w:eastAsia="en-US"/>
          </w:rPr>
          <w:t>P.</w:t>
        </w:r>
        <w:r w:rsidR="00020FED" w:rsidRPr="002E6ECA">
          <w:rPr>
            <w:sz w:val="28"/>
            <w:szCs w:val="28"/>
            <w:lang w:val="uk-UA"/>
          </w:rPr>
          <w:t> </w:t>
        </w:r>
        <w:r w:rsidR="00020FED" w:rsidRPr="002E6ECA">
          <w:rPr>
            <w:rFonts w:eastAsiaTheme="minorHAnsi"/>
            <w:sz w:val="28"/>
            <w:szCs w:val="28"/>
            <w:lang w:val="uk-UA" w:eastAsia="en-US"/>
          </w:rPr>
          <w:t>L</w:t>
        </w:r>
      </w:hyperlink>
      <w:r w:rsidR="00020FED" w:rsidRPr="002E6ECA">
        <w:rPr>
          <w:rFonts w:eastAsiaTheme="minorHAnsi"/>
          <w:sz w:val="28"/>
          <w:szCs w:val="28"/>
          <w:lang w:val="uk-UA" w:eastAsia="en-US"/>
        </w:rPr>
        <w:t xml:space="preserve">., </w:t>
      </w:r>
      <w:hyperlink r:id="rId414" w:tooltip="Найти еще записи для этого автора" w:history="1">
        <w:r w:rsidR="00020FED" w:rsidRPr="002E6ECA">
          <w:rPr>
            <w:rFonts w:eastAsiaTheme="minorHAnsi"/>
            <w:sz w:val="28"/>
            <w:szCs w:val="28"/>
            <w:lang w:val="uk-UA" w:eastAsia="en-US"/>
          </w:rPr>
          <w:t>Brond</w:t>
        </w:r>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C</w:t>
        </w:r>
      </w:hyperlink>
      <w:r w:rsidR="00020FED" w:rsidRPr="002E6ECA">
        <w:rPr>
          <w:rFonts w:eastAsiaTheme="minorHAnsi"/>
          <w:sz w:val="28"/>
          <w:szCs w:val="28"/>
          <w:lang w:val="uk-UA" w:eastAsia="en-US"/>
        </w:rPr>
        <w:t xml:space="preserve">., </w:t>
      </w:r>
      <w:hyperlink r:id="rId415" w:tooltip="Найти еще записи для этого автора" w:history="1">
        <w:r w:rsidR="00020FED" w:rsidRPr="002E6ECA">
          <w:rPr>
            <w:rFonts w:eastAsiaTheme="minorHAnsi"/>
            <w:sz w:val="28"/>
            <w:szCs w:val="28"/>
            <w:lang w:val="uk-UA" w:eastAsia="en-US"/>
          </w:rPr>
          <w:t>Grontved</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Short-term efficacy of reducing screen </w:t>
      </w:r>
      <w:r w:rsidR="00020FED" w:rsidRPr="002E6ECA">
        <w:rPr>
          <w:rFonts w:eastAsiaTheme="minorHAnsi"/>
          <w:sz w:val="28"/>
          <w:szCs w:val="28"/>
          <w:lang w:val="uk-UA" w:eastAsia="en-US"/>
        </w:rPr>
        <w:lastRenderedPageBreak/>
        <w:t xml:space="preserve">media use on physical activity, sleep, and physiological stress in families with children aged 4-14: study protocol for the SCREENS randomized controlled trial. </w:t>
      </w:r>
      <w:r w:rsidR="00020FED" w:rsidRPr="002E6ECA">
        <w:rPr>
          <w:rFonts w:eastAsiaTheme="minorHAnsi"/>
          <w:i/>
          <w:sz w:val="28"/>
          <w:szCs w:val="28"/>
          <w:lang w:val="uk-UA" w:eastAsia="en-US"/>
        </w:rPr>
        <w:t>BMC Public Health</w:t>
      </w:r>
      <w:r w:rsidR="00020FED" w:rsidRPr="002E6ECA">
        <w:rPr>
          <w:rFonts w:eastAsiaTheme="minorHAnsi"/>
          <w:sz w:val="28"/>
          <w:szCs w:val="28"/>
          <w:lang w:val="uk-UA" w:eastAsia="en-US"/>
        </w:rPr>
        <w:t>. 2020. Vol. 1 (20). Р. 1-18. DOI: 10.1186/s12889-020-8458-6.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Ratcliff</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B., Catlin</w:t>
      </w:r>
      <w:r w:rsidRPr="002E6ECA">
        <w:rPr>
          <w:sz w:val="28"/>
          <w:szCs w:val="28"/>
          <w:lang w:val="uk-UA"/>
        </w:rPr>
        <w:t> </w:t>
      </w:r>
      <w:r w:rsidRPr="002E6ECA">
        <w:rPr>
          <w:rFonts w:eastAsiaTheme="minorHAnsi"/>
          <w:sz w:val="28"/>
          <w:szCs w:val="28"/>
          <w:lang w:val="uk-UA" w:eastAsia="en-US"/>
        </w:rPr>
        <w:t>P.</w:t>
      </w:r>
      <w:r w:rsidRPr="002E6ECA">
        <w:rPr>
          <w:sz w:val="28"/>
          <w:szCs w:val="28"/>
          <w:lang w:val="uk-UA"/>
        </w:rPr>
        <w:t> </w:t>
      </w:r>
      <w:r w:rsidRPr="002E6ECA">
        <w:rPr>
          <w:rFonts w:eastAsiaTheme="minorHAnsi"/>
          <w:sz w:val="28"/>
          <w:szCs w:val="28"/>
          <w:lang w:val="uk-UA" w:eastAsia="en-US"/>
        </w:rPr>
        <w:t>A., Peugh</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L., Siegel</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M., Kirk</w:t>
      </w:r>
      <w:r w:rsidRPr="002E6ECA">
        <w:rPr>
          <w:sz w:val="28"/>
          <w:szCs w:val="28"/>
          <w:lang w:val="uk-UA"/>
        </w:rPr>
        <w:t> </w:t>
      </w:r>
      <w:r w:rsidRPr="002E6ECA">
        <w:rPr>
          <w:rFonts w:eastAsiaTheme="minorHAnsi"/>
          <w:sz w:val="28"/>
          <w:szCs w:val="28"/>
          <w:lang w:val="uk-UA" w:eastAsia="en-US"/>
        </w:rPr>
        <w:t>S, Tamm</w:t>
      </w:r>
      <w:r w:rsidRPr="002E6ECA">
        <w:rPr>
          <w:sz w:val="28"/>
          <w:szCs w:val="28"/>
          <w:lang w:val="uk-UA"/>
        </w:rPr>
        <w:t> </w:t>
      </w:r>
      <w:r w:rsidRPr="002E6ECA">
        <w:rPr>
          <w:rFonts w:eastAsiaTheme="minorHAnsi"/>
          <w:sz w:val="28"/>
          <w:szCs w:val="28"/>
          <w:lang w:val="uk-UA" w:eastAsia="en-US"/>
        </w:rPr>
        <w:t xml:space="preserve">L. Psychosocial screening among youth seeking weight management treatment. </w:t>
      </w:r>
      <w:r w:rsidRPr="002E6ECA">
        <w:rPr>
          <w:rFonts w:eastAsiaTheme="minorHAnsi"/>
          <w:i/>
          <w:sz w:val="28"/>
          <w:szCs w:val="28"/>
          <w:lang w:val="uk-UA" w:eastAsia="en-US"/>
        </w:rPr>
        <w:t>ClinPediatr (Phila)</w:t>
      </w:r>
      <w:r w:rsidRPr="002E6ECA">
        <w:rPr>
          <w:rFonts w:eastAsiaTheme="minorHAnsi"/>
          <w:sz w:val="28"/>
          <w:szCs w:val="28"/>
          <w:lang w:val="uk-UA" w:eastAsia="en-US"/>
        </w:rPr>
        <w:t xml:space="preserve">. 2018. Vol. 57 (3). С. 277-284. doi: 10.1177/0009922817715936. </w:t>
      </w:r>
    </w:p>
    <w:p w:rsidR="00020FED" w:rsidRPr="002E6ECA" w:rsidRDefault="00020FED" w:rsidP="00020FED">
      <w:pPr>
        <w:pStyle w:val="a3"/>
        <w:numPr>
          <w:ilvl w:val="0"/>
          <w:numId w:val="72"/>
        </w:numPr>
        <w:spacing w:line="360" w:lineRule="auto"/>
        <w:ind w:left="0" w:firstLine="709"/>
        <w:jc w:val="both"/>
        <w:rPr>
          <w:rStyle w:val="a4"/>
          <w:b w:val="0"/>
          <w:bCs w:val="0"/>
          <w:sz w:val="28"/>
          <w:szCs w:val="28"/>
          <w:lang w:val="en-US"/>
        </w:rPr>
      </w:pPr>
      <w:r w:rsidRPr="002E6ECA">
        <w:rPr>
          <w:bCs/>
          <w:iCs/>
          <w:sz w:val="28"/>
          <w:szCs w:val="28"/>
          <w:lang w:val="uk-UA"/>
        </w:rPr>
        <w:t>Redka</w:t>
      </w:r>
      <w:r w:rsidRPr="002E6ECA">
        <w:rPr>
          <w:sz w:val="28"/>
          <w:szCs w:val="28"/>
          <w:lang w:val="uk-UA"/>
        </w:rPr>
        <w:t> </w:t>
      </w:r>
      <w:r w:rsidRPr="002E6ECA">
        <w:rPr>
          <w:bCs/>
          <w:iCs/>
          <w:sz w:val="28"/>
          <w:szCs w:val="28"/>
          <w:lang w:val="uk-UA"/>
        </w:rPr>
        <w:t>I.</w:t>
      </w:r>
      <w:r w:rsidRPr="002E6ECA">
        <w:rPr>
          <w:sz w:val="28"/>
          <w:szCs w:val="28"/>
          <w:lang w:val="uk-UA"/>
        </w:rPr>
        <w:t> </w:t>
      </w:r>
      <w:r w:rsidRPr="002E6ECA">
        <w:rPr>
          <w:bCs/>
          <w:iCs/>
          <w:sz w:val="28"/>
          <w:szCs w:val="28"/>
          <w:lang w:val="uk-UA"/>
        </w:rPr>
        <w:t>V., Dan</w:t>
      </w:r>
      <w:r w:rsidRPr="002E6ECA">
        <w:rPr>
          <w:bCs/>
          <w:iCs/>
          <w:sz w:val="28"/>
          <w:szCs w:val="28"/>
          <w:lang w:val="en-US"/>
        </w:rPr>
        <w:t>y</w:t>
      </w:r>
      <w:r w:rsidRPr="002E6ECA">
        <w:rPr>
          <w:bCs/>
          <w:iCs/>
          <w:sz w:val="28"/>
          <w:szCs w:val="28"/>
          <w:lang w:val="uk-UA"/>
        </w:rPr>
        <w:t>lenko</w:t>
      </w:r>
      <w:r w:rsidRPr="002E6ECA">
        <w:rPr>
          <w:sz w:val="28"/>
          <w:szCs w:val="28"/>
          <w:lang w:val="uk-UA"/>
        </w:rPr>
        <w:t> </w:t>
      </w:r>
      <w:r w:rsidRPr="002E6ECA">
        <w:rPr>
          <w:bCs/>
          <w:iCs/>
          <w:sz w:val="28"/>
          <w:szCs w:val="28"/>
          <w:lang w:val="uk-UA"/>
        </w:rPr>
        <w:t>H.</w:t>
      </w:r>
      <w:r w:rsidRPr="002E6ECA">
        <w:rPr>
          <w:sz w:val="28"/>
          <w:szCs w:val="28"/>
          <w:lang w:val="uk-UA"/>
        </w:rPr>
        <w:t> </w:t>
      </w:r>
      <w:r w:rsidRPr="002E6ECA">
        <w:rPr>
          <w:bCs/>
          <w:iCs/>
          <w:sz w:val="28"/>
          <w:szCs w:val="28"/>
          <w:lang w:val="uk-UA"/>
        </w:rPr>
        <w:t>M., 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 Mikhalchuk</w:t>
      </w:r>
      <w:r w:rsidRPr="002E6ECA">
        <w:rPr>
          <w:sz w:val="28"/>
          <w:szCs w:val="28"/>
          <w:lang w:val="uk-UA"/>
        </w:rPr>
        <w:t> </w:t>
      </w:r>
      <w:r w:rsidRPr="002E6ECA">
        <w:rPr>
          <w:bCs/>
          <w:iCs/>
          <w:sz w:val="28"/>
          <w:szCs w:val="28"/>
          <w:lang w:val="uk-UA"/>
        </w:rPr>
        <w:t>O.</w:t>
      </w:r>
      <w:r w:rsidRPr="002E6ECA">
        <w:rPr>
          <w:sz w:val="28"/>
          <w:szCs w:val="28"/>
          <w:lang w:val="uk-UA"/>
        </w:rPr>
        <w:t> </w:t>
      </w:r>
      <w:r w:rsidRPr="002E6ECA">
        <w:rPr>
          <w:bCs/>
          <w:iCs/>
          <w:sz w:val="28"/>
          <w:szCs w:val="28"/>
          <w:lang w:val="uk-UA"/>
        </w:rPr>
        <w:t>Ya.</w:t>
      </w:r>
      <w:r w:rsidRPr="002E6ECA">
        <w:rPr>
          <w:sz w:val="28"/>
          <w:szCs w:val="28"/>
          <w:shd w:val="clear" w:color="auto" w:fill="FFFFFF"/>
          <w:lang w:val="uk-UA"/>
        </w:rPr>
        <w:t xml:space="preserve"> </w:t>
      </w:r>
      <w:r w:rsidRPr="002E6ECA">
        <w:rPr>
          <w:sz w:val="28"/>
          <w:szCs w:val="28"/>
          <w:shd w:val="clear" w:color="auto" w:fill="FFFFFF"/>
          <w:lang w:val="en-US"/>
        </w:rPr>
        <w:t>Prenosological screening of autonomic regulatory systems tension in secondary school students</w:t>
      </w:r>
      <w:r w:rsidRPr="002E6ECA">
        <w:rPr>
          <w:sz w:val="28"/>
          <w:szCs w:val="28"/>
          <w:lang w:val="en-US" w:eastAsia="uk-UA"/>
        </w:rPr>
        <w:t xml:space="preserve">. </w:t>
      </w:r>
      <w:r w:rsidRPr="002E6ECA">
        <w:rPr>
          <w:rStyle w:val="a4"/>
          <w:i/>
          <w:sz w:val="28"/>
          <w:szCs w:val="28"/>
          <w:shd w:val="clear" w:color="auto" w:fill="FFFFFF"/>
          <w:lang w:val="en-US"/>
        </w:rPr>
        <w:t>Biomedical and Biosocial Anthropology.</w:t>
      </w:r>
      <w:r w:rsidRPr="002E6ECA">
        <w:rPr>
          <w:rStyle w:val="a4"/>
          <w:sz w:val="28"/>
          <w:szCs w:val="28"/>
          <w:shd w:val="clear" w:color="auto" w:fill="FFFFFF"/>
          <w:lang w:val="en-US"/>
        </w:rPr>
        <w:t>2020.</w:t>
      </w:r>
      <w:r w:rsidRPr="002E6ECA">
        <w:rPr>
          <w:rStyle w:val="a4"/>
          <w:i/>
          <w:sz w:val="28"/>
          <w:szCs w:val="28"/>
          <w:shd w:val="clear" w:color="auto" w:fill="FFFFFF"/>
          <w:lang w:val="en-US"/>
        </w:rPr>
        <w:t xml:space="preserve"> </w:t>
      </w:r>
      <w:r w:rsidRPr="002E6ECA">
        <w:rPr>
          <w:rStyle w:val="a4"/>
          <w:sz w:val="28"/>
          <w:szCs w:val="28"/>
          <w:shd w:val="clear" w:color="auto" w:fill="FFFFFF"/>
          <w:lang w:val="en-US"/>
        </w:rPr>
        <w:t xml:space="preserve">Vol. 38. </w:t>
      </w:r>
      <w:r w:rsidRPr="002E6ECA">
        <w:rPr>
          <w:rStyle w:val="a4"/>
          <w:sz w:val="28"/>
          <w:szCs w:val="28"/>
          <w:shd w:val="clear" w:color="auto" w:fill="FFFFFF"/>
        </w:rPr>
        <w:t>Р</w:t>
      </w:r>
      <w:r w:rsidRPr="002E6ECA">
        <w:rPr>
          <w:rStyle w:val="a4"/>
          <w:sz w:val="28"/>
          <w:szCs w:val="28"/>
          <w:shd w:val="clear" w:color="auto" w:fill="FFFFFF"/>
          <w:lang w:val="en-US"/>
        </w:rPr>
        <w:t>. 47-53</w:t>
      </w:r>
      <w:r w:rsidRPr="002E6ECA">
        <w:rPr>
          <w:b/>
          <w:sz w:val="28"/>
          <w:szCs w:val="28"/>
          <w:lang w:val="en-US"/>
        </w:rPr>
        <w:t>.</w:t>
      </w:r>
      <w:r w:rsidRPr="002E6ECA">
        <w:rPr>
          <w:sz w:val="28"/>
          <w:szCs w:val="28"/>
          <w:lang w:val="en-US"/>
        </w:rPr>
        <w:t xml:space="preserve"> </w:t>
      </w:r>
      <w:r w:rsidRPr="002E6ECA">
        <w:rPr>
          <w:bCs/>
          <w:sz w:val="28"/>
          <w:szCs w:val="28"/>
          <w:lang w:val="en-US"/>
        </w:rPr>
        <w:t>DOI: 10.31393/bba38-2020-07.</w:t>
      </w:r>
    </w:p>
    <w:p w:rsidR="00020FED" w:rsidRPr="002E6ECA" w:rsidRDefault="00020FED" w:rsidP="00020FED">
      <w:pPr>
        <w:pStyle w:val="a3"/>
        <w:numPr>
          <w:ilvl w:val="0"/>
          <w:numId w:val="72"/>
        </w:numPr>
        <w:spacing w:line="360" w:lineRule="auto"/>
        <w:ind w:left="0" w:firstLine="709"/>
        <w:jc w:val="both"/>
        <w:rPr>
          <w:sz w:val="28"/>
          <w:szCs w:val="28"/>
          <w:lang w:val="en-US"/>
        </w:rPr>
      </w:pPr>
      <w:r w:rsidRPr="002E6ECA">
        <w:rPr>
          <w:sz w:val="28"/>
          <w:szCs w:val="28"/>
          <w:lang w:val="uk-UA"/>
        </w:rPr>
        <w:t xml:space="preserve">Redka I. V., Mikhalchuk O. Ya., </w:t>
      </w:r>
      <w:r w:rsidRPr="002E6ECA">
        <w:rPr>
          <w:bCs/>
          <w:iCs/>
          <w:sz w:val="28"/>
          <w:szCs w:val="28"/>
          <w:lang w:val="uk-UA"/>
        </w:rPr>
        <w:t>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w:t>
      </w:r>
      <w:r w:rsidRPr="002E6ECA">
        <w:rPr>
          <w:sz w:val="28"/>
          <w:szCs w:val="28"/>
          <w:lang w:val="uk-UA"/>
        </w:rPr>
        <w:t xml:space="preserve"> </w:t>
      </w:r>
      <w:r w:rsidRPr="002E6ECA">
        <w:rPr>
          <w:sz w:val="28"/>
          <w:szCs w:val="28"/>
          <w:lang w:val="en-US"/>
        </w:rPr>
        <w:t xml:space="preserve">Electroencephalographic monitoring of the brain functional condition in modern Ukrainian schoolchildren. </w:t>
      </w:r>
      <w:r w:rsidRPr="002E6ECA">
        <w:rPr>
          <w:i/>
          <w:sz w:val="28"/>
          <w:szCs w:val="28"/>
          <w:lang w:val="en-US" w:eastAsia="uk-UA"/>
        </w:rPr>
        <w:t>Wiadomości Lekarskie</w:t>
      </w:r>
      <w:r w:rsidRPr="002E6ECA">
        <w:rPr>
          <w:sz w:val="28"/>
          <w:szCs w:val="28"/>
          <w:lang w:val="en-US" w:eastAsia="uk-UA"/>
        </w:rPr>
        <w:t xml:space="preserve">. </w:t>
      </w:r>
      <w:r w:rsidRPr="002E6ECA">
        <w:rPr>
          <w:sz w:val="28"/>
          <w:szCs w:val="28"/>
          <w:lang w:val="en-US"/>
        </w:rPr>
        <w:t>2020</w:t>
      </w:r>
      <w:r w:rsidRPr="002E6ECA">
        <w:rPr>
          <w:sz w:val="28"/>
          <w:szCs w:val="28"/>
          <w:lang w:val="en-US" w:eastAsia="uk-UA"/>
        </w:rPr>
        <w:t>. Vol. LXXIII. Issue 12</w:t>
      </w:r>
      <w:r w:rsidRPr="002E6ECA">
        <w:rPr>
          <w:sz w:val="28"/>
          <w:szCs w:val="28"/>
          <w:lang w:val="uk-UA" w:eastAsia="uk-UA"/>
        </w:rPr>
        <w:t xml:space="preserve"> </w:t>
      </w:r>
      <w:r w:rsidRPr="002E6ECA">
        <w:rPr>
          <w:sz w:val="28"/>
          <w:szCs w:val="28"/>
          <w:lang w:val="en-US" w:eastAsia="uk-UA"/>
        </w:rPr>
        <w:t xml:space="preserve">(1). </w:t>
      </w:r>
      <w:r w:rsidRPr="002E6ECA">
        <w:rPr>
          <w:sz w:val="28"/>
          <w:szCs w:val="28"/>
          <w:lang w:eastAsia="uk-UA"/>
        </w:rPr>
        <w:t>Р</w:t>
      </w:r>
      <w:r w:rsidRPr="002E6ECA">
        <w:rPr>
          <w:sz w:val="28"/>
          <w:szCs w:val="28"/>
          <w:lang w:val="en-US" w:eastAsia="uk-UA"/>
        </w:rPr>
        <w:t>.</w:t>
      </w:r>
      <w:r w:rsidRPr="002E6ECA">
        <w:rPr>
          <w:sz w:val="28"/>
          <w:szCs w:val="28"/>
          <w:lang w:val="uk-UA" w:eastAsia="uk-UA"/>
        </w:rPr>
        <w:t> </w:t>
      </w:r>
      <w:r w:rsidRPr="002E6ECA">
        <w:rPr>
          <w:sz w:val="28"/>
          <w:szCs w:val="28"/>
          <w:lang w:val="en-US" w:eastAsia="uk-UA"/>
        </w:rPr>
        <w:t>2634-2639</w:t>
      </w:r>
      <w:r w:rsidRPr="002E6ECA">
        <w:rPr>
          <w:sz w:val="28"/>
          <w:szCs w:val="28"/>
          <w:lang w:val="uk-UA" w:eastAsia="uk-UA"/>
        </w:rPr>
        <w:t>.</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416" w:history="1">
        <w:r w:rsidR="00020FED" w:rsidRPr="002E6ECA">
          <w:rPr>
            <w:rFonts w:eastAsiaTheme="minorHAnsi"/>
            <w:sz w:val="28"/>
            <w:szCs w:val="28"/>
            <w:lang w:val="uk-UA" w:eastAsia="en-US"/>
          </w:rPr>
          <w:t>Redko</w:t>
        </w:r>
      </w:hyperlink>
      <w:r w:rsidR="00020FED" w:rsidRPr="002E6ECA">
        <w:rPr>
          <w:sz w:val="28"/>
          <w:szCs w:val="28"/>
          <w:lang w:val="uk-UA"/>
        </w:rPr>
        <w:t> </w:t>
      </w:r>
      <w:r w:rsidR="00020FED" w:rsidRPr="002E6ECA">
        <w:rPr>
          <w:rFonts w:eastAsiaTheme="minorHAnsi"/>
          <w:sz w:val="28"/>
          <w:szCs w:val="28"/>
          <w:lang w:val="uk-UA" w:eastAsia="en-US"/>
        </w:rPr>
        <w:t>I.,</w:t>
      </w:r>
      <w:hyperlink r:id="rId417" w:history="1">
        <w:r w:rsidR="00020FED" w:rsidRPr="002E6ECA">
          <w:rPr>
            <w:rFonts w:eastAsiaTheme="minorHAnsi"/>
            <w:sz w:val="28"/>
            <w:szCs w:val="28"/>
            <w:lang w:val="uk-UA" w:eastAsia="en-US"/>
          </w:rPr>
          <w:t xml:space="preserve"> Chakmazova</w:t>
        </w:r>
      </w:hyperlink>
      <w:r w:rsidR="00020FED" w:rsidRPr="002E6ECA">
        <w:rPr>
          <w:sz w:val="28"/>
          <w:szCs w:val="28"/>
          <w:lang w:val="uk-UA"/>
        </w:rPr>
        <w:t> </w:t>
      </w:r>
      <w:r w:rsidR="00020FED" w:rsidRPr="002E6ECA">
        <w:rPr>
          <w:rFonts w:eastAsiaTheme="minorHAnsi"/>
          <w:sz w:val="28"/>
          <w:szCs w:val="28"/>
          <w:lang w:val="uk-UA" w:eastAsia="en-US"/>
        </w:rPr>
        <w:t xml:space="preserve">E. </w:t>
      </w:r>
      <w:r w:rsidR="00020FED" w:rsidRPr="002E6ECA">
        <w:rPr>
          <w:rFonts w:eastAsiaTheme="minorHAnsi"/>
          <w:bCs/>
          <w:sz w:val="28"/>
          <w:szCs w:val="28"/>
          <w:lang w:val="uk-UA" w:eastAsia="en-US"/>
        </w:rPr>
        <w:t xml:space="preserve">The role of the primary doctor in the early diagnosis of endocrine diseases in children. Georgian Med News. 2020. Jan. Vol. (298). P. 57-61. </w:t>
      </w:r>
      <w:r w:rsidR="00020FED" w:rsidRPr="002E6ECA">
        <w:rPr>
          <w:rFonts w:eastAsiaTheme="minorHAnsi"/>
          <w:sz w:val="28"/>
          <w:szCs w:val="28"/>
          <w:shd w:val="clear" w:color="auto" w:fill="FFFFFF"/>
          <w:lang w:val="uk-UA" w:eastAsia="en-US"/>
        </w:rPr>
        <w:t>https://pubmed.ncbi.nlm.nih.gov/32141850/</w:t>
      </w:r>
      <w:r w:rsidR="00020FED" w:rsidRPr="002E6ECA">
        <w:rPr>
          <w:rFonts w:eastAsiaTheme="minorHAnsi"/>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18" w:history="1">
        <w:r w:rsidR="00020FED" w:rsidRPr="002E6ECA">
          <w:rPr>
            <w:rFonts w:eastAsiaTheme="minorHAnsi"/>
            <w:sz w:val="28"/>
            <w:szCs w:val="28"/>
            <w:lang w:val="uk-UA" w:eastAsia="en-US"/>
          </w:rPr>
          <w:t>Rerksuppaphol</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419" w:history="1">
        <w:r w:rsidR="00020FED" w:rsidRPr="002E6ECA">
          <w:rPr>
            <w:rFonts w:eastAsiaTheme="minorHAnsi"/>
            <w:sz w:val="28"/>
            <w:szCs w:val="28"/>
            <w:lang w:val="uk-UA" w:eastAsia="en-US"/>
          </w:rPr>
          <w:t>Rerksuppaphol</w:t>
        </w:r>
        <w:r w:rsidR="00020FED" w:rsidRPr="002E6ECA">
          <w:rPr>
            <w:sz w:val="28"/>
            <w:szCs w:val="28"/>
            <w:lang w:val="uk-UA"/>
          </w:rPr>
          <w:t> </w:t>
        </w:r>
        <w:r w:rsidR="00020FED" w:rsidRPr="002E6ECA">
          <w:rPr>
            <w:rFonts w:eastAsiaTheme="minorHAnsi"/>
            <w:sz w:val="28"/>
            <w:szCs w:val="28"/>
            <w:lang w:val="uk-UA" w:eastAsia="en-US"/>
          </w:rPr>
          <w:t>L</w:t>
        </w:r>
      </w:hyperlink>
      <w:r w:rsidR="00020FED" w:rsidRPr="002E6ECA">
        <w:rPr>
          <w:rFonts w:eastAsiaTheme="minorHAnsi"/>
          <w:sz w:val="28"/>
          <w:szCs w:val="28"/>
          <w:lang w:val="uk-UA" w:eastAsia="en-US"/>
        </w:rPr>
        <w:t xml:space="preserve">. Optimal cut-off points of weight for height, waist circumference and waist-to-height ratio for defining overweight and obesity in Thai school-aged children. </w:t>
      </w:r>
      <w:hyperlink r:id="rId420" w:tooltip="Journal of research in health sciences." w:history="1">
        <w:r w:rsidR="00020FED" w:rsidRPr="002E6ECA">
          <w:rPr>
            <w:rFonts w:eastAsiaTheme="minorHAnsi"/>
            <w:i/>
            <w:sz w:val="28"/>
            <w:szCs w:val="28"/>
            <w:lang w:val="uk-UA" w:eastAsia="en-US"/>
          </w:rPr>
          <w:t>J Res Health Sci</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2013. 13 (1). Р. 13-18. </w:t>
      </w:r>
      <w:hyperlink r:id="rId421" w:history="1">
        <w:r w:rsidR="00020FED" w:rsidRPr="002E6ECA">
          <w:rPr>
            <w:rFonts w:eastAsiaTheme="minorHAnsi"/>
            <w:sz w:val="28"/>
            <w:szCs w:val="28"/>
            <w:lang w:val="uk-UA" w:eastAsia="en-US"/>
          </w:rPr>
          <w:t>https://www.ncbi.nlm.nih.gov/pubmed/23772011</w:t>
        </w:r>
      </w:hyperlink>
      <w:r w:rsidR="00020FED" w:rsidRPr="002E6ECA">
        <w:rPr>
          <w:rFonts w:eastAsiaTheme="minorHAnsi"/>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22" w:history="1">
        <w:r w:rsidR="00020FED" w:rsidRPr="002E6ECA">
          <w:rPr>
            <w:rFonts w:eastAsiaTheme="minorHAnsi"/>
            <w:sz w:val="28"/>
            <w:szCs w:val="28"/>
            <w:lang w:val="uk-UA" w:eastAsia="en-US"/>
          </w:rPr>
          <w:t>Ribeiro</w:t>
        </w:r>
        <w:r w:rsidR="00020FED" w:rsidRPr="002E6ECA">
          <w:rPr>
            <w:sz w:val="28"/>
            <w:szCs w:val="28"/>
            <w:lang w:val="uk-UA"/>
          </w:rPr>
          <w:t> </w:t>
        </w:r>
        <w:r w:rsidR="00020FED" w:rsidRPr="002E6ECA">
          <w:rPr>
            <w:rFonts w:eastAsiaTheme="minorHAnsi"/>
            <w:sz w:val="28"/>
            <w:szCs w:val="28"/>
            <w:lang w:val="uk-UA" w:eastAsia="en-US"/>
          </w:rPr>
          <w:t>E.</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w:t>
      </w:r>
      <w:hyperlink r:id="rId423" w:history="1">
        <w:r w:rsidR="00020FED" w:rsidRPr="002E6ECA">
          <w:rPr>
            <w:rFonts w:eastAsiaTheme="minorHAnsi"/>
            <w:sz w:val="28"/>
            <w:szCs w:val="28"/>
            <w:lang w:val="uk-UA" w:eastAsia="en-US"/>
          </w:rPr>
          <w:t>Leal</w:t>
        </w:r>
        <w:r w:rsidR="00020FED" w:rsidRPr="002E6ECA">
          <w:rPr>
            <w:sz w:val="28"/>
            <w:szCs w:val="28"/>
            <w:lang w:val="uk-UA"/>
          </w:rPr>
          <w:t> </w:t>
        </w:r>
        <w:r w:rsidR="00020FED" w:rsidRPr="002E6ECA">
          <w:rPr>
            <w:rFonts w:eastAsiaTheme="minorHAnsi"/>
            <w:sz w:val="28"/>
            <w:szCs w:val="28"/>
            <w:lang w:val="uk-UA" w:eastAsia="en-US"/>
          </w:rPr>
          <w:t>D.</w:t>
        </w:r>
        <w:r w:rsidR="00020FED" w:rsidRPr="002E6ECA">
          <w:rPr>
            <w:sz w:val="28"/>
            <w:szCs w:val="28"/>
            <w:lang w:val="uk-UA"/>
          </w:rPr>
          <w:t> </w:t>
        </w:r>
        <w:r w:rsidR="00020FED" w:rsidRPr="002E6ECA">
          <w:rPr>
            <w:rFonts w:eastAsiaTheme="minorHAnsi"/>
            <w:sz w:val="28"/>
            <w:szCs w:val="28"/>
            <w:lang w:val="uk-UA" w:eastAsia="en-US"/>
          </w:rPr>
          <w:t>B</w:t>
        </w:r>
      </w:hyperlink>
      <w:r w:rsidR="00020FED" w:rsidRPr="002E6ECA">
        <w:rPr>
          <w:rFonts w:eastAsiaTheme="minorHAnsi"/>
          <w:sz w:val="28"/>
          <w:szCs w:val="28"/>
          <w:lang w:val="uk-UA" w:eastAsia="en-US"/>
        </w:rPr>
        <w:t xml:space="preserve">., </w:t>
      </w:r>
      <w:hyperlink r:id="rId424" w:history="1">
        <w:r w:rsidR="00020FED" w:rsidRPr="002E6ECA">
          <w:rPr>
            <w:rFonts w:eastAsiaTheme="minorHAnsi"/>
            <w:sz w:val="28"/>
            <w:szCs w:val="28"/>
            <w:lang w:val="uk-UA" w:eastAsia="en-US"/>
          </w:rPr>
          <w:t>de Assis</w:t>
        </w:r>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Diagnostic accuracy of anthropometric indices in predicting excess body fat among seven to ten-year-old children. </w:t>
      </w:r>
      <w:hyperlink r:id="rId425" w:tooltip="Revista brasileira de epidemiologia = Brazilian journal of epidemiology." w:history="1">
        <w:r w:rsidR="00020FED" w:rsidRPr="002E6ECA">
          <w:rPr>
            <w:rFonts w:eastAsiaTheme="minorHAnsi"/>
            <w:i/>
            <w:sz w:val="28"/>
            <w:szCs w:val="28"/>
            <w:lang w:val="uk-UA" w:eastAsia="en-US"/>
          </w:rPr>
          <w:t>Rev Bras Epidemiol</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2014. Vol. 17 (1). Р. 243-254. doi: 10.1590/1415-790x201400010019eng.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Rodriguez</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F., Palma</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X., Romo</w:t>
      </w:r>
      <w:r w:rsidRPr="002E6ECA">
        <w:rPr>
          <w:sz w:val="28"/>
          <w:szCs w:val="28"/>
          <w:lang w:val="uk-UA"/>
        </w:rPr>
        <w:t> </w:t>
      </w:r>
      <w:r w:rsidRPr="002E6ECA">
        <w:rPr>
          <w:rFonts w:eastAsiaTheme="minorHAnsi"/>
          <w:sz w:val="28"/>
          <w:szCs w:val="28"/>
          <w:lang w:val="uk-UA" w:eastAsia="en-US"/>
        </w:rPr>
        <w:t>B.</w:t>
      </w:r>
      <w:r w:rsidRPr="002E6ECA">
        <w:rPr>
          <w:sz w:val="28"/>
          <w:szCs w:val="28"/>
          <w:lang w:val="uk-UA"/>
        </w:rPr>
        <w:t> </w:t>
      </w:r>
      <w:r w:rsidRPr="002E6ECA">
        <w:rPr>
          <w:rFonts w:eastAsiaTheme="minorHAnsi"/>
          <w:sz w:val="28"/>
          <w:szCs w:val="28"/>
          <w:lang w:val="uk-UA" w:eastAsia="en-US"/>
        </w:rPr>
        <w:t xml:space="preserve">A. et al. Eating habits, physical activity and socioeconomic level in universitystudents of Chile. Nutricion </w:t>
      </w:r>
      <w:r w:rsidRPr="002E6ECA">
        <w:rPr>
          <w:rFonts w:eastAsiaTheme="minorHAnsi"/>
          <w:i/>
          <w:sz w:val="28"/>
          <w:szCs w:val="28"/>
          <w:lang w:val="uk-UA" w:eastAsia="en-US"/>
        </w:rPr>
        <w:t>Hospitalaria</w:t>
      </w:r>
      <w:r w:rsidRPr="002E6ECA">
        <w:rPr>
          <w:rFonts w:eastAsiaTheme="minorHAnsi"/>
          <w:sz w:val="28"/>
          <w:szCs w:val="28"/>
          <w:lang w:val="uk-UA" w:eastAsia="en-US"/>
        </w:rPr>
        <w:t>. 2013, Vol. 28 (2). Р. 447-455.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Rodriguez-Ayllon</w:t>
      </w:r>
      <w:r w:rsidRPr="002E6ECA">
        <w:rPr>
          <w:sz w:val="28"/>
          <w:szCs w:val="28"/>
          <w:lang w:val="uk-UA"/>
        </w:rPr>
        <w:t> </w:t>
      </w:r>
      <w:r w:rsidRPr="002E6ECA">
        <w:rPr>
          <w:rFonts w:eastAsiaTheme="minorHAnsi"/>
          <w:sz w:val="28"/>
          <w:szCs w:val="28"/>
          <w:lang w:val="uk-UA" w:eastAsia="en-US"/>
        </w:rPr>
        <w:t>M., Cadenas-Sánchez</w:t>
      </w:r>
      <w:r w:rsidRPr="002E6ECA">
        <w:rPr>
          <w:sz w:val="28"/>
          <w:szCs w:val="28"/>
          <w:lang w:val="uk-UA"/>
        </w:rPr>
        <w:t> </w:t>
      </w:r>
      <w:r w:rsidRPr="002E6ECA">
        <w:rPr>
          <w:rFonts w:eastAsiaTheme="minorHAnsi"/>
          <w:sz w:val="28"/>
          <w:szCs w:val="28"/>
          <w:lang w:val="uk-UA" w:eastAsia="en-US"/>
        </w:rPr>
        <w:t>C., Estévez-López</w:t>
      </w:r>
      <w:r w:rsidRPr="002E6ECA">
        <w:rPr>
          <w:sz w:val="28"/>
          <w:szCs w:val="28"/>
          <w:lang w:val="uk-UA"/>
        </w:rPr>
        <w:t> </w:t>
      </w:r>
      <w:r w:rsidRPr="002E6ECA">
        <w:rPr>
          <w:rFonts w:eastAsiaTheme="minorHAnsi"/>
          <w:sz w:val="28"/>
          <w:szCs w:val="28"/>
          <w:lang w:val="uk-UA" w:eastAsia="en-US"/>
        </w:rPr>
        <w:t>F., Muñoz</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E., Mora-Gonzalez</w:t>
      </w:r>
      <w:r w:rsidRPr="002E6ECA">
        <w:rPr>
          <w:sz w:val="28"/>
          <w:szCs w:val="28"/>
          <w:lang w:val="uk-UA"/>
        </w:rPr>
        <w:t> </w:t>
      </w:r>
      <w:r w:rsidRPr="002E6ECA">
        <w:rPr>
          <w:rFonts w:eastAsiaTheme="minorHAnsi"/>
          <w:sz w:val="28"/>
          <w:szCs w:val="28"/>
          <w:lang w:val="uk-UA" w:eastAsia="en-US"/>
        </w:rPr>
        <w:t>J., Migueles</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H., Molina-García</w:t>
      </w:r>
      <w:r w:rsidRPr="002E6ECA">
        <w:rPr>
          <w:sz w:val="28"/>
          <w:szCs w:val="28"/>
          <w:lang w:val="uk-UA"/>
        </w:rPr>
        <w:t> </w:t>
      </w:r>
      <w:r w:rsidRPr="002E6ECA">
        <w:rPr>
          <w:rFonts w:eastAsiaTheme="minorHAnsi"/>
          <w:sz w:val="28"/>
          <w:szCs w:val="28"/>
          <w:lang w:val="uk-UA" w:eastAsia="en-US"/>
        </w:rPr>
        <w:t>P., Henriksson</w:t>
      </w:r>
      <w:r w:rsidRPr="002E6ECA">
        <w:rPr>
          <w:sz w:val="28"/>
          <w:szCs w:val="28"/>
          <w:lang w:val="uk-UA"/>
        </w:rPr>
        <w:t> </w:t>
      </w:r>
      <w:r w:rsidRPr="002E6ECA">
        <w:rPr>
          <w:rFonts w:eastAsiaTheme="minorHAnsi"/>
          <w:sz w:val="28"/>
          <w:szCs w:val="28"/>
          <w:lang w:val="uk-UA" w:eastAsia="en-US"/>
        </w:rPr>
        <w:t xml:space="preserve">H., </w:t>
      </w:r>
      <w:r w:rsidRPr="002E6ECA">
        <w:rPr>
          <w:rFonts w:eastAsiaTheme="minorHAnsi"/>
          <w:sz w:val="28"/>
          <w:szCs w:val="28"/>
          <w:lang w:val="uk-UA" w:eastAsia="en-US"/>
        </w:rPr>
        <w:lastRenderedPageBreak/>
        <w:t>Mena-Molina</w:t>
      </w:r>
      <w:r w:rsidRPr="002E6ECA">
        <w:rPr>
          <w:sz w:val="28"/>
          <w:szCs w:val="28"/>
          <w:lang w:val="uk-UA"/>
        </w:rPr>
        <w:t> </w:t>
      </w:r>
      <w:r w:rsidRPr="002E6ECA">
        <w:rPr>
          <w:rFonts w:eastAsiaTheme="minorHAnsi"/>
          <w:sz w:val="28"/>
          <w:szCs w:val="28"/>
          <w:lang w:val="uk-UA" w:eastAsia="en-US"/>
        </w:rPr>
        <w:t>A., Martínez-Vizcaíno</w:t>
      </w:r>
      <w:r w:rsidRPr="002E6ECA">
        <w:rPr>
          <w:sz w:val="28"/>
          <w:szCs w:val="28"/>
          <w:lang w:val="uk-UA"/>
        </w:rPr>
        <w:t> </w:t>
      </w:r>
      <w:r w:rsidRPr="002E6ECA">
        <w:rPr>
          <w:rFonts w:eastAsiaTheme="minorHAnsi"/>
          <w:sz w:val="28"/>
          <w:szCs w:val="28"/>
          <w:lang w:val="uk-UA" w:eastAsia="en-US"/>
        </w:rPr>
        <w:t>V., Catena</w:t>
      </w:r>
      <w:r w:rsidRPr="002E6ECA">
        <w:rPr>
          <w:sz w:val="28"/>
          <w:szCs w:val="28"/>
          <w:lang w:val="uk-UA"/>
        </w:rPr>
        <w:t> </w:t>
      </w:r>
      <w:r w:rsidRPr="002E6ECA">
        <w:rPr>
          <w:rFonts w:eastAsiaTheme="minorHAnsi"/>
          <w:sz w:val="28"/>
          <w:szCs w:val="28"/>
          <w:lang w:val="uk-UA" w:eastAsia="en-US"/>
        </w:rPr>
        <w:t>A., Löf</w:t>
      </w:r>
      <w:r w:rsidRPr="002E6ECA">
        <w:rPr>
          <w:sz w:val="28"/>
          <w:szCs w:val="28"/>
          <w:lang w:val="uk-UA"/>
        </w:rPr>
        <w:t> </w:t>
      </w:r>
      <w:r w:rsidRPr="002E6ECA">
        <w:rPr>
          <w:rFonts w:eastAsiaTheme="minorHAnsi"/>
          <w:sz w:val="28"/>
          <w:szCs w:val="28"/>
          <w:lang w:val="uk-UA" w:eastAsia="en-US"/>
        </w:rPr>
        <w:t>M., Erickson</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I., Lubans</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R., Ortega</w:t>
      </w:r>
      <w:r w:rsidRPr="002E6ECA">
        <w:rPr>
          <w:sz w:val="28"/>
          <w:szCs w:val="28"/>
          <w:lang w:val="uk-UA"/>
        </w:rPr>
        <w:t> </w:t>
      </w:r>
      <w:r w:rsidRPr="002E6ECA">
        <w:rPr>
          <w:rFonts w:eastAsiaTheme="minorHAnsi"/>
          <w:sz w:val="28"/>
          <w:szCs w:val="28"/>
          <w:lang w:val="uk-UA" w:eastAsia="en-US"/>
        </w:rPr>
        <w:t>F.</w:t>
      </w:r>
      <w:r w:rsidRPr="002E6ECA">
        <w:rPr>
          <w:sz w:val="28"/>
          <w:szCs w:val="28"/>
          <w:lang w:val="uk-UA"/>
        </w:rPr>
        <w:t> </w:t>
      </w:r>
      <w:r w:rsidRPr="002E6ECA">
        <w:rPr>
          <w:rFonts w:eastAsiaTheme="minorHAnsi"/>
          <w:sz w:val="28"/>
          <w:szCs w:val="28"/>
          <w:lang w:val="uk-UA" w:eastAsia="en-US"/>
        </w:rPr>
        <w:t>B., Esteban-Cornejo</w:t>
      </w:r>
      <w:r w:rsidRPr="002E6ECA">
        <w:rPr>
          <w:sz w:val="28"/>
          <w:szCs w:val="28"/>
          <w:lang w:val="uk-UA"/>
        </w:rPr>
        <w:t> </w:t>
      </w:r>
      <w:r w:rsidRPr="002E6ECA">
        <w:rPr>
          <w:rFonts w:eastAsiaTheme="minorHAnsi"/>
          <w:sz w:val="28"/>
          <w:szCs w:val="28"/>
          <w:lang w:val="uk-UA" w:eastAsia="en-US"/>
        </w:rPr>
        <w:t xml:space="preserve">I. </w:t>
      </w:r>
      <w:hyperlink r:id="rId426" w:history="1">
        <w:r w:rsidRPr="002E6ECA">
          <w:rPr>
            <w:rFonts w:eastAsiaTheme="minorHAnsi"/>
            <w:sz w:val="28"/>
            <w:szCs w:val="28"/>
            <w:lang w:val="uk-UA" w:eastAsia="en-US"/>
          </w:rPr>
          <w:t>Role of Physical Activity and Sedentary Behavior in the Mental Health of Preschoolers, Children and Adolescents: A Systematic Review and Meta-Analysis.</w:t>
        </w:r>
      </w:hyperlink>
      <w:r w:rsidRPr="002E6ECA">
        <w:rPr>
          <w:rFonts w:eastAsiaTheme="minorHAnsi"/>
          <w:i/>
          <w:sz w:val="28"/>
          <w:szCs w:val="28"/>
          <w:lang w:val="uk-UA" w:eastAsia="en-US"/>
        </w:rPr>
        <w:t>Sports Med</w:t>
      </w:r>
      <w:r w:rsidRPr="002E6ECA">
        <w:rPr>
          <w:rFonts w:eastAsiaTheme="minorHAnsi"/>
          <w:sz w:val="28"/>
          <w:szCs w:val="28"/>
          <w:lang w:val="uk-UA" w:eastAsia="en-US"/>
        </w:rPr>
        <w:t xml:space="preserve">. 2019. Vol. 49 (9). Р. 1383-1410. doi: 10.1007/s40279-019-01099-5. </w:t>
      </w:r>
    </w:p>
    <w:p w:rsidR="00020FED" w:rsidRPr="002E6ECA" w:rsidRDefault="00020FED" w:rsidP="00020FED">
      <w:pPr>
        <w:pStyle w:val="a3"/>
        <w:numPr>
          <w:ilvl w:val="0"/>
          <w:numId w:val="72"/>
        </w:numPr>
        <w:spacing w:line="360" w:lineRule="auto"/>
        <w:ind w:left="0" w:firstLine="709"/>
        <w:jc w:val="both"/>
        <w:rPr>
          <w:rStyle w:val="aa"/>
          <w:i w:val="0"/>
          <w:iCs w:val="0"/>
          <w:sz w:val="28"/>
          <w:szCs w:val="28"/>
          <w:lang w:val="en-US"/>
        </w:rPr>
      </w:pPr>
      <w:r w:rsidRPr="002E6ECA">
        <w:rPr>
          <w:sz w:val="28"/>
          <w:szCs w:val="28"/>
          <w:lang w:val="uk-UA"/>
        </w:rPr>
        <w:t xml:space="preserve">Romanenko V. V., Podrihalo O. O., Podrigalo L. V., Iermakov S. S., Sotnikova-Meleshkina Z. V., Bobrova O. V. </w:t>
      </w:r>
      <w:r w:rsidRPr="002E6ECA">
        <w:rPr>
          <w:sz w:val="28"/>
          <w:szCs w:val="28"/>
          <w:lang w:val="en-US"/>
        </w:rPr>
        <w:t xml:space="preserve">The study of functional asymmetry in students and schoolchildren practicing martial arts. </w:t>
      </w:r>
      <w:r w:rsidRPr="002E6ECA">
        <w:rPr>
          <w:i/>
          <w:sz w:val="28"/>
          <w:szCs w:val="28"/>
          <w:lang w:val="en-US"/>
        </w:rPr>
        <w:t>Physical Education of Students</w:t>
      </w:r>
      <w:r w:rsidRPr="002E6ECA">
        <w:rPr>
          <w:sz w:val="28"/>
          <w:szCs w:val="28"/>
          <w:lang w:val="en-US"/>
        </w:rPr>
        <w:t xml:space="preserve">. 2020. Vol. 3. </w:t>
      </w:r>
      <w:r w:rsidRPr="002E6ECA">
        <w:rPr>
          <w:sz w:val="28"/>
          <w:szCs w:val="28"/>
        </w:rPr>
        <w:t>Р</w:t>
      </w:r>
      <w:r w:rsidRPr="002E6ECA">
        <w:rPr>
          <w:sz w:val="28"/>
          <w:szCs w:val="28"/>
          <w:lang w:val="en-US"/>
        </w:rPr>
        <w:t>. 154-161.</w:t>
      </w:r>
      <w:r w:rsidRPr="002E6ECA">
        <w:rPr>
          <w:rStyle w:val="aa"/>
          <w:sz w:val="28"/>
          <w:szCs w:val="28"/>
          <w:shd w:val="clear" w:color="auto" w:fill="FFFFFF"/>
          <w:lang w:val="en-US"/>
        </w:rPr>
        <w:t xml:space="preserve"> https://doi.org/10.15561/20755279.2020.0305. </w:t>
      </w:r>
    </w:p>
    <w:p w:rsidR="00020FED" w:rsidRPr="002E6ECA" w:rsidRDefault="00020FED" w:rsidP="00020FED">
      <w:pPr>
        <w:pStyle w:val="a3"/>
        <w:numPr>
          <w:ilvl w:val="0"/>
          <w:numId w:val="72"/>
        </w:numPr>
        <w:spacing w:line="360" w:lineRule="auto"/>
        <w:ind w:left="0" w:firstLine="709"/>
        <w:jc w:val="both"/>
        <w:rPr>
          <w:rStyle w:val="aa"/>
          <w:i w:val="0"/>
          <w:iCs w:val="0"/>
          <w:sz w:val="28"/>
          <w:szCs w:val="28"/>
          <w:lang w:val="en-US"/>
        </w:rPr>
      </w:pPr>
      <w:r w:rsidRPr="002E6ECA">
        <w:rPr>
          <w:sz w:val="28"/>
          <w:szCs w:val="28"/>
          <w:lang w:val="uk-UA"/>
        </w:rPr>
        <w:t xml:space="preserve">Romanenko V., Iermakov S., Podrigalo L., Rovnaya O., Sotnikova-Meleshkina Z., Goloha V., Ruban L. </w:t>
      </w:r>
      <w:r w:rsidRPr="002E6ECA">
        <w:rPr>
          <w:sz w:val="28"/>
          <w:szCs w:val="28"/>
          <w:lang w:val="en-US"/>
        </w:rPr>
        <w:t xml:space="preserve">Analysis of interrelations of psychophysiological and physiological indicators of martial arts athletes. </w:t>
      </w:r>
      <w:r w:rsidRPr="002E6ECA">
        <w:rPr>
          <w:i/>
          <w:sz w:val="28"/>
          <w:szCs w:val="28"/>
          <w:lang w:val="en-US"/>
        </w:rPr>
        <w:t>Baltic Journal of Health and Physical Activity</w:t>
      </w:r>
      <w:r w:rsidRPr="002E6ECA">
        <w:rPr>
          <w:sz w:val="28"/>
          <w:szCs w:val="28"/>
          <w:lang w:val="en-US"/>
        </w:rPr>
        <w:t>. 2019. Vol. 11</w:t>
      </w:r>
      <w:r w:rsidRPr="002E6ECA">
        <w:rPr>
          <w:sz w:val="28"/>
          <w:szCs w:val="28"/>
          <w:lang w:val="uk-UA"/>
        </w:rPr>
        <w:t xml:space="preserve"> </w:t>
      </w:r>
      <w:r w:rsidRPr="002E6ECA">
        <w:rPr>
          <w:sz w:val="28"/>
          <w:szCs w:val="28"/>
          <w:lang w:val="en-US"/>
        </w:rPr>
        <w:t xml:space="preserve">(4). </w:t>
      </w:r>
      <w:r w:rsidRPr="002E6ECA">
        <w:rPr>
          <w:sz w:val="28"/>
          <w:szCs w:val="28"/>
        </w:rPr>
        <w:t>Р</w:t>
      </w:r>
      <w:r w:rsidRPr="002E6ECA">
        <w:rPr>
          <w:sz w:val="28"/>
          <w:szCs w:val="28"/>
          <w:lang w:val="en-US"/>
        </w:rPr>
        <w:t>. 58-68.</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27" w:history="1">
        <w:r w:rsidR="00020FED" w:rsidRPr="002E6ECA">
          <w:rPr>
            <w:rFonts w:eastAsiaTheme="minorHAnsi"/>
            <w:sz w:val="28"/>
            <w:szCs w:val="28"/>
            <w:lang w:val="uk-UA" w:eastAsia="en-US"/>
          </w:rPr>
          <w:t>Rönnecke</w:t>
        </w:r>
        <w:r w:rsidR="00020FED" w:rsidRPr="002E6ECA">
          <w:rPr>
            <w:sz w:val="28"/>
            <w:szCs w:val="28"/>
            <w:lang w:val="uk-UA"/>
          </w:rPr>
          <w:t> </w:t>
        </w:r>
        <w:r w:rsidR="00020FED" w:rsidRPr="002E6ECA">
          <w:rPr>
            <w:rFonts w:eastAsiaTheme="minorHAnsi"/>
            <w:sz w:val="28"/>
            <w:szCs w:val="28"/>
            <w:lang w:val="uk-UA" w:eastAsia="en-US"/>
          </w:rPr>
          <w:t>E</w:t>
        </w:r>
      </w:hyperlink>
      <w:r w:rsidR="00020FED" w:rsidRPr="002E6ECA">
        <w:rPr>
          <w:rFonts w:eastAsiaTheme="minorHAnsi"/>
          <w:sz w:val="28"/>
          <w:szCs w:val="28"/>
          <w:lang w:val="uk-UA" w:eastAsia="en-US"/>
        </w:rPr>
        <w:t xml:space="preserve">., </w:t>
      </w:r>
      <w:hyperlink r:id="rId428" w:history="1">
        <w:r w:rsidR="00020FED" w:rsidRPr="002E6ECA">
          <w:rPr>
            <w:rFonts w:eastAsiaTheme="minorHAnsi"/>
            <w:sz w:val="28"/>
            <w:szCs w:val="28"/>
            <w:lang w:val="uk-UA" w:eastAsia="en-US"/>
          </w:rPr>
          <w:t>Vogel</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429" w:history="1">
        <w:r w:rsidR="00020FED" w:rsidRPr="002E6ECA">
          <w:rPr>
            <w:rFonts w:eastAsiaTheme="minorHAnsi"/>
            <w:sz w:val="28"/>
            <w:szCs w:val="28"/>
            <w:lang w:val="uk-UA" w:eastAsia="en-US"/>
          </w:rPr>
          <w:t>Bussler</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430" w:history="1">
        <w:r w:rsidR="00020FED" w:rsidRPr="002E6ECA">
          <w:rPr>
            <w:rFonts w:eastAsiaTheme="minorHAnsi"/>
            <w:sz w:val="28"/>
            <w:szCs w:val="28"/>
            <w:lang w:val="uk-UA" w:eastAsia="en-US"/>
          </w:rPr>
          <w:t>Grafe</w:t>
        </w:r>
        <w:r w:rsidR="00020FED" w:rsidRPr="002E6ECA">
          <w:rPr>
            <w:sz w:val="28"/>
            <w:szCs w:val="28"/>
            <w:lang w:val="uk-UA"/>
          </w:rPr>
          <w:t> </w:t>
        </w:r>
        <w:r w:rsidR="00020FED" w:rsidRPr="002E6ECA">
          <w:rPr>
            <w:rFonts w:eastAsiaTheme="minorHAnsi"/>
            <w:sz w:val="28"/>
            <w:szCs w:val="28"/>
            <w:lang w:val="uk-UA" w:eastAsia="en-US"/>
          </w:rPr>
          <w:t>N</w:t>
        </w:r>
      </w:hyperlink>
      <w:r w:rsidR="00020FED" w:rsidRPr="002E6ECA">
        <w:rPr>
          <w:rFonts w:eastAsiaTheme="minorHAnsi"/>
          <w:sz w:val="28"/>
          <w:szCs w:val="28"/>
          <w:lang w:val="uk-UA" w:eastAsia="en-US"/>
        </w:rPr>
        <w:t xml:space="preserve">., </w:t>
      </w:r>
      <w:hyperlink r:id="rId431" w:history="1">
        <w:r w:rsidR="00020FED" w:rsidRPr="002E6ECA">
          <w:rPr>
            <w:rFonts w:eastAsiaTheme="minorHAnsi"/>
            <w:sz w:val="28"/>
            <w:szCs w:val="28"/>
            <w:lang w:val="uk-UA" w:eastAsia="en-US"/>
          </w:rPr>
          <w:t>Jurkutat</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w:t>
      </w:r>
      <w:hyperlink r:id="rId432" w:history="1">
        <w:r w:rsidR="00020FED" w:rsidRPr="002E6ECA">
          <w:rPr>
            <w:rFonts w:eastAsiaTheme="minorHAnsi"/>
            <w:sz w:val="28"/>
            <w:szCs w:val="28"/>
            <w:lang w:val="uk-UA" w:eastAsia="en-US"/>
          </w:rPr>
          <w:t>Schlingmann</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433" w:history="1">
        <w:r w:rsidR="00020FED" w:rsidRPr="002E6ECA">
          <w:rPr>
            <w:rFonts w:eastAsiaTheme="minorHAnsi"/>
            <w:sz w:val="28"/>
            <w:szCs w:val="28"/>
            <w:lang w:val="uk-UA" w:eastAsia="en-US"/>
          </w:rPr>
          <w:t>Koerner</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w:t>
      </w:r>
      <w:hyperlink r:id="rId434" w:history="1">
        <w:r w:rsidR="00020FED" w:rsidRPr="002E6ECA">
          <w:rPr>
            <w:rFonts w:eastAsiaTheme="minorHAnsi"/>
            <w:sz w:val="28"/>
            <w:szCs w:val="28"/>
            <w:lang w:val="uk-UA" w:eastAsia="en-US"/>
          </w:rPr>
          <w:t>Kiess</w:t>
        </w:r>
        <w:r w:rsidR="00020FED" w:rsidRPr="002E6ECA">
          <w:rPr>
            <w:sz w:val="28"/>
            <w:szCs w:val="28"/>
            <w:lang w:val="uk-UA"/>
          </w:rPr>
          <w:t> </w:t>
        </w:r>
        <w:r w:rsidR="00020FED" w:rsidRPr="002E6ECA">
          <w:rPr>
            <w:rFonts w:eastAsiaTheme="minorHAnsi"/>
            <w:sz w:val="28"/>
            <w:szCs w:val="28"/>
            <w:lang w:val="uk-UA" w:eastAsia="en-US"/>
          </w:rPr>
          <w:t>W</w:t>
        </w:r>
      </w:hyperlink>
      <w:r w:rsidR="00020FED" w:rsidRPr="002E6ECA">
        <w:rPr>
          <w:rFonts w:eastAsiaTheme="minorHAnsi"/>
          <w:sz w:val="28"/>
          <w:szCs w:val="28"/>
          <w:lang w:val="uk-UA" w:eastAsia="en-US"/>
        </w:rPr>
        <w:t xml:space="preserve">. Age- and Sex-related percentiles of skinfold thickness, waist and hip circumference, waist-to-hip ratio and waist-to-height ratio: Results from a population-based pediatric cohort in Germany (LIFE Child). </w:t>
      </w:r>
      <w:hyperlink r:id="rId435" w:tooltip="Obesity facts." w:history="1">
        <w:r w:rsidR="00020FED" w:rsidRPr="002E6ECA">
          <w:rPr>
            <w:rFonts w:eastAsiaTheme="minorHAnsi"/>
            <w:i/>
            <w:sz w:val="28"/>
            <w:szCs w:val="28"/>
            <w:lang w:val="uk-UA" w:eastAsia="en-US"/>
          </w:rPr>
          <w:t>Obes Facts</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2019. Vol. 12 (1). Р. 25-39. doi: 10.1159/000494767.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Rotenberg</w:t>
      </w:r>
      <w:r w:rsidRPr="002E6ECA">
        <w:rPr>
          <w:sz w:val="28"/>
          <w:szCs w:val="28"/>
          <w:lang w:val="uk-UA"/>
        </w:rPr>
        <w:t> </w:t>
      </w:r>
      <w:r w:rsidRPr="002E6ECA">
        <w:rPr>
          <w:rFonts w:eastAsiaTheme="minorHAnsi"/>
          <w:sz w:val="28"/>
          <w:szCs w:val="28"/>
          <w:lang w:val="uk-UA" w:eastAsia="en-US"/>
        </w:rPr>
        <w:t>S., McGrath</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 xml:space="preserve">J. Inter-relation between autonomic and HPA axis activity in children and adolescents. </w:t>
      </w:r>
      <w:r w:rsidRPr="002E6ECA">
        <w:rPr>
          <w:rFonts w:eastAsiaTheme="minorHAnsi"/>
          <w:i/>
          <w:sz w:val="28"/>
          <w:szCs w:val="28"/>
          <w:lang w:val="uk-UA" w:eastAsia="en-US"/>
        </w:rPr>
        <w:t>Biological psychology</w:t>
      </w:r>
      <w:r w:rsidRPr="002E6ECA">
        <w:rPr>
          <w:rFonts w:eastAsiaTheme="minorHAnsi"/>
          <w:sz w:val="28"/>
          <w:szCs w:val="28"/>
          <w:lang w:val="uk-UA" w:eastAsia="en-US"/>
        </w:rPr>
        <w:t xml:space="preserve">. 2016. Vol. 117. Р. 16-25. </w:t>
      </w:r>
      <w:hyperlink r:id="rId436" w:history="1">
        <w:r w:rsidRPr="002E6ECA">
          <w:rPr>
            <w:rFonts w:eastAsiaTheme="minorHAnsi"/>
            <w:sz w:val="28"/>
            <w:szCs w:val="28"/>
            <w:lang w:val="uk-UA" w:eastAsia="en-US"/>
          </w:rPr>
          <w:t>https://doi.org/10.1016/j.biopsycho.2016.01.015</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Sætren</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S., Sütterlin</w:t>
      </w:r>
      <w:r w:rsidRPr="002E6ECA">
        <w:rPr>
          <w:sz w:val="28"/>
          <w:szCs w:val="28"/>
          <w:lang w:val="uk-UA"/>
        </w:rPr>
        <w:t> </w:t>
      </w:r>
      <w:r w:rsidRPr="002E6ECA">
        <w:rPr>
          <w:rFonts w:eastAsiaTheme="minorHAnsi"/>
          <w:sz w:val="28"/>
          <w:szCs w:val="28"/>
          <w:lang w:val="uk-UA" w:eastAsia="en-US"/>
        </w:rPr>
        <w:t>S., &amp; Makransky</w:t>
      </w:r>
      <w:r w:rsidRPr="002E6ECA">
        <w:rPr>
          <w:sz w:val="28"/>
          <w:szCs w:val="28"/>
          <w:lang w:val="uk-UA"/>
        </w:rPr>
        <w:t> </w:t>
      </w:r>
      <w:r w:rsidRPr="002E6ECA">
        <w:rPr>
          <w:rFonts w:eastAsiaTheme="minorHAnsi"/>
          <w:sz w:val="28"/>
          <w:szCs w:val="28"/>
          <w:lang w:val="uk-UA" w:eastAsia="en-US"/>
        </w:rPr>
        <w:t>G.</w:t>
      </w:r>
      <w:r w:rsidRPr="002E6ECA">
        <w:rPr>
          <w:sz w:val="28"/>
          <w:szCs w:val="28"/>
          <w:lang w:val="uk-UA"/>
        </w:rPr>
        <w:t> </w:t>
      </w:r>
      <w:r w:rsidRPr="002E6ECA">
        <w:rPr>
          <w:rFonts w:eastAsiaTheme="minorHAnsi"/>
          <w:sz w:val="28"/>
          <w:szCs w:val="28"/>
          <w:lang w:val="uk-UA" w:eastAsia="en-US"/>
        </w:rPr>
        <w:t xml:space="preserve">A multilevel investigation of resiliency scales for children and adolescents: The relationships between self-perceived emotion regulation, vagally mediated heart rate variability, and personal factors associated with resilience. </w:t>
      </w:r>
      <w:r w:rsidRPr="002E6ECA">
        <w:rPr>
          <w:rFonts w:eastAsiaTheme="minorHAnsi"/>
          <w:i/>
          <w:sz w:val="28"/>
          <w:szCs w:val="28"/>
          <w:lang w:val="uk-UA" w:eastAsia="en-US"/>
        </w:rPr>
        <w:t>Frontiers in psychology</w:t>
      </w:r>
      <w:r w:rsidRPr="002E6ECA">
        <w:rPr>
          <w:rFonts w:eastAsiaTheme="minorHAnsi"/>
          <w:sz w:val="28"/>
          <w:szCs w:val="28"/>
          <w:lang w:val="uk-UA" w:eastAsia="en-US"/>
        </w:rPr>
        <w:t xml:space="preserve">. 2019. Vol. 10. 438. </w:t>
      </w:r>
      <w:hyperlink r:id="rId437" w:history="1">
        <w:r w:rsidRPr="002E6ECA">
          <w:rPr>
            <w:rFonts w:eastAsiaTheme="minorHAnsi"/>
            <w:sz w:val="28"/>
            <w:szCs w:val="28"/>
            <w:lang w:val="uk-UA" w:eastAsia="en-US"/>
          </w:rPr>
          <w:t>https://doi.org/10.3389/fpsyg.2019.00438</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Saghafi-Asl</w:t>
      </w:r>
      <w:r w:rsidRPr="002E6ECA">
        <w:rPr>
          <w:sz w:val="28"/>
          <w:szCs w:val="28"/>
          <w:lang w:val="uk-UA"/>
        </w:rPr>
        <w:t> </w:t>
      </w:r>
      <w:r w:rsidRPr="002E6ECA">
        <w:rPr>
          <w:rFonts w:eastAsiaTheme="minorHAnsi"/>
          <w:sz w:val="28"/>
          <w:szCs w:val="28"/>
          <w:lang w:val="uk-UA" w:eastAsia="en-US"/>
        </w:rPr>
        <w:t>M., Aliasgharzadeh</w:t>
      </w:r>
      <w:r w:rsidRPr="002E6ECA">
        <w:rPr>
          <w:sz w:val="28"/>
          <w:szCs w:val="28"/>
          <w:lang w:val="uk-UA"/>
        </w:rPr>
        <w:t> </w:t>
      </w:r>
      <w:r w:rsidRPr="002E6ECA">
        <w:rPr>
          <w:rFonts w:eastAsiaTheme="minorHAnsi"/>
          <w:sz w:val="28"/>
          <w:szCs w:val="28"/>
          <w:lang w:val="uk-UA" w:eastAsia="en-US"/>
        </w:rPr>
        <w:t>S., Asghari-Jafarabadi</w:t>
      </w:r>
      <w:r w:rsidRPr="002E6ECA">
        <w:rPr>
          <w:sz w:val="28"/>
          <w:szCs w:val="28"/>
          <w:lang w:val="uk-UA"/>
        </w:rPr>
        <w:t> </w:t>
      </w:r>
      <w:r w:rsidRPr="002E6ECA">
        <w:rPr>
          <w:rFonts w:eastAsiaTheme="minorHAnsi"/>
          <w:sz w:val="28"/>
          <w:szCs w:val="28"/>
          <w:lang w:val="uk-UA" w:eastAsia="en-US"/>
        </w:rPr>
        <w:t xml:space="preserve">M. Factors influencing weight management behavior among college students: An application of the Health Belief Model. </w:t>
      </w:r>
      <w:r w:rsidRPr="002E6ECA">
        <w:rPr>
          <w:rFonts w:eastAsiaTheme="minorHAnsi"/>
          <w:i/>
          <w:sz w:val="28"/>
          <w:szCs w:val="28"/>
          <w:lang w:val="uk-UA" w:eastAsia="en-US"/>
        </w:rPr>
        <w:t>PLoS One</w:t>
      </w:r>
      <w:r w:rsidRPr="002E6ECA">
        <w:rPr>
          <w:rFonts w:eastAsiaTheme="minorHAnsi"/>
          <w:sz w:val="28"/>
          <w:szCs w:val="28"/>
          <w:lang w:val="uk-UA" w:eastAsia="en-US"/>
        </w:rPr>
        <w:t xml:space="preserve">. Feb 7. 2020. Vol. 15 (2). e0228058. doi: 10.1371/journal.pone.0228058.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38" w:history="1">
        <w:r w:rsidR="00020FED" w:rsidRPr="002E6ECA">
          <w:rPr>
            <w:rFonts w:eastAsiaTheme="minorHAnsi"/>
            <w:sz w:val="28"/>
            <w:szCs w:val="28"/>
            <w:lang w:val="uk-UA" w:eastAsia="en-US"/>
          </w:rPr>
          <w:t>Salvini</w:t>
        </w:r>
      </w:hyperlink>
      <w:r w:rsidR="00020FED" w:rsidRPr="002E6ECA">
        <w:rPr>
          <w:sz w:val="28"/>
          <w:szCs w:val="28"/>
          <w:lang w:val="uk-UA"/>
        </w:rPr>
        <w:t> </w:t>
      </w:r>
      <w:r w:rsidR="00020FED" w:rsidRPr="002E6ECA">
        <w:rPr>
          <w:rFonts w:eastAsiaTheme="minorHAnsi"/>
          <w:sz w:val="28"/>
          <w:szCs w:val="28"/>
          <w:lang w:val="uk-UA" w:eastAsia="en-US"/>
        </w:rPr>
        <w:t xml:space="preserve">M., </w:t>
      </w:r>
      <w:hyperlink r:id="rId439" w:history="1">
        <w:r w:rsidR="00020FED" w:rsidRPr="002E6ECA">
          <w:rPr>
            <w:rFonts w:eastAsiaTheme="minorHAnsi"/>
            <w:sz w:val="28"/>
            <w:szCs w:val="28"/>
            <w:lang w:val="uk-UA" w:eastAsia="en-US"/>
          </w:rPr>
          <w:t>Gall</w:t>
        </w:r>
      </w:hyperlink>
      <w:r w:rsidR="00020FED" w:rsidRPr="002E6ECA">
        <w:rPr>
          <w:sz w:val="28"/>
          <w:szCs w:val="28"/>
          <w:lang w:val="uk-UA"/>
        </w:rPr>
        <w:t> </w:t>
      </w:r>
      <w:r w:rsidR="00020FED" w:rsidRPr="002E6ECA">
        <w:rPr>
          <w:rFonts w:eastAsiaTheme="minorHAnsi"/>
          <w:sz w:val="28"/>
          <w:szCs w:val="28"/>
          <w:lang w:val="uk-UA" w:eastAsia="en-US"/>
        </w:rPr>
        <w:t xml:space="preserve">S., </w:t>
      </w:r>
      <w:hyperlink r:id="rId440" w:history="1">
        <w:r w:rsidR="00020FED" w:rsidRPr="002E6ECA">
          <w:rPr>
            <w:rFonts w:eastAsiaTheme="minorHAnsi"/>
            <w:sz w:val="28"/>
            <w:szCs w:val="28"/>
            <w:lang w:val="uk-UA" w:eastAsia="en-US"/>
          </w:rPr>
          <w:t>Müller</w:t>
        </w:r>
      </w:hyperlink>
      <w:r w:rsidR="00020FED" w:rsidRPr="002E6ECA">
        <w:rPr>
          <w:sz w:val="28"/>
          <w:szCs w:val="28"/>
          <w:lang w:val="uk-UA"/>
        </w:rPr>
        <w:t> </w:t>
      </w:r>
      <w:r w:rsidR="00020FED" w:rsidRPr="002E6ECA">
        <w:rPr>
          <w:rFonts w:eastAsiaTheme="minorHAnsi"/>
          <w:sz w:val="28"/>
          <w:szCs w:val="28"/>
          <w:lang w:val="uk-UA" w:eastAsia="en-US"/>
        </w:rPr>
        <w:t xml:space="preserve">I., </w:t>
      </w:r>
      <w:hyperlink r:id="rId441" w:history="1">
        <w:r w:rsidR="00020FED" w:rsidRPr="002E6ECA">
          <w:rPr>
            <w:rFonts w:eastAsiaTheme="minorHAnsi"/>
            <w:sz w:val="28"/>
            <w:szCs w:val="28"/>
            <w:lang w:val="uk-UA" w:eastAsia="en-US"/>
          </w:rPr>
          <w:t>Walter</w:t>
        </w:r>
      </w:hyperlink>
      <w:r w:rsidR="00020FED" w:rsidRPr="002E6ECA">
        <w:rPr>
          <w:sz w:val="28"/>
          <w:szCs w:val="28"/>
          <w:lang w:val="uk-UA"/>
        </w:rPr>
        <w:t> </w:t>
      </w:r>
      <w:r w:rsidR="00020FED" w:rsidRPr="002E6ECA">
        <w:rPr>
          <w:rFonts w:eastAsiaTheme="minorHAnsi"/>
          <w:sz w:val="28"/>
          <w:szCs w:val="28"/>
          <w:lang w:val="uk-UA" w:eastAsia="en-US"/>
        </w:rPr>
        <w:t xml:space="preserve">C., </w:t>
      </w:r>
      <w:hyperlink r:id="rId442" w:history="1">
        <w:r w:rsidR="00020FED" w:rsidRPr="002E6ECA">
          <w:rPr>
            <w:rFonts w:eastAsiaTheme="minorHAnsi"/>
            <w:sz w:val="28"/>
            <w:szCs w:val="28"/>
            <w:lang w:val="uk-UA" w:eastAsia="en-US"/>
          </w:rPr>
          <w:t>du Randt</w:t>
        </w:r>
      </w:hyperlink>
      <w:r w:rsidR="00020FED" w:rsidRPr="002E6ECA">
        <w:rPr>
          <w:sz w:val="28"/>
          <w:szCs w:val="28"/>
          <w:lang w:val="uk-UA"/>
        </w:rPr>
        <w:t> </w:t>
      </w:r>
      <w:r w:rsidR="00020FED" w:rsidRPr="002E6ECA">
        <w:rPr>
          <w:rFonts w:eastAsiaTheme="minorHAnsi"/>
          <w:sz w:val="28"/>
          <w:szCs w:val="28"/>
          <w:lang w:val="uk-UA" w:eastAsia="en-US"/>
        </w:rPr>
        <w:t xml:space="preserve">R., </w:t>
      </w:r>
      <w:hyperlink r:id="rId443" w:history="1">
        <w:r w:rsidR="00020FED" w:rsidRPr="002E6ECA">
          <w:rPr>
            <w:rFonts w:eastAsiaTheme="minorHAnsi"/>
            <w:sz w:val="28"/>
            <w:szCs w:val="28"/>
            <w:lang w:val="uk-UA" w:eastAsia="en-US"/>
          </w:rPr>
          <w:t>Steinmann</w:t>
        </w:r>
      </w:hyperlink>
      <w:r w:rsidR="00020FED" w:rsidRPr="002E6ECA">
        <w:rPr>
          <w:sz w:val="28"/>
          <w:szCs w:val="28"/>
          <w:lang w:val="uk-UA"/>
        </w:rPr>
        <w:t> </w:t>
      </w:r>
      <w:r w:rsidR="00020FED" w:rsidRPr="002E6ECA">
        <w:rPr>
          <w:rFonts w:eastAsiaTheme="minorHAnsi"/>
          <w:sz w:val="28"/>
          <w:szCs w:val="28"/>
          <w:lang w:val="uk-UA" w:eastAsia="en-US"/>
        </w:rPr>
        <w:t xml:space="preserve">P. et al. Physical activity and health-related quality of life among schoolchildren from disadvantaged neighbourhoods in Port Elizabeth, South Africa. </w:t>
      </w:r>
      <w:r w:rsidR="00020FED" w:rsidRPr="002E6ECA">
        <w:rPr>
          <w:rFonts w:eastAsiaTheme="minorHAnsi"/>
          <w:i/>
          <w:sz w:val="28"/>
          <w:szCs w:val="28"/>
          <w:lang w:val="uk-UA" w:eastAsia="en-US"/>
        </w:rPr>
        <w:t>Qual Life Res</w:t>
      </w:r>
      <w:r w:rsidR="00020FED" w:rsidRPr="002E6ECA">
        <w:rPr>
          <w:rFonts w:eastAsiaTheme="minorHAnsi"/>
          <w:sz w:val="28"/>
          <w:szCs w:val="28"/>
          <w:lang w:val="uk-UA" w:eastAsia="en-US"/>
        </w:rPr>
        <w:t>. 2018. Vol. 27 (1). Р. 205-216. DOI:</w:t>
      </w:r>
      <w:hyperlink r:id="rId444" w:tgtFrame="_blank" w:history="1">
        <w:r w:rsidR="00020FED" w:rsidRPr="002E6ECA">
          <w:rPr>
            <w:rFonts w:eastAsiaTheme="minorHAnsi"/>
            <w:sz w:val="28"/>
            <w:szCs w:val="28"/>
            <w:lang w:val="uk-UA" w:eastAsia="en-US"/>
          </w:rPr>
          <w:t>10.1007/s11136-017-1707-1</w:t>
        </w:r>
      </w:hyperlink>
      <w:r w:rsidR="00020FED"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iCs/>
          <w:sz w:val="28"/>
          <w:szCs w:val="28"/>
          <w:lang w:val="uk-UA" w:eastAsia="en-US"/>
        </w:rPr>
        <w:t>Samdal</w:t>
      </w:r>
      <w:r w:rsidRPr="002E6ECA">
        <w:rPr>
          <w:sz w:val="28"/>
          <w:szCs w:val="28"/>
          <w:lang w:val="uk-UA"/>
        </w:rPr>
        <w:t> </w:t>
      </w:r>
      <w:r w:rsidRPr="002E6ECA">
        <w:rPr>
          <w:rFonts w:eastAsiaTheme="minorHAnsi"/>
          <w:iCs/>
          <w:sz w:val="28"/>
          <w:szCs w:val="28"/>
          <w:lang w:val="uk-UA" w:eastAsia="en-US"/>
        </w:rPr>
        <w:t>O., Dür</w:t>
      </w:r>
      <w:r w:rsidRPr="002E6ECA">
        <w:rPr>
          <w:sz w:val="28"/>
          <w:szCs w:val="28"/>
          <w:lang w:val="uk-UA"/>
        </w:rPr>
        <w:t> </w:t>
      </w:r>
      <w:r w:rsidRPr="002E6ECA">
        <w:rPr>
          <w:rFonts w:eastAsiaTheme="minorHAnsi"/>
          <w:iCs/>
          <w:sz w:val="28"/>
          <w:szCs w:val="28"/>
          <w:lang w:val="uk-UA" w:eastAsia="en-US"/>
        </w:rPr>
        <w:t>W., Freeman</w:t>
      </w:r>
      <w:r w:rsidRPr="002E6ECA">
        <w:rPr>
          <w:sz w:val="28"/>
          <w:szCs w:val="28"/>
          <w:lang w:val="uk-UA"/>
        </w:rPr>
        <w:t> </w:t>
      </w:r>
      <w:r w:rsidRPr="002E6ECA">
        <w:rPr>
          <w:rFonts w:eastAsiaTheme="minorHAnsi"/>
          <w:iCs/>
          <w:sz w:val="28"/>
          <w:szCs w:val="28"/>
          <w:lang w:val="uk-UA" w:eastAsia="en-US"/>
        </w:rPr>
        <w:t xml:space="preserve">J. </w:t>
      </w:r>
      <w:r w:rsidRPr="002E6ECA">
        <w:rPr>
          <w:rFonts w:eastAsiaTheme="minorHAnsi"/>
          <w:sz w:val="28"/>
          <w:szCs w:val="28"/>
          <w:lang w:val="uk-UA" w:eastAsia="en-US"/>
        </w:rPr>
        <w:t>Life circumstances of young peopleschool. Young peoples health in context. Health behavior in school aged children (HBSC) study : international report of the 2001/02 survey. (Health policy for children and adolescents, no. 4 ed.). Copenhagen, denmark. 2004. P. 42-52.</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Sánchez-Hechavarría</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E., Ghiya</w:t>
      </w:r>
      <w:r w:rsidRPr="002E6ECA">
        <w:rPr>
          <w:sz w:val="28"/>
          <w:szCs w:val="28"/>
          <w:lang w:val="uk-UA"/>
        </w:rPr>
        <w:t> </w:t>
      </w:r>
      <w:r w:rsidRPr="002E6ECA">
        <w:rPr>
          <w:rFonts w:eastAsiaTheme="minorHAnsi"/>
          <w:sz w:val="28"/>
          <w:szCs w:val="28"/>
          <w:lang w:val="uk-UA" w:eastAsia="en-US"/>
        </w:rPr>
        <w:t>S., &amp; Saá-Muñoz</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 xml:space="preserve">A. Introduction of application of gini coefficient to heart rate variability spectrum for mental stress evaluation. </w:t>
      </w:r>
      <w:r w:rsidRPr="002E6ECA">
        <w:rPr>
          <w:rFonts w:eastAsiaTheme="minorHAnsi"/>
          <w:i/>
          <w:sz w:val="28"/>
          <w:szCs w:val="28"/>
          <w:lang w:val="uk-UA" w:eastAsia="en-US"/>
        </w:rPr>
        <w:t>Arquivos brasileiros de cardiologia</w:t>
      </w:r>
      <w:r w:rsidRPr="002E6ECA">
        <w:rPr>
          <w:rFonts w:eastAsiaTheme="minorHAnsi"/>
          <w:sz w:val="28"/>
          <w:szCs w:val="28"/>
          <w:lang w:val="uk-UA" w:eastAsia="en-US"/>
        </w:rPr>
        <w:t xml:space="preserve">. 2019. Vol. 113 (4). Р. 725-733. </w:t>
      </w:r>
      <w:hyperlink r:id="rId445" w:history="1">
        <w:r w:rsidRPr="002E6ECA">
          <w:rPr>
            <w:rFonts w:eastAsiaTheme="minorHAnsi"/>
            <w:sz w:val="28"/>
            <w:szCs w:val="28"/>
            <w:lang w:val="uk-UA" w:eastAsia="en-US"/>
          </w:rPr>
          <w:t>https://doi.org/10.5935/abc.20190185</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pacing w:val="-2"/>
          <w:sz w:val="28"/>
          <w:szCs w:val="28"/>
          <w:lang w:val="uk-UA" w:eastAsia="en-US"/>
        </w:rPr>
      </w:pPr>
      <w:r w:rsidRPr="002E6ECA">
        <w:rPr>
          <w:rFonts w:eastAsiaTheme="minorHAnsi"/>
          <w:spacing w:val="-2"/>
          <w:sz w:val="28"/>
          <w:szCs w:val="28"/>
          <w:lang w:val="uk-UA" w:eastAsia="en-US"/>
        </w:rPr>
        <w:t>Sanchez-Lopez</w:t>
      </w:r>
      <w:r w:rsidRPr="002E6ECA">
        <w:rPr>
          <w:sz w:val="28"/>
          <w:szCs w:val="28"/>
          <w:lang w:val="uk-UA"/>
        </w:rPr>
        <w:t> </w:t>
      </w:r>
      <w:r w:rsidRPr="002E6ECA">
        <w:rPr>
          <w:rFonts w:eastAsiaTheme="minorHAnsi"/>
          <w:spacing w:val="-2"/>
          <w:sz w:val="28"/>
          <w:szCs w:val="28"/>
          <w:lang w:val="uk-UA" w:eastAsia="en-US"/>
        </w:rPr>
        <w:t>M., Ruiz-Hermosa</w:t>
      </w:r>
      <w:r w:rsidRPr="002E6ECA">
        <w:rPr>
          <w:sz w:val="28"/>
          <w:szCs w:val="28"/>
          <w:lang w:val="uk-UA"/>
        </w:rPr>
        <w:t> </w:t>
      </w:r>
      <w:r w:rsidRPr="002E6ECA">
        <w:rPr>
          <w:rFonts w:eastAsiaTheme="minorHAnsi"/>
          <w:spacing w:val="-2"/>
          <w:sz w:val="28"/>
          <w:szCs w:val="28"/>
          <w:lang w:val="uk-UA" w:eastAsia="en-US"/>
        </w:rPr>
        <w:t>A., Redondo-Tebar</w:t>
      </w:r>
      <w:r w:rsidRPr="002E6ECA">
        <w:rPr>
          <w:sz w:val="28"/>
          <w:szCs w:val="28"/>
          <w:lang w:val="uk-UA"/>
        </w:rPr>
        <w:t> </w:t>
      </w:r>
      <w:r w:rsidRPr="002E6ECA">
        <w:rPr>
          <w:rFonts w:eastAsiaTheme="minorHAnsi"/>
          <w:spacing w:val="-2"/>
          <w:sz w:val="28"/>
          <w:szCs w:val="28"/>
          <w:lang w:val="uk-UA" w:eastAsia="en-US"/>
        </w:rPr>
        <w:t xml:space="preserve">A., et al. Rationale and methods of the MOVI-da10! Study -a cluster-randomized controlled trial of the impact of classroom-based physical activity programs on children's adiposity, cognition and motor competence. </w:t>
      </w:r>
      <w:r w:rsidRPr="002E6ECA">
        <w:rPr>
          <w:rFonts w:eastAsiaTheme="minorHAnsi"/>
          <w:i/>
          <w:spacing w:val="-2"/>
          <w:sz w:val="28"/>
          <w:szCs w:val="28"/>
          <w:lang w:val="uk-UA" w:eastAsia="en-US"/>
        </w:rPr>
        <w:t>BMC Public Health</w:t>
      </w:r>
      <w:r w:rsidRPr="002E6ECA">
        <w:rPr>
          <w:rFonts w:eastAsiaTheme="minorHAnsi"/>
          <w:spacing w:val="-2"/>
          <w:sz w:val="28"/>
          <w:szCs w:val="28"/>
          <w:lang w:val="uk-UA" w:eastAsia="en-US"/>
        </w:rPr>
        <w:t>. 2019. Vol. 19. е417.</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46" w:history="1">
        <w:r w:rsidR="00020FED" w:rsidRPr="002E6ECA">
          <w:rPr>
            <w:rFonts w:eastAsiaTheme="minorHAnsi"/>
            <w:sz w:val="28"/>
            <w:szCs w:val="28"/>
            <w:lang w:val="uk-UA" w:eastAsia="en-US"/>
          </w:rPr>
          <w:t>Sanders</w:t>
        </w:r>
      </w:hyperlink>
      <w:r w:rsidR="00020FED" w:rsidRPr="002E6ECA">
        <w:rPr>
          <w:sz w:val="28"/>
          <w:szCs w:val="28"/>
          <w:lang w:val="uk-UA"/>
        </w:rPr>
        <w:t> </w:t>
      </w:r>
      <w:r w:rsidR="00020FED" w:rsidRPr="002E6ECA">
        <w:rPr>
          <w:rFonts w:eastAsiaTheme="minorHAnsi"/>
          <w:sz w:val="28"/>
          <w:szCs w:val="28"/>
          <w:lang w:val="uk-UA" w:eastAsia="en-US"/>
        </w:rPr>
        <w:t xml:space="preserve">T., </w:t>
      </w:r>
      <w:hyperlink r:id="rId447" w:history="1">
        <w:r w:rsidR="00020FED" w:rsidRPr="002E6ECA">
          <w:rPr>
            <w:rFonts w:eastAsiaTheme="minorHAnsi"/>
            <w:sz w:val="28"/>
            <w:szCs w:val="28"/>
            <w:lang w:val="uk-UA" w:eastAsia="en-US"/>
          </w:rPr>
          <w:t>Parker</w:t>
        </w:r>
      </w:hyperlink>
      <w:r w:rsidR="00020FED" w:rsidRPr="002E6ECA">
        <w:rPr>
          <w:sz w:val="28"/>
          <w:szCs w:val="28"/>
          <w:lang w:val="uk-UA"/>
        </w:rPr>
        <w:t> </w:t>
      </w:r>
      <w:r w:rsidR="00020FED" w:rsidRPr="002E6ECA">
        <w:rPr>
          <w:rFonts w:eastAsiaTheme="minorHAnsi"/>
          <w:sz w:val="28"/>
          <w:szCs w:val="28"/>
          <w:lang w:val="uk-UA" w:eastAsia="en-US"/>
        </w:rPr>
        <w:t>P.</w:t>
      </w:r>
      <w:r w:rsidR="00020FED" w:rsidRPr="002E6ECA">
        <w:rPr>
          <w:sz w:val="28"/>
          <w:szCs w:val="28"/>
          <w:lang w:val="uk-UA"/>
        </w:rPr>
        <w:t> </w:t>
      </w:r>
      <w:r w:rsidR="00020FED" w:rsidRPr="002E6ECA">
        <w:rPr>
          <w:rFonts w:eastAsiaTheme="minorHAnsi"/>
          <w:sz w:val="28"/>
          <w:szCs w:val="28"/>
          <w:lang w:val="uk-UA" w:eastAsia="en-US"/>
        </w:rPr>
        <w:t xml:space="preserve">D., </w:t>
      </w:r>
      <w:hyperlink r:id="rId448" w:history="1">
        <w:r w:rsidR="00020FED" w:rsidRPr="002E6ECA">
          <w:rPr>
            <w:rFonts w:eastAsiaTheme="minorHAnsi"/>
            <w:sz w:val="28"/>
            <w:szCs w:val="28"/>
            <w:lang w:val="uk-UA" w:eastAsia="en-US"/>
          </w:rPr>
          <w:t>Del Pozo-Cruz</w:t>
        </w:r>
      </w:hyperlink>
      <w:r w:rsidR="00020FED" w:rsidRPr="002E6ECA">
        <w:rPr>
          <w:sz w:val="28"/>
          <w:szCs w:val="28"/>
          <w:lang w:val="uk-UA"/>
        </w:rPr>
        <w:t> </w:t>
      </w:r>
      <w:r w:rsidR="00020FED" w:rsidRPr="002E6ECA">
        <w:rPr>
          <w:rFonts w:eastAsiaTheme="minorHAnsi"/>
          <w:sz w:val="28"/>
          <w:szCs w:val="28"/>
          <w:lang w:val="uk-UA" w:eastAsia="en-US"/>
        </w:rPr>
        <w:t>B.,</w:t>
      </w:r>
      <w:hyperlink r:id="rId449" w:history="1">
        <w:r w:rsidR="00020FED" w:rsidRPr="002E6ECA">
          <w:rPr>
            <w:rFonts w:eastAsiaTheme="minorHAnsi"/>
            <w:sz w:val="28"/>
            <w:szCs w:val="28"/>
            <w:lang w:val="uk-UA" w:eastAsia="en-US"/>
          </w:rPr>
          <w:t xml:space="preserve"> Noetel</w:t>
        </w:r>
      </w:hyperlink>
      <w:r w:rsidR="00020FED" w:rsidRPr="002E6ECA">
        <w:rPr>
          <w:sz w:val="28"/>
          <w:szCs w:val="28"/>
          <w:lang w:val="uk-UA"/>
        </w:rPr>
        <w:t> </w:t>
      </w:r>
      <w:r w:rsidR="00020FED" w:rsidRPr="002E6ECA">
        <w:rPr>
          <w:rFonts w:eastAsiaTheme="minorHAnsi"/>
          <w:sz w:val="28"/>
          <w:szCs w:val="28"/>
          <w:lang w:val="uk-UA" w:eastAsia="en-US"/>
        </w:rPr>
        <w:t>M.,</w:t>
      </w:r>
      <w:hyperlink r:id="rId450" w:history="1">
        <w:r w:rsidR="00020FED" w:rsidRPr="002E6ECA">
          <w:rPr>
            <w:rFonts w:eastAsiaTheme="minorHAnsi"/>
            <w:sz w:val="28"/>
            <w:szCs w:val="28"/>
            <w:lang w:val="uk-UA" w:eastAsia="en-US"/>
          </w:rPr>
          <w:t xml:space="preserve"> Lonsdale</w:t>
        </w:r>
      </w:hyperlink>
      <w:r w:rsidR="00020FED" w:rsidRPr="002E6ECA">
        <w:rPr>
          <w:sz w:val="28"/>
          <w:szCs w:val="28"/>
          <w:lang w:val="uk-UA"/>
        </w:rPr>
        <w:t> </w:t>
      </w:r>
      <w:r w:rsidR="00020FED" w:rsidRPr="002E6ECA">
        <w:rPr>
          <w:rFonts w:eastAsiaTheme="minorHAnsi"/>
          <w:sz w:val="28"/>
          <w:szCs w:val="28"/>
          <w:lang w:val="uk-UA" w:eastAsia="en-US"/>
        </w:rPr>
        <w:t xml:space="preserve">C. Type of screen time moderates effects on outcomes in 4013 children: evidence from the Longitudinal Study of Australian Children. </w:t>
      </w:r>
      <w:r w:rsidR="00020FED" w:rsidRPr="002E6ECA">
        <w:rPr>
          <w:rFonts w:eastAsiaTheme="minorHAnsi"/>
          <w:i/>
          <w:sz w:val="28"/>
          <w:szCs w:val="28"/>
          <w:lang w:val="uk-UA" w:eastAsia="en-US"/>
        </w:rPr>
        <w:t>International Journal of Behavioral Nutrition and Physical Activity</w:t>
      </w:r>
      <w:r w:rsidR="00020FED" w:rsidRPr="002E6ECA">
        <w:rPr>
          <w:rFonts w:eastAsiaTheme="minorHAnsi"/>
          <w:sz w:val="28"/>
          <w:szCs w:val="28"/>
          <w:lang w:val="uk-UA" w:eastAsia="en-US"/>
        </w:rPr>
        <w:t xml:space="preserve">. 2019. Vol. 16 (1). 117. DOI: </w:t>
      </w:r>
      <w:hyperlink r:id="rId451" w:tgtFrame="_blank" w:history="1">
        <w:r w:rsidR="00020FED" w:rsidRPr="002E6ECA">
          <w:rPr>
            <w:rFonts w:eastAsiaTheme="minorHAnsi"/>
            <w:sz w:val="28"/>
            <w:szCs w:val="28"/>
            <w:lang w:val="uk-UA" w:eastAsia="en-US"/>
          </w:rPr>
          <w:t>10.1186/s12966-019-0881-7</w:t>
        </w:r>
      </w:hyperlink>
      <w:r w:rsidR="00020FED"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Sandhi</w:t>
      </w:r>
      <w:r w:rsidRPr="002E6ECA">
        <w:rPr>
          <w:sz w:val="28"/>
          <w:szCs w:val="28"/>
          <w:lang w:val="uk-UA"/>
        </w:rPr>
        <w:t> </w:t>
      </w:r>
      <w:r w:rsidRPr="002E6ECA">
        <w:rPr>
          <w:rFonts w:eastAsiaTheme="minorHAnsi"/>
          <w:sz w:val="28"/>
          <w:szCs w:val="28"/>
          <w:lang w:val="uk-UA" w:eastAsia="en-US"/>
        </w:rPr>
        <w:t>B., Figueiredo</w:t>
      </w:r>
      <w:r w:rsidRPr="002E6ECA">
        <w:rPr>
          <w:sz w:val="28"/>
          <w:szCs w:val="28"/>
          <w:lang w:val="uk-UA"/>
        </w:rPr>
        <w:t> </w:t>
      </w:r>
      <w:r w:rsidRPr="002E6ECA">
        <w:rPr>
          <w:rFonts w:eastAsiaTheme="minorHAnsi"/>
          <w:sz w:val="28"/>
          <w:szCs w:val="28"/>
          <w:lang w:val="uk-UA" w:eastAsia="en-US"/>
        </w:rPr>
        <w:t xml:space="preserve">M., Carvalho de R. Chronic diseases, self-perceived health status and health risk behaviors: gender differences. </w:t>
      </w:r>
      <w:r w:rsidRPr="002E6ECA">
        <w:rPr>
          <w:rFonts w:eastAsiaTheme="minorHAnsi"/>
          <w:i/>
          <w:sz w:val="28"/>
          <w:szCs w:val="28"/>
          <w:lang w:val="uk-UA" w:eastAsia="en-US"/>
        </w:rPr>
        <w:t>Rev. Saúde Pública [online]</w:t>
      </w:r>
      <w:r w:rsidRPr="002E6ECA">
        <w:rPr>
          <w:rFonts w:eastAsiaTheme="minorHAnsi"/>
          <w:sz w:val="28"/>
          <w:szCs w:val="28"/>
          <w:lang w:val="uk-UA" w:eastAsia="en-US"/>
        </w:rPr>
        <w:t xml:space="preserve">. 2009. Vol. 43, suppl. 2, Р. 38-47. ISSN 1518-8787. </w:t>
      </w:r>
      <w:hyperlink r:id="rId452" w:history="1">
        <w:r w:rsidRPr="002E6ECA">
          <w:rPr>
            <w:rFonts w:eastAsiaTheme="minorHAnsi"/>
            <w:sz w:val="28"/>
            <w:szCs w:val="28"/>
            <w:lang w:val="uk-UA" w:eastAsia="en-US"/>
          </w:rPr>
          <w:t>https://doi.org/10.1590/S0034-89102009000900006</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Sastre-Riba</w:t>
      </w:r>
      <w:r w:rsidRPr="002E6ECA">
        <w:rPr>
          <w:sz w:val="28"/>
          <w:szCs w:val="28"/>
          <w:lang w:val="uk-UA"/>
        </w:rPr>
        <w:t> </w:t>
      </w:r>
      <w:r w:rsidRPr="002E6ECA">
        <w:rPr>
          <w:rFonts w:eastAsiaTheme="minorHAnsi"/>
          <w:sz w:val="28"/>
          <w:szCs w:val="28"/>
          <w:lang w:val="uk-UA" w:eastAsia="en-US"/>
        </w:rPr>
        <w:t xml:space="preserve">S. Educational intervention for the expression of cognitive excellence. </w:t>
      </w:r>
      <w:r w:rsidRPr="002E6ECA">
        <w:rPr>
          <w:rFonts w:eastAsiaTheme="minorHAnsi"/>
          <w:i/>
          <w:sz w:val="28"/>
          <w:szCs w:val="28"/>
          <w:lang w:val="uk-UA" w:eastAsia="en-US"/>
        </w:rPr>
        <w:t>Revista de neurologia</w:t>
      </w:r>
      <w:r w:rsidRPr="002E6ECA">
        <w:rPr>
          <w:rFonts w:eastAsiaTheme="minorHAnsi"/>
          <w:sz w:val="28"/>
          <w:szCs w:val="28"/>
          <w:lang w:val="uk-UA" w:eastAsia="en-US"/>
        </w:rPr>
        <w:t>. 2015. 60 (Supl 1). Р. 87-94.</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53" w:history="1">
        <w:r w:rsidR="00020FED" w:rsidRPr="002E6ECA">
          <w:rPr>
            <w:rFonts w:eastAsiaTheme="minorHAnsi"/>
            <w:sz w:val="28"/>
            <w:szCs w:val="28"/>
            <w:lang w:val="uk-UA" w:eastAsia="en-US"/>
          </w:rPr>
          <w:t>Sastre-Riba</w:t>
        </w:r>
      </w:hyperlink>
      <w:r w:rsidR="00020FED" w:rsidRPr="002E6ECA">
        <w:rPr>
          <w:sz w:val="28"/>
          <w:szCs w:val="28"/>
          <w:lang w:val="uk-UA"/>
        </w:rPr>
        <w:t> </w:t>
      </w:r>
      <w:r w:rsidR="00020FED" w:rsidRPr="002E6ECA">
        <w:rPr>
          <w:rFonts w:eastAsiaTheme="minorHAnsi"/>
          <w:sz w:val="28"/>
          <w:szCs w:val="28"/>
          <w:lang w:val="uk-UA" w:eastAsia="en-US"/>
        </w:rPr>
        <w:t>S.,</w:t>
      </w:r>
      <w:hyperlink r:id="rId454" w:history="1">
        <w:r w:rsidR="00020FED" w:rsidRPr="002E6ECA">
          <w:rPr>
            <w:rFonts w:eastAsiaTheme="minorHAnsi"/>
            <w:sz w:val="28"/>
            <w:szCs w:val="28"/>
            <w:lang w:val="uk-UA" w:eastAsia="en-US"/>
          </w:rPr>
          <w:t xml:space="preserve"> Viana-Saenz</w:t>
        </w:r>
      </w:hyperlink>
      <w:r w:rsidR="00020FED" w:rsidRPr="002E6ECA">
        <w:rPr>
          <w:sz w:val="28"/>
          <w:szCs w:val="28"/>
          <w:lang w:val="uk-UA"/>
        </w:rPr>
        <w:t> </w:t>
      </w:r>
      <w:r w:rsidR="00020FED" w:rsidRPr="002E6ECA">
        <w:rPr>
          <w:rFonts w:eastAsiaTheme="minorHAnsi"/>
          <w:sz w:val="28"/>
          <w:szCs w:val="28"/>
          <w:lang w:val="uk-UA" w:eastAsia="en-US"/>
        </w:rPr>
        <w:t xml:space="preserve">L. Executive functions and high intellectual capacity. </w:t>
      </w:r>
      <w:r w:rsidR="00020FED" w:rsidRPr="002E6ECA">
        <w:rPr>
          <w:rFonts w:eastAsiaTheme="minorHAnsi"/>
          <w:i/>
          <w:sz w:val="28"/>
          <w:szCs w:val="28"/>
          <w:lang w:val="uk-UA" w:eastAsia="en-US"/>
        </w:rPr>
        <w:t>Rev Neurol</w:t>
      </w:r>
      <w:r w:rsidR="00020FED" w:rsidRPr="002E6ECA">
        <w:rPr>
          <w:rFonts w:eastAsiaTheme="minorHAnsi"/>
          <w:sz w:val="28"/>
          <w:szCs w:val="28"/>
          <w:lang w:val="uk-UA" w:eastAsia="en-US"/>
        </w:rPr>
        <w:t>. 2016. Vol. 62 Suppl 1. Р. 65-71. https://</w:t>
      </w:r>
      <w:r w:rsidR="00020FED" w:rsidRPr="002E6ECA">
        <w:rPr>
          <w:sz w:val="28"/>
          <w:szCs w:val="28"/>
          <w:lang w:val="en-US"/>
        </w:rPr>
        <w:t>doi.org/10.33588/rn.62S01.2016025</w:t>
      </w:r>
      <w:r w:rsidR="00020FED" w:rsidRPr="002E6ECA">
        <w:rPr>
          <w:rFonts w:eastAsiaTheme="minorHAnsi"/>
          <w:sz w:val="28"/>
          <w:szCs w:val="28"/>
          <w:lang w:val="uk-UA" w:eastAsia="en-US"/>
        </w:rPr>
        <w:t xml:space="preserve">.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55" w:history="1">
        <w:r w:rsidR="00020FED" w:rsidRPr="002E6ECA">
          <w:rPr>
            <w:rFonts w:eastAsiaTheme="minorHAnsi"/>
            <w:sz w:val="28"/>
            <w:szCs w:val="28"/>
            <w:lang w:val="uk-UA" w:eastAsia="en-US"/>
          </w:rPr>
          <w:t>Schmeer</w:t>
        </w:r>
        <w:r w:rsidR="00020FED" w:rsidRPr="002E6ECA">
          <w:rPr>
            <w:sz w:val="28"/>
            <w:szCs w:val="28"/>
            <w:lang w:val="uk-UA"/>
          </w:rPr>
          <w:t> </w:t>
        </w:r>
        <w:r w:rsidR="00020FED" w:rsidRPr="002E6ECA">
          <w:rPr>
            <w:rFonts w:eastAsiaTheme="minorHAnsi"/>
            <w:sz w:val="28"/>
            <w:szCs w:val="28"/>
            <w:lang w:val="uk-UA" w:eastAsia="en-US"/>
          </w:rPr>
          <w:t>K.</w:t>
        </w:r>
        <w:r w:rsidR="00020FED" w:rsidRPr="002E6ECA">
          <w:rPr>
            <w:sz w:val="28"/>
            <w:szCs w:val="28"/>
            <w:lang w:val="uk-UA"/>
          </w:rPr>
          <w:t> </w:t>
        </w:r>
        <w:r w:rsidR="00020FED" w:rsidRPr="002E6ECA">
          <w:rPr>
            <w:rFonts w:eastAsiaTheme="minorHAnsi"/>
            <w:sz w:val="28"/>
            <w:szCs w:val="28"/>
            <w:lang w:val="uk-UA" w:eastAsia="en-US"/>
          </w:rPr>
          <w:t>K</w:t>
        </w:r>
      </w:hyperlink>
      <w:r w:rsidR="00020FED" w:rsidRPr="002E6ECA">
        <w:rPr>
          <w:rFonts w:eastAsiaTheme="minorHAnsi"/>
          <w:sz w:val="28"/>
          <w:szCs w:val="28"/>
          <w:lang w:val="uk-UA" w:eastAsia="en-US"/>
        </w:rPr>
        <w:t xml:space="preserve">. Family structure and obesity in early childhood. </w:t>
      </w:r>
      <w:hyperlink r:id="rId456" w:tooltip="Social science research." w:history="1">
        <w:r w:rsidR="00020FED" w:rsidRPr="002E6ECA">
          <w:rPr>
            <w:rFonts w:eastAsiaTheme="minorHAnsi"/>
            <w:i/>
            <w:sz w:val="28"/>
            <w:szCs w:val="28"/>
            <w:lang w:val="uk-UA" w:eastAsia="en-US"/>
          </w:rPr>
          <w:t>Soc Sci Res</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2012. Vol. 41 (4). Р. 820-832. DOI:</w:t>
      </w:r>
      <w:hyperlink r:id="rId457" w:tgtFrame="_blank" w:history="1">
        <w:r w:rsidR="00020FED" w:rsidRPr="002E6ECA">
          <w:rPr>
            <w:rFonts w:eastAsiaTheme="minorHAnsi"/>
            <w:sz w:val="28"/>
            <w:szCs w:val="28"/>
            <w:lang w:val="uk-UA" w:eastAsia="en-US"/>
          </w:rPr>
          <w:t>10.1016/j.ssresearch.2012.01.007</w:t>
        </w:r>
      </w:hyperlink>
      <w:r w:rsidR="00020FED"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Schwabe</w:t>
      </w:r>
      <w:r w:rsidRPr="002E6ECA">
        <w:rPr>
          <w:sz w:val="28"/>
          <w:szCs w:val="28"/>
          <w:lang w:val="uk-UA"/>
        </w:rPr>
        <w:t> </w:t>
      </w:r>
      <w:r w:rsidRPr="002E6ECA">
        <w:rPr>
          <w:rFonts w:eastAsiaTheme="minorHAnsi"/>
          <w:sz w:val="28"/>
          <w:szCs w:val="28"/>
          <w:lang w:val="uk-UA" w:eastAsia="en-US"/>
        </w:rPr>
        <w:t>L., Wolf</w:t>
      </w:r>
      <w:r w:rsidRPr="002E6ECA">
        <w:rPr>
          <w:sz w:val="28"/>
          <w:szCs w:val="28"/>
          <w:lang w:val="uk-UA"/>
        </w:rPr>
        <w:t> </w:t>
      </w:r>
      <w:r w:rsidRPr="002E6ECA">
        <w:rPr>
          <w:rFonts w:eastAsiaTheme="minorHAnsi"/>
          <w:sz w:val="28"/>
          <w:szCs w:val="28"/>
          <w:lang w:val="uk-UA" w:eastAsia="en-US"/>
        </w:rPr>
        <w:t>O.</w:t>
      </w:r>
      <w:r w:rsidRPr="002E6ECA">
        <w:rPr>
          <w:sz w:val="28"/>
          <w:szCs w:val="28"/>
          <w:lang w:val="uk-UA"/>
        </w:rPr>
        <w:t> </w:t>
      </w:r>
      <w:r w:rsidRPr="002E6ECA">
        <w:rPr>
          <w:rFonts w:eastAsiaTheme="minorHAnsi"/>
          <w:sz w:val="28"/>
          <w:szCs w:val="28"/>
          <w:lang w:val="uk-UA" w:eastAsia="en-US"/>
        </w:rPr>
        <w:t xml:space="preserve">T. Learning under stress impairs memory formation. </w:t>
      </w:r>
      <w:r w:rsidRPr="002E6ECA">
        <w:rPr>
          <w:rFonts w:eastAsiaTheme="minorHAnsi"/>
          <w:i/>
          <w:sz w:val="28"/>
          <w:szCs w:val="28"/>
          <w:lang w:val="uk-UA" w:eastAsia="en-US"/>
        </w:rPr>
        <w:t>Neurobiology of learning and memory</w:t>
      </w:r>
      <w:r w:rsidRPr="002E6ECA">
        <w:rPr>
          <w:rFonts w:eastAsiaTheme="minorHAnsi"/>
          <w:sz w:val="28"/>
          <w:szCs w:val="28"/>
          <w:lang w:val="uk-UA" w:eastAsia="en-US"/>
        </w:rPr>
        <w:t xml:space="preserve">. 2010. Vol. 93 (2). Р. 183-188. </w:t>
      </w:r>
      <w:hyperlink r:id="rId458" w:tgtFrame="_blank" w:tooltip="Постоянная ссылка с использованием идентификатора цифрового объекта" w:history="1">
        <w:r w:rsidRPr="002E6ECA">
          <w:rPr>
            <w:rFonts w:eastAsiaTheme="minorHAnsi"/>
            <w:sz w:val="28"/>
            <w:szCs w:val="28"/>
            <w:lang w:val="uk-UA" w:eastAsia="en-US"/>
          </w:rPr>
          <w:t>https://doi.org/10.1016/j.nlm.2009.09.009</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Scrimin</w:t>
      </w:r>
      <w:r w:rsidRPr="002E6ECA">
        <w:rPr>
          <w:sz w:val="28"/>
          <w:szCs w:val="28"/>
          <w:lang w:val="uk-UA"/>
        </w:rPr>
        <w:t> </w:t>
      </w:r>
      <w:r w:rsidRPr="002E6ECA">
        <w:rPr>
          <w:rFonts w:eastAsiaTheme="minorHAnsi"/>
          <w:sz w:val="28"/>
          <w:szCs w:val="28"/>
          <w:lang w:val="uk-UA" w:eastAsia="en-US"/>
        </w:rPr>
        <w:t>S., Moscardino</w:t>
      </w:r>
      <w:r w:rsidRPr="002E6ECA">
        <w:rPr>
          <w:sz w:val="28"/>
          <w:szCs w:val="28"/>
          <w:lang w:val="uk-UA"/>
        </w:rPr>
        <w:t> </w:t>
      </w:r>
      <w:r w:rsidRPr="002E6ECA">
        <w:rPr>
          <w:rFonts w:eastAsiaTheme="minorHAnsi"/>
          <w:sz w:val="28"/>
          <w:szCs w:val="28"/>
          <w:lang w:val="uk-UA" w:eastAsia="en-US"/>
        </w:rPr>
        <w:t>U., Mason</w:t>
      </w:r>
      <w:r w:rsidRPr="002E6ECA">
        <w:rPr>
          <w:sz w:val="28"/>
          <w:szCs w:val="28"/>
          <w:lang w:val="uk-UA"/>
        </w:rPr>
        <w:t> </w:t>
      </w:r>
      <w:r w:rsidRPr="002E6ECA">
        <w:rPr>
          <w:rFonts w:eastAsiaTheme="minorHAnsi"/>
          <w:sz w:val="28"/>
          <w:szCs w:val="28"/>
          <w:lang w:val="uk-UA" w:eastAsia="en-US"/>
        </w:rPr>
        <w:t xml:space="preserve">L. Effects of psychophysiological reactivity to a school-related stressor and temperament on early adolescents’ academic performance. </w:t>
      </w:r>
      <w:r w:rsidRPr="002E6ECA">
        <w:rPr>
          <w:rFonts w:eastAsiaTheme="minorHAnsi"/>
          <w:i/>
          <w:sz w:val="28"/>
          <w:szCs w:val="28"/>
          <w:lang w:val="uk-UA" w:eastAsia="en-US"/>
        </w:rPr>
        <w:t>The Journal of Early Adolescence</w:t>
      </w:r>
      <w:r w:rsidRPr="002E6ECA">
        <w:rPr>
          <w:rFonts w:eastAsiaTheme="minorHAnsi"/>
          <w:sz w:val="28"/>
          <w:szCs w:val="28"/>
          <w:lang w:val="uk-UA" w:eastAsia="en-US"/>
        </w:rPr>
        <w:t xml:space="preserve">. 2019. Vol. 39 (6). Р. 904-931. </w:t>
      </w:r>
      <w:hyperlink r:id="rId459" w:history="1">
        <w:r w:rsidRPr="002E6ECA">
          <w:rPr>
            <w:rFonts w:eastAsiaTheme="minorHAnsi"/>
            <w:sz w:val="28"/>
            <w:szCs w:val="28"/>
            <w:lang w:val="uk-UA" w:eastAsia="en-US"/>
          </w:rPr>
          <w:t>https://doi.org/10.1177/0272431618797008</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Sharma</w:t>
      </w:r>
      <w:r w:rsidRPr="002E6ECA">
        <w:rPr>
          <w:sz w:val="28"/>
          <w:szCs w:val="28"/>
          <w:lang w:val="uk-UA"/>
        </w:rPr>
        <w:t> </w:t>
      </w:r>
      <w:r w:rsidRPr="002E6ECA">
        <w:rPr>
          <w:rFonts w:eastAsiaTheme="minorHAnsi"/>
          <w:sz w:val="28"/>
          <w:szCs w:val="28"/>
          <w:lang w:val="uk-UA" w:eastAsia="en-US"/>
        </w:rPr>
        <w:t>V.</w:t>
      </w:r>
      <w:r w:rsidRPr="002E6ECA">
        <w:rPr>
          <w:sz w:val="28"/>
          <w:szCs w:val="28"/>
          <w:lang w:val="uk-UA"/>
        </w:rPr>
        <w:t> </w:t>
      </w:r>
      <w:r w:rsidRPr="002E6ECA">
        <w:rPr>
          <w:rFonts w:eastAsiaTheme="minorHAnsi"/>
          <w:sz w:val="28"/>
          <w:szCs w:val="28"/>
          <w:lang w:val="uk-UA" w:eastAsia="en-US"/>
        </w:rPr>
        <w:t>K., Subramanian</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K., &amp; Rajendran</w:t>
      </w:r>
      <w:r w:rsidRPr="002E6ECA">
        <w:rPr>
          <w:sz w:val="28"/>
          <w:szCs w:val="28"/>
          <w:lang w:val="uk-UA"/>
        </w:rPr>
        <w:t> </w:t>
      </w:r>
      <w:r w:rsidRPr="002E6ECA">
        <w:rPr>
          <w:rFonts w:eastAsiaTheme="minorHAnsi"/>
          <w:sz w:val="28"/>
          <w:szCs w:val="28"/>
          <w:lang w:val="uk-UA" w:eastAsia="en-US"/>
        </w:rPr>
        <w:t xml:space="preserve">R. Heart rate variability in adolescents -normative data stratified by sex and physical activity. </w:t>
      </w:r>
      <w:r w:rsidRPr="002E6ECA">
        <w:rPr>
          <w:rFonts w:eastAsiaTheme="minorHAnsi"/>
          <w:i/>
          <w:sz w:val="28"/>
          <w:szCs w:val="28"/>
          <w:lang w:val="uk-UA" w:eastAsia="en-US"/>
        </w:rPr>
        <w:t>Journal of clinical and diagnostic research: JCDR</w:t>
      </w:r>
      <w:r w:rsidRPr="002E6ECA">
        <w:rPr>
          <w:rFonts w:eastAsiaTheme="minorHAnsi"/>
          <w:sz w:val="28"/>
          <w:szCs w:val="28"/>
          <w:lang w:val="uk-UA" w:eastAsia="en-US"/>
        </w:rPr>
        <w:t xml:space="preserve">. 2015. Vol. 9 (10). Р. CC08-CC13. </w:t>
      </w:r>
      <w:hyperlink r:id="rId460" w:history="1">
        <w:r w:rsidRPr="002E6ECA">
          <w:rPr>
            <w:rFonts w:eastAsiaTheme="minorHAnsi"/>
            <w:sz w:val="28"/>
            <w:szCs w:val="28"/>
            <w:lang w:val="uk-UA" w:eastAsia="en-US"/>
          </w:rPr>
          <w:t>https://doi.org/10.7860/JCDR/2015/15373.6662</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Shaw</w:t>
      </w:r>
      <w:r w:rsidRPr="002E6ECA">
        <w:rPr>
          <w:sz w:val="28"/>
          <w:szCs w:val="28"/>
          <w:lang w:val="uk-UA"/>
        </w:rPr>
        <w:t> </w:t>
      </w:r>
      <w:r w:rsidRPr="002E6ECA">
        <w:rPr>
          <w:rFonts w:eastAsiaTheme="minorHAnsi"/>
          <w:sz w:val="28"/>
          <w:szCs w:val="28"/>
          <w:lang w:val="uk-UA" w:eastAsia="en-US"/>
        </w:rPr>
        <w:t>P., Greenstein</w:t>
      </w:r>
      <w:r w:rsidRPr="002E6ECA">
        <w:rPr>
          <w:sz w:val="28"/>
          <w:szCs w:val="28"/>
          <w:lang w:val="uk-UA"/>
        </w:rPr>
        <w:t> </w:t>
      </w:r>
      <w:r w:rsidRPr="002E6ECA">
        <w:rPr>
          <w:rFonts w:eastAsiaTheme="minorHAnsi"/>
          <w:sz w:val="28"/>
          <w:szCs w:val="28"/>
          <w:lang w:val="uk-UA" w:eastAsia="en-US"/>
        </w:rPr>
        <w:t>D., Lerch</w:t>
      </w:r>
      <w:r w:rsidRPr="002E6ECA">
        <w:rPr>
          <w:sz w:val="28"/>
          <w:szCs w:val="28"/>
          <w:lang w:val="uk-UA"/>
        </w:rPr>
        <w:t> </w:t>
      </w:r>
      <w:r w:rsidRPr="002E6ECA">
        <w:rPr>
          <w:rFonts w:eastAsiaTheme="minorHAnsi"/>
          <w:sz w:val="28"/>
          <w:szCs w:val="28"/>
          <w:lang w:val="uk-UA" w:eastAsia="en-US"/>
        </w:rPr>
        <w:t>J., Clasen</w:t>
      </w:r>
      <w:r w:rsidRPr="002E6ECA">
        <w:rPr>
          <w:sz w:val="28"/>
          <w:szCs w:val="28"/>
          <w:lang w:val="uk-UA"/>
        </w:rPr>
        <w:t> </w:t>
      </w:r>
      <w:r w:rsidRPr="002E6ECA">
        <w:rPr>
          <w:rFonts w:eastAsiaTheme="minorHAnsi"/>
          <w:sz w:val="28"/>
          <w:szCs w:val="28"/>
          <w:lang w:val="uk-UA" w:eastAsia="en-US"/>
        </w:rPr>
        <w:t>L., Lenroot</w:t>
      </w:r>
      <w:r w:rsidRPr="002E6ECA">
        <w:rPr>
          <w:sz w:val="28"/>
          <w:szCs w:val="28"/>
          <w:lang w:val="uk-UA"/>
        </w:rPr>
        <w:t> </w:t>
      </w:r>
      <w:r w:rsidRPr="002E6ECA">
        <w:rPr>
          <w:rFonts w:eastAsiaTheme="minorHAnsi"/>
          <w:sz w:val="28"/>
          <w:szCs w:val="28"/>
          <w:lang w:val="uk-UA" w:eastAsia="en-US"/>
        </w:rPr>
        <w:t>R., Gogtay</w:t>
      </w:r>
      <w:r w:rsidRPr="002E6ECA">
        <w:rPr>
          <w:sz w:val="28"/>
          <w:szCs w:val="28"/>
          <w:lang w:val="uk-UA"/>
        </w:rPr>
        <w:t> </w:t>
      </w:r>
      <w:r w:rsidRPr="002E6ECA">
        <w:rPr>
          <w:rFonts w:eastAsiaTheme="minorHAnsi"/>
          <w:sz w:val="28"/>
          <w:szCs w:val="28"/>
          <w:lang w:val="uk-UA" w:eastAsia="en-US"/>
        </w:rPr>
        <w:t>N., Evans</w:t>
      </w:r>
      <w:r w:rsidRPr="002E6ECA">
        <w:rPr>
          <w:sz w:val="28"/>
          <w:szCs w:val="28"/>
          <w:lang w:val="uk-UA"/>
        </w:rPr>
        <w:t> </w:t>
      </w:r>
      <w:r w:rsidRPr="002E6ECA">
        <w:rPr>
          <w:rFonts w:eastAsiaTheme="minorHAnsi"/>
          <w:sz w:val="28"/>
          <w:szCs w:val="28"/>
          <w:lang w:val="uk-UA" w:eastAsia="en-US"/>
        </w:rPr>
        <w:t>A., Rapoport</w:t>
      </w:r>
      <w:r w:rsidRPr="002E6ECA">
        <w:rPr>
          <w:sz w:val="28"/>
          <w:szCs w:val="28"/>
          <w:lang w:val="uk-UA"/>
        </w:rPr>
        <w:t> </w:t>
      </w:r>
      <w:r w:rsidRPr="002E6ECA">
        <w:rPr>
          <w:rFonts w:eastAsiaTheme="minorHAnsi"/>
          <w:sz w:val="28"/>
          <w:szCs w:val="28"/>
          <w:lang w:val="uk-UA" w:eastAsia="en-US"/>
        </w:rPr>
        <w:t>J., Giedd</w:t>
      </w:r>
      <w:r w:rsidRPr="002E6ECA">
        <w:rPr>
          <w:sz w:val="28"/>
          <w:szCs w:val="28"/>
          <w:lang w:val="uk-UA"/>
        </w:rPr>
        <w:t> </w:t>
      </w:r>
      <w:r w:rsidRPr="002E6ECA">
        <w:rPr>
          <w:rFonts w:eastAsiaTheme="minorHAnsi"/>
          <w:sz w:val="28"/>
          <w:szCs w:val="28"/>
          <w:lang w:val="uk-UA" w:eastAsia="en-US"/>
        </w:rPr>
        <w:t xml:space="preserve">J. Intellectual ability and cortical development in children and adolescents. </w:t>
      </w:r>
      <w:r w:rsidRPr="002E6ECA">
        <w:rPr>
          <w:rFonts w:eastAsiaTheme="minorHAnsi"/>
          <w:i/>
          <w:sz w:val="28"/>
          <w:szCs w:val="28"/>
          <w:lang w:val="uk-UA" w:eastAsia="en-US"/>
        </w:rPr>
        <w:t>Nature</w:t>
      </w:r>
      <w:r w:rsidRPr="002E6ECA">
        <w:rPr>
          <w:rFonts w:eastAsiaTheme="minorHAnsi"/>
          <w:sz w:val="28"/>
          <w:szCs w:val="28"/>
          <w:lang w:val="uk-UA" w:eastAsia="en-US"/>
        </w:rPr>
        <w:t>. 2006. Vol. 440 (7084). Р. 676-679. https://doi.org/10.1038/nature04513.</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Shi</w:t>
      </w:r>
      <w:r w:rsidRPr="002E6ECA">
        <w:rPr>
          <w:sz w:val="28"/>
          <w:szCs w:val="28"/>
          <w:lang w:val="uk-UA"/>
        </w:rPr>
        <w:t> </w:t>
      </w:r>
      <w:r w:rsidRPr="002E6ECA">
        <w:rPr>
          <w:rFonts w:eastAsiaTheme="minorHAnsi"/>
          <w:sz w:val="28"/>
          <w:szCs w:val="28"/>
          <w:lang w:val="uk-UA" w:eastAsia="en-US"/>
        </w:rPr>
        <w:t>Y., Joyce</w:t>
      </w:r>
      <w:r w:rsidRPr="002E6ECA">
        <w:rPr>
          <w:sz w:val="28"/>
          <w:szCs w:val="28"/>
          <w:lang w:val="uk-UA"/>
        </w:rPr>
        <w:t> </w:t>
      </w:r>
      <w:r w:rsidRPr="002E6ECA">
        <w:rPr>
          <w:rFonts w:eastAsiaTheme="minorHAnsi"/>
          <w:sz w:val="28"/>
          <w:szCs w:val="28"/>
          <w:lang w:val="uk-UA" w:eastAsia="en-US"/>
        </w:rPr>
        <w:t>C., Wall</w:t>
      </w:r>
      <w:r w:rsidRPr="002E6ECA">
        <w:rPr>
          <w:sz w:val="28"/>
          <w:szCs w:val="28"/>
          <w:lang w:val="uk-UA"/>
        </w:rPr>
        <w:t> </w:t>
      </w:r>
      <w:r w:rsidRPr="002E6ECA">
        <w:rPr>
          <w:rFonts w:eastAsiaTheme="minorHAnsi"/>
          <w:sz w:val="28"/>
          <w:szCs w:val="28"/>
          <w:lang w:val="uk-UA" w:eastAsia="en-US"/>
        </w:rPr>
        <w:t>R., Orpana</w:t>
      </w:r>
      <w:r w:rsidRPr="002E6ECA">
        <w:rPr>
          <w:sz w:val="28"/>
          <w:szCs w:val="28"/>
          <w:lang w:val="uk-UA"/>
        </w:rPr>
        <w:t> </w:t>
      </w:r>
      <w:r w:rsidRPr="002E6ECA">
        <w:rPr>
          <w:rFonts w:eastAsiaTheme="minorHAnsi"/>
          <w:sz w:val="28"/>
          <w:szCs w:val="28"/>
          <w:lang w:val="uk-UA" w:eastAsia="en-US"/>
        </w:rPr>
        <w:t>H., Bancej</w:t>
      </w:r>
      <w:r w:rsidRPr="002E6ECA">
        <w:rPr>
          <w:sz w:val="28"/>
          <w:szCs w:val="28"/>
          <w:lang w:val="uk-UA"/>
        </w:rPr>
        <w:t> </w:t>
      </w:r>
      <w:r w:rsidRPr="002E6ECA">
        <w:rPr>
          <w:rFonts w:eastAsiaTheme="minorHAnsi"/>
          <w:sz w:val="28"/>
          <w:szCs w:val="28"/>
          <w:lang w:val="uk-UA" w:eastAsia="en-US"/>
        </w:rPr>
        <w:t xml:space="preserve">C. A life satisfaction approach to valuing the impact of health behaviours on subjective well-being. </w:t>
      </w:r>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2019. Vol. 19 (1). Р. 1547. doi: 10.1186/s12889-019-7896-5.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Siervogel</w:t>
      </w:r>
      <w:r w:rsidRPr="002E6ECA">
        <w:rPr>
          <w:sz w:val="28"/>
          <w:szCs w:val="28"/>
          <w:lang w:val="uk-UA"/>
        </w:rPr>
        <w:t> </w:t>
      </w:r>
      <w:r w:rsidRPr="002E6ECA">
        <w:rPr>
          <w:rFonts w:eastAsiaTheme="minorHAnsi"/>
          <w:sz w:val="28"/>
          <w:szCs w:val="28"/>
          <w:lang w:val="uk-UA" w:eastAsia="en-US"/>
        </w:rPr>
        <w:t>R.</w:t>
      </w:r>
      <w:r w:rsidRPr="002E6ECA">
        <w:rPr>
          <w:sz w:val="28"/>
          <w:szCs w:val="28"/>
          <w:lang w:val="uk-UA"/>
        </w:rPr>
        <w:t> </w:t>
      </w:r>
      <w:r w:rsidRPr="002E6ECA">
        <w:rPr>
          <w:rFonts w:eastAsiaTheme="minorHAnsi"/>
          <w:sz w:val="28"/>
          <w:szCs w:val="28"/>
          <w:lang w:val="uk-UA" w:eastAsia="en-US"/>
        </w:rPr>
        <w:t>M., Demerath</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W., Schubert</w:t>
      </w:r>
      <w:r w:rsidRPr="002E6ECA">
        <w:rPr>
          <w:sz w:val="28"/>
          <w:szCs w:val="28"/>
          <w:lang w:val="uk-UA"/>
        </w:rPr>
        <w:t> </w:t>
      </w:r>
      <w:r w:rsidRPr="002E6ECA">
        <w:rPr>
          <w:rFonts w:eastAsiaTheme="minorHAnsi"/>
          <w:sz w:val="28"/>
          <w:szCs w:val="28"/>
          <w:lang w:val="uk-UA" w:eastAsia="en-US"/>
        </w:rPr>
        <w:t>C., Remsberg</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E., Chumlea</w:t>
      </w:r>
      <w:r w:rsidRPr="002E6ECA">
        <w:rPr>
          <w:sz w:val="28"/>
          <w:szCs w:val="28"/>
          <w:lang w:val="uk-UA"/>
        </w:rPr>
        <w:t> </w:t>
      </w:r>
      <w:r w:rsidRPr="002E6ECA">
        <w:rPr>
          <w:rFonts w:eastAsiaTheme="minorHAnsi"/>
          <w:sz w:val="28"/>
          <w:szCs w:val="28"/>
          <w:lang w:val="uk-UA" w:eastAsia="en-US"/>
        </w:rPr>
        <w:t>W.</w:t>
      </w:r>
      <w:r w:rsidRPr="002E6ECA">
        <w:rPr>
          <w:sz w:val="28"/>
          <w:szCs w:val="28"/>
          <w:lang w:val="uk-UA"/>
        </w:rPr>
        <w:t> </w:t>
      </w:r>
      <w:r w:rsidRPr="002E6ECA">
        <w:rPr>
          <w:rFonts w:eastAsiaTheme="minorHAnsi"/>
          <w:sz w:val="28"/>
          <w:szCs w:val="28"/>
          <w:lang w:val="uk-UA" w:eastAsia="en-US"/>
        </w:rPr>
        <w:t>C., Sun</w:t>
      </w:r>
      <w:r w:rsidRPr="002E6ECA">
        <w:rPr>
          <w:sz w:val="28"/>
          <w:szCs w:val="28"/>
          <w:lang w:val="uk-UA"/>
        </w:rPr>
        <w:t> </w:t>
      </w:r>
      <w:r w:rsidRPr="002E6ECA">
        <w:rPr>
          <w:rFonts w:eastAsiaTheme="minorHAnsi"/>
          <w:sz w:val="28"/>
          <w:szCs w:val="28"/>
          <w:lang w:val="uk-UA" w:eastAsia="en-US"/>
        </w:rPr>
        <w:t>S., Czerwinski</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A., Towne</w:t>
      </w:r>
      <w:r w:rsidRPr="002E6ECA">
        <w:rPr>
          <w:sz w:val="28"/>
          <w:szCs w:val="28"/>
          <w:lang w:val="uk-UA"/>
        </w:rPr>
        <w:t> </w:t>
      </w:r>
      <w:r w:rsidRPr="002E6ECA">
        <w:rPr>
          <w:rFonts w:eastAsiaTheme="minorHAnsi"/>
          <w:sz w:val="28"/>
          <w:szCs w:val="28"/>
          <w:lang w:val="uk-UA" w:eastAsia="en-US"/>
        </w:rPr>
        <w:t xml:space="preserve">B. Puberty and Body Composition. </w:t>
      </w:r>
      <w:r w:rsidRPr="002E6ECA">
        <w:rPr>
          <w:rFonts w:eastAsiaTheme="minorHAnsi"/>
          <w:i/>
          <w:sz w:val="28"/>
          <w:szCs w:val="28"/>
          <w:lang w:val="uk-UA" w:eastAsia="en-US"/>
        </w:rPr>
        <w:t>Horm Res</w:t>
      </w:r>
      <w:r w:rsidRPr="002E6ECA">
        <w:rPr>
          <w:rFonts w:eastAsiaTheme="minorHAnsi"/>
          <w:sz w:val="28"/>
          <w:szCs w:val="28"/>
          <w:lang w:val="uk-UA" w:eastAsia="en-US"/>
        </w:rPr>
        <w:t>. 2003. Vol. 60 (suppl 1). P. 36-45. DOI: 10.1159/000071224.</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Sigvartsen</w:t>
      </w:r>
      <w:r w:rsidRPr="002E6ECA">
        <w:rPr>
          <w:sz w:val="28"/>
          <w:szCs w:val="28"/>
          <w:lang w:val="uk-UA"/>
        </w:rPr>
        <w:t> </w:t>
      </w:r>
      <w:r w:rsidRPr="002E6ECA">
        <w:rPr>
          <w:rFonts w:eastAsiaTheme="minorHAnsi"/>
          <w:sz w:val="28"/>
          <w:szCs w:val="28"/>
          <w:lang w:val="uk-UA" w:eastAsia="en-US"/>
        </w:rPr>
        <w:t>J., Gabrielsen</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E., Abildsnes</w:t>
      </w:r>
      <w:r w:rsidRPr="002E6ECA">
        <w:rPr>
          <w:sz w:val="28"/>
          <w:szCs w:val="28"/>
          <w:lang w:val="uk-UA"/>
        </w:rPr>
        <w:t> </w:t>
      </w:r>
      <w:r w:rsidRPr="002E6ECA">
        <w:rPr>
          <w:rFonts w:eastAsiaTheme="minorHAnsi"/>
          <w:sz w:val="28"/>
          <w:szCs w:val="28"/>
          <w:lang w:val="uk-UA" w:eastAsia="en-US"/>
        </w:rPr>
        <w:t>E., Stea</w:t>
      </w:r>
      <w:r w:rsidRPr="002E6ECA">
        <w:rPr>
          <w:sz w:val="28"/>
          <w:szCs w:val="28"/>
          <w:lang w:val="uk-UA"/>
        </w:rPr>
        <w:t> </w:t>
      </w:r>
      <w:r w:rsidRPr="002E6ECA">
        <w:rPr>
          <w:rFonts w:eastAsiaTheme="minorHAnsi"/>
          <w:sz w:val="28"/>
          <w:szCs w:val="28"/>
          <w:lang w:val="uk-UA" w:eastAsia="en-US"/>
        </w:rPr>
        <w:t>T.</w:t>
      </w:r>
      <w:r w:rsidRPr="002E6ECA">
        <w:rPr>
          <w:sz w:val="28"/>
          <w:szCs w:val="28"/>
          <w:lang w:val="uk-UA"/>
        </w:rPr>
        <w:t> </w:t>
      </w:r>
      <w:r w:rsidRPr="002E6ECA">
        <w:rPr>
          <w:rFonts w:eastAsiaTheme="minorHAnsi"/>
          <w:sz w:val="28"/>
          <w:szCs w:val="28"/>
          <w:lang w:val="uk-UA" w:eastAsia="en-US"/>
        </w:rPr>
        <w:t>H., Omfjord</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S., Rohde</w:t>
      </w:r>
      <w:r w:rsidRPr="002E6ECA">
        <w:rPr>
          <w:sz w:val="28"/>
          <w:szCs w:val="28"/>
          <w:lang w:val="uk-UA"/>
        </w:rPr>
        <w:t> </w:t>
      </w:r>
      <w:r w:rsidRPr="002E6ECA">
        <w:rPr>
          <w:rFonts w:eastAsiaTheme="minorHAnsi"/>
          <w:sz w:val="28"/>
          <w:szCs w:val="28"/>
          <w:lang w:val="uk-UA" w:eastAsia="en-US"/>
        </w:rPr>
        <w:t xml:space="preserve">G. </w:t>
      </w:r>
      <w:hyperlink r:id="rId461" w:history="1">
        <w:r w:rsidRPr="002E6ECA">
          <w:rPr>
            <w:rFonts w:eastAsiaTheme="minorHAnsi"/>
            <w:sz w:val="28"/>
            <w:szCs w:val="28"/>
            <w:lang w:val="uk-UA" w:eastAsia="en-US"/>
          </w:rPr>
          <w:t xml:space="preserve">Exploring the relationship between physical activity, life goals and health-related quality of life among high school students: a cross-sectional study. </w:t>
        </w:r>
      </w:hyperlink>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2016. Vol. 15. 709. doi: 10.1186/s12889-016-3407-0. </w:t>
      </w:r>
    </w:p>
    <w:p w:rsidR="00020FED" w:rsidRPr="002E6ECA" w:rsidRDefault="00020FED" w:rsidP="00020FED">
      <w:pPr>
        <w:numPr>
          <w:ilvl w:val="0"/>
          <w:numId w:val="72"/>
        </w:numPr>
        <w:spacing w:line="360" w:lineRule="auto"/>
        <w:ind w:left="0" w:firstLine="709"/>
        <w:contextualSpacing/>
        <w:jc w:val="both"/>
        <w:rPr>
          <w:rFonts w:eastAsiaTheme="minorHAnsi"/>
          <w:bCs/>
          <w:sz w:val="28"/>
          <w:szCs w:val="28"/>
          <w:lang w:val="uk-UA" w:eastAsia="en-US"/>
        </w:rPr>
      </w:pPr>
      <w:r w:rsidRPr="002E6ECA">
        <w:rPr>
          <w:sz w:val="28"/>
          <w:szCs w:val="28"/>
          <w:shd w:val="clear" w:color="auto" w:fill="FFFFFF"/>
          <w:lang w:val="en-US"/>
        </w:rPr>
        <w:t>Silvetti</w:t>
      </w:r>
      <w:r w:rsidRPr="002E6ECA">
        <w:rPr>
          <w:sz w:val="28"/>
          <w:szCs w:val="28"/>
          <w:lang w:val="uk-UA"/>
        </w:rPr>
        <w:t> </w:t>
      </w:r>
      <w:r w:rsidRPr="002E6ECA">
        <w:rPr>
          <w:sz w:val="28"/>
          <w:szCs w:val="28"/>
          <w:shd w:val="clear" w:color="auto" w:fill="FFFFFF"/>
          <w:lang w:val="en-US"/>
        </w:rPr>
        <w:t>M.</w:t>
      </w:r>
      <w:r w:rsidRPr="002E6ECA">
        <w:rPr>
          <w:sz w:val="28"/>
          <w:szCs w:val="28"/>
          <w:lang w:val="uk-UA"/>
        </w:rPr>
        <w:t> </w:t>
      </w:r>
      <w:r w:rsidRPr="002E6ECA">
        <w:rPr>
          <w:sz w:val="28"/>
          <w:szCs w:val="28"/>
          <w:shd w:val="clear" w:color="auto" w:fill="FFFFFF"/>
          <w:lang w:val="en-US"/>
        </w:rPr>
        <w:t>S., Drago</w:t>
      </w:r>
      <w:r w:rsidRPr="002E6ECA">
        <w:rPr>
          <w:sz w:val="28"/>
          <w:szCs w:val="28"/>
          <w:lang w:val="uk-UA"/>
        </w:rPr>
        <w:t> </w:t>
      </w:r>
      <w:r w:rsidRPr="002E6ECA">
        <w:rPr>
          <w:sz w:val="28"/>
          <w:szCs w:val="28"/>
          <w:shd w:val="clear" w:color="auto" w:fill="FFFFFF"/>
          <w:lang w:val="en-US"/>
        </w:rPr>
        <w:t>F., Ragonese</w:t>
      </w:r>
      <w:r w:rsidRPr="002E6ECA">
        <w:rPr>
          <w:sz w:val="28"/>
          <w:szCs w:val="28"/>
          <w:lang w:val="uk-UA"/>
        </w:rPr>
        <w:t> </w:t>
      </w:r>
      <w:r w:rsidRPr="002E6ECA">
        <w:rPr>
          <w:sz w:val="28"/>
          <w:szCs w:val="28"/>
          <w:shd w:val="clear" w:color="auto" w:fill="FFFFFF"/>
          <w:lang w:val="en-US"/>
        </w:rPr>
        <w:t xml:space="preserve">P. Heart rate variability in healthy children and adolescents is partially related to age and gender. </w:t>
      </w:r>
      <w:r w:rsidRPr="002E6ECA">
        <w:rPr>
          <w:i/>
          <w:iCs/>
          <w:sz w:val="28"/>
          <w:szCs w:val="28"/>
          <w:shd w:val="clear" w:color="auto" w:fill="FFFFFF"/>
          <w:lang w:val="en-US"/>
        </w:rPr>
        <w:t xml:space="preserve">International journal </w:t>
      </w:r>
      <w:r w:rsidRPr="002E6ECA">
        <w:rPr>
          <w:i/>
          <w:iCs/>
          <w:sz w:val="28"/>
          <w:szCs w:val="28"/>
          <w:shd w:val="clear" w:color="auto" w:fill="FFFFFF"/>
          <w:lang w:val="en-US"/>
        </w:rPr>
        <w:lastRenderedPageBreak/>
        <w:t>of cardiology</w:t>
      </w:r>
      <w:r w:rsidRPr="002E6ECA">
        <w:rPr>
          <w:sz w:val="28"/>
          <w:szCs w:val="28"/>
          <w:shd w:val="clear" w:color="auto" w:fill="FFFFFF"/>
          <w:lang w:val="en-US"/>
        </w:rPr>
        <w:t xml:space="preserve">. 2001. Vol. </w:t>
      </w:r>
      <w:r w:rsidRPr="002E6ECA">
        <w:rPr>
          <w:iCs/>
          <w:sz w:val="28"/>
          <w:szCs w:val="28"/>
          <w:shd w:val="clear" w:color="auto" w:fill="FFFFFF"/>
          <w:lang w:val="en-US"/>
        </w:rPr>
        <w:t>81</w:t>
      </w:r>
      <w:r w:rsidRPr="002E6ECA">
        <w:rPr>
          <w:iCs/>
          <w:sz w:val="28"/>
          <w:szCs w:val="28"/>
          <w:shd w:val="clear" w:color="auto" w:fill="FFFFFF"/>
          <w:lang w:val="uk-UA"/>
        </w:rPr>
        <w:t xml:space="preserve"> </w:t>
      </w:r>
      <w:r w:rsidRPr="002E6ECA">
        <w:rPr>
          <w:sz w:val="28"/>
          <w:szCs w:val="28"/>
          <w:shd w:val="clear" w:color="auto" w:fill="FFFFFF"/>
          <w:lang w:val="en-US"/>
        </w:rPr>
        <w:t xml:space="preserve">(2-3). </w:t>
      </w:r>
      <w:r w:rsidRPr="002E6ECA">
        <w:rPr>
          <w:sz w:val="28"/>
          <w:szCs w:val="28"/>
          <w:shd w:val="clear" w:color="auto" w:fill="FFFFFF"/>
        </w:rPr>
        <w:t>Р</w:t>
      </w:r>
      <w:r w:rsidRPr="002E6ECA">
        <w:rPr>
          <w:sz w:val="28"/>
          <w:szCs w:val="28"/>
          <w:shd w:val="clear" w:color="auto" w:fill="FFFFFF"/>
          <w:lang w:val="en-US"/>
        </w:rPr>
        <w:t>. 169-174. https://doi.org/10.1016/s0167-5273(01)00537-x.</w:t>
      </w:r>
      <w:r w:rsidRPr="002E6ECA">
        <w:rPr>
          <w:rFonts w:eastAsiaTheme="minorHAnsi"/>
          <w:bCs/>
          <w:sz w:val="28"/>
          <w:szCs w:val="28"/>
          <w:lang w:val="uk-UA" w:eastAsia="en-US"/>
        </w:rPr>
        <w:t xml:space="preserve">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62" w:history="1">
        <w:r w:rsidR="00020FED" w:rsidRPr="002E6ECA">
          <w:rPr>
            <w:rFonts w:eastAsiaTheme="minorHAnsi"/>
            <w:sz w:val="28"/>
            <w:szCs w:val="28"/>
            <w:lang w:val="uk-UA" w:eastAsia="en-US"/>
          </w:rPr>
          <w:t>Song</w:t>
        </w:r>
        <w:r w:rsidR="00020FED" w:rsidRPr="002E6ECA">
          <w:rPr>
            <w:sz w:val="28"/>
            <w:szCs w:val="28"/>
            <w:lang w:val="uk-UA"/>
          </w:rPr>
          <w:t> </w:t>
        </w:r>
        <w:r w:rsidR="00020FED" w:rsidRPr="002E6ECA">
          <w:rPr>
            <w:rFonts w:eastAsiaTheme="minorHAnsi"/>
            <w:sz w:val="28"/>
            <w:szCs w:val="28"/>
            <w:lang w:val="uk-UA" w:eastAsia="en-US"/>
          </w:rPr>
          <w:t>P</w:t>
        </w:r>
      </w:hyperlink>
      <w:r w:rsidR="00020FED" w:rsidRPr="002E6ECA">
        <w:rPr>
          <w:rFonts w:eastAsiaTheme="minorHAnsi"/>
          <w:sz w:val="28"/>
          <w:szCs w:val="28"/>
          <w:lang w:val="uk-UA" w:eastAsia="en-US"/>
        </w:rPr>
        <w:t xml:space="preserve">., </w:t>
      </w:r>
      <w:hyperlink r:id="rId463" w:history="1">
        <w:r w:rsidR="00020FED" w:rsidRPr="002E6ECA">
          <w:rPr>
            <w:rFonts w:eastAsiaTheme="minorHAnsi"/>
            <w:sz w:val="28"/>
            <w:szCs w:val="28"/>
            <w:lang w:val="uk-UA" w:eastAsia="en-US"/>
          </w:rPr>
          <w:t>Li</w:t>
        </w:r>
        <w:r w:rsidR="00020FED" w:rsidRPr="002E6ECA">
          <w:rPr>
            <w:sz w:val="28"/>
            <w:szCs w:val="28"/>
            <w:lang w:val="uk-UA"/>
          </w:rPr>
          <w:t> </w:t>
        </w:r>
        <w:r w:rsidR="00020FED" w:rsidRPr="002E6ECA">
          <w:rPr>
            <w:rFonts w:eastAsiaTheme="minorHAnsi"/>
            <w:sz w:val="28"/>
            <w:szCs w:val="28"/>
            <w:lang w:val="uk-UA" w:eastAsia="en-US"/>
          </w:rPr>
          <w:t>X</w:t>
        </w:r>
      </w:hyperlink>
      <w:r w:rsidR="00020FED" w:rsidRPr="002E6ECA">
        <w:rPr>
          <w:rFonts w:eastAsiaTheme="minorHAnsi"/>
          <w:sz w:val="28"/>
          <w:szCs w:val="28"/>
          <w:lang w:val="uk-UA" w:eastAsia="en-US"/>
        </w:rPr>
        <w:t xml:space="preserve">., </w:t>
      </w:r>
      <w:hyperlink r:id="rId464" w:history="1">
        <w:r w:rsidR="00020FED" w:rsidRPr="002E6ECA">
          <w:rPr>
            <w:rFonts w:eastAsiaTheme="minorHAnsi"/>
            <w:sz w:val="28"/>
            <w:szCs w:val="28"/>
            <w:lang w:val="uk-UA" w:eastAsia="en-US"/>
          </w:rPr>
          <w:t>Gasevic</w:t>
        </w:r>
        <w:r w:rsidR="00020FED" w:rsidRPr="002E6ECA">
          <w:rPr>
            <w:sz w:val="28"/>
            <w:szCs w:val="28"/>
            <w:lang w:val="uk-UA"/>
          </w:rPr>
          <w:t> </w:t>
        </w:r>
        <w:r w:rsidR="00020FED" w:rsidRPr="002E6ECA">
          <w:rPr>
            <w:rFonts w:eastAsiaTheme="minorHAnsi"/>
            <w:sz w:val="28"/>
            <w:szCs w:val="28"/>
            <w:lang w:val="uk-UA" w:eastAsia="en-US"/>
          </w:rPr>
          <w:t>D</w:t>
        </w:r>
      </w:hyperlink>
      <w:r w:rsidR="00020FED" w:rsidRPr="002E6ECA">
        <w:rPr>
          <w:rFonts w:eastAsiaTheme="minorHAnsi"/>
          <w:sz w:val="28"/>
          <w:szCs w:val="28"/>
          <w:lang w:val="uk-UA" w:eastAsia="en-US"/>
        </w:rPr>
        <w:t xml:space="preserve">., </w:t>
      </w:r>
      <w:hyperlink r:id="rId465" w:history="1">
        <w:r w:rsidR="00020FED" w:rsidRPr="002E6ECA">
          <w:rPr>
            <w:rFonts w:eastAsiaTheme="minorHAnsi"/>
            <w:sz w:val="28"/>
            <w:szCs w:val="28"/>
            <w:lang w:val="uk-UA" w:eastAsia="en-US"/>
          </w:rPr>
          <w:t>Flores</w:t>
        </w:r>
        <w:r w:rsidR="00020FED" w:rsidRPr="002E6ECA">
          <w:rPr>
            <w:sz w:val="28"/>
            <w:szCs w:val="28"/>
            <w:lang w:val="uk-UA"/>
          </w:rPr>
          <w:t> </w:t>
        </w:r>
        <w:r w:rsidR="00020FED" w:rsidRPr="002E6ECA">
          <w:rPr>
            <w:rFonts w:eastAsiaTheme="minorHAnsi"/>
            <w:sz w:val="28"/>
            <w:szCs w:val="28"/>
            <w:lang w:val="uk-UA" w:eastAsia="en-US"/>
          </w:rPr>
          <w:t>A.</w:t>
        </w:r>
        <w:r w:rsidR="00020FED" w:rsidRPr="002E6ECA">
          <w:rPr>
            <w:sz w:val="28"/>
            <w:szCs w:val="28"/>
            <w:lang w:val="uk-UA"/>
          </w:rPr>
          <w:t> </w:t>
        </w:r>
        <w:r w:rsidR="00020FED" w:rsidRPr="002E6ECA">
          <w:rPr>
            <w:rFonts w:eastAsiaTheme="minorHAnsi"/>
            <w:sz w:val="28"/>
            <w:szCs w:val="28"/>
            <w:lang w:val="uk-UA" w:eastAsia="en-US"/>
          </w:rPr>
          <w:t>B</w:t>
        </w:r>
      </w:hyperlink>
      <w:r w:rsidR="00020FED" w:rsidRPr="002E6ECA">
        <w:rPr>
          <w:rFonts w:eastAsiaTheme="minorHAnsi"/>
          <w:sz w:val="28"/>
          <w:szCs w:val="28"/>
          <w:lang w:val="uk-UA" w:eastAsia="en-US"/>
        </w:rPr>
        <w:t xml:space="preserve">., </w:t>
      </w:r>
      <w:hyperlink r:id="rId466" w:history="1">
        <w:r w:rsidR="00020FED" w:rsidRPr="002E6ECA">
          <w:rPr>
            <w:rFonts w:eastAsiaTheme="minorHAnsi"/>
            <w:sz w:val="28"/>
            <w:szCs w:val="28"/>
            <w:lang w:val="uk-UA" w:eastAsia="en-US"/>
          </w:rPr>
          <w:t>Yu</w:t>
        </w:r>
        <w:r w:rsidR="00020FED" w:rsidRPr="002E6ECA">
          <w:rPr>
            <w:sz w:val="28"/>
            <w:szCs w:val="28"/>
            <w:lang w:val="uk-UA"/>
          </w:rPr>
          <w:t> </w:t>
        </w:r>
        <w:r w:rsidR="00020FED" w:rsidRPr="002E6ECA">
          <w:rPr>
            <w:rFonts w:eastAsiaTheme="minorHAnsi"/>
            <w:sz w:val="28"/>
            <w:szCs w:val="28"/>
            <w:lang w:val="uk-UA" w:eastAsia="en-US"/>
          </w:rPr>
          <w:t>Z</w:t>
        </w:r>
      </w:hyperlink>
      <w:r w:rsidR="00020FED" w:rsidRPr="002E6ECA">
        <w:rPr>
          <w:rFonts w:eastAsiaTheme="minorHAnsi"/>
          <w:sz w:val="28"/>
          <w:szCs w:val="28"/>
          <w:lang w:val="uk-UA" w:eastAsia="en-US"/>
        </w:rPr>
        <w:t xml:space="preserve">. BMI, waist circumference reference values for chinese school-aged children and adolescents. </w:t>
      </w:r>
      <w:hyperlink r:id="rId467" w:tooltip="International journal of environmental research and public health." w:history="1">
        <w:r w:rsidR="00020FED" w:rsidRPr="002E6ECA">
          <w:rPr>
            <w:rFonts w:eastAsiaTheme="minorHAnsi"/>
            <w:sz w:val="28"/>
            <w:szCs w:val="28"/>
            <w:lang w:val="uk-UA" w:eastAsia="en-US"/>
          </w:rPr>
          <w:t>I</w:t>
        </w:r>
        <w:r w:rsidR="00020FED" w:rsidRPr="002E6ECA">
          <w:rPr>
            <w:rFonts w:eastAsiaTheme="minorHAnsi"/>
            <w:i/>
            <w:sz w:val="28"/>
            <w:szCs w:val="28"/>
            <w:lang w:val="uk-UA" w:eastAsia="en-US"/>
          </w:rPr>
          <w:t>nt J Environ Res Public Health</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2016. Vol. 13 (6). E589. doi: 10.3390/ijerph13060589. </w:t>
      </w:r>
    </w:p>
    <w:p w:rsidR="00020FED" w:rsidRPr="002E6ECA" w:rsidRDefault="00020FED" w:rsidP="00020FED">
      <w:pPr>
        <w:pStyle w:val="a3"/>
        <w:numPr>
          <w:ilvl w:val="0"/>
          <w:numId w:val="72"/>
        </w:numPr>
        <w:spacing w:line="360" w:lineRule="auto"/>
        <w:ind w:left="0" w:firstLine="709"/>
        <w:jc w:val="both"/>
        <w:rPr>
          <w:sz w:val="28"/>
          <w:szCs w:val="28"/>
          <w:lang w:val="en-US"/>
        </w:rPr>
      </w:pPr>
      <w:r w:rsidRPr="002E6ECA">
        <w:rPr>
          <w:sz w:val="28"/>
          <w:szCs w:val="28"/>
          <w:lang w:val="en-US"/>
        </w:rPr>
        <w:t>Sotnikova</w:t>
      </w:r>
      <w:r w:rsidRPr="002E6ECA">
        <w:rPr>
          <w:sz w:val="28"/>
          <w:szCs w:val="28"/>
          <w:lang w:val="uk-UA"/>
        </w:rPr>
        <w:t>-</w:t>
      </w:r>
      <w:r w:rsidRPr="002E6ECA">
        <w:rPr>
          <w:sz w:val="28"/>
          <w:szCs w:val="28"/>
          <w:lang w:val="en-US"/>
        </w:rPr>
        <w:t>Meleshkina</w:t>
      </w:r>
      <w:r w:rsidRPr="002E6ECA">
        <w:rPr>
          <w:sz w:val="28"/>
          <w:szCs w:val="28"/>
          <w:lang w:val="uk-UA"/>
        </w:rPr>
        <w:t> </w:t>
      </w:r>
      <w:r w:rsidRPr="002E6ECA">
        <w:rPr>
          <w:sz w:val="28"/>
          <w:szCs w:val="28"/>
          <w:lang w:val="en-US"/>
        </w:rPr>
        <w:t>Zh</w:t>
      </w:r>
      <w:r w:rsidRPr="002E6ECA">
        <w:rPr>
          <w:sz w:val="28"/>
          <w:szCs w:val="28"/>
          <w:lang w:val="uk-UA"/>
        </w:rPr>
        <w:t>. </w:t>
      </w:r>
      <w:r w:rsidRPr="002E6ECA">
        <w:rPr>
          <w:sz w:val="28"/>
          <w:szCs w:val="28"/>
          <w:lang w:val="en-US"/>
        </w:rPr>
        <w:t>V</w:t>
      </w:r>
      <w:r w:rsidRPr="002E6ECA">
        <w:rPr>
          <w:sz w:val="28"/>
          <w:szCs w:val="28"/>
          <w:lang w:val="uk-UA"/>
        </w:rPr>
        <w:t xml:space="preserve">. </w:t>
      </w:r>
      <w:r w:rsidRPr="002E6ECA">
        <w:rPr>
          <w:bCs/>
          <w:sz w:val="28"/>
          <w:szCs w:val="28"/>
          <w:shd w:val="clear" w:color="auto" w:fill="FFFFFF"/>
          <w:lang w:val="en-US"/>
        </w:rPr>
        <w:t>The</w:t>
      </w:r>
      <w:r w:rsidRPr="002E6ECA">
        <w:rPr>
          <w:bCs/>
          <w:sz w:val="28"/>
          <w:szCs w:val="28"/>
          <w:shd w:val="clear" w:color="auto" w:fill="FFFFFF"/>
          <w:lang w:val="uk-UA"/>
        </w:rPr>
        <w:t xml:space="preserve"> </w:t>
      </w:r>
      <w:r w:rsidRPr="002E6ECA">
        <w:rPr>
          <w:bCs/>
          <w:sz w:val="28"/>
          <w:szCs w:val="28"/>
          <w:shd w:val="clear" w:color="auto" w:fill="FFFFFF"/>
          <w:lang w:val="en-US"/>
        </w:rPr>
        <w:t>structure</w:t>
      </w:r>
      <w:r w:rsidRPr="002E6ECA">
        <w:rPr>
          <w:bCs/>
          <w:sz w:val="28"/>
          <w:szCs w:val="28"/>
          <w:shd w:val="clear" w:color="auto" w:fill="FFFFFF"/>
          <w:lang w:val="uk-UA"/>
        </w:rPr>
        <w:t xml:space="preserve"> </w:t>
      </w:r>
      <w:r w:rsidRPr="002E6ECA">
        <w:rPr>
          <w:bCs/>
          <w:sz w:val="28"/>
          <w:szCs w:val="28"/>
          <w:shd w:val="clear" w:color="auto" w:fill="FFFFFF"/>
          <w:lang w:val="en-US"/>
        </w:rPr>
        <w:t>of</w:t>
      </w:r>
      <w:r w:rsidRPr="002E6ECA">
        <w:rPr>
          <w:bCs/>
          <w:sz w:val="28"/>
          <w:szCs w:val="28"/>
          <w:shd w:val="clear" w:color="auto" w:fill="FFFFFF"/>
          <w:lang w:val="uk-UA"/>
        </w:rPr>
        <w:t xml:space="preserve"> </w:t>
      </w:r>
      <w:r w:rsidRPr="002E6ECA">
        <w:rPr>
          <w:bCs/>
          <w:sz w:val="28"/>
          <w:szCs w:val="28"/>
          <w:shd w:val="clear" w:color="auto" w:fill="FFFFFF"/>
          <w:lang w:val="en-US"/>
        </w:rPr>
        <w:t>morbidity</w:t>
      </w:r>
      <w:r w:rsidRPr="002E6ECA">
        <w:rPr>
          <w:bCs/>
          <w:sz w:val="28"/>
          <w:szCs w:val="28"/>
          <w:shd w:val="clear" w:color="auto" w:fill="FFFFFF"/>
          <w:lang w:val="uk-UA"/>
        </w:rPr>
        <w:t xml:space="preserve"> </w:t>
      </w:r>
      <w:r w:rsidRPr="002E6ECA">
        <w:rPr>
          <w:bCs/>
          <w:sz w:val="28"/>
          <w:szCs w:val="28"/>
          <w:shd w:val="clear" w:color="auto" w:fill="FFFFFF"/>
          <w:lang w:val="en-US"/>
        </w:rPr>
        <w:t>of</w:t>
      </w:r>
      <w:r w:rsidRPr="002E6ECA">
        <w:rPr>
          <w:bCs/>
          <w:sz w:val="28"/>
          <w:szCs w:val="28"/>
          <w:shd w:val="clear" w:color="auto" w:fill="FFFFFF"/>
          <w:lang w:val="uk-UA"/>
        </w:rPr>
        <w:t xml:space="preserve"> </w:t>
      </w:r>
      <w:r w:rsidRPr="002E6ECA">
        <w:rPr>
          <w:bCs/>
          <w:sz w:val="28"/>
          <w:szCs w:val="28"/>
          <w:shd w:val="clear" w:color="auto" w:fill="FFFFFF"/>
          <w:lang w:val="en-US"/>
        </w:rPr>
        <w:t>secondary</w:t>
      </w:r>
      <w:r w:rsidRPr="002E6ECA">
        <w:rPr>
          <w:bCs/>
          <w:sz w:val="28"/>
          <w:szCs w:val="28"/>
          <w:shd w:val="clear" w:color="auto" w:fill="FFFFFF"/>
          <w:lang w:val="uk-UA"/>
        </w:rPr>
        <w:t xml:space="preserve"> </w:t>
      </w:r>
      <w:r w:rsidRPr="002E6ECA">
        <w:rPr>
          <w:bCs/>
          <w:sz w:val="28"/>
          <w:szCs w:val="28"/>
          <w:shd w:val="clear" w:color="auto" w:fill="FFFFFF"/>
          <w:lang w:val="en-US"/>
        </w:rPr>
        <w:t>school</w:t>
      </w:r>
      <w:r w:rsidRPr="002E6ECA">
        <w:rPr>
          <w:bCs/>
          <w:sz w:val="28"/>
          <w:szCs w:val="28"/>
          <w:shd w:val="clear" w:color="auto" w:fill="FFFFFF"/>
          <w:lang w:val="uk-UA"/>
        </w:rPr>
        <w:t xml:space="preserve"> </w:t>
      </w:r>
      <w:r w:rsidRPr="002E6ECA">
        <w:rPr>
          <w:bCs/>
          <w:sz w:val="28"/>
          <w:szCs w:val="28"/>
          <w:shd w:val="clear" w:color="auto" w:fill="FFFFFF"/>
          <w:lang w:val="en-US"/>
        </w:rPr>
        <w:t>children</w:t>
      </w:r>
      <w:r w:rsidRPr="002E6ECA">
        <w:rPr>
          <w:bCs/>
          <w:sz w:val="28"/>
          <w:szCs w:val="28"/>
          <w:shd w:val="clear" w:color="auto" w:fill="FFFFFF"/>
          <w:lang w:val="uk-UA"/>
        </w:rPr>
        <w:t xml:space="preserve">. </w:t>
      </w:r>
      <w:r w:rsidRPr="002E6ECA">
        <w:rPr>
          <w:bCs/>
          <w:i/>
          <w:iCs/>
          <w:sz w:val="28"/>
          <w:szCs w:val="28"/>
          <w:lang w:val="en-US"/>
        </w:rPr>
        <w:t>Reports</w:t>
      </w:r>
      <w:r w:rsidRPr="002E6ECA">
        <w:rPr>
          <w:bCs/>
          <w:i/>
          <w:iCs/>
          <w:sz w:val="28"/>
          <w:szCs w:val="28"/>
          <w:lang w:val="uk-UA"/>
        </w:rPr>
        <w:t xml:space="preserve"> </w:t>
      </w:r>
      <w:r w:rsidRPr="002E6ECA">
        <w:rPr>
          <w:bCs/>
          <w:i/>
          <w:iCs/>
          <w:sz w:val="28"/>
          <w:szCs w:val="28"/>
          <w:lang w:val="en-US"/>
        </w:rPr>
        <w:t>of</w:t>
      </w:r>
      <w:r w:rsidRPr="002E6ECA">
        <w:rPr>
          <w:bCs/>
          <w:i/>
          <w:iCs/>
          <w:sz w:val="28"/>
          <w:szCs w:val="28"/>
          <w:lang w:val="uk-UA"/>
        </w:rPr>
        <w:t xml:space="preserve"> </w:t>
      </w:r>
      <w:r w:rsidRPr="002E6ECA">
        <w:rPr>
          <w:bCs/>
          <w:i/>
          <w:iCs/>
          <w:sz w:val="28"/>
          <w:szCs w:val="28"/>
          <w:lang w:val="en-US"/>
        </w:rPr>
        <w:t>Morphology</w:t>
      </w:r>
      <w:r w:rsidRPr="002E6ECA">
        <w:rPr>
          <w:bCs/>
          <w:iCs/>
          <w:sz w:val="28"/>
          <w:szCs w:val="28"/>
          <w:lang w:val="uk-UA"/>
        </w:rPr>
        <w:t xml:space="preserve">. 2020. </w:t>
      </w:r>
      <w:r w:rsidRPr="002E6ECA">
        <w:rPr>
          <w:bCs/>
          <w:iCs/>
          <w:sz w:val="28"/>
          <w:szCs w:val="28"/>
          <w:lang w:val="en-US"/>
        </w:rPr>
        <w:t>Vol</w:t>
      </w:r>
      <w:r w:rsidRPr="002E6ECA">
        <w:rPr>
          <w:bCs/>
          <w:iCs/>
          <w:sz w:val="28"/>
          <w:szCs w:val="28"/>
          <w:lang w:val="uk-UA"/>
        </w:rPr>
        <w:t xml:space="preserve">. 26. № 4. </w:t>
      </w:r>
      <w:r w:rsidRPr="002E6ECA">
        <w:rPr>
          <w:bCs/>
          <w:iCs/>
          <w:sz w:val="28"/>
          <w:szCs w:val="28"/>
          <w:lang w:val="en-US"/>
        </w:rPr>
        <w:t>P</w:t>
      </w:r>
      <w:r w:rsidRPr="002E6ECA">
        <w:rPr>
          <w:bCs/>
          <w:iCs/>
          <w:sz w:val="28"/>
          <w:szCs w:val="28"/>
          <w:lang w:val="uk-UA"/>
        </w:rPr>
        <w:t xml:space="preserve">. 30-35. </w:t>
      </w:r>
      <w:r w:rsidRPr="002E6ECA">
        <w:rPr>
          <w:bCs/>
          <w:iCs/>
          <w:sz w:val="28"/>
          <w:szCs w:val="28"/>
          <w:lang w:val="en-US"/>
        </w:rPr>
        <w:t>DOI</w:t>
      </w:r>
      <w:r w:rsidRPr="002E6ECA">
        <w:rPr>
          <w:bCs/>
          <w:iCs/>
          <w:sz w:val="28"/>
          <w:szCs w:val="28"/>
          <w:lang w:val="uk-UA"/>
        </w:rPr>
        <w:t>: </w:t>
      </w:r>
      <w:r w:rsidRPr="002E6ECA">
        <w:rPr>
          <w:bCs/>
          <w:sz w:val="28"/>
          <w:szCs w:val="28"/>
          <w:lang w:val="uk-UA"/>
        </w:rPr>
        <w:t>10.31393/</w:t>
      </w:r>
      <w:r w:rsidRPr="002E6ECA">
        <w:rPr>
          <w:bCs/>
          <w:sz w:val="28"/>
          <w:szCs w:val="28"/>
          <w:lang w:val="en-US"/>
        </w:rPr>
        <w:t>morphology</w:t>
      </w:r>
      <w:r w:rsidRPr="002E6ECA">
        <w:rPr>
          <w:bCs/>
          <w:sz w:val="28"/>
          <w:szCs w:val="28"/>
          <w:lang w:val="uk-UA"/>
        </w:rPr>
        <w:t>-</w:t>
      </w:r>
      <w:r w:rsidRPr="002E6ECA">
        <w:rPr>
          <w:bCs/>
          <w:sz w:val="28"/>
          <w:szCs w:val="28"/>
          <w:lang w:val="en-US"/>
        </w:rPr>
        <w:t>journal</w:t>
      </w:r>
      <w:r w:rsidRPr="002E6ECA">
        <w:rPr>
          <w:bCs/>
          <w:sz w:val="28"/>
          <w:szCs w:val="28"/>
          <w:lang w:val="uk-UA"/>
        </w:rPr>
        <w:t>-2020-26(4)-05.</w:t>
      </w:r>
    </w:p>
    <w:p w:rsidR="00020FED" w:rsidRPr="002E6ECA" w:rsidRDefault="00020FED" w:rsidP="00020FED">
      <w:pPr>
        <w:pStyle w:val="a3"/>
        <w:numPr>
          <w:ilvl w:val="0"/>
          <w:numId w:val="72"/>
        </w:numPr>
        <w:spacing w:line="360" w:lineRule="auto"/>
        <w:ind w:left="0" w:firstLine="709"/>
        <w:jc w:val="both"/>
        <w:rPr>
          <w:sz w:val="28"/>
          <w:szCs w:val="28"/>
        </w:rPr>
      </w:pPr>
      <w:r w:rsidRPr="002E6ECA">
        <w:rPr>
          <w:sz w:val="28"/>
          <w:szCs w:val="28"/>
          <w:lang w:val="uk-UA"/>
        </w:rPr>
        <w:t xml:space="preserve">Sotnikova-Meleshkina Zh. V., Avdiievska O. H., Dudnik I. V. </w:t>
      </w:r>
      <w:r w:rsidRPr="002E6ECA">
        <w:rPr>
          <w:sz w:val="28"/>
          <w:szCs w:val="28"/>
          <w:lang w:val="en-US"/>
        </w:rPr>
        <w:t xml:space="preserve">Formation of eating behavior of student youth as a factor in the prevention of noncommunicable diseases. </w:t>
      </w:r>
      <w:r w:rsidRPr="002E6ECA">
        <w:rPr>
          <w:sz w:val="28"/>
          <w:szCs w:val="28"/>
          <w:lang w:val="uk-UA"/>
        </w:rPr>
        <w:t>Public Health Forum. Journal of Polish Society of Public Health Forum. Czasopismo Polskiego Towarzystwa Zdrowia Publicznego</w:t>
      </w:r>
      <w:r w:rsidRPr="002E6ECA">
        <w:rPr>
          <w:i/>
          <w:sz w:val="28"/>
          <w:szCs w:val="28"/>
          <w:lang w:val="uk-UA"/>
        </w:rPr>
        <w:t xml:space="preserve">, </w:t>
      </w:r>
      <w:r w:rsidRPr="002E6ECA">
        <w:rPr>
          <w:sz w:val="28"/>
          <w:szCs w:val="28"/>
          <w:lang w:val="uk-UA"/>
        </w:rPr>
        <w:t>Wroclaw, 28th-29th November 2019 Wroclaw, 2019. Р. 93.</w:t>
      </w:r>
    </w:p>
    <w:p w:rsidR="00020FED" w:rsidRPr="002E6ECA" w:rsidRDefault="00020FED" w:rsidP="00020FED">
      <w:pPr>
        <w:pStyle w:val="a3"/>
        <w:numPr>
          <w:ilvl w:val="0"/>
          <w:numId w:val="72"/>
        </w:numPr>
        <w:spacing w:line="360" w:lineRule="auto"/>
        <w:ind w:left="0" w:firstLine="709"/>
        <w:jc w:val="both"/>
        <w:rPr>
          <w:sz w:val="28"/>
          <w:szCs w:val="28"/>
          <w:lang w:val="en-US"/>
        </w:rPr>
      </w:pPr>
      <w:r w:rsidRPr="002E6ECA">
        <w:rPr>
          <w:bCs/>
          <w:iCs/>
          <w:sz w:val="28"/>
          <w:szCs w:val="28"/>
          <w:lang w:val="uk-UA"/>
        </w:rPr>
        <w:t>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 Redka</w:t>
      </w:r>
      <w:r w:rsidRPr="002E6ECA">
        <w:rPr>
          <w:sz w:val="28"/>
          <w:szCs w:val="28"/>
          <w:lang w:val="uk-UA"/>
        </w:rPr>
        <w:t> </w:t>
      </w:r>
      <w:r w:rsidRPr="002E6ECA">
        <w:rPr>
          <w:bCs/>
          <w:iCs/>
          <w:sz w:val="28"/>
          <w:szCs w:val="28"/>
          <w:lang w:val="uk-UA"/>
        </w:rPr>
        <w:t>I.</w:t>
      </w:r>
      <w:r w:rsidRPr="002E6ECA">
        <w:rPr>
          <w:sz w:val="28"/>
          <w:szCs w:val="28"/>
          <w:lang w:val="uk-UA"/>
        </w:rPr>
        <w:t> </w:t>
      </w:r>
      <w:r w:rsidRPr="002E6ECA">
        <w:rPr>
          <w:bCs/>
          <w:iCs/>
          <w:sz w:val="28"/>
          <w:szCs w:val="28"/>
          <w:lang w:val="uk-UA"/>
        </w:rPr>
        <w:t>V., Mikhalchuk</w:t>
      </w:r>
      <w:r w:rsidRPr="002E6ECA">
        <w:rPr>
          <w:sz w:val="28"/>
          <w:szCs w:val="28"/>
          <w:lang w:val="uk-UA"/>
        </w:rPr>
        <w:t> </w:t>
      </w:r>
      <w:r w:rsidRPr="002E6ECA">
        <w:rPr>
          <w:bCs/>
          <w:iCs/>
          <w:sz w:val="28"/>
          <w:szCs w:val="28"/>
          <w:lang w:val="uk-UA"/>
        </w:rPr>
        <w:t>O.</w:t>
      </w:r>
      <w:r w:rsidRPr="002E6ECA">
        <w:rPr>
          <w:sz w:val="28"/>
          <w:szCs w:val="28"/>
          <w:lang w:val="uk-UA"/>
        </w:rPr>
        <w:t> </w:t>
      </w:r>
      <w:r w:rsidRPr="002E6ECA">
        <w:rPr>
          <w:bCs/>
          <w:iCs/>
          <w:sz w:val="28"/>
          <w:szCs w:val="28"/>
          <w:lang w:val="uk-UA"/>
        </w:rPr>
        <w:t xml:space="preserve">Ya. </w:t>
      </w:r>
      <w:r w:rsidRPr="002E6ECA">
        <w:rPr>
          <w:sz w:val="28"/>
          <w:szCs w:val="28"/>
          <w:lang w:val="en-US"/>
        </w:rPr>
        <w:t xml:space="preserve">The state of vegetative regulatory systems of pupils with different academic performance. </w:t>
      </w:r>
      <w:r w:rsidRPr="002E6ECA">
        <w:rPr>
          <w:i/>
          <w:sz w:val="28"/>
          <w:szCs w:val="28"/>
          <w:lang w:val="en-US"/>
        </w:rPr>
        <w:t>Reports of Morphology</w:t>
      </w:r>
      <w:r w:rsidRPr="002E6ECA">
        <w:rPr>
          <w:sz w:val="28"/>
          <w:szCs w:val="28"/>
          <w:lang w:val="en-US"/>
        </w:rPr>
        <w:t>. 2020. Vol. 26. № 3. P. 46-51. DOI: 10.31393/morphology-journal-2020-26(3)-06.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Sripongwiwata</w:t>
      </w:r>
      <w:r w:rsidRPr="002E6ECA">
        <w:rPr>
          <w:sz w:val="28"/>
          <w:szCs w:val="28"/>
          <w:lang w:val="uk-UA"/>
        </w:rPr>
        <w:t> </w:t>
      </w:r>
      <w:r w:rsidRPr="002E6ECA">
        <w:rPr>
          <w:rFonts w:eastAsiaTheme="minorHAnsi"/>
          <w:sz w:val="28"/>
          <w:szCs w:val="28"/>
          <w:lang w:val="uk-UA" w:eastAsia="en-US"/>
        </w:rPr>
        <w:t>S., Bunterma</w:t>
      </w:r>
      <w:r w:rsidRPr="002E6ECA">
        <w:rPr>
          <w:sz w:val="28"/>
          <w:szCs w:val="28"/>
          <w:lang w:val="uk-UA"/>
        </w:rPr>
        <w:t> </w:t>
      </w:r>
      <w:r w:rsidRPr="002E6ECA">
        <w:rPr>
          <w:rFonts w:eastAsiaTheme="minorHAnsi"/>
          <w:sz w:val="28"/>
          <w:szCs w:val="28"/>
          <w:lang w:val="uk-UA" w:eastAsia="en-US"/>
        </w:rPr>
        <w:t>T., Tangb</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 xml:space="preserve">N. An investigation of learning stressors among secondary school students: A case study in northeast Thailand. </w:t>
      </w:r>
      <w:r w:rsidRPr="002E6ECA">
        <w:rPr>
          <w:rFonts w:eastAsiaTheme="minorHAnsi"/>
          <w:i/>
          <w:sz w:val="28"/>
          <w:szCs w:val="28"/>
          <w:lang w:val="uk-UA" w:eastAsia="en-US"/>
        </w:rPr>
        <w:t>Kasetsart Journal of Social Sciences</w:t>
      </w:r>
      <w:r w:rsidRPr="002E6ECA">
        <w:rPr>
          <w:rFonts w:eastAsiaTheme="minorHAnsi"/>
          <w:sz w:val="28"/>
          <w:szCs w:val="28"/>
          <w:lang w:val="uk-UA" w:eastAsia="en-US"/>
        </w:rPr>
        <w:t xml:space="preserve">. 2018. Vol. 39 (2). Р. 197-206. </w:t>
      </w:r>
      <w:hyperlink r:id="rId468" w:tgtFrame="_blank" w:tooltip="Постоянная ссылка с использованием идентификатора цифрового объекта" w:history="1">
        <w:r w:rsidRPr="002E6ECA">
          <w:rPr>
            <w:rFonts w:eastAsiaTheme="minorHAnsi"/>
            <w:sz w:val="28"/>
            <w:szCs w:val="28"/>
            <w:lang w:val="uk-UA" w:eastAsia="en-US"/>
          </w:rPr>
          <w:t>https://doi.org/10.1016/j.kjss.2017.06.002</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Stagi</w:t>
      </w:r>
      <w:r w:rsidRPr="002E6ECA">
        <w:rPr>
          <w:sz w:val="28"/>
          <w:szCs w:val="28"/>
          <w:lang w:val="uk-UA"/>
        </w:rPr>
        <w:t> </w:t>
      </w:r>
      <w:r w:rsidRPr="002E6ECA">
        <w:rPr>
          <w:rFonts w:eastAsiaTheme="minorHAnsi"/>
          <w:sz w:val="28"/>
          <w:szCs w:val="28"/>
          <w:lang w:val="uk-UA" w:eastAsia="en-US"/>
        </w:rPr>
        <w:t>S., Doneddu</w:t>
      </w:r>
      <w:r w:rsidRPr="002E6ECA">
        <w:rPr>
          <w:sz w:val="28"/>
          <w:szCs w:val="28"/>
          <w:lang w:val="uk-UA"/>
        </w:rPr>
        <w:t> </w:t>
      </w:r>
      <w:r w:rsidRPr="002E6ECA">
        <w:rPr>
          <w:rFonts w:eastAsiaTheme="minorHAnsi"/>
          <w:sz w:val="28"/>
          <w:szCs w:val="28"/>
          <w:lang w:val="uk-UA" w:eastAsia="en-US"/>
        </w:rPr>
        <w:t>A., Mulliri</w:t>
      </w:r>
      <w:r w:rsidRPr="002E6ECA">
        <w:rPr>
          <w:sz w:val="28"/>
          <w:szCs w:val="28"/>
          <w:lang w:val="uk-UA"/>
        </w:rPr>
        <w:t> </w:t>
      </w:r>
      <w:r w:rsidRPr="002E6ECA">
        <w:rPr>
          <w:rFonts w:eastAsiaTheme="minorHAnsi"/>
          <w:sz w:val="28"/>
          <w:szCs w:val="28"/>
          <w:lang w:val="uk-UA" w:eastAsia="en-US"/>
        </w:rPr>
        <w:t>G., Ghiani</w:t>
      </w:r>
      <w:r w:rsidRPr="002E6ECA">
        <w:rPr>
          <w:sz w:val="28"/>
          <w:szCs w:val="28"/>
          <w:lang w:val="uk-UA"/>
        </w:rPr>
        <w:t> </w:t>
      </w:r>
      <w:r w:rsidRPr="002E6ECA">
        <w:rPr>
          <w:rFonts w:eastAsiaTheme="minorHAnsi"/>
          <w:sz w:val="28"/>
          <w:szCs w:val="28"/>
          <w:lang w:val="uk-UA" w:eastAsia="en-US"/>
        </w:rPr>
        <w:t>G., Succa</w:t>
      </w:r>
      <w:r w:rsidRPr="002E6ECA">
        <w:rPr>
          <w:sz w:val="28"/>
          <w:szCs w:val="28"/>
          <w:lang w:val="uk-UA"/>
        </w:rPr>
        <w:t> </w:t>
      </w:r>
      <w:r w:rsidRPr="002E6ECA">
        <w:rPr>
          <w:rFonts w:eastAsiaTheme="minorHAnsi"/>
          <w:sz w:val="28"/>
          <w:szCs w:val="28"/>
          <w:lang w:val="uk-UA" w:eastAsia="en-US"/>
        </w:rPr>
        <w:t>V., Crisafulli</w:t>
      </w:r>
      <w:r w:rsidRPr="002E6ECA">
        <w:rPr>
          <w:sz w:val="28"/>
          <w:szCs w:val="28"/>
          <w:lang w:val="uk-UA"/>
        </w:rPr>
        <w:t> </w:t>
      </w:r>
      <w:r w:rsidRPr="002E6ECA">
        <w:rPr>
          <w:rFonts w:eastAsiaTheme="minorHAnsi"/>
          <w:sz w:val="28"/>
          <w:szCs w:val="28"/>
          <w:lang w:val="uk-UA" w:eastAsia="en-US"/>
        </w:rPr>
        <w:t>A., Marini</w:t>
      </w:r>
      <w:r w:rsidRPr="002E6ECA">
        <w:rPr>
          <w:sz w:val="28"/>
          <w:szCs w:val="28"/>
          <w:lang w:val="uk-UA"/>
        </w:rPr>
        <w:t> </w:t>
      </w:r>
      <w:r w:rsidRPr="002E6ECA">
        <w:rPr>
          <w:rFonts w:eastAsiaTheme="minorHAnsi"/>
          <w:sz w:val="28"/>
          <w:szCs w:val="28"/>
          <w:lang w:val="uk-UA" w:eastAsia="en-US"/>
        </w:rPr>
        <w:t xml:space="preserve">E. </w:t>
      </w:r>
      <w:hyperlink r:id="rId469" w:history="1">
        <w:r w:rsidRPr="002E6ECA">
          <w:rPr>
            <w:rFonts w:eastAsiaTheme="minorHAnsi"/>
            <w:sz w:val="28"/>
            <w:szCs w:val="28"/>
            <w:lang w:val="uk-UA" w:eastAsia="en-US"/>
          </w:rPr>
          <w:t>Lower Percentage of Fat Mass among Tai Chi Chuan Practitioners.</w:t>
        </w:r>
      </w:hyperlink>
      <w:r w:rsidRPr="002E6ECA">
        <w:rPr>
          <w:rFonts w:eastAsiaTheme="minorHAnsi"/>
          <w:i/>
          <w:sz w:val="28"/>
          <w:szCs w:val="28"/>
          <w:lang w:val="uk-UA" w:eastAsia="en-US"/>
        </w:rPr>
        <w:t>Int J Environ Res Public Health</w:t>
      </w:r>
      <w:r w:rsidRPr="002E6ECA">
        <w:rPr>
          <w:rFonts w:eastAsiaTheme="minorHAnsi"/>
          <w:sz w:val="28"/>
          <w:szCs w:val="28"/>
          <w:lang w:val="uk-UA" w:eastAsia="en-US"/>
        </w:rPr>
        <w:t xml:space="preserve">. 2020. Vol. 17 (4). 1232. doi: 10.3390/ijerph17041232.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70" w:history="1">
        <w:r w:rsidR="00020FED" w:rsidRPr="002E6ECA">
          <w:rPr>
            <w:rFonts w:eastAsiaTheme="minorHAnsi"/>
            <w:sz w:val="28"/>
            <w:szCs w:val="28"/>
            <w:lang w:val="uk-UA" w:eastAsia="en-US"/>
          </w:rPr>
          <w:t>Stephen</w:t>
        </w:r>
        <w:r w:rsidR="00020FED" w:rsidRPr="002E6ECA">
          <w:rPr>
            <w:sz w:val="28"/>
            <w:szCs w:val="28"/>
            <w:lang w:val="uk-UA"/>
          </w:rPr>
          <w:t> </w:t>
        </w:r>
        <w:r w:rsidR="00020FED" w:rsidRPr="002E6ECA">
          <w:rPr>
            <w:rFonts w:eastAsiaTheme="minorHAnsi"/>
            <w:sz w:val="28"/>
            <w:szCs w:val="28"/>
            <w:lang w:val="uk-UA" w:eastAsia="en-US"/>
          </w:rPr>
          <w:t>N.</w:t>
        </w:r>
        <w:r w:rsidR="00020FED" w:rsidRPr="002E6ECA">
          <w:rPr>
            <w:sz w:val="28"/>
            <w:szCs w:val="28"/>
            <w:lang w:val="uk-UA"/>
          </w:rPr>
          <w:t> </w:t>
        </w:r>
        <w:r w:rsidR="00020FED" w:rsidRPr="002E6ECA">
          <w:rPr>
            <w:rFonts w:eastAsiaTheme="minorHAnsi"/>
            <w:sz w:val="28"/>
            <w:szCs w:val="28"/>
            <w:lang w:val="uk-UA" w:eastAsia="en-US"/>
          </w:rPr>
          <w:t>A.</w:t>
        </w:r>
      </w:hyperlink>
      <w:r w:rsidR="00020FED" w:rsidRPr="002E6ECA">
        <w:rPr>
          <w:rFonts w:eastAsiaTheme="minorHAnsi"/>
          <w:sz w:val="28"/>
          <w:szCs w:val="28"/>
          <w:lang w:val="uk-UA" w:eastAsia="en-US"/>
        </w:rPr>
        <w:t xml:space="preserve">, </w:t>
      </w:r>
      <w:hyperlink r:id="rId471" w:history="1">
        <w:r w:rsidR="00020FED" w:rsidRPr="002E6ECA">
          <w:rPr>
            <w:rFonts w:eastAsiaTheme="minorHAnsi"/>
            <w:sz w:val="28"/>
            <w:szCs w:val="28"/>
            <w:lang w:val="uk-UA" w:eastAsia="en-US"/>
          </w:rPr>
          <w:t>Ashley</w:t>
        </w:r>
        <w:r w:rsidR="00020FED" w:rsidRPr="002E6ECA">
          <w:rPr>
            <w:sz w:val="28"/>
            <w:szCs w:val="28"/>
            <w:lang w:val="uk-UA"/>
          </w:rPr>
          <w:t> </w:t>
        </w:r>
        <w:r w:rsidR="00020FED" w:rsidRPr="002E6ECA">
          <w:rPr>
            <w:rFonts w:eastAsiaTheme="minorHAnsi"/>
            <w:sz w:val="28"/>
            <w:szCs w:val="28"/>
            <w:lang w:val="uk-UA" w:eastAsia="en-US"/>
          </w:rPr>
          <w:t>D.</w:t>
        </w:r>
        <w:r w:rsidR="00020FED" w:rsidRPr="002E6ECA">
          <w:rPr>
            <w:sz w:val="28"/>
            <w:szCs w:val="28"/>
            <w:lang w:val="uk-UA"/>
          </w:rPr>
          <w:t> </w:t>
        </w:r>
        <w:r w:rsidR="00020FED" w:rsidRPr="002E6ECA">
          <w:rPr>
            <w:rFonts w:eastAsiaTheme="minorHAnsi"/>
            <w:sz w:val="28"/>
            <w:szCs w:val="28"/>
            <w:lang w:val="uk-UA" w:eastAsia="en-US"/>
          </w:rPr>
          <w:t>W.</w:t>
        </w:r>
      </w:hyperlink>
      <w:r w:rsidR="00020FED" w:rsidRPr="002E6ECA">
        <w:rPr>
          <w:rFonts w:eastAsiaTheme="minorHAnsi"/>
          <w:sz w:val="28"/>
          <w:szCs w:val="28"/>
          <w:lang w:val="uk-UA" w:eastAsia="en-US"/>
        </w:rPr>
        <w:t xml:space="preserve"> The relation between adolescent self assessment of health and risk behaviours: Could a global measure of health provide indications of health risk exposures? </w:t>
      </w:r>
      <w:r w:rsidR="00020FED" w:rsidRPr="002E6ECA">
        <w:rPr>
          <w:rFonts w:eastAsiaTheme="minorHAnsi"/>
          <w:i/>
          <w:sz w:val="28"/>
          <w:szCs w:val="28"/>
          <w:lang w:val="uk-UA" w:eastAsia="en-US"/>
        </w:rPr>
        <w:t>Health Education Journal</w:t>
      </w:r>
      <w:r w:rsidR="00020FED" w:rsidRPr="002E6ECA">
        <w:rPr>
          <w:rFonts w:eastAsiaTheme="minorHAnsi"/>
          <w:sz w:val="28"/>
          <w:szCs w:val="28"/>
          <w:lang w:val="uk-UA" w:eastAsia="en-US"/>
        </w:rPr>
        <w:t>. 2012. Vol. 71. Issue 1. P. 39-52. https://doi.org/10.1177/0017896910386141.</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Strøm</w:t>
      </w:r>
      <w:r w:rsidRPr="002E6ECA">
        <w:rPr>
          <w:sz w:val="28"/>
          <w:szCs w:val="28"/>
          <w:lang w:val="uk-UA"/>
        </w:rPr>
        <w:t> </w:t>
      </w:r>
      <w:r w:rsidRPr="002E6ECA">
        <w:rPr>
          <w:rFonts w:eastAsiaTheme="minorHAnsi"/>
          <w:sz w:val="28"/>
          <w:szCs w:val="28"/>
          <w:lang w:val="uk-UA" w:eastAsia="en-US"/>
        </w:rPr>
        <w:t>H.</w:t>
      </w:r>
      <w:r w:rsidRPr="002E6ECA">
        <w:rPr>
          <w:sz w:val="28"/>
          <w:szCs w:val="28"/>
          <w:lang w:val="uk-UA"/>
        </w:rPr>
        <w:t> </w:t>
      </w:r>
      <w:r w:rsidRPr="002E6ECA">
        <w:rPr>
          <w:rFonts w:eastAsiaTheme="minorHAnsi"/>
          <w:sz w:val="28"/>
          <w:szCs w:val="28"/>
          <w:lang w:val="uk-UA" w:eastAsia="en-US"/>
        </w:rPr>
        <w:t>K., Adolfsen</w:t>
      </w:r>
      <w:r w:rsidRPr="002E6ECA">
        <w:rPr>
          <w:sz w:val="28"/>
          <w:szCs w:val="28"/>
          <w:lang w:val="uk-UA"/>
        </w:rPr>
        <w:t> </w:t>
      </w:r>
      <w:r w:rsidRPr="002E6ECA">
        <w:rPr>
          <w:rFonts w:eastAsiaTheme="minorHAnsi"/>
          <w:sz w:val="28"/>
          <w:szCs w:val="28"/>
          <w:lang w:val="uk-UA" w:eastAsia="en-US"/>
        </w:rPr>
        <w:t>F., Fossum</w:t>
      </w:r>
      <w:r w:rsidRPr="002E6ECA">
        <w:rPr>
          <w:sz w:val="28"/>
          <w:szCs w:val="28"/>
          <w:lang w:val="uk-UA"/>
        </w:rPr>
        <w:t> </w:t>
      </w:r>
      <w:r w:rsidRPr="002E6ECA">
        <w:rPr>
          <w:rFonts w:eastAsiaTheme="minorHAnsi"/>
          <w:sz w:val="28"/>
          <w:szCs w:val="28"/>
          <w:lang w:val="uk-UA" w:eastAsia="en-US"/>
        </w:rPr>
        <w:t xml:space="preserve">S. et al. Effectiveness of school-based preventive interventions on adolescent alcohol use: a meta-analysis of randomized </w:t>
      </w:r>
      <w:r w:rsidRPr="002E6ECA">
        <w:rPr>
          <w:rFonts w:eastAsiaTheme="minorHAnsi"/>
          <w:sz w:val="28"/>
          <w:szCs w:val="28"/>
          <w:lang w:val="uk-UA" w:eastAsia="en-US"/>
        </w:rPr>
        <w:lastRenderedPageBreak/>
        <w:t xml:space="preserve">controlled trials. </w:t>
      </w:r>
      <w:r w:rsidRPr="002E6ECA">
        <w:rPr>
          <w:rFonts w:eastAsiaTheme="minorHAnsi"/>
          <w:i/>
          <w:sz w:val="28"/>
          <w:szCs w:val="28"/>
          <w:lang w:val="uk-UA" w:eastAsia="en-US"/>
        </w:rPr>
        <w:t>Subst Abuse Treat Prev Policy</w:t>
      </w:r>
      <w:r w:rsidRPr="002E6ECA">
        <w:rPr>
          <w:rFonts w:eastAsiaTheme="minorHAnsi"/>
          <w:sz w:val="28"/>
          <w:szCs w:val="28"/>
          <w:lang w:val="uk-UA" w:eastAsia="en-US"/>
        </w:rPr>
        <w:t>. 2014. Vol. 9. 48. doi: 10.1186/1747-597X-9-48.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Stroud</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R, Foster</w:t>
      </w:r>
      <w:r w:rsidRPr="002E6ECA">
        <w:rPr>
          <w:sz w:val="28"/>
          <w:szCs w:val="28"/>
          <w:lang w:val="uk-UA"/>
        </w:rPr>
        <w:t> </w:t>
      </w:r>
      <w:r w:rsidRPr="002E6ECA">
        <w:rPr>
          <w:rFonts w:eastAsiaTheme="minorHAnsi"/>
          <w:sz w:val="28"/>
          <w:szCs w:val="28"/>
          <w:lang w:val="uk-UA" w:eastAsia="en-US"/>
        </w:rPr>
        <w:t>E., Niaura</w:t>
      </w:r>
      <w:r w:rsidRPr="002E6ECA">
        <w:rPr>
          <w:sz w:val="28"/>
          <w:szCs w:val="28"/>
          <w:lang w:val="uk-UA"/>
        </w:rPr>
        <w:t> </w:t>
      </w:r>
      <w:r w:rsidRPr="002E6ECA">
        <w:rPr>
          <w:rFonts w:eastAsiaTheme="minorHAnsi"/>
          <w:sz w:val="28"/>
          <w:szCs w:val="28"/>
          <w:lang w:val="uk-UA" w:eastAsia="en-US"/>
        </w:rPr>
        <w:t xml:space="preserve">R. Stress response and the adolescent transition: Performance versus peer rejection stressors. </w:t>
      </w:r>
      <w:r w:rsidRPr="002E6ECA">
        <w:rPr>
          <w:rFonts w:eastAsiaTheme="minorHAnsi"/>
          <w:i/>
          <w:sz w:val="28"/>
          <w:szCs w:val="28"/>
          <w:lang w:val="uk-UA" w:eastAsia="en-US"/>
        </w:rPr>
        <w:t>Development and Psychopathology</w:t>
      </w:r>
      <w:r w:rsidRPr="002E6ECA">
        <w:rPr>
          <w:rFonts w:eastAsiaTheme="minorHAnsi"/>
          <w:sz w:val="28"/>
          <w:szCs w:val="28"/>
          <w:lang w:val="uk-UA" w:eastAsia="en-US"/>
        </w:rPr>
        <w:t xml:space="preserve">. 2009. Vol. 21. Р. 47-68. DOI: </w:t>
      </w:r>
      <w:hyperlink r:id="rId472" w:tgtFrame="_blank" w:history="1">
        <w:r w:rsidRPr="002E6ECA">
          <w:rPr>
            <w:rFonts w:eastAsiaTheme="minorHAnsi"/>
            <w:sz w:val="28"/>
            <w:szCs w:val="28"/>
            <w:lang w:val="uk-UA" w:eastAsia="en-US"/>
          </w:rPr>
          <w:t>10.1017/S0954579409000042</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Stroup</w:t>
      </w:r>
      <w:r w:rsidRPr="002E6ECA">
        <w:rPr>
          <w:sz w:val="28"/>
          <w:szCs w:val="28"/>
          <w:lang w:val="uk-UA"/>
        </w:rPr>
        <w:t> </w:t>
      </w:r>
      <w:r w:rsidRPr="002E6ECA">
        <w:rPr>
          <w:rFonts w:eastAsiaTheme="minorHAnsi"/>
          <w:sz w:val="28"/>
          <w:szCs w:val="28"/>
          <w:lang w:val="uk-UA" w:eastAsia="en-US"/>
        </w:rPr>
        <w:t>W.</w:t>
      </w:r>
      <w:r w:rsidRPr="002E6ECA">
        <w:rPr>
          <w:sz w:val="28"/>
          <w:szCs w:val="28"/>
          <w:lang w:val="uk-UA"/>
        </w:rPr>
        <w:t> </w:t>
      </w:r>
      <w:r w:rsidRPr="002E6ECA">
        <w:rPr>
          <w:rFonts w:eastAsiaTheme="minorHAnsi"/>
          <w:sz w:val="28"/>
          <w:szCs w:val="28"/>
          <w:lang w:val="uk-UA" w:eastAsia="en-US"/>
        </w:rPr>
        <w:t>W. Generalized linear mixed models: Modern concepts, methods and applications. CRC Press. 2012. 555 p. ISBN 9781439815120.</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Suess</w:t>
      </w:r>
      <w:r w:rsidRPr="002E6ECA">
        <w:rPr>
          <w:sz w:val="28"/>
          <w:szCs w:val="28"/>
          <w:lang w:val="uk-UA"/>
        </w:rPr>
        <w:t> </w:t>
      </w:r>
      <w:r w:rsidRPr="002E6ECA">
        <w:rPr>
          <w:rFonts w:eastAsiaTheme="minorHAnsi"/>
          <w:sz w:val="28"/>
          <w:szCs w:val="28"/>
          <w:lang w:val="uk-UA" w:eastAsia="en-US"/>
        </w:rPr>
        <w:t>P.</w:t>
      </w:r>
      <w:r w:rsidRPr="002E6ECA">
        <w:rPr>
          <w:sz w:val="28"/>
          <w:szCs w:val="28"/>
          <w:lang w:val="uk-UA"/>
        </w:rPr>
        <w:t> </w:t>
      </w:r>
      <w:r w:rsidRPr="002E6ECA">
        <w:rPr>
          <w:rFonts w:eastAsiaTheme="minorHAnsi"/>
          <w:sz w:val="28"/>
          <w:szCs w:val="28"/>
          <w:lang w:val="uk-UA" w:eastAsia="en-US"/>
        </w:rPr>
        <w:t>E, Porges</w:t>
      </w:r>
      <w:r w:rsidRPr="002E6ECA">
        <w:rPr>
          <w:sz w:val="28"/>
          <w:szCs w:val="28"/>
          <w:lang w:val="uk-UA"/>
        </w:rPr>
        <w:t> </w:t>
      </w:r>
      <w:r w:rsidRPr="002E6ECA">
        <w:rPr>
          <w:rFonts w:eastAsiaTheme="minorHAnsi"/>
          <w:sz w:val="28"/>
          <w:szCs w:val="28"/>
          <w:lang w:val="uk-UA" w:eastAsia="en-US"/>
        </w:rPr>
        <w:t>S.</w:t>
      </w:r>
      <w:r w:rsidRPr="002E6ECA">
        <w:rPr>
          <w:sz w:val="28"/>
          <w:szCs w:val="28"/>
          <w:lang w:val="uk-UA"/>
        </w:rPr>
        <w:t> </w:t>
      </w:r>
      <w:r w:rsidRPr="002E6ECA">
        <w:rPr>
          <w:rFonts w:eastAsiaTheme="minorHAnsi"/>
          <w:sz w:val="28"/>
          <w:szCs w:val="28"/>
          <w:lang w:val="uk-UA" w:eastAsia="en-US"/>
        </w:rPr>
        <w:t>W, Blude</w:t>
      </w:r>
      <w:r w:rsidRPr="002E6ECA">
        <w:rPr>
          <w:sz w:val="28"/>
          <w:szCs w:val="28"/>
          <w:lang w:val="uk-UA"/>
        </w:rPr>
        <w:t> </w:t>
      </w:r>
      <w:r w:rsidRPr="002E6ECA">
        <w:rPr>
          <w:rFonts w:eastAsiaTheme="minorHAnsi"/>
          <w:sz w:val="28"/>
          <w:szCs w:val="28"/>
          <w:lang w:val="uk-UA" w:eastAsia="en-US"/>
        </w:rPr>
        <w:t>D.</w:t>
      </w:r>
      <w:r w:rsidRPr="002E6ECA">
        <w:rPr>
          <w:sz w:val="28"/>
          <w:szCs w:val="28"/>
          <w:lang w:val="uk-UA"/>
        </w:rPr>
        <w:t> </w:t>
      </w:r>
      <w:r w:rsidRPr="002E6ECA">
        <w:rPr>
          <w:rFonts w:eastAsiaTheme="minorHAnsi"/>
          <w:sz w:val="28"/>
          <w:szCs w:val="28"/>
          <w:lang w:val="uk-UA" w:eastAsia="en-US"/>
        </w:rPr>
        <w:t xml:space="preserve">L. Cardiac vagal tone and sustained attention in school-age children. </w:t>
      </w:r>
      <w:r w:rsidRPr="002E6ECA">
        <w:rPr>
          <w:rFonts w:eastAsiaTheme="minorHAnsi"/>
          <w:i/>
          <w:sz w:val="28"/>
          <w:szCs w:val="28"/>
          <w:lang w:val="uk-UA" w:eastAsia="en-US"/>
        </w:rPr>
        <w:t>Psychophysiology</w:t>
      </w:r>
      <w:r w:rsidRPr="002E6ECA">
        <w:rPr>
          <w:rFonts w:eastAsiaTheme="minorHAnsi"/>
          <w:sz w:val="28"/>
          <w:szCs w:val="28"/>
          <w:lang w:val="uk-UA" w:eastAsia="en-US"/>
        </w:rPr>
        <w:t xml:space="preserve">. 1994. Vol. 31. Р. 17-22. DOI: </w:t>
      </w:r>
      <w:hyperlink r:id="rId473" w:tgtFrame="_blank" w:history="1">
        <w:r w:rsidRPr="002E6ECA">
          <w:rPr>
            <w:rFonts w:eastAsiaTheme="minorHAnsi"/>
            <w:sz w:val="28"/>
            <w:szCs w:val="28"/>
            <w:lang w:val="uk-UA" w:eastAsia="en-US"/>
          </w:rPr>
          <w:t>10.1111/j.1469-8986.1994.tb01020.x</w:t>
        </w:r>
      </w:hyperlink>
      <w:r w:rsidRPr="002E6ECA">
        <w:rPr>
          <w:rFonts w:eastAsiaTheme="minorHAnsi"/>
          <w:sz w:val="28"/>
          <w:szCs w:val="28"/>
          <w:lang w:val="uk-UA" w:eastAsia="en-US"/>
        </w:rPr>
        <w:t>.</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74" w:tooltip="Найти еще записи для этого автора" w:history="1">
        <w:r w:rsidR="00020FED" w:rsidRPr="002E6ECA">
          <w:rPr>
            <w:rFonts w:eastAsiaTheme="minorHAnsi"/>
            <w:sz w:val="28"/>
            <w:szCs w:val="28"/>
            <w:lang w:val="uk-UA" w:eastAsia="en-US"/>
          </w:rPr>
          <w:t>Tan</w:t>
        </w:r>
        <w:r w:rsidR="00020FED" w:rsidRPr="002E6ECA">
          <w:rPr>
            <w:sz w:val="28"/>
            <w:szCs w:val="28"/>
            <w:lang w:val="uk-UA"/>
          </w:rPr>
          <w:t> </w:t>
        </w:r>
        <w:r w:rsidR="00020FED" w:rsidRPr="002E6ECA">
          <w:rPr>
            <w:rFonts w:eastAsiaTheme="minorHAnsi"/>
            <w:sz w:val="28"/>
            <w:szCs w:val="28"/>
            <w:lang w:val="uk-UA" w:eastAsia="en-US"/>
          </w:rPr>
          <w:t>X</w:t>
        </w:r>
      </w:hyperlink>
      <w:r w:rsidR="00020FED" w:rsidRPr="002E6ECA">
        <w:rPr>
          <w:rFonts w:eastAsiaTheme="minorHAnsi"/>
          <w:sz w:val="28"/>
          <w:szCs w:val="28"/>
          <w:lang w:val="uk-UA" w:eastAsia="en-US"/>
        </w:rPr>
        <w:t xml:space="preserve">., </w:t>
      </w:r>
      <w:hyperlink r:id="rId475" w:tooltip="Найти еще записи для этого автора" w:history="1">
        <w:r w:rsidR="00020FED" w:rsidRPr="002E6ECA">
          <w:rPr>
            <w:rFonts w:eastAsiaTheme="minorHAnsi"/>
            <w:sz w:val="28"/>
            <w:szCs w:val="28"/>
            <w:lang w:val="uk-UA" w:eastAsia="en-US"/>
          </w:rPr>
          <w:t>Titova</w:t>
        </w:r>
        <w:r w:rsidR="00020FED" w:rsidRPr="002E6ECA">
          <w:rPr>
            <w:sz w:val="28"/>
            <w:szCs w:val="28"/>
            <w:lang w:val="uk-UA"/>
          </w:rPr>
          <w:t> </w:t>
        </w:r>
        <w:r w:rsidR="00020FED" w:rsidRPr="002E6ECA">
          <w:rPr>
            <w:rFonts w:eastAsiaTheme="minorHAnsi"/>
            <w:sz w:val="28"/>
            <w:szCs w:val="28"/>
            <w:lang w:val="uk-UA" w:eastAsia="en-US"/>
          </w:rPr>
          <w:t>O.</w:t>
        </w:r>
        <w:r w:rsidR="00020FED" w:rsidRPr="002E6ECA">
          <w:rPr>
            <w:sz w:val="28"/>
            <w:szCs w:val="28"/>
            <w:lang w:val="uk-UA"/>
          </w:rPr>
          <w:t> </w:t>
        </w:r>
        <w:r w:rsidR="00020FED" w:rsidRPr="002E6ECA">
          <w:rPr>
            <w:rFonts w:eastAsiaTheme="minorHAnsi"/>
            <w:sz w:val="28"/>
            <w:szCs w:val="28"/>
            <w:lang w:val="uk-UA" w:eastAsia="en-US"/>
          </w:rPr>
          <w:t>E</w:t>
        </w:r>
      </w:hyperlink>
      <w:r w:rsidR="00020FED" w:rsidRPr="002E6ECA">
        <w:rPr>
          <w:rFonts w:eastAsiaTheme="minorHAnsi"/>
          <w:sz w:val="28"/>
          <w:szCs w:val="28"/>
          <w:lang w:val="uk-UA" w:eastAsia="en-US"/>
        </w:rPr>
        <w:t xml:space="preserve">., </w:t>
      </w:r>
      <w:hyperlink r:id="rId476" w:tooltip="Найти еще записи для этого автора" w:history="1">
        <w:r w:rsidR="00020FED" w:rsidRPr="002E6ECA">
          <w:rPr>
            <w:rFonts w:eastAsiaTheme="minorHAnsi"/>
            <w:sz w:val="28"/>
            <w:szCs w:val="28"/>
            <w:lang w:val="uk-UA" w:eastAsia="en-US"/>
          </w:rPr>
          <w:t>Lindberg</w:t>
        </w:r>
        <w:r w:rsidR="00020FED" w:rsidRPr="002E6ECA">
          <w:rPr>
            <w:sz w:val="28"/>
            <w:szCs w:val="28"/>
            <w:lang w:val="uk-UA"/>
          </w:rPr>
          <w:t> </w:t>
        </w:r>
        <w:r w:rsidR="00020FED" w:rsidRPr="002E6ECA">
          <w:rPr>
            <w:rFonts w:eastAsiaTheme="minorHAnsi"/>
            <w:sz w:val="28"/>
            <w:szCs w:val="28"/>
            <w:lang w:val="uk-UA" w:eastAsia="en-US"/>
          </w:rPr>
          <w:t>E.,</w:t>
        </w:r>
      </w:hyperlink>
      <w:r w:rsidR="00020FED" w:rsidRPr="002E6ECA">
        <w:rPr>
          <w:rFonts w:eastAsiaTheme="minorHAnsi"/>
          <w:sz w:val="28"/>
          <w:szCs w:val="28"/>
          <w:lang w:val="uk-UA" w:eastAsia="en-US"/>
        </w:rPr>
        <w:t xml:space="preserve"> et al. </w:t>
      </w:r>
      <w:hyperlink r:id="rId477" w:history="1">
        <w:r w:rsidR="00020FED" w:rsidRPr="002E6ECA">
          <w:rPr>
            <w:rFonts w:eastAsiaTheme="minorHAnsi"/>
            <w:sz w:val="28"/>
            <w:szCs w:val="28"/>
            <w:lang w:val="uk-UA" w:eastAsia="en-US"/>
          </w:rPr>
          <w:t>Association Between Self-Reported Sleep Duration and Body Composition in Middle-Aged and Older Adults</w:t>
        </w:r>
      </w:hyperlink>
      <w:r w:rsidR="00020FED" w:rsidRPr="002E6ECA">
        <w:rPr>
          <w:rFonts w:eastAsiaTheme="minorHAnsi"/>
          <w:sz w:val="28"/>
          <w:szCs w:val="28"/>
          <w:lang w:val="uk-UA" w:eastAsia="en-US"/>
        </w:rPr>
        <w:t xml:space="preserve">. </w:t>
      </w:r>
      <w:r w:rsidR="00020FED" w:rsidRPr="002E6ECA">
        <w:rPr>
          <w:rFonts w:eastAsiaTheme="minorHAnsi"/>
          <w:i/>
          <w:sz w:val="28"/>
          <w:szCs w:val="28"/>
          <w:lang w:val="uk-UA" w:eastAsia="en-US"/>
        </w:rPr>
        <w:t>Journal of Clinical Sleep Medicine</w:t>
      </w:r>
      <w:r w:rsidR="00020FED" w:rsidRPr="002E6ECA">
        <w:rPr>
          <w:rFonts w:eastAsiaTheme="minorHAnsi"/>
          <w:sz w:val="28"/>
          <w:szCs w:val="28"/>
          <w:lang w:val="uk-UA" w:eastAsia="en-US"/>
        </w:rPr>
        <w:t>. 2019. Vol. 15 (3). Р. 431-435. DOI: </w:t>
      </w:r>
      <w:hyperlink r:id="rId478" w:tgtFrame="_blank" w:history="1">
        <w:r w:rsidR="00020FED" w:rsidRPr="002E6ECA">
          <w:rPr>
            <w:rFonts w:eastAsiaTheme="minorHAnsi"/>
            <w:sz w:val="28"/>
            <w:szCs w:val="28"/>
            <w:lang w:val="uk-UA" w:eastAsia="en-US"/>
          </w:rPr>
          <w:t>10.5664/jcsm.7668</w:t>
        </w:r>
      </w:hyperlink>
      <w:r w:rsidR="00020FED"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Tanaka</w:t>
      </w:r>
      <w:r w:rsidRPr="002E6ECA">
        <w:rPr>
          <w:sz w:val="28"/>
          <w:szCs w:val="28"/>
          <w:lang w:val="uk-UA"/>
        </w:rPr>
        <w:t> </w:t>
      </w:r>
      <w:r w:rsidRPr="002E6ECA">
        <w:rPr>
          <w:rFonts w:eastAsiaTheme="minorHAnsi"/>
          <w:sz w:val="28"/>
          <w:szCs w:val="28"/>
          <w:lang w:val="uk-UA" w:eastAsia="en-US"/>
        </w:rPr>
        <w:t>C., Reilly</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J, Tanaka</w:t>
      </w:r>
      <w:r w:rsidRPr="002E6ECA">
        <w:rPr>
          <w:sz w:val="28"/>
          <w:szCs w:val="28"/>
          <w:lang w:val="uk-UA"/>
        </w:rPr>
        <w:t> </w:t>
      </w:r>
      <w:r w:rsidRPr="002E6ECA">
        <w:rPr>
          <w:rFonts w:eastAsiaTheme="minorHAnsi"/>
          <w:sz w:val="28"/>
          <w:szCs w:val="28"/>
          <w:lang w:val="uk-UA" w:eastAsia="en-US"/>
        </w:rPr>
        <w:t>M., Tanaka</w:t>
      </w:r>
      <w:r w:rsidRPr="002E6ECA">
        <w:rPr>
          <w:sz w:val="28"/>
          <w:szCs w:val="28"/>
          <w:lang w:val="uk-UA"/>
        </w:rPr>
        <w:t> </w:t>
      </w:r>
      <w:r w:rsidRPr="002E6ECA">
        <w:rPr>
          <w:rFonts w:eastAsiaTheme="minorHAnsi"/>
          <w:sz w:val="28"/>
          <w:szCs w:val="28"/>
          <w:lang w:val="uk-UA" w:eastAsia="en-US"/>
        </w:rPr>
        <w:t xml:space="preserve">S. </w:t>
      </w:r>
      <w:hyperlink r:id="rId479" w:history="1">
        <w:r w:rsidRPr="002E6ECA">
          <w:rPr>
            <w:rFonts w:eastAsiaTheme="minorHAnsi"/>
            <w:sz w:val="28"/>
            <w:szCs w:val="28"/>
            <w:lang w:val="uk-UA" w:eastAsia="en-US"/>
          </w:rPr>
          <w:t xml:space="preserve">Seasonal changes in objectively measured sedentary behavior and physical activity in Japanese primary school children. </w:t>
        </w:r>
      </w:hyperlink>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2016. Vol. 16 (1). 969. doi: 10.1186/s12889-016-3633-5.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Teo</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H., Chin</w:t>
      </w:r>
      <w:r w:rsidRPr="002E6ECA">
        <w:rPr>
          <w:sz w:val="28"/>
          <w:szCs w:val="28"/>
          <w:lang w:val="uk-UA"/>
        </w:rPr>
        <w:t> </w:t>
      </w:r>
      <w:r w:rsidRPr="002E6ECA">
        <w:rPr>
          <w:rFonts w:eastAsiaTheme="minorHAnsi"/>
          <w:sz w:val="28"/>
          <w:szCs w:val="28"/>
          <w:lang w:val="uk-UA" w:eastAsia="en-US"/>
        </w:rPr>
        <w:t>Y.</w:t>
      </w:r>
      <w:r w:rsidRPr="002E6ECA">
        <w:rPr>
          <w:sz w:val="28"/>
          <w:szCs w:val="28"/>
          <w:lang w:val="uk-UA"/>
        </w:rPr>
        <w:t> </w:t>
      </w:r>
      <w:r w:rsidRPr="002E6ECA">
        <w:rPr>
          <w:rFonts w:eastAsiaTheme="minorHAnsi"/>
          <w:sz w:val="28"/>
          <w:szCs w:val="28"/>
          <w:lang w:val="uk-UA" w:eastAsia="en-US"/>
        </w:rPr>
        <w:t>S., Lim</w:t>
      </w:r>
      <w:r w:rsidRPr="002E6ECA">
        <w:rPr>
          <w:sz w:val="28"/>
          <w:szCs w:val="28"/>
          <w:lang w:val="uk-UA"/>
        </w:rPr>
        <w:t> </w:t>
      </w:r>
      <w:r w:rsidRPr="002E6ECA">
        <w:rPr>
          <w:rFonts w:eastAsiaTheme="minorHAnsi"/>
          <w:sz w:val="28"/>
          <w:szCs w:val="28"/>
          <w:lang w:val="uk-UA" w:eastAsia="en-US"/>
        </w:rPr>
        <w:t>P.</w:t>
      </w:r>
      <w:r w:rsidRPr="002E6ECA">
        <w:rPr>
          <w:sz w:val="28"/>
          <w:szCs w:val="28"/>
          <w:lang w:val="uk-UA"/>
        </w:rPr>
        <w:t> </w:t>
      </w:r>
      <w:r w:rsidRPr="002E6ECA">
        <w:rPr>
          <w:rFonts w:eastAsiaTheme="minorHAnsi"/>
          <w:sz w:val="28"/>
          <w:szCs w:val="28"/>
          <w:lang w:val="uk-UA" w:eastAsia="en-US"/>
        </w:rPr>
        <w:t xml:space="preserve">Y. et al. School-based intervention that integrates nutrition education and supportive healthy school food environment among Malaysian primary school children: a study protocol. </w:t>
      </w:r>
      <w:r w:rsidRPr="002E6ECA">
        <w:rPr>
          <w:rFonts w:eastAsiaTheme="minorHAnsi"/>
          <w:i/>
          <w:sz w:val="28"/>
          <w:szCs w:val="28"/>
          <w:lang w:val="uk-UA" w:eastAsia="en-US"/>
        </w:rPr>
        <w:t>BMC Public Health</w:t>
      </w:r>
      <w:r w:rsidRPr="002E6ECA">
        <w:rPr>
          <w:rFonts w:eastAsiaTheme="minorHAnsi"/>
          <w:sz w:val="28"/>
          <w:szCs w:val="28"/>
          <w:lang w:val="uk-UA" w:eastAsia="en-US"/>
        </w:rPr>
        <w:t>. 2019. Vol.</w:t>
      </w:r>
      <w:r w:rsidRPr="002E6ECA">
        <w:rPr>
          <w:rFonts w:eastAsiaTheme="minorHAnsi"/>
          <w:sz w:val="28"/>
          <w:szCs w:val="28"/>
          <w:lang w:val="uk-UA"/>
        </w:rPr>
        <w:t> </w:t>
      </w:r>
      <w:r w:rsidRPr="002E6ECA">
        <w:rPr>
          <w:rFonts w:eastAsiaTheme="minorHAnsi"/>
          <w:sz w:val="28"/>
          <w:szCs w:val="28"/>
          <w:lang w:val="uk-UA" w:eastAsia="en-US"/>
        </w:rPr>
        <w:t>19 (1). 1427. doi: 10.1186/s12889-019-7708-y.</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Thayer</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F., Ahs</w:t>
      </w:r>
      <w:r w:rsidRPr="002E6ECA">
        <w:rPr>
          <w:sz w:val="28"/>
          <w:szCs w:val="28"/>
          <w:lang w:val="uk-UA"/>
        </w:rPr>
        <w:t> </w:t>
      </w:r>
      <w:r w:rsidRPr="002E6ECA">
        <w:rPr>
          <w:rFonts w:eastAsiaTheme="minorHAnsi"/>
          <w:sz w:val="28"/>
          <w:szCs w:val="28"/>
          <w:lang w:val="uk-UA" w:eastAsia="en-US"/>
        </w:rPr>
        <w:t>F., Wager</w:t>
      </w:r>
      <w:r w:rsidRPr="002E6ECA">
        <w:rPr>
          <w:sz w:val="28"/>
          <w:szCs w:val="28"/>
          <w:lang w:val="uk-UA"/>
        </w:rPr>
        <w:t> </w:t>
      </w:r>
      <w:r w:rsidRPr="002E6ECA">
        <w:rPr>
          <w:rFonts w:eastAsiaTheme="minorHAnsi"/>
          <w:sz w:val="28"/>
          <w:szCs w:val="28"/>
          <w:lang w:val="uk-UA" w:eastAsia="en-US"/>
        </w:rPr>
        <w:t>T.</w:t>
      </w:r>
      <w:r w:rsidRPr="002E6ECA">
        <w:rPr>
          <w:sz w:val="28"/>
          <w:szCs w:val="28"/>
          <w:lang w:val="uk-UA"/>
        </w:rPr>
        <w:t> </w:t>
      </w:r>
      <w:r w:rsidRPr="002E6ECA">
        <w:rPr>
          <w:rFonts w:eastAsiaTheme="minorHAnsi"/>
          <w:sz w:val="28"/>
          <w:szCs w:val="28"/>
          <w:lang w:val="uk-UA" w:eastAsia="en-US"/>
        </w:rPr>
        <w:t xml:space="preserve">D. A meta-analysis of heart rate variability and neuroimaging studies: Implications for heart rate variability as a marker of stress and health. </w:t>
      </w:r>
      <w:r w:rsidRPr="002E6ECA">
        <w:rPr>
          <w:rFonts w:eastAsiaTheme="minorHAnsi"/>
          <w:i/>
          <w:sz w:val="28"/>
          <w:szCs w:val="28"/>
          <w:lang w:val="uk-UA" w:eastAsia="en-US"/>
        </w:rPr>
        <w:t>Neuroscience &amp; Biobehavioral Reviews</w:t>
      </w:r>
      <w:r w:rsidRPr="002E6ECA">
        <w:rPr>
          <w:rFonts w:eastAsiaTheme="minorHAnsi"/>
          <w:sz w:val="28"/>
          <w:szCs w:val="28"/>
          <w:lang w:val="uk-UA" w:eastAsia="en-US"/>
        </w:rPr>
        <w:t xml:space="preserve">. 2012. Vol. 36. Р. 747-756. </w:t>
      </w:r>
      <w:hyperlink r:id="rId480" w:history="1">
        <w:r w:rsidRPr="002E6ECA">
          <w:rPr>
            <w:rFonts w:eastAsiaTheme="minorHAnsi"/>
            <w:sz w:val="28"/>
            <w:szCs w:val="28"/>
            <w:lang w:val="uk-UA" w:eastAsia="en-US"/>
          </w:rPr>
          <w:t>https://doi.org/10.1016/j.neubiorev.2011.11.009</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The WHOQOL. Group. The World Health Organization Quality of Life assessment (WHOQOL): position haher from the World Health Organization. </w:t>
      </w:r>
      <w:hyperlink r:id="rId481" w:history="1">
        <w:r w:rsidRPr="002E6ECA">
          <w:rPr>
            <w:rFonts w:eastAsiaTheme="minorHAnsi"/>
            <w:sz w:val="28"/>
            <w:szCs w:val="28"/>
            <w:lang w:val="uk-UA" w:eastAsia="en-US"/>
          </w:rPr>
          <w:t>Social Science &amp; Medicine</w:t>
        </w:r>
      </w:hyperlink>
      <w:r w:rsidRPr="002E6ECA">
        <w:rPr>
          <w:rFonts w:eastAsiaTheme="minorHAnsi"/>
          <w:sz w:val="28"/>
          <w:szCs w:val="28"/>
          <w:lang w:val="uk-UA" w:eastAsia="en-US"/>
        </w:rPr>
        <w:t>. 1995. Vol. 41. Р. 1403-1409.</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82" w:history="1">
        <w:r w:rsidR="00020FED" w:rsidRPr="002E6ECA">
          <w:rPr>
            <w:rFonts w:eastAsiaTheme="minorHAnsi"/>
            <w:sz w:val="28"/>
            <w:szCs w:val="28"/>
            <w:lang w:val="uk-UA" w:eastAsia="en-US"/>
          </w:rPr>
          <w:t>Tomaszewski</w:t>
        </w:r>
        <w:r w:rsidR="00020FED" w:rsidRPr="002E6ECA">
          <w:rPr>
            <w:sz w:val="28"/>
            <w:szCs w:val="28"/>
            <w:lang w:val="uk-UA"/>
          </w:rPr>
          <w:t> </w:t>
        </w:r>
        <w:r w:rsidR="00020FED" w:rsidRPr="002E6ECA">
          <w:rPr>
            <w:rFonts w:eastAsiaTheme="minorHAnsi"/>
            <w:sz w:val="28"/>
            <w:szCs w:val="28"/>
            <w:lang w:val="uk-UA" w:eastAsia="en-US"/>
          </w:rPr>
          <w:t>P</w:t>
        </w:r>
      </w:hyperlink>
      <w:r w:rsidR="00020FED" w:rsidRPr="002E6ECA">
        <w:rPr>
          <w:rFonts w:eastAsiaTheme="minorHAnsi"/>
          <w:sz w:val="28"/>
          <w:szCs w:val="28"/>
          <w:lang w:val="uk-UA" w:eastAsia="en-US"/>
        </w:rPr>
        <w:t xml:space="preserve">., </w:t>
      </w:r>
      <w:hyperlink r:id="rId483" w:history="1">
        <w:r w:rsidR="00020FED" w:rsidRPr="002E6ECA">
          <w:rPr>
            <w:rFonts w:eastAsiaTheme="minorHAnsi"/>
            <w:sz w:val="28"/>
            <w:szCs w:val="28"/>
            <w:lang w:val="uk-UA" w:eastAsia="en-US"/>
          </w:rPr>
          <w:t>Żmijewski</w:t>
        </w:r>
        <w:r w:rsidR="00020FED" w:rsidRPr="002E6ECA">
          <w:rPr>
            <w:sz w:val="28"/>
            <w:szCs w:val="28"/>
            <w:lang w:val="uk-UA"/>
          </w:rPr>
          <w:t> </w:t>
        </w:r>
        <w:r w:rsidR="00020FED" w:rsidRPr="002E6ECA">
          <w:rPr>
            <w:rFonts w:eastAsiaTheme="minorHAnsi"/>
            <w:sz w:val="28"/>
            <w:szCs w:val="28"/>
            <w:lang w:val="uk-UA" w:eastAsia="en-US"/>
          </w:rPr>
          <w:t>P</w:t>
        </w:r>
      </w:hyperlink>
      <w:r w:rsidR="00020FED" w:rsidRPr="002E6ECA">
        <w:rPr>
          <w:rFonts w:eastAsiaTheme="minorHAnsi"/>
          <w:sz w:val="28"/>
          <w:szCs w:val="28"/>
          <w:lang w:val="uk-UA" w:eastAsia="en-US"/>
        </w:rPr>
        <w:t xml:space="preserve">., </w:t>
      </w:r>
      <w:hyperlink r:id="rId484" w:history="1">
        <w:r w:rsidR="00020FED" w:rsidRPr="002E6ECA">
          <w:rPr>
            <w:rFonts w:eastAsiaTheme="minorHAnsi"/>
            <w:sz w:val="28"/>
            <w:szCs w:val="28"/>
            <w:lang w:val="uk-UA" w:eastAsia="en-US"/>
          </w:rPr>
          <w:t>Milde</w:t>
        </w:r>
        <w:r w:rsidR="00020FED" w:rsidRPr="002E6ECA">
          <w:rPr>
            <w:sz w:val="28"/>
            <w:szCs w:val="28"/>
            <w:lang w:val="uk-UA"/>
          </w:rPr>
          <w:t> </w:t>
        </w:r>
        <w:r w:rsidR="00020FED" w:rsidRPr="002E6ECA">
          <w:rPr>
            <w:rFonts w:eastAsiaTheme="minorHAnsi"/>
            <w:sz w:val="28"/>
            <w:szCs w:val="28"/>
            <w:lang w:val="uk-UA" w:eastAsia="en-US"/>
          </w:rPr>
          <w:t>K</w:t>
        </w:r>
      </w:hyperlink>
      <w:r w:rsidR="00020FED" w:rsidRPr="002E6ECA">
        <w:rPr>
          <w:rFonts w:eastAsiaTheme="minorHAnsi"/>
          <w:sz w:val="28"/>
          <w:szCs w:val="28"/>
          <w:lang w:val="uk-UA" w:eastAsia="en-US"/>
        </w:rPr>
        <w:t xml:space="preserve">., </w:t>
      </w:r>
      <w:hyperlink r:id="rId485" w:history="1">
        <w:r w:rsidR="00020FED" w:rsidRPr="002E6ECA">
          <w:rPr>
            <w:rFonts w:eastAsiaTheme="minorHAnsi"/>
            <w:sz w:val="28"/>
            <w:szCs w:val="28"/>
            <w:lang w:val="uk-UA" w:eastAsia="en-US"/>
          </w:rPr>
          <w:t>Sienkiewicz-Dianzenza</w:t>
        </w:r>
        <w:r w:rsidR="00020FED" w:rsidRPr="002E6ECA">
          <w:rPr>
            <w:sz w:val="28"/>
            <w:szCs w:val="28"/>
            <w:lang w:val="uk-UA"/>
          </w:rPr>
          <w:t> </w:t>
        </w:r>
        <w:r w:rsidR="00020FED" w:rsidRPr="002E6ECA">
          <w:rPr>
            <w:rFonts w:eastAsiaTheme="minorHAnsi"/>
            <w:sz w:val="28"/>
            <w:szCs w:val="28"/>
            <w:lang w:val="uk-UA" w:eastAsia="en-US"/>
          </w:rPr>
          <w:t>E</w:t>
        </w:r>
      </w:hyperlink>
      <w:r w:rsidR="00020FED" w:rsidRPr="002E6ECA">
        <w:rPr>
          <w:rFonts w:eastAsiaTheme="minorHAnsi"/>
          <w:sz w:val="28"/>
          <w:szCs w:val="28"/>
          <w:lang w:val="uk-UA" w:eastAsia="en-US"/>
        </w:rPr>
        <w:t xml:space="preserve">. Weight-height relationships and central obesity in 7-year-old to 10-year-old Polish urban children: a comparison of different BMI and WHtR standards. </w:t>
      </w:r>
      <w:hyperlink r:id="rId486" w:tooltip="Journal of physiological anthropology." w:history="1">
        <w:r w:rsidR="00020FED" w:rsidRPr="002E6ECA">
          <w:rPr>
            <w:rFonts w:eastAsiaTheme="minorHAnsi"/>
            <w:i/>
            <w:sz w:val="28"/>
            <w:szCs w:val="28"/>
            <w:lang w:val="uk-UA" w:eastAsia="en-US"/>
          </w:rPr>
          <w:t>J Physiol Anthropol</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2015. Vol. 34. 34. doi: 10.1186/s40101-015-0073-3.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Trang</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T., Trung</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N., Chu</w:t>
      </w:r>
      <w:r w:rsidRPr="002E6ECA">
        <w:rPr>
          <w:sz w:val="28"/>
          <w:szCs w:val="28"/>
          <w:lang w:val="uk-UA"/>
        </w:rPr>
        <w:t> </w:t>
      </w:r>
      <w:r w:rsidRPr="002E6ECA">
        <w:rPr>
          <w:rFonts w:eastAsiaTheme="minorHAnsi"/>
          <w:sz w:val="28"/>
          <w:szCs w:val="28"/>
          <w:lang w:val="uk-UA" w:eastAsia="en-US"/>
        </w:rPr>
        <w:t>D-T., Hanh</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 xml:space="preserve">T. H. Percentage Body Fat is as a good indicator for determining adolescents who are overweight or obese: A cross-sectional study in Vietnam. </w:t>
      </w:r>
      <w:r w:rsidRPr="002E6ECA">
        <w:rPr>
          <w:rFonts w:eastAsiaTheme="minorHAnsi"/>
          <w:i/>
          <w:sz w:val="28"/>
          <w:szCs w:val="28"/>
          <w:lang w:val="uk-UA" w:eastAsia="en-US"/>
        </w:rPr>
        <w:t>Osong Public Health Res Perspect</w:t>
      </w:r>
      <w:r w:rsidRPr="002E6ECA">
        <w:rPr>
          <w:rFonts w:eastAsiaTheme="minorHAnsi"/>
          <w:sz w:val="28"/>
          <w:szCs w:val="28"/>
          <w:lang w:val="uk-UA" w:eastAsia="en-US"/>
        </w:rPr>
        <w:t xml:space="preserve">. 2019. Vol. 10 (2). Р. 108-114. doi: 10.24171/j.phrp.2019.10.2.10.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87" w:history="1">
        <w:r w:rsidR="00020FED" w:rsidRPr="002E6ECA">
          <w:rPr>
            <w:rFonts w:eastAsiaTheme="minorHAnsi"/>
            <w:sz w:val="28"/>
            <w:szCs w:val="28"/>
            <w:lang w:val="uk-UA" w:eastAsia="en-US"/>
          </w:rPr>
          <w:t>Turesky</w:t>
        </w:r>
      </w:hyperlink>
      <w:r w:rsidR="00020FED" w:rsidRPr="002E6ECA">
        <w:rPr>
          <w:sz w:val="28"/>
          <w:szCs w:val="28"/>
          <w:lang w:val="uk-UA"/>
        </w:rPr>
        <w:t> </w:t>
      </w:r>
      <w:r w:rsidR="00020FED" w:rsidRPr="002E6ECA">
        <w:rPr>
          <w:rFonts w:eastAsiaTheme="minorHAnsi"/>
          <w:sz w:val="28"/>
          <w:szCs w:val="28"/>
          <w:lang w:val="uk-UA" w:eastAsia="en-US"/>
        </w:rPr>
        <w:t>T.</w:t>
      </w:r>
      <w:r w:rsidR="00020FED" w:rsidRPr="002E6ECA">
        <w:rPr>
          <w:sz w:val="28"/>
          <w:szCs w:val="28"/>
          <w:lang w:val="uk-UA"/>
        </w:rPr>
        <w:t> </w:t>
      </w:r>
      <w:r w:rsidR="00020FED" w:rsidRPr="002E6ECA">
        <w:rPr>
          <w:rFonts w:eastAsiaTheme="minorHAnsi"/>
          <w:sz w:val="28"/>
          <w:szCs w:val="28"/>
          <w:lang w:val="uk-UA" w:eastAsia="en-US"/>
        </w:rPr>
        <w:t>K.,</w:t>
      </w:r>
      <w:hyperlink r:id="rId488" w:history="1">
        <w:r w:rsidR="00020FED" w:rsidRPr="002E6ECA">
          <w:rPr>
            <w:rFonts w:eastAsiaTheme="minorHAnsi"/>
            <w:sz w:val="28"/>
            <w:szCs w:val="28"/>
            <w:lang w:val="uk-UA" w:eastAsia="en-US"/>
          </w:rPr>
          <w:t xml:space="preserve"> Olulade</w:t>
        </w:r>
      </w:hyperlink>
      <w:r w:rsidR="00020FED" w:rsidRPr="002E6ECA">
        <w:rPr>
          <w:sz w:val="28"/>
          <w:szCs w:val="28"/>
          <w:lang w:val="uk-UA"/>
        </w:rPr>
        <w:t> </w:t>
      </w:r>
      <w:r w:rsidR="00020FED" w:rsidRPr="002E6ECA">
        <w:rPr>
          <w:rFonts w:eastAsiaTheme="minorHAnsi"/>
          <w:sz w:val="28"/>
          <w:szCs w:val="28"/>
          <w:lang w:val="uk-UA" w:eastAsia="en-US"/>
        </w:rPr>
        <w:t>O.</w:t>
      </w:r>
      <w:r w:rsidR="00020FED" w:rsidRPr="002E6ECA">
        <w:rPr>
          <w:sz w:val="28"/>
          <w:szCs w:val="28"/>
          <w:lang w:val="uk-UA"/>
        </w:rPr>
        <w:t> </w:t>
      </w:r>
      <w:r w:rsidR="00020FED" w:rsidRPr="002E6ECA">
        <w:rPr>
          <w:rFonts w:eastAsiaTheme="minorHAnsi"/>
          <w:sz w:val="28"/>
          <w:szCs w:val="28"/>
          <w:lang w:val="uk-UA" w:eastAsia="en-US"/>
        </w:rPr>
        <w:t>A.,</w:t>
      </w:r>
      <w:hyperlink r:id="rId489" w:history="1">
        <w:r w:rsidR="00020FED" w:rsidRPr="002E6ECA">
          <w:rPr>
            <w:rFonts w:eastAsiaTheme="minorHAnsi"/>
            <w:sz w:val="28"/>
            <w:szCs w:val="28"/>
            <w:lang w:val="uk-UA" w:eastAsia="en-US"/>
          </w:rPr>
          <w:t xml:space="preserve"> Luetje</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M.,</w:t>
      </w:r>
      <w:hyperlink r:id="rId490" w:history="1">
        <w:r w:rsidR="00020FED" w:rsidRPr="002E6ECA">
          <w:rPr>
            <w:rFonts w:eastAsiaTheme="minorHAnsi"/>
            <w:sz w:val="28"/>
            <w:szCs w:val="28"/>
            <w:lang w:val="uk-UA" w:eastAsia="en-US"/>
          </w:rPr>
          <w:t xml:space="preserve"> Eden</w:t>
        </w:r>
      </w:hyperlink>
      <w:r w:rsidR="00020FED" w:rsidRPr="002E6ECA">
        <w:rPr>
          <w:sz w:val="28"/>
          <w:szCs w:val="28"/>
          <w:lang w:val="uk-UA"/>
        </w:rPr>
        <w:t> </w:t>
      </w:r>
      <w:r w:rsidR="00020FED" w:rsidRPr="002E6ECA">
        <w:rPr>
          <w:rFonts w:eastAsiaTheme="minorHAnsi"/>
          <w:sz w:val="28"/>
          <w:szCs w:val="28"/>
          <w:lang w:val="uk-UA" w:eastAsia="en-US"/>
        </w:rPr>
        <w:t>G.</w:t>
      </w:r>
      <w:r w:rsidR="00020FED" w:rsidRPr="002E6ECA">
        <w:rPr>
          <w:sz w:val="28"/>
          <w:szCs w:val="28"/>
          <w:lang w:val="uk-UA"/>
        </w:rPr>
        <w:t> </w:t>
      </w:r>
      <w:r w:rsidR="00020FED" w:rsidRPr="002E6ECA">
        <w:rPr>
          <w:rFonts w:eastAsiaTheme="minorHAnsi"/>
          <w:sz w:val="28"/>
          <w:szCs w:val="28"/>
          <w:lang w:val="uk-UA" w:eastAsia="en-US"/>
        </w:rPr>
        <w:t xml:space="preserve">F. An fMRI study of finger tapping in children and adults. </w:t>
      </w:r>
      <w:r w:rsidR="00020FED" w:rsidRPr="002E6ECA">
        <w:rPr>
          <w:rFonts w:eastAsiaTheme="minorHAnsi"/>
          <w:i/>
          <w:sz w:val="28"/>
          <w:szCs w:val="28"/>
          <w:lang w:val="uk-UA" w:eastAsia="en-US"/>
        </w:rPr>
        <w:t>Hum Brain Mapp</w:t>
      </w:r>
      <w:r w:rsidR="00020FED" w:rsidRPr="002E6ECA">
        <w:rPr>
          <w:rFonts w:eastAsiaTheme="minorHAnsi"/>
          <w:sz w:val="28"/>
          <w:szCs w:val="28"/>
          <w:lang w:val="uk-UA" w:eastAsia="en-US"/>
        </w:rPr>
        <w:t xml:space="preserve">. 2018. Vol. 39 (8). Р. 3203-3215. doi: 10.1002/hbm.24070. </w:t>
      </w:r>
      <w:hyperlink r:id="rId491" w:history="1">
        <w:r w:rsidR="00020FED" w:rsidRPr="002E6ECA">
          <w:rPr>
            <w:rFonts w:eastAsiaTheme="minorHAnsi"/>
            <w:sz w:val="28"/>
            <w:szCs w:val="28"/>
            <w:lang w:val="uk-UA" w:eastAsia="en-US"/>
          </w:rPr>
          <w:t>https://pubmed.ncbi.nlm.nih.gov/29611256/</w:t>
        </w:r>
      </w:hyperlink>
      <w:r w:rsidR="00020FED"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Tyng</w:t>
      </w:r>
      <w:r w:rsidRPr="002E6ECA">
        <w:rPr>
          <w:sz w:val="28"/>
          <w:szCs w:val="28"/>
          <w:lang w:val="uk-UA"/>
        </w:rPr>
        <w:t> </w:t>
      </w:r>
      <w:r w:rsidRPr="002E6ECA">
        <w:rPr>
          <w:rFonts w:eastAsiaTheme="minorHAnsi"/>
          <w:sz w:val="28"/>
          <w:szCs w:val="28"/>
          <w:lang w:val="uk-UA" w:eastAsia="en-US"/>
        </w:rPr>
        <w:t>C.</w:t>
      </w:r>
      <w:r w:rsidRPr="002E6ECA">
        <w:rPr>
          <w:sz w:val="28"/>
          <w:szCs w:val="28"/>
          <w:lang w:val="uk-UA"/>
        </w:rPr>
        <w:t> </w:t>
      </w:r>
      <w:r w:rsidRPr="002E6ECA">
        <w:rPr>
          <w:rFonts w:eastAsiaTheme="minorHAnsi"/>
          <w:sz w:val="28"/>
          <w:szCs w:val="28"/>
          <w:lang w:val="uk-UA" w:eastAsia="en-US"/>
        </w:rPr>
        <w:t>M., Amin</w:t>
      </w:r>
      <w:r w:rsidRPr="002E6ECA">
        <w:rPr>
          <w:sz w:val="28"/>
          <w:szCs w:val="28"/>
          <w:lang w:val="uk-UA"/>
        </w:rPr>
        <w:t> </w:t>
      </w:r>
      <w:r w:rsidRPr="002E6ECA">
        <w:rPr>
          <w:rFonts w:eastAsiaTheme="minorHAnsi"/>
          <w:sz w:val="28"/>
          <w:szCs w:val="28"/>
          <w:lang w:val="uk-UA" w:eastAsia="en-US"/>
        </w:rPr>
        <w:t>H.</w:t>
      </w:r>
      <w:r w:rsidRPr="002E6ECA">
        <w:rPr>
          <w:sz w:val="28"/>
          <w:szCs w:val="28"/>
          <w:lang w:val="uk-UA"/>
        </w:rPr>
        <w:t> </w:t>
      </w:r>
      <w:r w:rsidRPr="002E6ECA">
        <w:rPr>
          <w:rFonts w:eastAsiaTheme="minorHAnsi"/>
          <w:sz w:val="28"/>
          <w:szCs w:val="28"/>
          <w:lang w:val="uk-UA" w:eastAsia="en-US"/>
        </w:rPr>
        <w:t>U., &amp; Malik</w:t>
      </w:r>
      <w:r w:rsidRPr="002E6ECA">
        <w:rPr>
          <w:sz w:val="28"/>
          <w:szCs w:val="28"/>
          <w:lang w:val="uk-UA"/>
        </w:rPr>
        <w:t> </w:t>
      </w:r>
      <w:r w:rsidRPr="002E6ECA">
        <w:rPr>
          <w:rFonts w:eastAsiaTheme="minorHAnsi"/>
          <w:sz w:val="28"/>
          <w:szCs w:val="28"/>
          <w:lang w:val="uk-UA" w:eastAsia="en-US"/>
        </w:rPr>
        <w:t>A.</w:t>
      </w:r>
      <w:r w:rsidRPr="002E6ECA">
        <w:rPr>
          <w:sz w:val="28"/>
          <w:szCs w:val="28"/>
          <w:lang w:val="uk-UA"/>
        </w:rPr>
        <w:t> </w:t>
      </w:r>
      <w:r w:rsidRPr="002E6ECA">
        <w:rPr>
          <w:rFonts w:eastAsiaTheme="minorHAnsi"/>
          <w:sz w:val="28"/>
          <w:szCs w:val="28"/>
          <w:lang w:val="uk-UA" w:eastAsia="en-US"/>
        </w:rPr>
        <w:t xml:space="preserve">S. The influences of emotion on learning and memory. </w:t>
      </w:r>
      <w:r w:rsidRPr="002E6ECA">
        <w:rPr>
          <w:rFonts w:eastAsiaTheme="minorHAnsi"/>
          <w:i/>
          <w:sz w:val="28"/>
          <w:szCs w:val="28"/>
          <w:lang w:val="uk-UA" w:eastAsia="en-US"/>
        </w:rPr>
        <w:t>Frontiers in psychology</w:t>
      </w:r>
      <w:r w:rsidRPr="002E6ECA">
        <w:rPr>
          <w:rFonts w:eastAsiaTheme="minorHAnsi"/>
          <w:sz w:val="28"/>
          <w:szCs w:val="28"/>
          <w:lang w:val="uk-UA" w:eastAsia="en-US"/>
        </w:rPr>
        <w:t xml:space="preserve">. 2017. Vol. 8. Р. 1454. </w:t>
      </w:r>
      <w:hyperlink r:id="rId492" w:history="1">
        <w:r w:rsidRPr="002E6ECA">
          <w:rPr>
            <w:rFonts w:eastAsiaTheme="minorHAnsi"/>
            <w:sz w:val="28"/>
            <w:szCs w:val="28"/>
            <w:lang w:val="uk-UA" w:eastAsia="en-US"/>
          </w:rPr>
          <w:t>https://doi.org/10.3389/fpsyg.2017.01454</w:t>
        </w:r>
      </w:hyperlink>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Vanmeerbeek</w:t>
      </w:r>
      <w:r w:rsidRPr="002E6ECA">
        <w:rPr>
          <w:sz w:val="28"/>
          <w:szCs w:val="28"/>
          <w:lang w:val="uk-UA"/>
        </w:rPr>
        <w:t> </w:t>
      </w:r>
      <w:r w:rsidRPr="002E6ECA">
        <w:rPr>
          <w:rFonts w:eastAsiaTheme="minorHAnsi"/>
          <w:sz w:val="28"/>
          <w:szCs w:val="28"/>
          <w:lang w:val="uk-UA" w:eastAsia="en-US"/>
        </w:rPr>
        <w:t>M., Van Onckelen</w:t>
      </w:r>
      <w:r w:rsidRPr="002E6ECA">
        <w:rPr>
          <w:sz w:val="28"/>
          <w:szCs w:val="28"/>
          <w:lang w:val="uk-UA"/>
        </w:rPr>
        <w:t> </w:t>
      </w:r>
      <w:r w:rsidRPr="002E6ECA">
        <w:rPr>
          <w:rFonts w:eastAsiaTheme="minorHAnsi"/>
          <w:sz w:val="28"/>
          <w:szCs w:val="28"/>
          <w:lang w:val="uk-UA" w:eastAsia="en-US"/>
        </w:rPr>
        <w:t>S., Boüüaert</w:t>
      </w:r>
      <w:r w:rsidRPr="002E6ECA">
        <w:rPr>
          <w:sz w:val="28"/>
          <w:szCs w:val="28"/>
          <w:lang w:val="uk-UA"/>
        </w:rPr>
        <w:t> </w:t>
      </w:r>
      <w:r w:rsidRPr="002E6ECA">
        <w:rPr>
          <w:rFonts w:eastAsiaTheme="minorHAnsi"/>
          <w:sz w:val="28"/>
          <w:szCs w:val="28"/>
          <w:lang w:val="uk-UA" w:eastAsia="en-US"/>
        </w:rPr>
        <w:t>C., Burette</w:t>
      </w:r>
      <w:r w:rsidRPr="002E6ECA">
        <w:rPr>
          <w:sz w:val="28"/>
          <w:szCs w:val="28"/>
          <w:lang w:val="uk-UA"/>
        </w:rPr>
        <w:t> </w:t>
      </w:r>
      <w:r w:rsidRPr="002E6ECA">
        <w:rPr>
          <w:rFonts w:eastAsiaTheme="minorHAnsi"/>
          <w:sz w:val="28"/>
          <w:szCs w:val="28"/>
          <w:lang w:val="uk-UA" w:eastAsia="en-US"/>
        </w:rPr>
        <w:t xml:space="preserve">P. Enfants à haut potentiel: attitude du médecin traitant. </w:t>
      </w:r>
      <w:r w:rsidRPr="002E6ECA">
        <w:rPr>
          <w:rFonts w:eastAsiaTheme="minorHAnsi"/>
          <w:i/>
          <w:sz w:val="28"/>
          <w:szCs w:val="28"/>
          <w:lang w:val="uk-UA" w:eastAsia="en-US"/>
        </w:rPr>
        <w:t>Presse Med</w:t>
      </w:r>
      <w:r w:rsidRPr="002E6ECA">
        <w:rPr>
          <w:rFonts w:eastAsiaTheme="minorHAnsi"/>
          <w:sz w:val="28"/>
          <w:szCs w:val="28"/>
          <w:lang w:val="uk-UA" w:eastAsia="en-US"/>
        </w:rPr>
        <w:t>. 2006. Vol. 35 (1 Pt 2). Р. 86-90. doi: 10.1016/s0755-4982(06)74528-6.</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Varni</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xml:space="preserve">  </w:t>
      </w:r>
      <w:r w:rsidRPr="002E6ECA">
        <w:rPr>
          <w:rFonts w:eastAsiaTheme="minorHAnsi"/>
          <w:sz w:val="28"/>
          <w:szCs w:val="28"/>
          <w:lang w:val="uk-UA" w:eastAsia="en-US"/>
        </w:rPr>
        <w:t>W., Katz</w:t>
      </w:r>
      <w:r w:rsidRPr="002E6ECA">
        <w:rPr>
          <w:sz w:val="28"/>
          <w:szCs w:val="28"/>
          <w:lang w:val="uk-UA"/>
        </w:rPr>
        <w:t> </w:t>
      </w:r>
      <w:r w:rsidRPr="002E6ECA">
        <w:rPr>
          <w:rFonts w:eastAsiaTheme="minorHAnsi"/>
          <w:sz w:val="28"/>
          <w:szCs w:val="28"/>
          <w:lang w:val="uk-UA" w:eastAsia="en-US"/>
        </w:rPr>
        <w:t>E.</w:t>
      </w:r>
      <w:r w:rsidRPr="002E6ECA">
        <w:rPr>
          <w:sz w:val="28"/>
          <w:szCs w:val="28"/>
          <w:lang w:val="uk-UA"/>
        </w:rPr>
        <w:t> </w:t>
      </w:r>
      <w:r w:rsidRPr="002E6ECA">
        <w:rPr>
          <w:rFonts w:eastAsiaTheme="minorHAnsi"/>
          <w:sz w:val="28"/>
          <w:szCs w:val="28"/>
          <w:lang w:val="uk-UA" w:eastAsia="en-US"/>
        </w:rPr>
        <w:t>R., Seid</w:t>
      </w:r>
      <w:r w:rsidRPr="002E6ECA">
        <w:rPr>
          <w:sz w:val="28"/>
          <w:szCs w:val="28"/>
          <w:lang w:val="uk-UA"/>
        </w:rPr>
        <w:t> </w:t>
      </w:r>
      <w:r w:rsidRPr="002E6ECA">
        <w:rPr>
          <w:rFonts w:eastAsiaTheme="minorHAnsi"/>
          <w:sz w:val="28"/>
          <w:szCs w:val="28"/>
          <w:lang w:val="uk-UA" w:eastAsia="en-US"/>
        </w:rPr>
        <w:t>M., Knight</w:t>
      </w:r>
      <w:r w:rsidRPr="002E6ECA">
        <w:rPr>
          <w:sz w:val="28"/>
          <w:szCs w:val="28"/>
          <w:lang w:val="uk-UA"/>
        </w:rPr>
        <w:t> </w:t>
      </w:r>
      <w:r w:rsidRPr="002E6ECA">
        <w:rPr>
          <w:rFonts w:eastAsiaTheme="minorHAnsi"/>
          <w:sz w:val="28"/>
          <w:szCs w:val="28"/>
          <w:lang w:val="uk-UA" w:eastAsia="en-US"/>
        </w:rPr>
        <w:t>T.</w:t>
      </w:r>
      <w:r w:rsidRPr="002E6ECA">
        <w:rPr>
          <w:sz w:val="28"/>
          <w:szCs w:val="28"/>
          <w:lang w:val="uk-UA"/>
        </w:rPr>
        <w:t> </w:t>
      </w:r>
      <w:r w:rsidRPr="002E6ECA">
        <w:rPr>
          <w:rFonts w:eastAsiaTheme="minorHAnsi"/>
          <w:sz w:val="28"/>
          <w:szCs w:val="28"/>
          <w:lang w:val="uk-UA" w:eastAsia="en-US"/>
        </w:rPr>
        <w:t xml:space="preserve">S. The PedsQl 4.0 generic core Scales: sensitivity, responsiveness, and impact on clinical decision–making. </w:t>
      </w:r>
      <w:r w:rsidRPr="002E6ECA">
        <w:rPr>
          <w:rFonts w:eastAsiaTheme="minorHAnsi"/>
          <w:i/>
          <w:sz w:val="28"/>
          <w:szCs w:val="28"/>
          <w:lang w:val="uk-UA" w:eastAsia="en-US"/>
        </w:rPr>
        <w:t>Journal of Behavioral Medicine</w:t>
      </w:r>
      <w:r w:rsidRPr="002E6ECA">
        <w:rPr>
          <w:rFonts w:eastAsiaTheme="minorHAnsi"/>
          <w:sz w:val="28"/>
          <w:szCs w:val="28"/>
          <w:lang w:val="uk-UA" w:eastAsia="en-US"/>
        </w:rPr>
        <w:t>. 2010. Vol. 25 (2). P. 175-193. DOI: </w:t>
      </w:r>
      <w:hyperlink r:id="rId493" w:tgtFrame="_blank" w:history="1">
        <w:r w:rsidRPr="002E6ECA">
          <w:rPr>
            <w:rFonts w:eastAsiaTheme="minorHAnsi"/>
            <w:sz w:val="28"/>
            <w:szCs w:val="28"/>
            <w:lang w:val="uk-UA" w:eastAsia="en-US"/>
          </w:rPr>
          <w:t>10.1023/a:1014836921812</w:t>
        </w:r>
      </w:hyperlink>
      <w:r w:rsidRPr="002E6ECA">
        <w:rPr>
          <w:rFonts w:eastAsiaTheme="minorHAnsi"/>
          <w:sz w:val="28"/>
          <w:szCs w:val="28"/>
          <w:lang w:val="uk-UA" w:eastAsia="en-US"/>
        </w:rPr>
        <w:t>.</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Verney</w:t>
      </w:r>
      <w:r w:rsidRPr="002E6ECA">
        <w:rPr>
          <w:sz w:val="28"/>
          <w:szCs w:val="28"/>
          <w:lang w:val="uk-UA"/>
        </w:rPr>
        <w:t> </w:t>
      </w:r>
      <w:r w:rsidRPr="002E6ECA">
        <w:rPr>
          <w:rFonts w:eastAsiaTheme="minorHAnsi"/>
          <w:sz w:val="28"/>
          <w:szCs w:val="28"/>
          <w:lang w:val="uk-UA" w:eastAsia="en-US"/>
        </w:rPr>
        <w:t xml:space="preserve">J. Bioelectrical impedance is an accurate method to assess body composition in obese but not severely obese adolescents. </w:t>
      </w:r>
      <w:r w:rsidRPr="002E6ECA">
        <w:rPr>
          <w:rFonts w:eastAsiaTheme="minorHAnsi"/>
          <w:i/>
          <w:sz w:val="28"/>
          <w:szCs w:val="28"/>
          <w:lang w:val="uk-UA" w:eastAsia="en-US"/>
        </w:rPr>
        <w:t>Nutr. Res</w:t>
      </w:r>
      <w:r w:rsidRPr="002E6ECA">
        <w:rPr>
          <w:rFonts w:eastAsiaTheme="minorHAnsi"/>
          <w:sz w:val="28"/>
          <w:szCs w:val="28"/>
          <w:lang w:val="uk-UA" w:eastAsia="en-US"/>
        </w:rPr>
        <w:t>. 2016. Vol. 36 (7). Р. 663-670. doi: 10.1016/j.nutres.2016.04.003.</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94" w:history="1">
        <w:r w:rsidR="00020FED" w:rsidRPr="002E6ECA">
          <w:rPr>
            <w:rFonts w:eastAsiaTheme="minorHAnsi"/>
            <w:sz w:val="28"/>
            <w:szCs w:val="28"/>
            <w:lang w:val="uk-UA" w:eastAsia="en-US"/>
          </w:rPr>
          <w:t>Villares</w:t>
        </w:r>
      </w:hyperlink>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 xml:space="preserve">M. M., </w:t>
      </w:r>
      <w:hyperlink r:id="rId495" w:history="1">
        <w:r w:rsidR="00020FED" w:rsidRPr="002E6ECA">
          <w:rPr>
            <w:rFonts w:eastAsiaTheme="minorHAnsi"/>
            <w:sz w:val="28"/>
            <w:szCs w:val="28"/>
            <w:lang w:val="uk-UA" w:eastAsia="en-US"/>
          </w:rPr>
          <w:t>Segovia</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J.</w:t>
      </w:r>
      <w:r w:rsidR="00020FED" w:rsidRPr="002E6ECA">
        <w:rPr>
          <w:rFonts w:eastAsiaTheme="minorHAnsi"/>
          <w:sz w:val="28"/>
          <w:szCs w:val="28"/>
          <w:lang w:val="uk-UA"/>
        </w:rPr>
        <w:t> </w:t>
      </w:r>
      <w:r w:rsidR="00020FED" w:rsidRPr="002E6ECA">
        <w:rPr>
          <w:rFonts w:eastAsiaTheme="minorHAnsi"/>
          <w:sz w:val="28"/>
          <w:szCs w:val="28"/>
          <w:lang w:val="uk-UA" w:eastAsia="en-US"/>
        </w:rPr>
        <w:t xml:space="preserve">G. Screen-time: a new stakeholder in children and adolescent health. </w:t>
      </w:r>
      <w:r w:rsidR="00020FED" w:rsidRPr="002E6ECA">
        <w:rPr>
          <w:rFonts w:eastAsiaTheme="minorHAnsi"/>
          <w:i/>
          <w:sz w:val="28"/>
          <w:szCs w:val="28"/>
          <w:lang w:val="uk-UA" w:eastAsia="en-US"/>
        </w:rPr>
        <w:t>Nutricion Hospitalaria</w:t>
      </w:r>
      <w:r w:rsidR="00020FED" w:rsidRPr="002E6ECA">
        <w:rPr>
          <w:rFonts w:eastAsiaTheme="minorHAnsi"/>
          <w:sz w:val="28"/>
          <w:szCs w:val="28"/>
          <w:lang w:val="uk-UA" w:eastAsia="en-US"/>
        </w:rPr>
        <w:t xml:space="preserve">. 2019. Vol. 36 (6). Р. 1235-1236. doi: 10.20960/nh.02932. </w:t>
      </w:r>
      <w:hyperlink r:id="rId496" w:history="1"/>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Vlasiuk</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V., Tarasuk</w:t>
      </w:r>
      <w:r w:rsidRPr="002E6ECA">
        <w:rPr>
          <w:sz w:val="28"/>
          <w:szCs w:val="28"/>
          <w:lang w:val="uk-UA"/>
        </w:rPr>
        <w:t> </w:t>
      </w:r>
      <w:r w:rsidRPr="002E6ECA">
        <w:rPr>
          <w:rFonts w:eastAsiaTheme="minorHAnsi"/>
          <w:sz w:val="28"/>
          <w:szCs w:val="28"/>
          <w:lang w:val="uk-UA" w:eastAsia="en-US"/>
        </w:rPr>
        <w:t>О.</w:t>
      </w:r>
      <w:r w:rsidRPr="002E6ECA">
        <w:rPr>
          <w:sz w:val="28"/>
          <w:szCs w:val="28"/>
          <w:lang w:val="uk-UA"/>
        </w:rPr>
        <w:t> </w:t>
      </w:r>
      <w:r w:rsidRPr="002E6ECA">
        <w:rPr>
          <w:rFonts w:eastAsiaTheme="minorHAnsi"/>
          <w:sz w:val="28"/>
          <w:szCs w:val="28"/>
          <w:lang w:val="uk-UA" w:eastAsia="en-US"/>
        </w:rPr>
        <w:t>Y., Antomonov</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w:t>
      </w:r>
      <w:r w:rsidRPr="002E6ECA">
        <w:rPr>
          <w:rFonts w:eastAsiaTheme="minorHAnsi"/>
          <w:sz w:val="28"/>
          <w:szCs w:val="28"/>
          <w:lang w:val="uk-UA" w:eastAsia="en-US"/>
        </w:rPr>
        <w:t xml:space="preserve">Y. Health self-assessment of Ukrainian population as a result of Chornobyl accident on the late phase. </w:t>
      </w:r>
      <w:r w:rsidRPr="002E6ECA">
        <w:rPr>
          <w:rFonts w:eastAsiaTheme="minorHAnsi"/>
          <w:i/>
          <w:sz w:val="28"/>
          <w:szCs w:val="28"/>
          <w:lang w:val="uk-UA" w:eastAsia="en-US"/>
        </w:rPr>
        <w:t>Environment &amp; Health</w:t>
      </w:r>
      <w:r w:rsidRPr="002E6ECA">
        <w:rPr>
          <w:rFonts w:eastAsiaTheme="minorHAnsi"/>
          <w:sz w:val="28"/>
          <w:szCs w:val="28"/>
          <w:lang w:val="uk-UA" w:eastAsia="en-US"/>
        </w:rPr>
        <w:t>. 2016. Vol. 4. P. 41-45.</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lastRenderedPageBreak/>
        <w:t>Vogel</w:t>
      </w:r>
      <w:r w:rsidRPr="002E6ECA">
        <w:rPr>
          <w:sz w:val="28"/>
          <w:szCs w:val="28"/>
          <w:lang w:val="uk-UA"/>
        </w:rPr>
        <w:t> </w:t>
      </w:r>
      <w:r w:rsidRPr="002E6ECA">
        <w:rPr>
          <w:rFonts w:eastAsiaTheme="minorHAnsi"/>
          <w:sz w:val="28"/>
          <w:szCs w:val="28"/>
          <w:lang w:val="uk-UA" w:eastAsia="en-US"/>
        </w:rPr>
        <w:t>S., Schwabe</w:t>
      </w:r>
      <w:r w:rsidRPr="002E6ECA">
        <w:rPr>
          <w:sz w:val="28"/>
          <w:szCs w:val="28"/>
          <w:lang w:val="uk-UA"/>
        </w:rPr>
        <w:t> </w:t>
      </w:r>
      <w:r w:rsidRPr="002E6ECA">
        <w:rPr>
          <w:rFonts w:eastAsiaTheme="minorHAnsi"/>
          <w:sz w:val="28"/>
          <w:szCs w:val="28"/>
          <w:lang w:val="uk-UA" w:eastAsia="en-US"/>
        </w:rPr>
        <w:t xml:space="preserve">L. Learning and memory under stress: implications for the classroom. </w:t>
      </w:r>
      <w:r w:rsidRPr="002E6ECA">
        <w:rPr>
          <w:rFonts w:eastAsiaTheme="minorHAnsi"/>
          <w:i/>
          <w:sz w:val="28"/>
          <w:szCs w:val="28"/>
          <w:lang w:val="uk-UA" w:eastAsia="en-US"/>
        </w:rPr>
        <w:t>npj Science Learn</w:t>
      </w:r>
      <w:r w:rsidRPr="002E6ECA">
        <w:rPr>
          <w:rFonts w:eastAsiaTheme="minorHAnsi"/>
          <w:sz w:val="28"/>
          <w:szCs w:val="28"/>
          <w:lang w:val="uk-UA" w:eastAsia="en-US"/>
        </w:rPr>
        <w:t xml:space="preserve">. 2016. Vol. 1. Р. 16011. </w:t>
      </w:r>
      <w:hyperlink r:id="rId497" w:history="1">
        <w:r w:rsidRPr="002E6ECA">
          <w:rPr>
            <w:rFonts w:eastAsiaTheme="minorHAnsi"/>
            <w:sz w:val="28"/>
            <w:szCs w:val="28"/>
            <w:lang w:val="uk-UA" w:eastAsia="en-US"/>
          </w:rPr>
          <w:t>https://doi.org/10.1038/npjscilearn. 2016.11</w:t>
        </w:r>
      </w:hyperlink>
      <w:r w:rsidRPr="002E6ECA">
        <w:rPr>
          <w:rFonts w:eastAsiaTheme="minorHAnsi"/>
          <w:sz w:val="28"/>
          <w:szCs w:val="28"/>
          <w:lang w:val="uk-UA" w:eastAsia="en-US"/>
        </w:rPr>
        <w:t xml:space="preserve">. </w:t>
      </w:r>
    </w:p>
    <w:p w:rsidR="00020FED" w:rsidRPr="002E6ECA" w:rsidRDefault="004F7283" w:rsidP="00020FED">
      <w:pPr>
        <w:numPr>
          <w:ilvl w:val="0"/>
          <w:numId w:val="72"/>
        </w:numPr>
        <w:spacing w:line="360" w:lineRule="auto"/>
        <w:ind w:left="0" w:firstLine="709"/>
        <w:contextualSpacing/>
        <w:jc w:val="both"/>
        <w:rPr>
          <w:rFonts w:eastAsiaTheme="minorHAnsi"/>
          <w:sz w:val="28"/>
          <w:szCs w:val="28"/>
          <w:lang w:val="uk-UA" w:eastAsia="en-US"/>
        </w:rPr>
      </w:pPr>
      <w:hyperlink r:id="rId498" w:history="1">
        <w:r w:rsidR="00020FED" w:rsidRPr="002E6ECA">
          <w:rPr>
            <w:rFonts w:eastAsiaTheme="minorHAnsi"/>
            <w:sz w:val="28"/>
            <w:szCs w:val="28"/>
            <w:lang w:val="uk-UA" w:eastAsia="en-US"/>
          </w:rPr>
          <w:t>Volanen</w:t>
        </w:r>
      </w:hyperlink>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M.,</w:t>
      </w:r>
      <w:hyperlink r:id="rId499" w:history="1">
        <w:r w:rsidR="00020FED" w:rsidRPr="002E6ECA">
          <w:rPr>
            <w:rFonts w:eastAsiaTheme="minorHAnsi"/>
            <w:sz w:val="28"/>
            <w:szCs w:val="28"/>
            <w:lang w:val="uk-UA" w:eastAsia="en-US"/>
          </w:rPr>
          <w:t xml:space="preserve"> Lassander</w:t>
        </w:r>
      </w:hyperlink>
      <w:r w:rsidR="00020FED" w:rsidRPr="002E6ECA">
        <w:rPr>
          <w:sz w:val="28"/>
          <w:szCs w:val="28"/>
          <w:lang w:val="uk-UA"/>
        </w:rPr>
        <w:t> </w:t>
      </w:r>
      <w:r w:rsidR="00020FED" w:rsidRPr="002E6ECA">
        <w:rPr>
          <w:rFonts w:eastAsiaTheme="minorHAnsi"/>
          <w:sz w:val="28"/>
          <w:szCs w:val="28"/>
          <w:lang w:val="uk-UA" w:eastAsia="en-US"/>
        </w:rPr>
        <w:t>M.,</w:t>
      </w:r>
      <w:hyperlink r:id="rId500" w:history="1">
        <w:r w:rsidR="00020FED" w:rsidRPr="002E6ECA">
          <w:rPr>
            <w:rFonts w:eastAsiaTheme="minorHAnsi"/>
            <w:sz w:val="28"/>
            <w:szCs w:val="28"/>
            <w:lang w:val="uk-UA" w:eastAsia="en-US"/>
          </w:rPr>
          <w:t xml:space="preserve"> Hankonen</w:t>
        </w:r>
      </w:hyperlink>
      <w:r w:rsidR="00020FED" w:rsidRPr="002E6ECA">
        <w:rPr>
          <w:sz w:val="28"/>
          <w:szCs w:val="28"/>
          <w:lang w:val="uk-UA"/>
        </w:rPr>
        <w:t> </w:t>
      </w:r>
      <w:r w:rsidR="00020FED" w:rsidRPr="002E6ECA">
        <w:rPr>
          <w:rFonts w:eastAsiaTheme="minorHAnsi"/>
          <w:sz w:val="28"/>
          <w:szCs w:val="28"/>
          <w:lang w:val="uk-UA" w:eastAsia="en-US"/>
        </w:rPr>
        <w:t>N.,</w:t>
      </w:r>
      <w:hyperlink r:id="rId501" w:history="1">
        <w:r w:rsidR="00020FED" w:rsidRPr="002E6ECA">
          <w:rPr>
            <w:rFonts w:eastAsiaTheme="minorHAnsi"/>
            <w:sz w:val="28"/>
            <w:szCs w:val="28"/>
            <w:lang w:val="uk-UA" w:eastAsia="en-US"/>
          </w:rPr>
          <w:t xml:space="preserve"> Santalahti</w:t>
        </w:r>
      </w:hyperlink>
      <w:r w:rsidR="00020FED" w:rsidRPr="002E6ECA">
        <w:rPr>
          <w:sz w:val="28"/>
          <w:szCs w:val="28"/>
          <w:lang w:val="uk-UA"/>
        </w:rPr>
        <w:t> </w:t>
      </w:r>
      <w:r w:rsidR="00020FED" w:rsidRPr="002E6ECA">
        <w:rPr>
          <w:rFonts w:eastAsiaTheme="minorHAnsi"/>
          <w:sz w:val="28"/>
          <w:szCs w:val="28"/>
          <w:lang w:val="uk-UA" w:eastAsia="en-US"/>
        </w:rPr>
        <w:t>P.,</w:t>
      </w:r>
      <w:hyperlink r:id="rId502" w:history="1">
        <w:r w:rsidR="00020FED" w:rsidRPr="002E6ECA">
          <w:rPr>
            <w:rFonts w:eastAsiaTheme="minorHAnsi"/>
            <w:sz w:val="28"/>
            <w:szCs w:val="28"/>
            <w:lang w:val="uk-UA" w:eastAsia="en-US"/>
          </w:rPr>
          <w:t xml:space="preserve"> Hintsanen</w:t>
        </w:r>
      </w:hyperlink>
      <w:r w:rsidR="00020FED" w:rsidRPr="002E6ECA">
        <w:rPr>
          <w:sz w:val="28"/>
          <w:szCs w:val="28"/>
          <w:lang w:val="uk-UA"/>
        </w:rPr>
        <w:t> </w:t>
      </w:r>
      <w:r w:rsidR="00020FED" w:rsidRPr="002E6ECA">
        <w:rPr>
          <w:rFonts w:eastAsiaTheme="minorHAnsi"/>
          <w:sz w:val="28"/>
          <w:szCs w:val="28"/>
          <w:lang w:val="uk-UA" w:eastAsia="en-US"/>
        </w:rPr>
        <w:t>M.,</w:t>
      </w:r>
      <w:hyperlink r:id="rId503" w:history="1">
        <w:r w:rsidR="00020FED" w:rsidRPr="002E6ECA">
          <w:rPr>
            <w:rFonts w:eastAsiaTheme="minorHAnsi"/>
            <w:sz w:val="28"/>
            <w:szCs w:val="28"/>
            <w:lang w:val="uk-UA" w:eastAsia="en-US"/>
          </w:rPr>
          <w:t xml:space="preserve"> Simonsen</w:t>
        </w:r>
      </w:hyperlink>
      <w:r w:rsidR="00020FED" w:rsidRPr="002E6ECA">
        <w:rPr>
          <w:sz w:val="28"/>
          <w:szCs w:val="28"/>
          <w:lang w:val="uk-UA"/>
        </w:rPr>
        <w:t> </w:t>
      </w:r>
      <w:r w:rsidR="00020FED" w:rsidRPr="002E6ECA">
        <w:rPr>
          <w:rFonts w:eastAsiaTheme="minorHAnsi"/>
          <w:sz w:val="28"/>
          <w:szCs w:val="28"/>
          <w:lang w:val="uk-UA" w:eastAsia="en-US"/>
        </w:rPr>
        <w:t>N.,</w:t>
      </w:r>
      <w:hyperlink r:id="rId504" w:history="1">
        <w:r w:rsidR="00020FED" w:rsidRPr="002E6ECA">
          <w:rPr>
            <w:rFonts w:eastAsiaTheme="minorHAnsi"/>
            <w:sz w:val="28"/>
            <w:szCs w:val="28"/>
            <w:lang w:val="uk-UA" w:eastAsia="en-US"/>
          </w:rPr>
          <w:t xml:space="preserve"> Raevuori</w:t>
        </w:r>
      </w:hyperlink>
      <w:r w:rsidR="00020FED" w:rsidRPr="002E6ECA">
        <w:rPr>
          <w:sz w:val="28"/>
          <w:szCs w:val="28"/>
          <w:lang w:val="uk-UA"/>
        </w:rPr>
        <w:t> </w:t>
      </w:r>
      <w:r w:rsidR="00020FED" w:rsidRPr="002E6ECA">
        <w:rPr>
          <w:rFonts w:eastAsiaTheme="minorHAnsi"/>
          <w:sz w:val="28"/>
          <w:szCs w:val="28"/>
          <w:lang w:val="uk-UA" w:eastAsia="en-US"/>
        </w:rPr>
        <w:t>A.,</w:t>
      </w:r>
      <w:hyperlink r:id="rId505" w:history="1">
        <w:r w:rsidR="00020FED" w:rsidRPr="002E6ECA">
          <w:rPr>
            <w:rFonts w:eastAsiaTheme="minorHAnsi"/>
            <w:sz w:val="28"/>
            <w:szCs w:val="28"/>
            <w:lang w:val="uk-UA" w:eastAsia="en-US"/>
          </w:rPr>
          <w:t xml:space="preserve"> Mullola</w:t>
        </w:r>
      </w:hyperlink>
      <w:r w:rsidR="00020FED" w:rsidRPr="002E6ECA">
        <w:rPr>
          <w:sz w:val="28"/>
          <w:szCs w:val="28"/>
          <w:lang w:val="uk-UA"/>
        </w:rPr>
        <w:t> </w:t>
      </w:r>
      <w:r w:rsidR="00020FED" w:rsidRPr="002E6ECA">
        <w:rPr>
          <w:rFonts w:eastAsiaTheme="minorHAnsi"/>
          <w:sz w:val="28"/>
          <w:szCs w:val="28"/>
          <w:lang w:val="uk-UA" w:eastAsia="en-US"/>
        </w:rPr>
        <w:t>S.,</w:t>
      </w:r>
      <w:hyperlink r:id="rId506" w:history="1">
        <w:r w:rsidR="00020FED" w:rsidRPr="002E6ECA">
          <w:rPr>
            <w:rFonts w:eastAsiaTheme="minorHAnsi"/>
            <w:sz w:val="28"/>
            <w:szCs w:val="28"/>
            <w:lang w:val="uk-UA" w:eastAsia="en-US"/>
          </w:rPr>
          <w:t xml:space="preserve"> Vahlberg</w:t>
        </w:r>
      </w:hyperlink>
      <w:r w:rsidR="00020FED" w:rsidRPr="002E6ECA">
        <w:rPr>
          <w:sz w:val="28"/>
          <w:szCs w:val="28"/>
          <w:lang w:val="uk-UA"/>
        </w:rPr>
        <w:t> </w:t>
      </w:r>
      <w:r w:rsidR="00020FED" w:rsidRPr="002E6ECA">
        <w:rPr>
          <w:rFonts w:eastAsiaTheme="minorHAnsi"/>
          <w:sz w:val="28"/>
          <w:szCs w:val="28"/>
          <w:lang w:val="uk-UA" w:eastAsia="en-US"/>
        </w:rPr>
        <w:t>T.,</w:t>
      </w:r>
      <w:hyperlink r:id="rId507" w:history="1">
        <w:r w:rsidR="00020FED" w:rsidRPr="002E6ECA">
          <w:rPr>
            <w:rFonts w:eastAsiaTheme="minorHAnsi"/>
            <w:sz w:val="28"/>
            <w:szCs w:val="28"/>
            <w:lang w:val="uk-UA" w:eastAsia="en-US"/>
          </w:rPr>
          <w:t xml:space="preserve"> But</w:t>
        </w:r>
      </w:hyperlink>
      <w:r w:rsidR="00020FED" w:rsidRPr="002E6ECA">
        <w:rPr>
          <w:sz w:val="28"/>
          <w:szCs w:val="28"/>
          <w:lang w:val="uk-UA"/>
        </w:rPr>
        <w:t> </w:t>
      </w:r>
      <w:r w:rsidR="00020FED" w:rsidRPr="002E6ECA">
        <w:rPr>
          <w:rFonts w:eastAsiaTheme="minorHAnsi"/>
          <w:sz w:val="28"/>
          <w:szCs w:val="28"/>
          <w:lang w:val="uk-UA" w:eastAsia="en-US"/>
        </w:rPr>
        <w:t>A.,</w:t>
      </w:r>
      <w:hyperlink r:id="rId508" w:history="1">
        <w:r w:rsidR="00020FED" w:rsidRPr="002E6ECA">
          <w:rPr>
            <w:rFonts w:eastAsiaTheme="minorHAnsi"/>
            <w:sz w:val="28"/>
            <w:szCs w:val="28"/>
            <w:lang w:val="uk-UA" w:eastAsia="en-US"/>
          </w:rPr>
          <w:t xml:space="preserve"> Suominen</w:t>
        </w:r>
      </w:hyperlink>
      <w:r w:rsidR="00020FED" w:rsidRPr="002E6ECA">
        <w:rPr>
          <w:sz w:val="28"/>
          <w:szCs w:val="28"/>
          <w:lang w:val="uk-UA"/>
        </w:rPr>
        <w:t> </w:t>
      </w:r>
      <w:r w:rsidR="00020FED" w:rsidRPr="002E6ECA">
        <w:rPr>
          <w:rFonts w:eastAsiaTheme="minorHAnsi"/>
          <w:sz w:val="28"/>
          <w:szCs w:val="28"/>
          <w:lang w:val="uk-UA" w:eastAsia="en-US"/>
        </w:rPr>
        <w:t xml:space="preserve">S. Healthy Learning Mind -a school-based mindfulness and relaxation program: a study protocol for a cluster randomized controlled trial. </w:t>
      </w:r>
      <w:r w:rsidR="00020FED" w:rsidRPr="002E6ECA">
        <w:rPr>
          <w:rFonts w:eastAsiaTheme="minorHAnsi"/>
          <w:i/>
          <w:sz w:val="28"/>
          <w:szCs w:val="28"/>
          <w:lang w:val="uk-UA" w:eastAsia="en-US"/>
        </w:rPr>
        <w:t>BMC Psychol</w:t>
      </w:r>
      <w:r w:rsidR="00020FED" w:rsidRPr="002E6ECA">
        <w:rPr>
          <w:rFonts w:eastAsiaTheme="minorHAnsi"/>
          <w:sz w:val="28"/>
          <w:szCs w:val="28"/>
          <w:lang w:val="uk-UA" w:eastAsia="en-US"/>
        </w:rPr>
        <w:t xml:space="preserve">. 2016. Vol. 4 (1). 35. doi: 10.1186/s40359-016-0142-3.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Wadolowska</w:t>
      </w:r>
      <w:r w:rsidRPr="002E6ECA">
        <w:rPr>
          <w:sz w:val="28"/>
          <w:szCs w:val="28"/>
          <w:lang w:val="uk-UA"/>
        </w:rPr>
        <w:t> </w:t>
      </w:r>
      <w:r w:rsidRPr="002E6ECA">
        <w:rPr>
          <w:rFonts w:eastAsiaTheme="minorHAnsi"/>
          <w:sz w:val="28"/>
          <w:szCs w:val="28"/>
          <w:lang w:val="uk-UA" w:eastAsia="en-US"/>
        </w:rPr>
        <w:t>L., Hamulka</w:t>
      </w:r>
      <w:r w:rsidRPr="002E6ECA">
        <w:rPr>
          <w:sz w:val="28"/>
          <w:szCs w:val="28"/>
          <w:lang w:val="uk-UA"/>
        </w:rPr>
        <w:t> </w:t>
      </w:r>
      <w:r w:rsidRPr="002E6ECA">
        <w:rPr>
          <w:rFonts w:eastAsiaTheme="minorHAnsi"/>
          <w:sz w:val="28"/>
          <w:szCs w:val="28"/>
          <w:lang w:val="uk-UA" w:eastAsia="en-US"/>
        </w:rPr>
        <w:t>J., Kowalkowska</w:t>
      </w:r>
      <w:r w:rsidRPr="002E6ECA">
        <w:rPr>
          <w:sz w:val="28"/>
          <w:szCs w:val="28"/>
          <w:lang w:val="uk-UA"/>
        </w:rPr>
        <w:t> </w:t>
      </w:r>
      <w:r w:rsidRPr="002E6ECA">
        <w:rPr>
          <w:rFonts w:eastAsiaTheme="minorHAnsi"/>
          <w:sz w:val="28"/>
          <w:szCs w:val="28"/>
          <w:lang w:val="uk-UA" w:eastAsia="en-US"/>
        </w:rPr>
        <w:t xml:space="preserve">J. et al. Prudent-Active and Fast-Food-Sedentary Dietary-Lifestyle Patterns: The Association with Adiposity, Nutrition Knowledge and Sociodemographic Factors in Polish Teenagers-The ABC of Healthy Eating Project. </w:t>
      </w:r>
      <w:r w:rsidRPr="002E6ECA">
        <w:rPr>
          <w:rFonts w:eastAsiaTheme="minorHAnsi"/>
          <w:i/>
          <w:sz w:val="28"/>
          <w:szCs w:val="28"/>
          <w:lang w:val="uk-UA" w:eastAsia="en-US"/>
        </w:rPr>
        <w:t>Nutrients</w:t>
      </w:r>
      <w:r w:rsidRPr="002E6ECA">
        <w:rPr>
          <w:rFonts w:eastAsiaTheme="minorHAnsi"/>
          <w:sz w:val="28"/>
          <w:szCs w:val="28"/>
          <w:lang w:val="uk-UA" w:eastAsia="en-US"/>
        </w:rPr>
        <w:t>. 2018. Vol. 10 (12). pii: E1988. doi: 10.3390/nu10121988.</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Style w:val="element-citation"/>
          <w:rFonts w:eastAsia="Calibri"/>
          <w:sz w:val="28"/>
          <w:szCs w:val="28"/>
          <w:lang w:val="en-US"/>
        </w:rPr>
        <w:t>Walburg</w:t>
      </w:r>
      <w:r w:rsidRPr="002E6ECA">
        <w:rPr>
          <w:sz w:val="28"/>
          <w:szCs w:val="28"/>
          <w:lang w:val="uk-UA"/>
        </w:rPr>
        <w:t> </w:t>
      </w:r>
      <w:r w:rsidRPr="002E6ECA">
        <w:rPr>
          <w:rStyle w:val="element-citation"/>
          <w:rFonts w:eastAsia="Calibri"/>
          <w:sz w:val="28"/>
          <w:szCs w:val="28"/>
          <w:lang w:val="en-US"/>
        </w:rPr>
        <w:t xml:space="preserve">V. Burnout among high school students: A literature review. </w:t>
      </w:r>
      <w:r w:rsidRPr="002E6ECA">
        <w:rPr>
          <w:rStyle w:val="ref-journal"/>
          <w:sz w:val="28"/>
          <w:szCs w:val="28"/>
        </w:rPr>
        <w:t xml:space="preserve">Child. Youth Serv. Rev. </w:t>
      </w:r>
      <w:r w:rsidRPr="002E6ECA">
        <w:rPr>
          <w:rStyle w:val="element-citation"/>
          <w:rFonts w:eastAsia="Calibri"/>
          <w:sz w:val="28"/>
          <w:szCs w:val="28"/>
        </w:rPr>
        <w:t xml:space="preserve">2014. Vol. </w:t>
      </w:r>
      <w:r w:rsidRPr="002E6ECA">
        <w:rPr>
          <w:rStyle w:val="ref-vol"/>
          <w:sz w:val="28"/>
          <w:szCs w:val="28"/>
        </w:rPr>
        <w:t>42</w:t>
      </w:r>
      <w:r w:rsidRPr="002E6ECA">
        <w:rPr>
          <w:rStyle w:val="element-citation"/>
          <w:rFonts w:eastAsia="Calibri"/>
          <w:sz w:val="28"/>
          <w:szCs w:val="28"/>
        </w:rPr>
        <w:t>. Р. 28-33. doi:</w:t>
      </w:r>
      <w:r w:rsidRPr="002E6ECA">
        <w:rPr>
          <w:rStyle w:val="element-citation"/>
          <w:rFonts w:eastAsia="Calibri"/>
          <w:sz w:val="28"/>
          <w:szCs w:val="28"/>
          <w:lang w:val="uk-UA"/>
        </w:rPr>
        <w:t> </w:t>
      </w:r>
      <w:r w:rsidRPr="002E6ECA">
        <w:rPr>
          <w:rStyle w:val="element-citation"/>
          <w:rFonts w:eastAsia="Calibri"/>
          <w:sz w:val="28"/>
          <w:szCs w:val="28"/>
        </w:rPr>
        <w:t>10.1016/j.childyouth.2014.03.020.</w:t>
      </w:r>
      <w:r w:rsidRPr="002E6ECA">
        <w:rPr>
          <w:rFonts w:eastAsiaTheme="minorHAnsi"/>
          <w:sz w:val="28"/>
          <w:szCs w:val="28"/>
          <w:lang w:val="uk-UA" w:eastAsia="en-US"/>
        </w:rPr>
        <w:t xml:space="preserve"> </w:t>
      </w:r>
    </w:p>
    <w:p w:rsidR="00020FED" w:rsidRPr="002E6ECA" w:rsidRDefault="00020FED" w:rsidP="00020FED">
      <w:pPr>
        <w:numPr>
          <w:ilvl w:val="0"/>
          <w:numId w:val="72"/>
        </w:numPr>
        <w:spacing w:line="360"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Ware</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E., Snow</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K., Kosinski</w:t>
      </w:r>
      <w:r w:rsidRPr="002E6ECA">
        <w:rPr>
          <w:sz w:val="28"/>
          <w:szCs w:val="28"/>
          <w:lang w:val="uk-UA"/>
        </w:rPr>
        <w:t> </w:t>
      </w:r>
      <w:r w:rsidRPr="002E6ECA">
        <w:rPr>
          <w:rFonts w:eastAsiaTheme="minorHAnsi"/>
          <w:sz w:val="28"/>
          <w:szCs w:val="28"/>
          <w:lang w:val="uk-UA" w:eastAsia="en-US"/>
        </w:rPr>
        <w:t>M., Gandek</w:t>
      </w:r>
      <w:r w:rsidRPr="002E6ECA">
        <w:rPr>
          <w:sz w:val="28"/>
          <w:szCs w:val="28"/>
          <w:lang w:val="uk-UA"/>
        </w:rPr>
        <w:t> </w:t>
      </w:r>
      <w:r w:rsidRPr="002E6ECA">
        <w:rPr>
          <w:rFonts w:eastAsiaTheme="minorHAnsi"/>
          <w:sz w:val="28"/>
          <w:szCs w:val="28"/>
          <w:lang w:val="uk-UA" w:eastAsia="en-US"/>
        </w:rPr>
        <w:t>B. SF36 Health Survey. Manual and interpretation guide. The Health Institute, New England Medical Center. Boston. 1993. 198 p.</w:t>
      </w:r>
    </w:p>
    <w:p w:rsidR="00020FED" w:rsidRPr="002E6ECA" w:rsidRDefault="004F7283" w:rsidP="00020FED">
      <w:pPr>
        <w:numPr>
          <w:ilvl w:val="0"/>
          <w:numId w:val="72"/>
        </w:numPr>
        <w:spacing w:line="360" w:lineRule="auto"/>
        <w:ind w:left="0" w:firstLine="709"/>
        <w:contextualSpacing/>
        <w:jc w:val="both"/>
        <w:rPr>
          <w:rFonts w:eastAsiaTheme="minorHAnsi"/>
          <w:bCs/>
          <w:sz w:val="28"/>
          <w:szCs w:val="28"/>
          <w:lang w:val="uk-UA" w:eastAsia="en-US"/>
        </w:rPr>
      </w:pPr>
      <w:hyperlink r:id="rId509" w:history="1">
        <w:r w:rsidR="00020FED" w:rsidRPr="002E6ECA">
          <w:rPr>
            <w:rFonts w:eastAsiaTheme="minorHAnsi"/>
            <w:sz w:val="28"/>
            <w:szCs w:val="28"/>
            <w:lang w:val="uk-UA" w:eastAsia="en-US"/>
          </w:rPr>
          <w:t>Wei</w:t>
        </w:r>
      </w:hyperlink>
      <w:r w:rsidR="00020FED" w:rsidRPr="002E6ECA">
        <w:rPr>
          <w:sz w:val="28"/>
          <w:szCs w:val="28"/>
          <w:lang w:val="en-US"/>
        </w:rPr>
        <w:t> </w:t>
      </w:r>
      <w:r w:rsidR="00020FED" w:rsidRPr="002E6ECA">
        <w:rPr>
          <w:rFonts w:eastAsiaTheme="minorHAnsi"/>
          <w:bCs/>
          <w:sz w:val="28"/>
          <w:szCs w:val="28"/>
          <w:lang w:val="uk-UA" w:eastAsia="en-US"/>
        </w:rPr>
        <w:t>C.,</w:t>
      </w:r>
      <w:hyperlink r:id="rId510" w:history="1">
        <w:r w:rsidR="00020FED" w:rsidRPr="002E6ECA">
          <w:rPr>
            <w:rFonts w:eastAsiaTheme="minorHAnsi"/>
            <w:sz w:val="28"/>
            <w:szCs w:val="28"/>
            <w:lang w:val="uk-UA" w:eastAsia="en-US"/>
          </w:rPr>
          <w:t xml:space="preserve"> Crowne</w:t>
        </w:r>
      </w:hyperlink>
      <w:r w:rsidR="00020FED" w:rsidRPr="002E6ECA">
        <w:rPr>
          <w:sz w:val="28"/>
          <w:szCs w:val="28"/>
          <w:lang w:val="uk-UA"/>
        </w:rPr>
        <w:t> </w:t>
      </w:r>
      <w:r w:rsidR="00020FED" w:rsidRPr="002E6ECA">
        <w:rPr>
          <w:rFonts w:eastAsiaTheme="minorHAnsi"/>
          <w:bCs/>
          <w:sz w:val="28"/>
          <w:szCs w:val="28"/>
          <w:lang w:val="uk-UA" w:eastAsia="en-US"/>
        </w:rPr>
        <w:t>E.</w:t>
      </w:r>
      <w:r w:rsidR="00020FED" w:rsidRPr="002E6ECA">
        <w:rPr>
          <w:sz w:val="28"/>
          <w:szCs w:val="28"/>
          <w:lang w:val="uk-UA"/>
        </w:rPr>
        <w:t> </w:t>
      </w:r>
      <w:r w:rsidR="00020FED" w:rsidRPr="002E6ECA">
        <w:rPr>
          <w:rFonts w:eastAsiaTheme="minorHAnsi"/>
          <w:bCs/>
          <w:sz w:val="28"/>
          <w:szCs w:val="28"/>
          <w:lang w:val="uk-UA" w:eastAsia="en-US"/>
        </w:rPr>
        <w:t xml:space="preserve">C. Recent advances in the understanding and management of delayed puberty. </w:t>
      </w:r>
      <w:r w:rsidR="00020FED" w:rsidRPr="002E6ECA">
        <w:rPr>
          <w:rFonts w:eastAsiaTheme="minorHAnsi"/>
          <w:bCs/>
          <w:i/>
          <w:sz w:val="28"/>
          <w:szCs w:val="28"/>
          <w:lang w:val="uk-UA" w:eastAsia="en-US"/>
        </w:rPr>
        <w:t>Arch Dis Child</w:t>
      </w:r>
      <w:r w:rsidR="00020FED" w:rsidRPr="002E6ECA">
        <w:rPr>
          <w:rFonts w:eastAsiaTheme="minorHAnsi"/>
          <w:bCs/>
          <w:sz w:val="28"/>
          <w:szCs w:val="28"/>
          <w:lang w:val="uk-UA" w:eastAsia="en-US"/>
        </w:rPr>
        <w:t xml:space="preserve">. 2016. May. Vol. 101 (5). P. 481-8. doi: 10.1136/archdischild-2014-307963. </w:t>
      </w:r>
      <w:r w:rsidR="00020FED" w:rsidRPr="002E6ECA">
        <w:rPr>
          <w:rFonts w:eastAsiaTheme="minorHAnsi"/>
          <w:sz w:val="28"/>
          <w:szCs w:val="28"/>
          <w:shd w:val="clear" w:color="auto" w:fill="FFFFFF"/>
          <w:lang w:val="uk-UA" w:eastAsia="en-US"/>
        </w:rPr>
        <w:t>https://pubmed.ncbi.nlm.nih.gov/26353794/</w:t>
      </w:r>
      <w:r w:rsidR="00020FED" w:rsidRPr="002E6ECA">
        <w:rPr>
          <w:rFonts w:eastAsiaTheme="minorHAnsi"/>
          <w:sz w:val="28"/>
          <w:szCs w:val="28"/>
          <w:lang w:val="uk-UA" w:eastAsia="en-US"/>
        </w:rPr>
        <w:t xml:space="preserve">. </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Weintraub</w:t>
      </w:r>
      <w:r w:rsidRPr="002E6ECA">
        <w:rPr>
          <w:sz w:val="28"/>
          <w:szCs w:val="28"/>
          <w:lang w:val="uk-UA"/>
        </w:rPr>
        <w:t> </w:t>
      </w:r>
      <w:r w:rsidRPr="002E6ECA">
        <w:rPr>
          <w:rFonts w:eastAsiaTheme="minorHAnsi"/>
          <w:sz w:val="28"/>
          <w:szCs w:val="28"/>
          <w:lang w:val="uk-UA" w:eastAsia="en-US"/>
        </w:rPr>
        <w:t>N., Bar-Haim E.</w:t>
      </w:r>
      <w:r w:rsidRPr="002E6ECA">
        <w:rPr>
          <w:sz w:val="28"/>
          <w:szCs w:val="28"/>
          <w:lang w:val="uk-UA"/>
        </w:rPr>
        <w:t> </w:t>
      </w:r>
      <w:r w:rsidRPr="002E6ECA">
        <w:rPr>
          <w:rFonts w:eastAsiaTheme="minorHAnsi"/>
          <w:sz w:val="28"/>
          <w:szCs w:val="28"/>
          <w:lang w:val="uk-UA" w:eastAsia="en-US"/>
        </w:rPr>
        <w:t xml:space="preserve">A. Quality of Life in School (QoLS) Questionnaire: Development and Validity. </w:t>
      </w:r>
      <w:r w:rsidRPr="002E6ECA">
        <w:rPr>
          <w:rFonts w:eastAsiaTheme="minorHAnsi"/>
          <w:i/>
          <w:sz w:val="28"/>
          <w:szCs w:val="28"/>
          <w:lang w:val="uk-UA" w:eastAsia="en-US"/>
        </w:rPr>
        <w:t>The American Journal of Occupational Therapy</w:t>
      </w:r>
      <w:r w:rsidRPr="002E6ECA">
        <w:rPr>
          <w:rFonts w:eastAsiaTheme="minorHAnsi"/>
          <w:sz w:val="28"/>
          <w:szCs w:val="28"/>
          <w:lang w:val="uk-UA" w:eastAsia="en-US"/>
        </w:rPr>
        <w:t>. 2009. Vol. 63 (6). P. 724-31. doi: 10.5014/ajot.63.6.724.</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Weker</w:t>
      </w:r>
      <w:r w:rsidRPr="002E6ECA">
        <w:rPr>
          <w:sz w:val="28"/>
          <w:szCs w:val="28"/>
          <w:lang w:val="uk-UA"/>
        </w:rPr>
        <w:t> </w:t>
      </w:r>
      <w:r w:rsidRPr="002E6ECA">
        <w:rPr>
          <w:rFonts w:eastAsiaTheme="minorHAnsi"/>
          <w:sz w:val="28"/>
          <w:szCs w:val="28"/>
          <w:lang w:val="uk-UA" w:eastAsia="en-US"/>
        </w:rPr>
        <w:t>H., Barańska</w:t>
      </w:r>
      <w:r w:rsidRPr="002E6ECA">
        <w:rPr>
          <w:sz w:val="28"/>
          <w:szCs w:val="28"/>
          <w:lang w:val="uk-UA"/>
        </w:rPr>
        <w:t> </w:t>
      </w:r>
      <w:r w:rsidRPr="002E6ECA">
        <w:rPr>
          <w:rFonts w:eastAsiaTheme="minorHAnsi"/>
          <w:sz w:val="28"/>
          <w:szCs w:val="28"/>
          <w:lang w:val="uk-UA" w:eastAsia="en-US"/>
        </w:rPr>
        <w:t xml:space="preserve">M. Models of safe nutrition of children and adolescents as a basis for prevention of obesity. </w:t>
      </w:r>
      <w:r w:rsidRPr="002E6ECA">
        <w:rPr>
          <w:rFonts w:eastAsiaTheme="minorHAnsi"/>
          <w:i/>
          <w:sz w:val="28"/>
          <w:szCs w:val="28"/>
          <w:lang w:val="uk-UA" w:eastAsia="en-US"/>
        </w:rPr>
        <w:t>Med Wieku Rozwoj</w:t>
      </w:r>
      <w:r w:rsidRPr="002E6ECA">
        <w:rPr>
          <w:rFonts w:eastAsiaTheme="minorHAnsi"/>
          <w:sz w:val="28"/>
          <w:szCs w:val="28"/>
          <w:lang w:val="uk-UA" w:eastAsia="en-US"/>
        </w:rPr>
        <w:t>. 2011. Vol. 15 (3). Р. 288-97.</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 xml:space="preserve">WHO child growth standards: length/height-for-age, weight-for-age, weight-for-length, weight-for-height and body mass index-for-age: methods and </w:t>
      </w:r>
      <w:r w:rsidRPr="002E6ECA">
        <w:rPr>
          <w:rFonts w:eastAsiaTheme="minorHAnsi"/>
          <w:sz w:val="28"/>
          <w:szCs w:val="28"/>
          <w:lang w:val="uk-UA" w:eastAsia="en-US"/>
        </w:rPr>
        <w:lastRenderedPageBreak/>
        <w:t xml:space="preserve">development. Available from: </w:t>
      </w:r>
      <w:hyperlink r:id="rId511" w:history="1">
        <w:r w:rsidRPr="002E6ECA">
          <w:rPr>
            <w:rFonts w:eastAsiaTheme="minorHAnsi"/>
            <w:sz w:val="28"/>
            <w:szCs w:val="28"/>
            <w:lang w:val="uk-UA" w:eastAsia="en-US"/>
          </w:rPr>
          <w:t>http://www.who.int/childgrowth/standards/technical _report/en/</w:t>
        </w:r>
      </w:hyperlink>
      <w:r w:rsidRPr="002E6ECA">
        <w:rPr>
          <w:rFonts w:eastAsiaTheme="minorHAnsi"/>
          <w:sz w:val="28"/>
          <w:szCs w:val="28"/>
          <w:lang w:val="uk-UA" w:eastAsia="en-US"/>
        </w:rPr>
        <w:t>.</w:t>
      </w:r>
    </w:p>
    <w:p w:rsidR="00020FED" w:rsidRPr="002E6ECA" w:rsidRDefault="004F7283" w:rsidP="00020FED">
      <w:pPr>
        <w:numPr>
          <w:ilvl w:val="0"/>
          <w:numId w:val="72"/>
        </w:numPr>
        <w:spacing w:line="336" w:lineRule="auto"/>
        <w:ind w:left="0" w:firstLine="709"/>
        <w:contextualSpacing/>
        <w:jc w:val="both"/>
        <w:rPr>
          <w:rFonts w:eastAsiaTheme="minorHAnsi"/>
          <w:sz w:val="28"/>
          <w:szCs w:val="28"/>
          <w:lang w:val="uk-UA" w:eastAsia="en-US"/>
        </w:rPr>
      </w:pPr>
      <w:hyperlink r:id="rId512" w:tooltip="Найти еще записи для этого автора" w:history="1">
        <w:r w:rsidR="00020FED" w:rsidRPr="002E6ECA">
          <w:rPr>
            <w:rFonts w:eastAsiaTheme="minorHAnsi"/>
            <w:sz w:val="28"/>
            <w:szCs w:val="28"/>
            <w:lang w:val="uk-UA" w:eastAsia="en-US"/>
          </w:rPr>
          <w:t>Wolf</w:t>
        </w:r>
        <w:r w:rsidR="00020FED" w:rsidRPr="002E6ECA">
          <w:rPr>
            <w:sz w:val="28"/>
            <w:szCs w:val="28"/>
            <w:lang w:val="uk-UA"/>
          </w:rPr>
          <w:t> </w:t>
        </w:r>
        <w:r w:rsidR="00020FED" w:rsidRPr="002E6ECA">
          <w:rPr>
            <w:rFonts w:eastAsiaTheme="minorHAnsi"/>
            <w:sz w:val="28"/>
            <w:szCs w:val="28"/>
            <w:lang w:val="uk-UA" w:eastAsia="en-US"/>
          </w:rPr>
          <w:t>C</w:t>
        </w:r>
      </w:hyperlink>
      <w:r w:rsidR="00020FED" w:rsidRPr="002E6ECA">
        <w:rPr>
          <w:rFonts w:eastAsiaTheme="minorHAnsi"/>
          <w:sz w:val="28"/>
          <w:szCs w:val="28"/>
          <w:lang w:val="uk-UA" w:eastAsia="en-US"/>
        </w:rPr>
        <w:t xml:space="preserve">., </w:t>
      </w:r>
      <w:hyperlink r:id="rId513" w:tooltip="Найти еще записи для этого автора" w:history="1">
        <w:r w:rsidR="00020FED" w:rsidRPr="002E6ECA">
          <w:rPr>
            <w:rFonts w:eastAsiaTheme="minorHAnsi"/>
            <w:sz w:val="28"/>
            <w:szCs w:val="28"/>
            <w:lang w:val="uk-UA" w:eastAsia="en-US"/>
          </w:rPr>
          <w:t>Wolf</w:t>
        </w:r>
        <w:r w:rsidR="00020FED" w:rsidRPr="002E6ECA">
          <w:rPr>
            <w:sz w:val="28"/>
            <w:szCs w:val="28"/>
            <w:lang w:val="uk-UA"/>
          </w:rPr>
          <w:t> </w:t>
        </w:r>
        <w:r w:rsidR="00020FED" w:rsidRPr="002E6ECA">
          <w:rPr>
            <w:rFonts w:eastAsiaTheme="minorHAnsi"/>
            <w:sz w:val="28"/>
            <w:szCs w:val="28"/>
            <w:lang w:val="uk-UA" w:eastAsia="en-US"/>
          </w:rPr>
          <w:t>S</w:t>
        </w:r>
      </w:hyperlink>
      <w:r w:rsidR="00020FED" w:rsidRPr="002E6ECA">
        <w:rPr>
          <w:rFonts w:eastAsiaTheme="minorHAnsi"/>
          <w:sz w:val="28"/>
          <w:szCs w:val="28"/>
          <w:lang w:val="uk-UA" w:eastAsia="en-US"/>
        </w:rPr>
        <w:t xml:space="preserve">., </w:t>
      </w:r>
      <w:hyperlink r:id="rId514" w:tooltip="Найти еще записи для этого автора" w:history="1">
        <w:r w:rsidR="00020FED" w:rsidRPr="002E6ECA">
          <w:rPr>
            <w:rFonts w:eastAsiaTheme="minorHAnsi"/>
            <w:sz w:val="28"/>
            <w:szCs w:val="28"/>
            <w:lang w:val="uk-UA" w:eastAsia="en-US"/>
          </w:rPr>
          <w:t>Weiss</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515" w:tooltip="Найти еще записи для этого автора" w:history="1">
        <w:r w:rsidR="00020FED" w:rsidRPr="002E6ECA">
          <w:rPr>
            <w:rFonts w:eastAsiaTheme="minorHAnsi"/>
            <w:sz w:val="28"/>
            <w:szCs w:val="28"/>
            <w:lang w:val="uk-UA" w:eastAsia="en-US"/>
          </w:rPr>
          <w:t>Nino</w:t>
        </w:r>
        <w:r w:rsidR="00020FED" w:rsidRPr="002E6ECA">
          <w:rPr>
            <w:sz w:val="28"/>
            <w:szCs w:val="28"/>
            <w:lang w:val="uk-UA"/>
          </w:rPr>
          <w:t> </w:t>
        </w:r>
        <w:r w:rsidR="00020FED" w:rsidRPr="002E6ECA">
          <w:rPr>
            <w:rFonts w:eastAsiaTheme="minorHAnsi"/>
            <w:sz w:val="28"/>
            <w:szCs w:val="28"/>
            <w:lang w:val="uk-UA" w:eastAsia="en-US"/>
          </w:rPr>
          <w:t>G</w:t>
        </w:r>
      </w:hyperlink>
      <w:r w:rsidR="00020FED" w:rsidRPr="002E6ECA">
        <w:rPr>
          <w:rFonts w:eastAsiaTheme="minorHAnsi"/>
          <w:sz w:val="28"/>
          <w:szCs w:val="28"/>
          <w:lang w:val="uk-UA" w:eastAsia="en-US"/>
        </w:rPr>
        <w:t xml:space="preserve">. Children's Environmental Health in the Digital Era: Understanding Early Screen Exposure as a Preventable Risk Factor for Obesity and Sleep Disorders. </w:t>
      </w:r>
      <w:r w:rsidR="00020FED" w:rsidRPr="002E6ECA">
        <w:rPr>
          <w:rFonts w:eastAsiaTheme="minorHAnsi"/>
          <w:i/>
          <w:sz w:val="28"/>
          <w:szCs w:val="28"/>
          <w:lang w:val="en-US" w:eastAsia="en-US"/>
        </w:rPr>
        <w:t>C</w:t>
      </w:r>
      <w:r w:rsidR="00020FED" w:rsidRPr="002E6ECA">
        <w:rPr>
          <w:rFonts w:eastAsiaTheme="minorHAnsi"/>
          <w:i/>
          <w:sz w:val="28"/>
          <w:szCs w:val="28"/>
          <w:lang w:val="uk-UA" w:eastAsia="en-US"/>
        </w:rPr>
        <w:t>hildren-basel</w:t>
      </w:r>
      <w:r w:rsidR="00020FED" w:rsidRPr="002E6ECA">
        <w:rPr>
          <w:rFonts w:eastAsiaTheme="minorHAnsi"/>
          <w:sz w:val="28"/>
          <w:szCs w:val="28"/>
          <w:lang w:val="uk-UA" w:eastAsia="en-US"/>
        </w:rPr>
        <w:t xml:space="preserve">. Vol. 2018. 5 (2). 31. doi: 10.3390/children5020031. </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Wolfenden</w:t>
      </w:r>
      <w:r w:rsidRPr="002E6ECA">
        <w:rPr>
          <w:sz w:val="28"/>
          <w:szCs w:val="28"/>
          <w:lang w:val="uk-UA"/>
        </w:rPr>
        <w:t> </w:t>
      </w:r>
      <w:r w:rsidRPr="002E6ECA">
        <w:rPr>
          <w:rFonts w:eastAsiaTheme="minorHAnsi"/>
          <w:sz w:val="28"/>
          <w:szCs w:val="28"/>
          <w:lang w:val="uk-UA" w:eastAsia="en-US"/>
        </w:rPr>
        <w:t>L., Nathan</w:t>
      </w:r>
      <w:r w:rsidRPr="002E6ECA">
        <w:rPr>
          <w:sz w:val="28"/>
          <w:szCs w:val="28"/>
          <w:lang w:val="uk-UA"/>
        </w:rPr>
        <w:t> </w:t>
      </w:r>
      <w:r w:rsidRPr="002E6ECA">
        <w:rPr>
          <w:rFonts w:eastAsiaTheme="minorHAnsi"/>
          <w:sz w:val="28"/>
          <w:szCs w:val="28"/>
          <w:lang w:val="uk-UA" w:eastAsia="en-US"/>
        </w:rPr>
        <w:t>N.</w:t>
      </w:r>
      <w:r w:rsidRPr="002E6ECA">
        <w:rPr>
          <w:sz w:val="28"/>
          <w:szCs w:val="28"/>
          <w:lang w:val="uk-UA"/>
        </w:rPr>
        <w:t> </w:t>
      </w:r>
      <w:r w:rsidRPr="002E6ECA">
        <w:rPr>
          <w:rFonts w:eastAsiaTheme="minorHAnsi"/>
          <w:sz w:val="28"/>
          <w:szCs w:val="28"/>
          <w:lang w:val="uk-UA" w:eastAsia="en-US"/>
        </w:rPr>
        <w:t>K., Sutherland</w:t>
      </w:r>
      <w:r w:rsidRPr="002E6ECA">
        <w:rPr>
          <w:sz w:val="28"/>
          <w:szCs w:val="28"/>
          <w:lang w:val="uk-UA"/>
        </w:rPr>
        <w:t> </w:t>
      </w:r>
      <w:r w:rsidRPr="002E6ECA">
        <w:rPr>
          <w:rFonts w:eastAsiaTheme="minorHAnsi"/>
          <w:sz w:val="28"/>
          <w:szCs w:val="28"/>
          <w:lang w:val="uk-UA" w:eastAsia="en-US"/>
        </w:rPr>
        <w:t xml:space="preserve">R. et al. Strategies for enhancing the implementation of school-based policies or practices targeting risk factors for chronic disease. </w:t>
      </w:r>
      <w:r w:rsidRPr="002E6ECA">
        <w:rPr>
          <w:rFonts w:eastAsiaTheme="minorHAnsi"/>
          <w:i/>
          <w:sz w:val="28"/>
          <w:szCs w:val="28"/>
          <w:lang w:val="uk-UA" w:eastAsia="en-US"/>
        </w:rPr>
        <w:t>Cochrane Database of Systematic Reviews</w:t>
      </w:r>
      <w:r w:rsidRPr="002E6ECA">
        <w:rPr>
          <w:rFonts w:eastAsiaTheme="minorHAnsi"/>
          <w:sz w:val="28"/>
          <w:szCs w:val="28"/>
          <w:lang w:val="uk-UA" w:eastAsia="en-US"/>
        </w:rPr>
        <w:t>. 2017. Vol. 11. Р. 193. doi: 10.1002/14651858.CD011677.</w:t>
      </w:r>
    </w:p>
    <w:p w:rsidR="00020FED" w:rsidRPr="002E6ECA" w:rsidRDefault="004F7283" w:rsidP="00020FED">
      <w:pPr>
        <w:numPr>
          <w:ilvl w:val="0"/>
          <w:numId w:val="72"/>
        </w:numPr>
        <w:spacing w:line="336" w:lineRule="auto"/>
        <w:ind w:left="0" w:firstLine="709"/>
        <w:contextualSpacing/>
        <w:jc w:val="both"/>
        <w:rPr>
          <w:rFonts w:eastAsiaTheme="minorHAnsi"/>
          <w:sz w:val="28"/>
          <w:szCs w:val="28"/>
          <w:lang w:val="uk-UA" w:eastAsia="en-US"/>
        </w:rPr>
      </w:pPr>
      <w:hyperlink r:id="rId516" w:history="1">
        <w:r w:rsidR="00020FED" w:rsidRPr="002E6ECA">
          <w:rPr>
            <w:rFonts w:eastAsiaTheme="minorHAnsi"/>
            <w:sz w:val="28"/>
            <w:szCs w:val="28"/>
            <w:lang w:val="uk-UA" w:eastAsia="en-US"/>
          </w:rPr>
          <w:t>Wu</w:t>
        </w:r>
      </w:hyperlink>
      <w:r w:rsidR="00020FED" w:rsidRPr="002E6ECA">
        <w:rPr>
          <w:sz w:val="28"/>
          <w:szCs w:val="28"/>
          <w:lang w:val="uk-UA"/>
        </w:rPr>
        <w:t> </w:t>
      </w:r>
      <w:r w:rsidR="00020FED" w:rsidRPr="002E6ECA">
        <w:rPr>
          <w:rFonts w:eastAsiaTheme="minorHAnsi"/>
          <w:sz w:val="28"/>
          <w:szCs w:val="28"/>
          <w:lang w:val="uk-UA" w:eastAsia="en-US"/>
        </w:rPr>
        <w:t>P.</w:t>
      </w:r>
      <w:r w:rsidR="00020FED" w:rsidRPr="002E6ECA">
        <w:rPr>
          <w:sz w:val="28"/>
          <w:szCs w:val="28"/>
          <w:lang w:val="uk-UA"/>
        </w:rPr>
        <w:t> </w:t>
      </w:r>
      <w:r w:rsidR="00020FED" w:rsidRPr="002E6ECA">
        <w:rPr>
          <w:rFonts w:eastAsiaTheme="minorHAnsi"/>
          <w:sz w:val="28"/>
          <w:szCs w:val="28"/>
          <w:lang w:val="uk-UA" w:eastAsia="en-US"/>
        </w:rPr>
        <w:t>C.,</w:t>
      </w:r>
      <w:hyperlink r:id="rId517" w:history="1">
        <w:r w:rsidR="00020FED" w:rsidRPr="002E6ECA">
          <w:rPr>
            <w:rFonts w:eastAsiaTheme="minorHAnsi"/>
            <w:sz w:val="28"/>
            <w:szCs w:val="28"/>
            <w:lang w:val="uk-UA" w:eastAsia="en-US"/>
          </w:rPr>
          <w:t xml:space="preserve"> Chen</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T.,</w:t>
      </w:r>
      <w:hyperlink r:id="rId518" w:history="1">
        <w:r w:rsidR="00020FED" w:rsidRPr="002E6ECA">
          <w:rPr>
            <w:rFonts w:eastAsiaTheme="minorHAnsi"/>
            <w:sz w:val="28"/>
            <w:szCs w:val="28"/>
            <w:lang w:val="uk-UA" w:eastAsia="en-US"/>
          </w:rPr>
          <w:t xml:space="preserve"> Lin</w:t>
        </w:r>
      </w:hyperlink>
      <w:r w:rsidR="00020FED" w:rsidRPr="002E6ECA">
        <w:rPr>
          <w:sz w:val="28"/>
          <w:szCs w:val="28"/>
          <w:lang w:val="uk-UA"/>
        </w:rPr>
        <w:t> </w:t>
      </w:r>
      <w:r w:rsidR="00020FED" w:rsidRPr="002E6ECA">
        <w:rPr>
          <w:rFonts w:eastAsiaTheme="minorHAnsi"/>
          <w:sz w:val="28"/>
          <w:szCs w:val="28"/>
          <w:lang w:val="uk-UA" w:eastAsia="en-US"/>
        </w:rPr>
        <w:t>K.-K.,</w:t>
      </w:r>
      <w:hyperlink r:id="rId519" w:history="1">
        <w:r w:rsidR="00020FED" w:rsidRPr="002E6ECA">
          <w:rPr>
            <w:rFonts w:eastAsiaTheme="minorHAnsi"/>
            <w:sz w:val="28"/>
            <w:szCs w:val="28"/>
            <w:lang w:val="uk-UA" w:eastAsia="en-US"/>
          </w:rPr>
          <w:t xml:space="preserve"> Sun</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C.,</w:t>
      </w:r>
      <w:hyperlink r:id="rId520" w:history="1">
        <w:r w:rsidR="00020FED" w:rsidRPr="002E6ECA">
          <w:rPr>
            <w:rFonts w:eastAsiaTheme="minorHAnsi"/>
            <w:sz w:val="28"/>
            <w:szCs w:val="28"/>
            <w:lang w:val="uk-UA" w:eastAsia="en-US"/>
          </w:rPr>
          <w:t xml:space="preserve"> Kuo</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N.,</w:t>
      </w:r>
      <w:hyperlink r:id="rId521" w:history="1">
        <w:r w:rsidR="00020FED" w:rsidRPr="002E6ECA">
          <w:rPr>
            <w:rFonts w:eastAsiaTheme="minorHAnsi"/>
            <w:sz w:val="28"/>
            <w:szCs w:val="28"/>
            <w:lang w:val="uk-UA" w:eastAsia="en-US"/>
          </w:rPr>
          <w:t xml:space="preserve"> Huang</w:t>
        </w:r>
      </w:hyperlink>
      <w:r w:rsidR="00020FED" w:rsidRPr="002E6ECA">
        <w:rPr>
          <w:sz w:val="28"/>
          <w:szCs w:val="28"/>
          <w:lang w:val="uk-UA"/>
        </w:rPr>
        <w:t> </w:t>
      </w:r>
      <w:r w:rsidR="00020FED" w:rsidRPr="002E6ECA">
        <w:rPr>
          <w:rFonts w:eastAsiaTheme="minorHAnsi"/>
          <w:sz w:val="28"/>
          <w:szCs w:val="28"/>
          <w:lang w:val="uk-UA" w:eastAsia="en-US"/>
        </w:rPr>
        <w:t>H.-M.,</w:t>
      </w:r>
      <w:hyperlink r:id="rId522" w:history="1">
        <w:r w:rsidR="00020FED" w:rsidRPr="002E6ECA">
          <w:rPr>
            <w:rFonts w:eastAsiaTheme="minorHAnsi"/>
            <w:sz w:val="28"/>
            <w:szCs w:val="28"/>
            <w:lang w:val="uk-UA" w:eastAsia="en-US"/>
          </w:rPr>
          <w:t xml:space="preserve"> Poon</w:t>
        </w:r>
      </w:hyperlink>
      <w:r w:rsidR="00020FED" w:rsidRPr="002E6ECA">
        <w:rPr>
          <w:sz w:val="28"/>
          <w:szCs w:val="28"/>
          <w:lang w:val="uk-UA"/>
        </w:rPr>
        <w:t> </w:t>
      </w:r>
      <w:r w:rsidR="00020FED" w:rsidRPr="002E6ECA">
        <w:rPr>
          <w:rFonts w:eastAsiaTheme="minorHAnsi"/>
          <w:sz w:val="28"/>
          <w:szCs w:val="28"/>
          <w:lang w:val="uk-UA" w:eastAsia="en-US"/>
        </w:rPr>
        <w:t>Y.-C.,</w:t>
      </w:r>
      <w:hyperlink r:id="rId523" w:history="1">
        <w:r w:rsidR="00020FED" w:rsidRPr="002E6ECA">
          <w:rPr>
            <w:rFonts w:eastAsiaTheme="minorHAnsi"/>
            <w:sz w:val="28"/>
            <w:szCs w:val="28"/>
            <w:lang w:val="uk-UA" w:eastAsia="en-US"/>
          </w:rPr>
          <w:t xml:space="preserve"> Yang</w:t>
        </w:r>
      </w:hyperlink>
      <w:r w:rsidR="00020FED" w:rsidRPr="002E6ECA">
        <w:rPr>
          <w:sz w:val="28"/>
          <w:szCs w:val="28"/>
          <w:lang w:val="uk-UA"/>
        </w:rPr>
        <w:t> </w:t>
      </w:r>
      <w:r w:rsidR="00020FED" w:rsidRPr="002E6ECA">
        <w:rPr>
          <w:rFonts w:eastAsiaTheme="minorHAnsi"/>
          <w:sz w:val="28"/>
          <w:szCs w:val="28"/>
          <w:lang w:val="uk-UA" w:eastAsia="en-US"/>
        </w:rPr>
        <w:t>M.</w:t>
      </w:r>
      <w:r w:rsidR="00020FED" w:rsidRPr="002E6ECA">
        <w:rPr>
          <w:sz w:val="28"/>
          <w:szCs w:val="28"/>
          <w:lang w:val="uk-UA"/>
        </w:rPr>
        <w:t> </w:t>
      </w:r>
      <w:r w:rsidR="00020FED" w:rsidRPr="002E6ECA">
        <w:rPr>
          <w:rFonts w:eastAsiaTheme="minorHAnsi"/>
          <w:sz w:val="28"/>
          <w:szCs w:val="28"/>
          <w:lang w:val="uk-UA" w:eastAsia="en-US"/>
        </w:rPr>
        <w:t>L.,</w:t>
      </w:r>
      <w:hyperlink r:id="rId524" w:history="1">
        <w:r w:rsidR="00020FED" w:rsidRPr="002E6ECA">
          <w:rPr>
            <w:rFonts w:eastAsiaTheme="minorHAnsi"/>
            <w:sz w:val="28"/>
            <w:szCs w:val="28"/>
            <w:lang w:val="uk-UA" w:eastAsia="en-US"/>
          </w:rPr>
          <w:t xml:space="preserve"> Chen</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Y.,</w:t>
      </w:r>
      <w:hyperlink r:id="rId525" w:history="1">
        <w:r w:rsidR="00020FED" w:rsidRPr="002E6ECA">
          <w:rPr>
            <w:rFonts w:eastAsiaTheme="minorHAnsi"/>
            <w:sz w:val="28"/>
            <w:szCs w:val="28"/>
            <w:lang w:val="uk-UA" w:eastAsia="en-US"/>
          </w:rPr>
          <w:t xml:space="preserve"> Huang</w:t>
        </w:r>
      </w:hyperlink>
      <w:r w:rsidR="00020FED" w:rsidRPr="002E6ECA">
        <w:rPr>
          <w:sz w:val="28"/>
          <w:szCs w:val="28"/>
          <w:lang w:val="uk-UA"/>
        </w:rPr>
        <w:t> </w:t>
      </w:r>
      <w:r w:rsidR="00020FED" w:rsidRPr="002E6ECA">
        <w:rPr>
          <w:rFonts w:eastAsiaTheme="minorHAnsi"/>
          <w:sz w:val="28"/>
          <w:szCs w:val="28"/>
          <w:lang w:val="uk-UA" w:eastAsia="en-US"/>
        </w:rPr>
        <w:t>J.</w:t>
      </w:r>
      <w:r w:rsidR="00020FED" w:rsidRPr="002E6ECA">
        <w:rPr>
          <w:sz w:val="28"/>
          <w:szCs w:val="28"/>
          <w:lang w:val="uk-UA"/>
        </w:rPr>
        <w:t> </w:t>
      </w:r>
      <w:r w:rsidR="00020FED" w:rsidRPr="002E6ECA">
        <w:rPr>
          <w:rFonts w:eastAsiaTheme="minorHAnsi"/>
          <w:sz w:val="28"/>
          <w:szCs w:val="28"/>
          <w:lang w:val="uk-UA" w:eastAsia="en-US"/>
        </w:rPr>
        <w:t>C.,</w:t>
      </w:r>
      <w:hyperlink r:id="rId526" w:history="1">
        <w:r w:rsidR="00020FED" w:rsidRPr="002E6ECA">
          <w:rPr>
            <w:rFonts w:eastAsiaTheme="minorHAnsi"/>
            <w:sz w:val="28"/>
            <w:szCs w:val="28"/>
            <w:lang w:val="uk-UA" w:eastAsia="en-US"/>
          </w:rPr>
          <w:t xml:space="preserve"> Wu</w:t>
        </w:r>
      </w:hyperlink>
      <w:r w:rsidR="00020FED" w:rsidRPr="002E6ECA">
        <w:rPr>
          <w:sz w:val="28"/>
          <w:szCs w:val="28"/>
          <w:lang w:val="uk-UA"/>
        </w:rPr>
        <w:t> </w:t>
      </w:r>
      <w:r w:rsidR="00020FED" w:rsidRPr="002E6ECA">
        <w:rPr>
          <w:rFonts w:eastAsiaTheme="minorHAnsi"/>
          <w:sz w:val="28"/>
          <w:szCs w:val="28"/>
          <w:lang w:val="uk-UA" w:eastAsia="en-US"/>
        </w:rPr>
        <w:t>P.-C.,</w:t>
      </w:r>
      <w:hyperlink r:id="rId527" w:history="1">
        <w:r w:rsidR="00020FED" w:rsidRPr="002E6ECA">
          <w:rPr>
            <w:rFonts w:eastAsiaTheme="minorHAnsi"/>
            <w:sz w:val="28"/>
            <w:szCs w:val="28"/>
            <w:lang w:val="uk-UA" w:eastAsia="en-US"/>
          </w:rPr>
          <w:t xml:space="preserve"> Yang</w:t>
        </w:r>
      </w:hyperlink>
      <w:r w:rsidR="00020FED" w:rsidRPr="002E6ECA">
        <w:rPr>
          <w:sz w:val="28"/>
          <w:szCs w:val="28"/>
          <w:lang w:val="uk-UA"/>
        </w:rPr>
        <w:t> </w:t>
      </w:r>
      <w:r w:rsidR="00020FED" w:rsidRPr="002E6ECA">
        <w:rPr>
          <w:rFonts w:eastAsiaTheme="minorHAnsi"/>
          <w:sz w:val="28"/>
          <w:szCs w:val="28"/>
          <w:lang w:val="uk-UA" w:eastAsia="en-US"/>
        </w:rPr>
        <w:t>I.</w:t>
      </w:r>
      <w:r w:rsidR="00020FED" w:rsidRPr="002E6ECA">
        <w:rPr>
          <w:sz w:val="28"/>
          <w:szCs w:val="28"/>
          <w:lang w:val="uk-UA"/>
        </w:rPr>
        <w:t> </w:t>
      </w:r>
      <w:r w:rsidR="00020FED" w:rsidRPr="002E6ECA">
        <w:rPr>
          <w:rFonts w:eastAsiaTheme="minorHAnsi"/>
          <w:sz w:val="28"/>
          <w:szCs w:val="28"/>
          <w:lang w:val="uk-UA" w:eastAsia="en-US"/>
        </w:rPr>
        <w:t>H.,</w:t>
      </w:r>
      <w:hyperlink r:id="rId528" w:history="1">
        <w:r w:rsidR="00020FED" w:rsidRPr="002E6ECA">
          <w:rPr>
            <w:rFonts w:eastAsiaTheme="minorHAnsi"/>
            <w:sz w:val="28"/>
            <w:szCs w:val="28"/>
            <w:lang w:val="uk-UA" w:eastAsia="en-US"/>
          </w:rPr>
          <w:t xml:space="preserve"> Yu</w:t>
        </w:r>
      </w:hyperlink>
      <w:r w:rsidR="00020FED" w:rsidRPr="002E6ECA">
        <w:rPr>
          <w:sz w:val="28"/>
          <w:szCs w:val="28"/>
          <w:lang w:val="uk-UA"/>
        </w:rPr>
        <w:t> </w:t>
      </w:r>
      <w:r w:rsidR="00020FED" w:rsidRPr="002E6ECA">
        <w:rPr>
          <w:rFonts w:eastAsiaTheme="minorHAnsi"/>
          <w:sz w:val="28"/>
          <w:szCs w:val="28"/>
          <w:lang w:val="uk-UA" w:eastAsia="en-US"/>
        </w:rPr>
        <w:t>H.</w:t>
      </w:r>
      <w:r w:rsidR="00020FED" w:rsidRPr="002E6ECA">
        <w:rPr>
          <w:sz w:val="28"/>
          <w:szCs w:val="28"/>
          <w:lang w:val="uk-UA"/>
        </w:rPr>
        <w:t> </w:t>
      </w:r>
      <w:r w:rsidR="00020FED" w:rsidRPr="002E6ECA">
        <w:rPr>
          <w:rFonts w:eastAsiaTheme="minorHAnsi"/>
          <w:sz w:val="28"/>
          <w:szCs w:val="28"/>
          <w:lang w:val="uk-UA" w:eastAsia="en-US"/>
        </w:rPr>
        <w:t>J.,</w:t>
      </w:r>
      <w:hyperlink r:id="rId529" w:history="1">
        <w:r w:rsidR="00020FED" w:rsidRPr="002E6ECA">
          <w:rPr>
            <w:rFonts w:eastAsiaTheme="minorHAnsi"/>
            <w:sz w:val="28"/>
            <w:szCs w:val="28"/>
            <w:lang w:val="uk-UA" w:eastAsia="en-US"/>
          </w:rPr>
          <w:t xml:space="preserve"> Fang</w:t>
        </w:r>
      </w:hyperlink>
      <w:r w:rsidR="00020FED" w:rsidRPr="002E6ECA">
        <w:rPr>
          <w:sz w:val="28"/>
          <w:szCs w:val="28"/>
          <w:lang w:val="uk-UA"/>
        </w:rPr>
        <w:t> </w:t>
      </w:r>
      <w:r w:rsidR="00020FED" w:rsidRPr="002E6ECA">
        <w:rPr>
          <w:rFonts w:eastAsiaTheme="minorHAnsi"/>
          <w:sz w:val="28"/>
          <w:szCs w:val="28"/>
          <w:lang w:val="uk-UA" w:eastAsia="en-US"/>
        </w:rPr>
        <w:t>P.</w:t>
      </w:r>
      <w:r w:rsidR="00020FED" w:rsidRPr="002E6ECA">
        <w:rPr>
          <w:sz w:val="28"/>
          <w:szCs w:val="28"/>
          <w:lang w:val="uk-UA"/>
        </w:rPr>
        <w:t> </w:t>
      </w:r>
      <w:r w:rsidR="00020FED" w:rsidRPr="002E6ECA">
        <w:rPr>
          <w:rFonts w:eastAsiaTheme="minorHAnsi"/>
          <w:sz w:val="28"/>
          <w:szCs w:val="28"/>
          <w:lang w:val="uk-UA" w:eastAsia="en-US"/>
        </w:rPr>
        <w:t>C.,</w:t>
      </w:r>
      <w:hyperlink r:id="rId530" w:history="1">
        <w:r w:rsidR="00020FED" w:rsidRPr="002E6ECA">
          <w:rPr>
            <w:rFonts w:eastAsiaTheme="minorHAnsi"/>
            <w:sz w:val="28"/>
            <w:szCs w:val="28"/>
            <w:lang w:val="uk-UA" w:eastAsia="en-US"/>
          </w:rPr>
          <w:t xml:space="preserve"> Tsai</w:t>
        </w:r>
      </w:hyperlink>
      <w:r w:rsidR="00020FED" w:rsidRPr="002E6ECA">
        <w:rPr>
          <w:sz w:val="28"/>
          <w:szCs w:val="28"/>
          <w:lang w:val="uk-UA"/>
        </w:rPr>
        <w:t> </w:t>
      </w:r>
      <w:r w:rsidR="00020FED" w:rsidRPr="002E6ECA">
        <w:rPr>
          <w:rFonts w:eastAsiaTheme="minorHAnsi"/>
          <w:sz w:val="28"/>
          <w:szCs w:val="28"/>
          <w:lang w:val="uk-UA" w:eastAsia="en-US"/>
        </w:rPr>
        <w:t>C.</w:t>
      </w:r>
      <w:r w:rsidR="00020FED" w:rsidRPr="002E6ECA">
        <w:rPr>
          <w:sz w:val="28"/>
          <w:szCs w:val="28"/>
          <w:lang w:val="uk-UA"/>
        </w:rPr>
        <w:t> </w:t>
      </w:r>
      <w:r w:rsidR="00020FED" w:rsidRPr="002E6ECA">
        <w:rPr>
          <w:rFonts w:eastAsiaTheme="minorHAnsi"/>
          <w:sz w:val="28"/>
          <w:szCs w:val="28"/>
          <w:lang w:val="uk-UA" w:eastAsia="en-US"/>
        </w:rPr>
        <w:t>L.,</w:t>
      </w:r>
      <w:hyperlink r:id="rId531" w:history="1">
        <w:r w:rsidR="00020FED" w:rsidRPr="002E6ECA">
          <w:rPr>
            <w:rFonts w:eastAsiaTheme="minorHAnsi"/>
            <w:sz w:val="28"/>
            <w:szCs w:val="28"/>
            <w:lang w:val="uk-UA" w:eastAsia="en-US"/>
          </w:rPr>
          <w:t xml:space="preserve"> Chiou</w:t>
        </w:r>
      </w:hyperlink>
      <w:r w:rsidR="00020FED" w:rsidRPr="002E6ECA">
        <w:rPr>
          <w:sz w:val="28"/>
          <w:szCs w:val="28"/>
          <w:lang w:val="uk-UA"/>
        </w:rPr>
        <w:t> </w:t>
      </w:r>
      <w:r w:rsidR="00020FED" w:rsidRPr="002E6ECA">
        <w:rPr>
          <w:rFonts w:eastAsiaTheme="minorHAnsi"/>
          <w:sz w:val="28"/>
          <w:szCs w:val="28"/>
          <w:lang w:val="uk-UA" w:eastAsia="en-US"/>
        </w:rPr>
        <w:t>S.</w:t>
      </w:r>
      <w:r w:rsidR="00020FED" w:rsidRPr="002E6ECA">
        <w:rPr>
          <w:sz w:val="28"/>
          <w:szCs w:val="28"/>
          <w:lang w:val="uk-UA"/>
        </w:rPr>
        <w:t> </w:t>
      </w:r>
      <w:r w:rsidR="00020FED" w:rsidRPr="002E6ECA">
        <w:rPr>
          <w:rFonts w:eastAsiaTheme="minorHAnsi"/>
          <w:sz w:val="28"/>
          <w:szCs w:val="28"/>
          <w:lang w:val="uk-UA" w:eastAsia="en-US"/>
        </w:rPr>
        <w:t>T.,</w:t>
      </w:r>
      <w:hyperlink r:id="rId532" w:history="1">
        <w:r w:rsidR="00020FED" w:rsidRPr="002E6ECA">
          <w:rPr>
            <w:rFonts w:eastAsiaTheme="minorHAnsi"/>
            <w:sz w:val="28"/>
            <w:szCs w:val="28"/>
            <w:lang w:val="uk-UA" w:eastAsia="en-US"/>
          </w:rPr>
          <w:t xml:space="preserve"> Yang</w:t>
        </w:r>
      </w:hyperlink>
      <w:r w:rsidR="00020FED" w:rsidRPr="002E6ECA">
        <w:rPr>
          <w:sz w:val="28"/>
          <w:szCs w:val="28"/>
          <w:lang w:val="uk-UA"/>
        </w:rPr>
        <w:t> </w:t>
      </w:r>
      <w:r w:rsidR="00020FED" w:rsidRPr="002E6ECA">
        <w:rPr>
          <w:rFonts w:eastAsiaTheme="minorHAnsi"/>
          <w:sz w:val="28"/>
          <w:szCs w:val="28"/>
          <w:lang w:val="uk-UA" w:eastAsia="en-US"/>
        </w:rPr>
        <w:t>Y.</w:t>
      </w:r>
      <w:r w:rsidR="00020FED" w:rsidRPr="002E6ECA">
        <w:rPr>
          <w:sz w:val="28"/>
          <w:szCs w:val="28"/>
          <w:lang w:val="uk-UA"/>
        </w:rPr>
        <w:t> </w:t>
      </w:r>
      <w:r w:rsidR="00020FED" w:rsidRPr="002E6ECA">
        <w:rPr>
          <w:rFonts w:eastAsiaTheme="minorHAnsi"/>
          <w:sz w:val="28"/>
          <w:szCs w:val="28"/>
          <w:lang w:val="uk-UA" w:eastAsia="en-US"/>
        </w:rPr>
        <w:t xml:space="preserve">H. </w:t>
      </w:r>
      <w:r w:rsidR="00020FED" w:rsidRPr="002E6ECA">
        <w:rPr>
          <w:rFonts w:eastAsiaTheme="minorHAnsi"/>
          <w:bCs/>
          <w:sz w:val="28"/>
          <w:szCs w:val="28"/>
          <w:lang w:val="uk-UA" w:eastAsia="en-US"/>
        </w:rPr>
        <w:t xml:space="preserve">Myopia Prevention and Outdoor Light Intensity in a School-Based Cluster Randomized Trial. </w:t>
      </w:r>
      <w:r w:rsidR="00020FED" w:rsidRPr="002E6ECA">
        <w:rPr>
          <w:rFonts w:eastAsiaTheme="minorHAnsi"/>
          <w:bCs/>
          <w:i/>
          <w:sz w:val="28"/>
          <w:szCs w:val="28"/>
          <w:lang w:val="uk-UA" w:eastAsia="en-US"/>
        </w:rPr>
        <w:t>Ophthalmology</w:t>
      </w:r>
      <w:r w:rsidR="00020FED" w:rsidRPr="002E6ECA">
        <w:rPr>
          <w:rFonts w:eastAsiaTheme="minorHAnsi"/>
          <w:bCs/>
          <w:sz w:val="28"/>
          <w:szCs w:val="28"/>
          <w:lang w:val="uk-UA" w:eastAsia="en-US"/>
        </w:rPr>
        <w:t xml:space="preserve">. 2018. Aug. Vol. 125 (8). P. 1239-1250. doi: 10.1016/j.ophtha.2017.12.011. </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Wu</w:t>
      </w:r>
      <w:r w:rsidRPr="002E6ECA">
        <w:rPr>
          <w:sz w:val="28"/>
          <w:szCs w:val="28"/>
          <w:lang w:val="uk-UA"/>
        </w:rPr>
        <w:t> </w:t>
      </w:r>
      <w:r w:rsidRPr="002E6ECA">
        <w:rPr>
          <w:rFonts w:eastAsiaTheme="minorHAnsi"/>
          <w:sz w:val="28"/>
          <w:szCs w:val="28"/>
          <w:lang w:val="uk-UA" w:eastAsia="en-US"/>
        </w:rPr>
        <w:t>X.</w:t>
      </w:r>
      <w:r w:rsidRPr="002E6ECA">
        <w:rPr>
          <w:sz w:val="28"/>
          <w:szCs w:val="28"/>
          <w:lang w:val="uk-UA"/>
        </w:rPr>
        <w:t> </w:t>
      </w:r>
      <w:r w:rsidRPr="002E6ECA">
        <w:rPr>
          <w:rFonts w:eastAsiaTheme="minorHAnsi"/>
          <w:sz w:val="28"/>
          <w:szCs w:val="28"/>
          <w:lang w:val="uk-UA" w:eastAsia="en-US"/>
        </w:rPr>
        <w:t>Y., Han</w:t>
      </w:r>
      <w:r w:rsidRPr="002E6ECA">
        <w:rPr>
          <w:sz w:val="28"/>
          <w:szCs w:val="28"/>
          <w:lang w:val="uk-UA"/>
        </w:rPr>
        <w:t> </w:t>
      </w:r>
      <w:r w:rsidRPr="002E6ECA">
        <w:rPr>
          <w:rFonts w:eastAsiaTheme="minorHAnsi"/>
          <w:sz w:val="28"/>
          <w:szCs w:val="28"/>
          <w:lang w:val="uk-UA" w:eastAsia="en-US"/>
        </w:rPr>
        <w:t>L.</w:t>
      </w:r>
      <w:r w:rsidRPr="002E6ECA">
        <w:rPr>
          <w:sz w:val="28"/>
          <w:szCs w:val="28"/>
          <w:lang w:val="uk-UA"/>
        </w:rPr>
        <w:t> </w:t>
      </w:r>
      <w:r w:rsidRPr="002E6ECA">
        <w:rPr>
          <w:rFonts w:eastAsiaTheme="minorHAnsi"/>
          <w:sz w:val="28"/>
          <w:szCs w:val="28"/>
          <w:lang w:val="uk-UA" w:eastAsia="en-US"/>
        </w:rPr>
        <w:t>H., Zhang</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H., Luo</w:t>
      </w:r>
      <w:r w:rsidRPr="002E6ECA">
        <w:rPr>
          <w:sz w:val="28"/>
          <w:szCs w:val="28"/>
          <w:lang w:val="uk-UA"/>
        </w:rPr>
        <w:t> </w:t>
      </w:r>
      <w:r w:rsidRPr="002E6ECA">
        <w:rPr>
          <w:rFonts w:eastAsiaTheme="minorHAnsi"/>
          <w:sz w:val="28"/>
          <w:szCs w:val="28"/>
          <w:lang w:val="uk-UA" w:eastAsia="en-US"/>
        </w:rPr>
        <w:t>S., Hu</w:t>
      </w:r>
      <w:r w:rsidRPr="002E6ECA">
        <w:rPr>
          <w:sz w:val="28"/>
          <w:szCs w:val="28"/>
          <w:lang w:val="uk-UA"/>
        </w:rPr>
        <w:t> </w:t>
      </w:r>
      <w:r w:rsidRPr="002E6ECA">
        <w:rPr>
          <w:rFonts w:eastAsiaTheme="minorHAnsi"/>
          <w:sz w:val="28"/>
          <w:szCs w:val="28"/>
          <w:lang w:val="uk-UA" w:eastAsia="en-US"/>
        </w:rPr>
        <w:t>J.</w:t>
      </w:r>
      <w:r w:rsidRPr="002E6ECA">
        <w:rPr>
          <w:sz w:val="28"/>
          <w:szCs w:val="28"/>
          <w:lang w:val="uk-UA"/>
        </w:rPr>
        <w:t> </w:t>
      </w:r>
      <w:r w:rsidRPr="002E6ECA">
        <w:rPr>
          <w:rFonts w:eastAsiaTheme="minorHAnsi"/>
          <w:sz w:val="28"/>
          <w:szCs w:val="28"/>
          <w:lang w:val="uk-UA" w:eastAsia="en-US"/>
        </w:rPr>
        <w:t>W., Sun</w:t>
      </w:r>
      <w:r w:rsidRPr="002E6ECA">
        <w:rPr>
          <w:sz w:val="28"/>
          <w:szCs w:val="28"/>
          <w:lang w:val="uk-UA"/>
        </w:rPr>
        <w:t> </w:t>
      </w:r>
      <w:r w:rsidRPr="002E6ECA">
        <w:rPr>
          <w:rFonts w:eastAsiaTheme="minorHAnsi"/>
          <w:sz w:val="28"/>
          <w:szCs w:val="28"/>
          <w:lang w:val="uk-UA" w:eastAsia="en-US"/>
        </w:rPr>
        <w:t xml:space="preserve">K. </w:t>
      </w:r>
      <w:hyperlink r:id="rId533" w:history="1">
        <w:r w:rsidRPr="002E6ECA">
          <w:rPr>
            <w:rFonts w:eastAsiaTheme="minorHAnsi"/>
            <w:sz w:val="28"/>
            <w:szCs w:val="28"/>
            <w:lang w:val="uk-UA" w:eastAsia="en-US"/>
          </w:rPr>
          <w:t xml:space="preserve">The influence of physical activity, sedentary behavior on health-related quality of life among the general population of children and adolescents: A systematic review. </w:t>
        </w:r>
      </w:hyperlink>
      <w:r w:rsidRPr="002E6ECA">
        <w:rPr>
          <w:rFonts w:eastAsiaTheme="minorHAnsi"/>
          <w:i/>
          <w:sz w:val="28"/>
          <w:szCs w:val="28"/>
          <w:lang w:val="uk-UA" w:eastAsia="en-US"/>
        </w:rPr>
        <w:t>PLoS One</w:t>
      </w:r>
      <w:r w:rsidRPr="002E6ECA">
        <w:rPr>
          <w:rFonts w:eastAsiaTheme="minorHAnsi"/>
          <w:sz w:val="28"/>
          <w:szCs w:val="28"/>
          <w:lang w:val="uk-UA" w:eastAsia="en-US"/>
        </w:rPr>
        <w:t>. 2017. Vol. 12 (11). e0187668. doi: 10.1371/journal.pone.0187668.</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Xiong</w:t>
      </w:r>
      <w:r w:rsidRPr="002E6ECA">
        <w:rPr>
          <w:sz w:val="28"/>
          <w:szCs w:val="28"/>
          <w:lang w:val="uk-UA"/>
        </w:rPr>
        <w:t> </w:t>
      </w:r>
      <w:r w:rsidRPr="002E6ECA">
        <w:rPr>
          <w:rFonts w:eastAsiaTheme="minorHAnsi"/>
          <w:sz w:val="28"/>
          <w:szCs w:val="28"/>
          <w:lang w:val="uk-UA" w:eastAsia="en-US"/>
        </w:rPr>
        <w:t>K.</w:t>
      </w:r>
      <w:r w:rsidRPr="002E6ECA">
        <w:rPr>
          <w:sz w:val="28"/>
          <w:szCs w:val="28"/>
          <w:lang w:val="uk-UA"/>
        </w:rPr>
        <w:t> </w:t>
      </w:r>
      <w:r w:rsidRPr="002E6ECA">
        <w:rPr>
          <w:rFonts w:eastAsiaTheme="minorHAnsi"/>
          <w:sz w:val="28"/>
          <w:szCs w:val="28"/>
          <w:lang w:val="uk-UA" w:eastAsia="en-US"/>
        </w:rPr>
        <w:t>Y., He</w:t>
      </w:r>
      <w:r w:rsidRPr="002E6ECA">
        <w:rPr>
          <w:sz w:val="28"/>
          <w:szCs w:val="28"/>
          <w:lang w:val="uk-UA"/>
        </w:rPr>
        <w:t> </w:t>
      </w:r>
      <w:r w:rsidRPr="002E6ECA">
        <w:rPr>
          <w:rFonts w:eastAsiaTheme="minorHAnsi"/>
          <w:sz w:val="28"/>
          <w:szCs w:val="28"/>
          <w:lang w:val="uk-UA" w:eastAsia="en-US"/>
        </w:rPr>
        <w:t>H., Zhang</w:t>
      </w:r>
      <w:r w:rsidRPr="002E6ECA">
        <w:rPr>
          <w:sz w:val="28"/>
          <w:szCs w:val="28"/>
          <w:lang w:val="uk-UA"/>
        </w:rPr>
        <w:t> </w:t>
      </w:r>
      <w:r w:rsidRPr="002E6ECA">
        <w:rPr>
          <w:rFonts w:eastAsiaTheme="minorHAnsi"/>
          <w:sz w:val="28"/>
          <w:szCs w:val="28"/>
          <w:lang w:val="uk-UA" w:eastAsia="en-US"/>
        </w:rPr>
        <w:t>Y.</w:t>
      </w:r>
      <w:r w:rsidRPr="002E6ECA">
        <w:rPr>
          <w:sz w:val="28"/>
          <w:szCs w:val="28"/>
          <w:lang w:val="uk-UA"/>
        </w:rPr>
        <w:t> </w:t>
      </w:r>
      <w:r w:rsidRPr="002E6ECA">
        <w:rPr>
          <w:rFonts w:eastAsiaTheme="minorHAnsi"/>
          <w:sz w:val="28"/>
          <w:szCs w:val="28"/>
          <w:lang w:val="uk-UA" w:eastAsia="en-US"/>
        </w:rPr>
        <w:t xml:space="preserve">M., </w:t>
      </w:r>
      <w:hyperlink r:id="rId534" w:history="1">
        <w:r w:rsidRPr="002E6ECA">
          <w:rPr>
            <w:rFonts w:eastAsiaTheme="minorHAnsi"/>
            <w:sz w:val="28"/>
            <w:szCs w:val="28"/>
            <w:lang w:val="uk-UA" w:eastAsia="en-US"/>
          </w:rPr>
          <w:t>Ni</w:t>
        </w:r>
      </w:hyperlink>
      <w:r w:rsidRPr="002E6ECA">
        <w:rPr>
          <w:sz w:val="28"/>
          <w:szCs w:val="28"/>
          <w:lang w:val="uk-UA"/>
        </w:rPr>
        <w:t> </w:t>
      </w:r>
      <w:r w:rsidRPr="002E6ECA">
        <w:rPr>
          <w:rFonts w:eastAsiaTheme="minorHAnsi"/>
          <w:sz w:val="28"/>
          <w:szCs w:val="28"/>
          <w:lang w:val="uk-UA" w:eastAsia="en-US"/>
        </w:rPr>
        <w:t>G.</w:t>
      </w:r>
      <w:r w:rsidRPr="002E6ECA">
        <w:rPr>
          <w:sz w:val="28"/>
          <w:szCs w:val="28"/>
          <w:lang w:val="uk-UA"/>
        </w:rPr>
        <w:t> </w:t>
      </w:r>
      <w:r w:rsidRPr="002E6ECA">
        <w:rPr>
          <w:rFonts w:eastAsiaTheme="minorHAnsi"/>
          <w:sz w:val="28"/>
          <w:szCs w:val="28"/>
          <w:lang w:val="uk-UA" w:eastAsia="en-US"/>
        </w:rPr>
        <w:t xml:space="preserve">X. Analyses of body composition charts among younger and older Chinese children and adolescents aged 5 to 18 years. </w:t>
      </w:r>
      <w:r w:rsidRPr="002E6ECA">
        <w:rPr>
          <w:rFonts w:eastAsiaTheme="minorHAnsi"/>
          <w:i/>
          <w:sz w:val="28"/>
          <w:szCs w:val="28"/>
          <w:lang w:val="uk-UA" w:eastAsia="en-US"/>
        </w:rPr>
        <w:t>BMC Public Health</w:t>
      </w:r>
      <w:r w:rsidRPr="002E6ECA">
        <w:rPr>
          <w:rFonts w:eastAsiaTheme="minorHAnsi"/>
          <w:sz w:val="28"/>
          <w:szCs w:val="28"/>
          <w:lang w:val="uk-UA" w:eastAsia="en-US"/>
        </w:rPr>
        <w:t xml:space="preserve">. 2012. Vol. 12. Р. 835-844. DOI: 10.1186/1471-2458-12-835. </w:t>
      </w:r>
    </w:p>
    <w:p w:rsidR="00020FED" w:rsidRPr="002E6ECA" w:rsidRDefault="004F7283" w:rsidP="00020FED">
      <w:pPr>
        <w:numPr>
          <w:ilvl w:val="0"/>
          <w:numId w:val="72"/>
        </w:numPr>
        <w:spacing w:line="348" w:lineRule="auto"/>
        <w:ind w:left="0" w:firstLine="709"/>
        <w:contextualSpacing/>
        <w:jc w:val="both"/>
        <w:rPr>
          <w:rFonts w:eastAsiaTheme="minorHAnsi"/>
          <w:sz w:val="28"/>
          <w:szCs w:val="28"/>
          <w:lang w:val="uk-UA" w:eastAsia="en-US"/>
        </w:rPr>
      </w:pPr>
      <w:hyperlink r:id="rId535" w:history="1">
        <w:r w:rsidR="00020FED" w:rsidRPr="002E6ECA">
          <w:rPr>
            <w:rFonts w:eastAsiaTheme="minorHAnsi"/>
            <w:sz w:val="28"/>
            <w:szCs w:val="28"/>
            <w:lang w:val="uk-UA" w:eastAsia="en-US"/>
          </w:rPr>
          <w:t>Xu</w:t>
        </w:r>
      </w:hyperlink>
      <w:r w:rsidR="00020FED" w:rsidRPr="002E6ECA">
        <w:rPr>
          <w:sz w:val="28"/>
          <w:szCs w:val="28"/>
          <w:lang w:val="uk-UA"/>
        </w:rPr>
        <w:t> </w:t>
      </w:r>
      <w:r w:rsidR="00020FED" w:rsidRPr="002E6ECA">
        <w:rPr>
          <w:rFonts w:eastAsiaTheme="minorHAnsi"/>
          <w:sz w:val="28"/>
          <w:szCs w:val="28"/>
          <w:lang w:val="uk-UA" w:eastAsia="en-US"/>
        </w:rPr>
        <w:t>R., Zhang</w:t>
      </w:r>
      <w:r w:rsidR="00020FED" w:rsidRPr="002E6ECA">
        <w:rPr>
          <w:sz w:val="28"/>
          <w:szCs w:val="28"/>
          <w:lang w:val="uk-UA"/>
        </w:rPr>
        <w:t> </w:t>
      </w:r>
      <w:r w:rsidR="00020FED" w:rsidRPr="002E6ECA">
        <w:rPr>
          <w:rFonts w:eastAsiaTheme="minorHAnsi"/>
          <w:sz w:val="28"/>
          <w:szCs w:val="28"/>
          <w:lang w:val="uk-UA" w:eastAsia="en-US"/>
        </w:rPr>
        <w:t xml:space="preserve">C., </w:t>
      </w:r>
      <w:hyperlink r:id="rId536" w:history="1">
        <w:r w:rsidR="00020FED" w:rsidRPr="002E6ECA">
          <w:rPr>
            <w:rFonts w:eastAsiaTheme="minorHAnsi"/>
            <w:sz w:val="28"/>
            <w:szCs w:val="28"/>
            <w:lang w:val="uk-UA" w:eastAsia="en-US"/>
          </w:rPr>
          <w:t>H</w:t>
        </w:r>
        <w:r w:rsidR="00020FED" w:rsidRPr="002E6ECA">
          <w:rPr>
            <w:rFonts w:eastAsiaTheme="minorHAnsi"/>
            <w:sz w:val="28"/>
            <w:szCs w:val="28"/>
            <w:lang w:val="en-US" w:eastAsia="en-US"/>
          </w:rPr>
          <w:t>e</w:t>
        </w:r>
      </w:hyperlink>
      <w:r w:rsidR="00020FED" w:rsidRPr="002E6ECA">
        <w:rPr>
          <w:rFonts w:eastAsiaTheme="minorHAnsi"/>
          <w:sz w:val="28"/>
          <w:szCs w:val="28"/>
          <w:lang w:val="uk-UA" w:eastAsia="en-US"/>
        </w:rPr>
        <w:t> F., Zhao</w:t>
      </w:r>
      <w:r w:rsidR="00020FED" w:rsidRPr="002E6ECA">
        <w:rPr>
          <w:sz w:val="28"/>
          <w:szCs w:val="28"/>
          <w:lang w:val="uk-UA"/>
        </w:rPr>
        <w:t> </w:t>
      </w:r>
      <w:r w:rsidR="00020FED" w:rsidRPr="002E6ECA">
        <w:rPr>
          <w:rFonts w:eastAsiaTheme="minorHAnsi"/>
          <w:sz w:val="28"/>
          <w:szCs w:val="28"/>
          <w:lang w:val="uk-UA" w:eastAsia="en-US"/>
        </w:rPr>
        <w:t xml:space="preserve">X., </w:t>
      </w:r>
      <w:hyperlink r:id="rId537" w:history="1">
        <w:r w:rsidR="00020FED" w:rsidRPr="002E6ECA">
          <w:rPr>
            <w:rFonts w:eastAsiaTheme="minorHAnsi"/>
            <w:sz w:val="28"/>
            <w:szCs w:val="28"/>
            <w:lang w:val="uk-UA" w:eastAsia="en-US"/>
          </w:rPr>
          <w:t>Qi</w:t>
        </w:r>
      </w:hyperlink>
      <w:r w:rsidR="00020FED" w:rsidRPr="002E6ECA">
        <w:rPr>
          <w:sz w:val="28"/>
          <w:szCs w:val="28"/>
          <w:lang w:val="uk-UA"/>
        </w:rPr>
        <w:t> </w:t>
      </w:r>
      <w:r w:rsidR="00020FED" w:rsidRPr="002E6ECA">
        <w:rPr>
          <w:rFonts w:eastAsiaTheme="minorHAnsi"/>
          <w:sz w:val="28"/>
          <w:szCs w:val="28"/>
          <w:lang w:val="uk-UA" w:eastAsia="en-US"/>
        </w:rPr>
        <w:t xml:space="preserve">H., </w:t>
      </w:r>
      <w:hyperlink r:id="rId538" w:history="1">
        <w:r w:rsidR="00020FED" w:rsidRPr="002E6ECA">
          <w:rPr>
            <w:rFonts w:eastAsiaTheme="minorHAnsi"/>
            <w:sz w:val="28"/>
            <w:szCs w:val="28"/>
            <w:lang w:val="uk-UA" w:eastAsia="en-US"/>
          </w:rPr>
          <w:t>Zhou</w:t>
        </w:r>
        <w:r w:rsidR="00020FED" w:rsidRPr="002E6ECA">
          <w:rPr>
            <w:sz w:val="28"/>
            <w:szCs w:val="28"/>
            <w:lang w:val="uk-UA"/>
          </w:rPr>
          <w:t> </w:t>
        </w:r>
        <w:r w:rsidR="00020FED" w:rsidRPr="002E6ECA">
          <w:rPr>
            <w:rFonts w:eastAsiaTheme="minorHAnsi"/>
            <w:sz w:val="28"/>
            <w:szCs w:val="28"/>
            <w:lang w:val="uk-UA" w:eastAsia="en-US"/>
          </w:rPr>
          <w:t>P.</w:t>
        </w:r>
      </w:hyperlink>
      <w:r w:rsidR="00020FED" w:rsidRPr="002E6ECA">
        <w:rPr>
          <w:rFonts w:eastAsiaTheme="minorHAnsi"/>
          <w:sz w:val="28"/>
          <w:szCs w:val="28"/>
          <w:lang w:val="uk-UA" w:eastAsia="en-US"/>
        </w:rPr>
        <w:t>, Zhang</w:t>
      </w:r>
      <w:r w:rsidR="00020FED" w:rsidRPr="002E6ECA">
        <w:rPr>
          <w:sz w:val="28"/>
          <w:szCs w:val="28"/>
          <w:lang w:val="uk-UA"/>
        </w:rPr>
        <w:t> </w:t>
      </w:r>
      <w:hyperlink r:id="rId539" w:history="1">
        <w:r w:rsidR="00020FED" w:rsidRPr="002E6ECA">
          <w:rPr>
            <w:rFonts w:eastAsiaTheme="minorHAnsi"/>
            <w:sz w:val="28"/>
            <w:szCs w:val="28"/>
            <w:lang w:val="uk-UA" w:eastAsia="en-US"/>
          </w:rPr>
          <w:t>L.</w:t>
        </w:r>
      </w:hyperlink>
      <w:r w:rsidR="00020FED" w:rsidRPr="002E6ECA">
        <w:rPr>
          <w:rFonts w:eastAsiaTheme="minorHAnsi"/>
          <w:sz w:val="28"/>
          <w:szCs w:val="28"/>
          <w:lang w:val="uk-UA" w:eastAsia="en-US"/>
        </w:rPr>
        <w:t>, Ming</w:t>
      </w:r>
      <w:r w:rsidR="00020FED" w:rsidRPr="002E6ECA">
        <w:rPr>
          <w:sz w:val="28"/>
          <w:szCs w:val="28"/>
          <w:lang w:val="uk-UA"/>
        </w:rPr>
        <w:t> </w:t>
      </w:r>
      <w:r w:rsidR="00020FED" w:rsidRPr="002E6ECA">
        <w:rPr>
          <w:rFonts w:eastAsiaTheme="minorHAnsi"/>
          <w:sz w:val="28"/>
          <w:szCs w:val="28"/>
          <w:lang w:val="uk-UA" w:eastAsia="en-US"/>
        </w:rPr>
        <w:t xml:space="preserve">D. How physical activities affect mental fatigue based on EEG energy, connectivity, and complexity. </w:t>
      </w:r>
      <w:r w:rsidR="00020FED" w:rsidRPr="002E6ECA">
        <w:rPr>
          <w:rFonts w:eastAsiaTheme="minorHAnsi"/>
          <w:i/>
          <w:sz w:val="28"/>
          <w:szCs w:val="28"/>
          <w:lang w:val="uk-UA" w:eastAsia="en-US"/>
        </w:rPr>
        <w:t>Front Neurol</w:t>
      </w:r>
      <w:r w:rsidR="00020FED" w:rsidRPr="002E6ECA">
        <w:rPr>
          <w:rFonts w:eastAsiaTheme="minorHAnsi"/>
          <w:sz w:val="28"/>
          <w:szCs w:val="28"/>
          <w:lang w:val="uk-UA" w:eastAsia="en-US"/>
        </w:rPr>
        <w:t xml:space="preserve">. 2018. Vol. 9. 915. doi: 10.3389/fneur.2018.00915. </w:t>
      </w:r>
    </w:p>
    <w:p w:rsidR="00020FED" w:rsidRPr="002E6ECA" w:rsidRDefault="00020FED" w:rsidP="00020FED">
      <w:pPr>
        <w:numPr>
          <w:ilvl w:val="0"/>
          <w:numId w:val="72"/>
        </w:numPr>
        <w:spacing w:line="348"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Yamada</w:t>
      </w:r>
      <w:r w:rsidRPr="002E6ECA">
        <w:rPr>
          <w:sz w:val="28"/>
          <w:szCs w:val="28"/>
          <w:lang w:val="uk-UA"/>
        </w:rPr>
        <w:t> </w:t>
      </w:r>
      <w:r w:rsidRPr="002E6ECA">
        <w:rPr>
          <w:rFonts w:eastAsiaTheme="minorHAnsi"/>
          <w:sz w:val="28"/>
          <w:szCs w:val="28"/>
          <w:lang w:val="uk-UA" w:eastAsia="en-US"/>
        </w:rPr>
        <w:t xml:space="preserve">F. Frontal midline theta rhythm and eyeblinking activity during a VDT task and a video game: useful tools for psychophysiology in ergonomics. </w:t>
      </w:r>
      <w:r w:rsidRPr="002E6ECA">
        <w:rPr>
          <w:rFonts w:eastAsiaTheme="minorHAnsi"/>
          <w:i/>
          <w:sz w:val="28"/>
          <w:szCs w:val="28"/>
          <w:lang w:val="uk-UA" w:eastAsia="en-US"/>
        </w:rPr>
        <w:t>Ergonomics</w:t>
      </w:r>
      <w:r w:rsidRPr="002E6ECA">
        <w:rPr>
          <w:rFonts w:eastAsiaTheme="minorHAnsi"/>
          <w:sz w:val="28"/>
          <w:szCs w:val="28"/>
          <w:lang w:val="uk-UA" w:eastAsia="en-US"/>
        </w:rPr>
        <w:t>. 1998. Vol. 41 (5). Р. 678-88. doi: 10.1080/001401398186847.</w:t>
      </w:r>
    </w:p>
    <w:p w:rsidR="00020FED" w:rsidRPr="002E6ECA" w:rsidRDefault="00020FED" w:rsidP="00020FED">
      <w:pPr>
        <w:numPr>
          <w:ilvl w:val="0"/>
          <w:numId w:val="72"/>
        </w:numPr>
        <w:spacing w:line="348"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Yelizarova</w:t>
      </w:r>
      <w:r w:rsidRPr="002E6ECA">
        <w:rPr>
          <w:sz w:val="28"/>
          <w:szCs w:val="28"/>
          <w:lang w:val="uk-UA"/>
        </w:rPr>
        <w:t> </w:t>
      </w:r>
      <w:r w:rsidRPr="002E6ECA">
        <w:rPr>
          <w:rFonts w:eastAsiaTheme="minorHAnsi"/>
          <w:sz w:val="28"/>
          <w:szCs w:val="28"/>
          <w:lang w:val="uk-UA" w:eastAsia="en-US"/>
        </w:rPr>
        <w:t>O, Stankevych</w:t>
      </w:r>
      <w:r w:rsidRPr="002E6ECA">
        <w:rPr>
          <w:sz w:val="28"/>
          <w:szCs w:val="28"/>
          <w:lang w:val="uk-UA"/>
        </w:rPr>
        <w:t> </w:t>
      </w:r>
      <w:r w:rsidRPr="002E6ECA">
        <w:rPr>
          <w:rFonts w:eastAsiaTheme="minorHAnsi"/>
          <w:sz w:val="28"/>
          <w:szCs w:val="28"/>
          <w:lang w:val="uk-UA" w:eastAsia="en-US"/>
        </w:rPr>
        <w:t>T., Parats</w:t>
      </w:r>
      <w:r w:rsidRPr="002E6ECA">
        <w:rPr>
          <w:sz w:val="28"/>
          <w:szCs w:val="28"/>
          <w:lang w:val="uk-UA"/>
        </w:rPr>
        <w:t> </w:t>
      </w:r>
      <w:r w:rsidRPr="002E6ECA">
        <w:rPr>
          <w:rFonts w:eastAsiaTheme="minorHAnsi"/>
          <w:sz w:val="28"/>
          <w:szCs w:val="28"/>
          <w:lang w:val="uk-UA" w:eastAsia="en-US"/>
        </w:rPr>
        <w:t>A., Antomonov</w:t>
      </w:r>
      <w:r w:rsidRPr="002E6ECA">
        <w:rPr>
          <w:sz w:val="28"/>
          <w:szCs w:val="28"/>
          <w:lang w:val="uk-UA"/>
        </w:rPr>
        <w:t> </w:t>
      </w:r>
      <w:r w:rsidRPr="002E6ECA">
        <w:rPr>
          <w:rFonts w:eastAsiaTheme="minorHAnsi"/>
          <w:sz w:val="28"/>
          <w:szCs w:val="28"/>
          <w:lang w:val="uk-UA" w:eastAsia="en-US"/>
        </w:rPr>
        <w:t>M., Polka</w:t>
      </w:r>
      <w:r w:rsidRPr="002E6ECA">
        <w:rPr>
          <w:sz w:val="28"/>
          <w:szCs w:val="28"/>
          <w:lang w:val="uk-UA"/>
        </w:rPr>
        <w:t> </w:t>
      </w:r>
      <w:r w:rsidRPr="002E6ECA">
        <w:rPr>
          <w:rFonts w:eastAsiaTheme="minorHAnsi"/>
          <w:sz w:val="28"/>
          <w:szCs w:val="28"/>
          <w:lang w:val="uk-UA" w:eastAsia="en-US"/>
        </w:rPr>
        <w:t>N., Hozak</w:t>
      </w:r>
      <w:r w:rsidRPr="002E6ECA">
        <w:rPr>
          <w:sz w:val="28"/>
          <w:szCs w:val="28"/>
          <w:lang w:val="uk-UA"/>
        </w:rPr>
        <w:t> </w:t>
      </w:r>
      <w:r w:rsidRPr="002E6ECA">
        <w:rPr>
          <w:rFonts w:eastAsiaTheme="minorHAnsi"/>
          <w:sz w:val="28"/>
          <w:szCs w:val="28"/>
          <w:lang w:val="uk-UA" w:eastAsia="en-US"/>
        </w:rPr>
        <w:t xml:space="preserve">S. Specific Features of the Ukrainian Urban Adolescents' Physical Activity: A </w:t>
      </w:r>
      <w:r w:rsidRPr="002E6ECA">
        <w:rPr>
          <w:rFonts w:eastAsiaTheme="minorHAnsi"/>
          <w:sz w:val="28"/>
          <w:szCs w:val="28"/>
          <w:lang w:val="uk-UA" w:eastAsia="en-US"/>
        </w:rPr>
        <w:lastRenderedPageBreak/>
        <w:t xml:space="preserve">Cross-Sectional Study. </w:t>
      </w:r>
      <w:r w:rsidRPr="002E6ECA">
        <w:rPr>
          <w:rFonts w:eastAsiaTheme="minorHAnsi"/>
          <w:i/>
          <w:sz w:val="28"/>
          <w:szCs w:val="28"/>
          <w:lang w:val="uk-UA" w:eastAsia="en-US"/>
        </w:rPr>
        <w:t>J Environ Public Health</w:t>
      </w:r>
      <w:r w:rsidRPr="002E6ECA">
        <w:rPr>
          <w:rFonts w:eastAsiaTheme="minorHAnsi"/>
          <w:sz w:val="28"/>
          <w:szCs w:val="28"/>
          <w:lang w:val="uk-UA" w:eastAsia="en-US"/>
        </w:rPr>
        <w:t>. 2020 Apr 9. 2020. 3404285. doi:</w:t>
      </w:r>
      <w:r w:rsidRPr="002E6ECA">
        <w:rPr>
          <w:rFonts w:eastAsiaTheme="minorHAnsi"/>
          <w:sz w:val="28"/>
          <w:szCs w:val="28"/>
          <w:lang w:val="uk-UA"/>
        </w:rPr>
        <w:t> </w:t>
      </w:r>
      <w:r w:rsidRPr="002E6ECA">
        <w:rPr>
          <w:rFonts w:eastAsiaTheme="minorHAnsi"/>
          <w:sz w:val="28"/>
          <w:szCs w:val="28"/>
          <w:lang w:val="uk-UA" w:eastAsia="en-US"/>
        </w:rPr>
        <w:t>10.1155/2020/3404285.</w:t>
      </w:r>
    </w:p>
    <w:p w:rsidR="00020FED" w:rsidRPr="002E6ECA" w:rsidRDefault="004F7283" w:rsidP="00020FED">
      <w:pPr>
        <w:numPr>
          <w:ilvl w:val="0"/>
          <w:numId w:val="72"/>
        </w:numPr>
        <w:spacing w:line="336" w:lineRule="auto"/>
        <w:ind w:left="0" w:firstLine="709"/>
        <w:contextualSpacing/>
        <w:jc w:val="both"/>
        <w:rPr>
          <w:rFonts w:eastAsiaTheme="minorHAnsi"/>
          <w:sz w:val="28"/>
          <w:szCs w:val="28"/>
          <w:lang w:val="uk-UA" w:eastAsia="en-US"/>
        </w:rPr>
      </w:pPr>
      <w:hyperlink r:id="rId540" w:history="1">
        <w:r w:rsidR="00020FED" w:rsidRPr="002E6ECA">
          <w:rPr>
            <w:bCs/>
            <w:sz w:val="28"/>
            <w:szCs w:val="28"/>
            <w:lang w:val="uk-UA"/>
          </w:rPr>
          <w:t>Yeung</w:t>
        </w:r>
      </w:hyperlink>
      <w:r w:rsidR="00020FED" w:rsidRPr="002E6ECA">
        <w:rPr>
          <w:sz w:val="28"/>
          <w:szCs w:val="28"/>
          <w:lang w:val="uk-UA"/>
        </w:rPr>
        <w:t> </w:t>
      </w:r>
      <w:r w:rsidR="00020FED" w:rsidRPr="002E6ECA">
        <w:rPr>
          <w:bCs/>
          <w:sz w:val="28"/>
          <w:szCs w:val="28"/>
          <w:lang w:val="uk-UA"/>
        </w:rPr>
        <w:t>D.</w:t>
      </w:r>
      <w:r w:rsidR="00020FED" w:rsidRPr="002E6ECA">
        <w:rPr>
          <w:sz w:val="28"/>
          <w:szCs w:val="28"/>
          <w:lang w:val="uk-UA"/>
        </w:rPr>
        <w:t> </w:t>
      </w:r>
      <w:r w:rsidR="00020FED" w:rsidRPr="002E6ECA">
        <w:rPr>
          <w:bCs/>
          <w:sz w:val="28"/>
          <w:szCs w:val="28"/>
          <w:lang w:val="uk-UA"/>
        </w:rPr>
        <w:t xml:space="preserve">Ch.-Sh., </w:t>
      </w:r>
      <w:hyperlink r:id="rId541" w:history="1">
        <w:r w:rsidR="00020FED" w:rsidRPr="002E6ECA">
          <w:rPr>
            <w:bCs/>
            <w:sz w:val="28"/>
            <w:szCs w:val="28"/>
            <w:lang w:val="uk-UA"/>
          </w:rPr>
          <w:t>Yuan</w:t>
        </w:r>
      </w:hyperlink>
      <w:r w:rsidR="00020FED" w:rsidRPr="002E6ECA">
        <w:rPr>
          <w:sz w:val="28"/>
          <w:szCs w:val="28"/>
          <w:lang w:val="uk-UA"/>
        </w:rPr>
        <w:t> </w:t>
      </w:r>
      <w:r w:rsidR="00020FED" w:rsidRPr="002E6ECA">
        <w:rPr>
          <w:bCs/>
          <w:sz w:val="28"/>
          <w:szCs w:val="28"/>
          <w:lang w:val="uk-UA"/>
        </w:rPr>
        <w:t xml:space="preserve">X., </w:t>
      </w:r>
      <w:hyperlink r:id="rId542" w:history="1">
        <w:r w:rsidR="00020FED" w:rsidRPr="002E6ECA">
          <w:rPr>
            <w:bCs/>
            <w:sz w:val="28"/>
            <w:szCs w:val="28"/>
            <w:lang w:val="uk-UA"/>
          </w:rPr>
          <w:t>Hui</w:t>
        </w:r>
      </w:hyperlink>
      <w:r w:rsidR="00020FED" w:rsidRPr="002E6ECA">
        <w:rPr>
          <w:sz w:val="28"/>
          <w:szCs w:val="28"/>
          <w:lang w:val="uk-UA"/>
        </w:rPr>
        <w:t> </w:t>
      </w:r>
      <w:r w:rsidR="00020FED" w:rsidRPr="002E6ECA">
        <w:rPr>
          <w:bCs/>
          <w:sz w:val="28"/>
          <w:szCs w:val="28"/>
          <w:lang w:val="uk-UA"/>
        </w:rPr>
        <w:t>S.</w:t>
      </w:r>
      <w:r w:rsidR="00020FED" w:rsidRPr="002E6ECA">
        <w:rPr>
          <w:sz w:val="28"/>
          <w:szCs w:val="28"/>
          <w:lang w:val="uk-UA"/>
        </w:rPr>
        <w:t> </w:t>
      </w:r>
      <w:r w:rsidR="00020FED" w:rsidRPr="002E6ECA">
        <w:rPr>
          <w:bCs/>
          <w:sz w:val="28"/>
          <w:szCs w:val="28"/>
          <w:lang w:val="uk-UA"/>
        </w:rPr>
        <w:t xml:space="preserve">S.-Ch., </w:t>
      </w:r>
      <w:hyperlink r:id="rId543" w:history="1">
        <w:r w:rsidR="00020FED" w:rsidRPr="002E6ECA">
          <w:rPr>
            <w:bCs/>
            <w:sz w:val="28"/>
            <w:szCs w:val="28"/>
            <w:lang w:val="uk-UA"/>
          </w:rPr>
          <w:t>Feresu</w:t>
        </w:r>
      </w:hyperlink>
      <w:r w:rsidR="00020FED" w:rsidRPr="002E6ECA">
        <w:rPr>
          <w:sz w:val="28"/>
          <w:szCs w:val="28"/>
          <w:lang w:val="uk-UA"/>
        </w:rPr>
        <w:t> </w:t>
      </w:r>
      <w:r w:rsidR="00020FED" w:rsidRPr="002E6ECA">
        <w:rPr>
          <w:bCs/>
          <w:sz w:val="28"/>
          <w:szCs w:val="28"/>
          <w:lang w:val="uk-UA"/>
        </w:rPr>
        <w:t xml:space="preserve">Sh. A. Determinants of moderate to vigorous physical activity and obesity in children: a structural equation modeling analysis. </w:t>
      </w:r>
      <w:r w:rsidR="00020FED" w:rsidRPr="002E6ECA">
        <w:rPr>
          <w:bCs/>
          <w:i/>
          <w:sz w:val="28"/>
          <w:szCs w:val="28"/>
          <w:lang w:val="uk-UA"/>
        </w:rPr>
        <w:t>World J Pediatr</w:t>
      </w:r>
      <w:r w:rsidR="00020FED" w:rsidRPr="002E6ECA">
        <w:rPr>
          <w:bCs/>
          <w:sz w:val="28"/>
          <w:szCs w:val="28"/>
          <w:lang w:val="uk-UA"/>
        </w:rPr>
        <w:t xml:space="preserve">. 2016. May. </w:t>
      </w:r>
      <w:r w:rsidR="00020FED" w:rsidRPr="002E6ECA">
        <w:rPr>
          <w:rFonts w:eastAsiaTheme="minorHAnsi"/>
          <w:sz w:val="28"/>
          <w:szCs w:val="28"/>
          <w:lang w:val="uk-UA" w:eastAsia="en-US"/>
        </w:rPr>
        <w:t xml:space="preserve">Vol. </w:t>
      </w:r>
      <w:r w:rsidR="00020FED" w:rsidRPr="002E6ECA">
        <w:rPr>
          <w:bCs/>
          <w:sz w:val="28"/>
          <w:szCs w:val="28"/>
          <w:lang w:val="uk-UA"/>
        </w:rPr>
        <w:t xml:space="preserve">12 (2). </w:t>
      </w:r>
      <w:r w:rsidR="00020FED" w:rsidRPr="002E6ECA">
        <w:rPr>
          <w:rFonts w:eastAsiaTheme="minorHAnsi"/>
          <w:sz w:val="28"/>
          <w:szCs w:val="28"/>
          <w:lang w:val="uk-UA" w:eastAsia="en-US"/>
        </w:rPr>
        <w:t xml:space="preserve">Vol. </w:t>
      </w:r>
      <w:r w:rsidR="00020FED" w:rsidRPr="002E6ECA">
        <w:rPr>
          <w:bCs/>
          <w:sz w:val="28"/>
          <w:szCs w:val="28"/>
          <w:lang w:val="uk-UA"/>
        </w:rPr>
        <w:t xml:space="preserve">170-6. doi: 10.1007/s12519-015-0057-8. </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Zammit</w:t>
      </w:r>
      <w:r w:rsidRPr="002E6ECA">
        <w:rPr>
          <w:sz w:val="28"/>
          <w:szCs w:val="28"/>
          <w:lang w:val="uk-UA"/>
        </w:rPr>
        <w:t> </w:t>
      </w:r>
      <w:r w:rsidRPr="002E6ECA">
        <w:rPr>
          <w:rFonts w:eastAsiaTheme="minorHAnsi"/>
          <w:sz w:val="28"/>
          <w:szCs w:val="28"/>
          <w:lang w:val="uk-UA" w:eastAsia="en-US"/>
        </w:rPr>
        <w:t>N., Maatoug</w:t>
      </w:r>
      <w:r w:rsidRPr="002E6ECA">
        <w:rPr>
          <w:sz w:val="28"/>
          <w:szCs w:val="28"/>
          <w:lang w:val="uk-UA"/>
        </w:rPr>
        <w:t> </w:t>
      </w:r>
      <w:r w:rsidRPr="002E6ECA">
        <w:rPr>
          <w:rFonts w:eastAsiaTheme="minorHAnsi"/>
          <w:sz w:val="28"/>
          <w:szCs w:val="28"/>
          <w:lang w:val="uk-UA" w:eastAsia="en-US"/>
        </w:rPr>
        <w:t>J., Ghammam</w:t>
      </w:r>
      <w:r w:rsidRPr="002E6ECA">
        <w:rPr>
          <w:sz w:val="28"/>
          <w:szCs w:val="28"/>
          <w:lang w:val="uk-UA"/>
        </w:rPr>
        <w:t> </w:t>
      </w:r>
      <w:r w:rsidRPr="002E6ECA">
        <w:rPr>
          <w:rFonts w:eastAsiaTheme="minorHAnsi"/>
          <w:sz w:val="28"/>
          <w:szCs w:val="28"/>
          <w:lang w:val="uk-UA" w:eastAsia="en-US"/>
        </w:rPr>
        <w:t>R., Raoudha</w:t>
      </w:r>
      <w:r w:rsidRPr="002E6ECA">
        <w:rPr>
          <w:sz w:val="28"/>
          <w:szCs w:val="28"/>
          <w:lang w:val="uk-UA"/>
        </w:rPr>
        <w:t> </w:t>
      </w:r>
      <w:r w:rsidRPr="002E6ECA">
        <w:rPr>
          <w:rFonts w:eastAsiaTheme="minorHAnsi"/>
          <w:sz w:val="28"/>
          <w:szCs w:val="28"/>
          <w:lang w:val="uk-UA" w:eastAsia="en-US"/>
        </w:rPr>
        <w:t>K., Lamia</w:t>
      </w:r>
      <w:r w:rsidRPr="002E6ECA">
        <w:rPr>
          <w:sz w:val="28"/>
          <w:szCs w:val="28"/>
          <w:lang w:val="uk-UA"/>
        </w:rPr>
        <w:t> </w:t>
      </w:r>
      <w:r w:rsidRPr="002E6ECA">
        <w:rPr>
          <w:rFonts w:eastAsiaTheme="minorHAnsi"/>
          <w:sz w:val="28"/>
          <w:szCs w:val="28"/>
          <w:lang w:val="uk-UA" w:eastAsia="en-US"/>
        </w:rPr>
        <w:t>B., Mustafa</w:t>
      </w:r>
      <w:r w:rsidRPr="002E6ECA">
        <w:rPr>
          <w:sz w:val="28"/>
          <w:szCs w:val="28"/>
          <w:lang w:val="uk-UA"/>
        </w:rPr>
        <w:t> </w:t>
      </w:r>
      <w:r w:rsidRPr="002E6ECA">
        <w:rPr>
          <w:rFonts w:eastAsiaTheme="minorHAnsi"/>
          <w:sz w:val="28"/>
          <w:szCs w:val="28"/>
          <w:lang w:val="uk-UA" w:eastAsia="en-US"/>
        </w:rPr>
        <w:t>A., Harry</w:t>
      </w:r>
      <w:r w:rsidRPr="002E6ECA">
        <w:rPr>
          <w:sz w:val="28"/>
          <w:szCs w:val="28"/>
          <w:lang w:val="uk-UA"/>
        </w:rPr>
        <w:t> </w:t>
      </w:r>
      <w:r w:rsidRPr="002E6ECA">
        <w:rPr>
          <w:rFonts w:eastAsiaTheme="minorHAnsi"/>
          <w:sz w:val="28"/>
          <w:szCs w:val="28"/>
          <w:lang w:val="uk-UA" w:eastAsia="en-US"/>
        </w:rPr>
        <w:t>L., Ghannem</w:t>
      </w:r>
      <w:r w:rsidRPr="002E6ECA">
        <w:rPr>
          <w:sz w:val="28"/>
          <w:szCs w:val="28"/>
          <w:lang w:val="uk-UA"/>
        </w:rPr>
        <w:t> </w:t>
      </w:r>
      <w:r w:rsidRPr="002E6ECA">
        <w:rPr>
          <w:rFonts w:eastAsiaTheme="minorHAnsi"/>
          <w:sz w:val="28"/>
          <w:szCs w:val="28"/>
          <w:lang w:val="uk-UA" w:eastAsia="en-US"/>
        </w:rPr>
        <w:t xml:space="preserve">H. Sustainability of the results of a non communicable diseases prevention program among youth in the region of Sousse, Tunisia. Int </w:t>
      </w:r>
      <w:r w:rsidRPr="002E6ECA">
        <w:rPr>
          <w:rFonts w:eastAsiaTheme="minorHAnsi"/>
          <w:i/>
          <w:sz w:val="28"/>
          <w:szCs w:val="28"/>
          <w:lang w:val="uk-UA" w:eastAsia="en-US"/>
        </w:rPr>
        <w:t>J Adolesc Med Health</w:t>
      </w:r>
      <w:r w:rsidRPr="002E6ECA">
        <w:rPr>
          <w:rFonts w:eastAsiaTheme="minorHAnsi"/>
          <w:sz w:val="28"/>
          <w:szCs w:val="28"/>
          <w:lang w:val="uk-UA" w:eastAsia="en-US"/>
        </w:rPr>
        <w:t xml:space="preserve">. 2016. Oct 12. Vol. 30 (4). /j/ijamh.2018.30.issue-4/ijamh-2016-0065/ijamh-2016-0065.xml. doi: 10.1515/ijamh-2016-0065. </w:t>
      </w:r>
    </w:p>
    <w:p w:rsidR="00020FED" w:rsidRPr="002E6ECA" w:rsidRDefault="004F7283" w:rsidP="00020FED">
      <w:pPr>
        <w:numPr>
          <w:ilvl w:val="0"/>
          <w:numId w:val="72"/>
        </w:numPr>
        <w:spacing w:line="336" w:lineRule="auto"/>
        <w:ind w:left="0" w:firstLine="709"/>
        <w:contextualSpacing/>
        <w:jc w:val="both"/>
        <w:rPr>
          <w:rFonts w:eastAsiaTheme="minorHAnsi"/>
          <w:sz w:val="28"/>
          <w:szCs w:val="28"/>
          <w:lang w:val="uk-UA" w:eastAsia="en-US"/>
        </w:rPr>
      </w:pPr>
      <w:hyperlink r:id="rId544" w:history="1">
        <w:r w:rsidR="00020FED" w:rsidRPr="002E6ECA">
          <w:rPr>
            <w:rFonts w:eastAsiaTheme="minorHAnsi"/>
            <w:sz w:val="28"/>
            <w:szCs w:val="28"/>
            <w:lang w:val="uk-UA" w:eastAsia="en-US"/>
          </w:rPr>
          <w:t>Zayed</w:t>
        </w:r>
      </w:hyperlink>
      <w:r w:rsidR="00020FED" w:rsidRPr="002E6ECA">
        <w:rPr>
          <w:sz w:val="28"/>
          <w:szCs w:val="28"/>
          <w:lang w:val="uk-UA"/>
        </w:rPr>
        <w:t> </w:t>
      </w:r>
      <w:r w:rsidR="00020FED" w:rsidRPr="002E6ECA">
        <w:rPr>
          <w:rFonts w:eastAsiaTheme="minorHAnsi"/>
          <w:sz w:val="28"/>
          <w:szCs w:val="28"/>
          <w:lang w:val="uk-UA" w:eastAsia="en-US"/>
        </w:rPr>
        <w:t>K.,</w:t>
      </w:r>
      <w:hyperlink r:id="rId545" w:history="1">
        <w:r w:rsidR="00020FED" w:rsidRPr="002E6ECA">
          <w:rPr>
            <w:rFonts w:eastAsiaTheme="minorHAnsi"/>
            <w:sz w:val="28"/>
            <w:szCs w:val="28"/>
            <w:lang w:val="uk-UA" w:eastAsia="en-US"/>
          </w:rPr>
          <w:t xml:space="preserve"> Jansen</w:t>
        </w:r>
      </w:hyperlink>
      <w:r w:rsidR="00020FED" w:rsidRPr="002E6ECA">
        <w:rPr>
          <w:sz w:val="28"/>
          <w:szCs w:val="28"/>
          <w:lang w:val="uk-UA"/>
        </w:rPr>
        <w:t> </w:t>
      </w:r>
      <w:r w:rsidR="00020FED" w:rsidRPr="002E6ECA">
        <w:rPr>
          <w:rFonts w:eastAsiaTheme="minorHAnsi"/>
          <w:sz w:val="28"/>
          <w:szCs w:val="28"/>
          <w:lang w:val="uk-UA" w:eastAsia="en-US"/>
        </w:rPr>
        <w:t xml:space="preserve">P. Gender differences and the relationship of motor, cognitive and academic achievement in Omani primary school-aged children. </w:t>
      </w:r>
      <w:r w:rsidR="00020FED" w:rsidRPr="002E6ECA">
        <w:rPr>
          <w:rFonts w:eastAsiaTheme="minorHAnsi"/>
          <w:i/>
          <w:sz w:val="28"/>
          <w:szCs w:val="28"/>
          <w:lang w:val="uk-UA" w:eastAsia="en-US"/>
        </w:rPr>
        <w:t>Front Psychol</w:t>
      </w:r>
      <w:r w:rsidR="00020FED" w:rsidRPr="002E6ECA">
        <w:rPr>
          <w:rFonts w:eastAsiaTheme="minorHAnsi"/>
          <w:sz w:val="28"/>
          <w:szCs w:val="28"/>
          <w:lang w:val="uk-UA" w:eastAsia="en-US"/>
        </w:rPr>
        <w:t xml:space="preserve">. 2018. Vol. 9. 2477. doi: 10.3389/fpsyg.2018.02477. </w:t>
      </w:r>
    </w:p>
    <w:p w:rsidR="00020FED" w:rsidRPr="002E6ECA" w:rsidRDefault="004F7283" w:rsidP="00020FED">
      <w:pPr>
        <w:numPr>
          <w:ilvl w:val="0"/>
          <w:numId w:val="72"/>
        </w:numPr>
        <w:spacing w:line="336" w:lineRule="auto"/>
        <w:ind w:left="0" w:firstLine="709"/>
        <w:contextualSpacing/>
        <w:jc w:val="both"/>
        <w:rPr>
          <w:rFonts w:eastAsiaTheme="minorHAnsi"/>
          <w:sz w:val="28"/>
          <w:szCs w:val="28"/>
          <w:lang w:val="uk-UA" w:eastAsia="en-US"/>
        </w:rPr>
      </w:pPr>
      <w:hyperlink r:id="rId546" w:history="1">
        <w:r w:rsidR="00020FED" w:rsidRPr="002E6ECA">
          <w:rPr>
            <w:rFonts w:eastAsiaTheme="minorHAnsi"/>
            <w:sz w:val="28"/>
            <w:szCs w:val="28"/>
            <w:lang w:val="uk-UA" w:eastAsia="en-US"/>
          </w:rPr>
          <w:t>Zhang</w:t>
        </w:r>
        <w:r w:rsidR="00020FED" w:rsidRPr="002E6ECA">
          <w:rPr>
            <w:sz w:val="28"/>
            <w:szCs w:val="28"/>
            <w:lang w:val="uk-UA"/>
          </w:rPr>
          <w:t> </w:t>
        </w:r>
        <w:r w:rsidR="00020FED" w:rsidRPr="002E6ECA">
          <w:rPr>
            <w:rFonts w:eastAsiaTheme="minorHAnsi"/>
            <w:sz w:val="28"/>
            <w:szCs w:val="28"/>
            <w:lang w:val="uk-UA" w:eastAsia="en-US"/>
          </w:rPr>
          <w:t>Y</w:t>
        </w:r>
      </w:hyperlink>
      <w:r w:rsidR="00020FED" w:rsidRPr="002E6ECA">
        <w:rPr>
          <w:rFonts w:eastAsiaTheme="minorHAnsi"/>
          <w:sz w:val="28"/>
          <w:szCs w:val="28"/>
          <w:lang w:val="uk-UA" w:eastAsia="en-US"/>
        </w:rPr>
        <w:t xml:space="preserve">., </w:t>
      </w:r>
      <w:hyperlink r:id="rId547" w:history="1">
        <w:r w:rsidR="00020FED" w:rsidRPr="002E6ECA">
          <w:rPr>
            <w:rFonts w:eastAsiaTheme="minorHAnsi"/>
            <w:sz w:val="28"/>
            <w:szCs w:val="28"/>
            <w:lang w:val="uk-UA" w:eastAsia="en-US"/>
          </w:rPr>
          <w:t>Wang</w:t>
        </w:r>
        <w:r w:rsidR="00020FED" w:rsidRPr="002E6ECA">
          <w:rPr>
            <w:sz w:val="28"/>
            <w:szCs w:val="28"/>
            <w:lang w:val="uk-UA"/>
          </w:rPr>
          <w:t> </w:t>
        </w:r>
        <w:r w:rsidR="00020FED" w:rsidRPr="002E6ECA">
          <w:rPr>
            <w:rFonts w:eastAsiaTheme="minorHAnsi"/>
            <w:sz w:val="28"/>
            <w:szCs w:val="28"/>
            <w:lang w:val="uk-UA" w:eastAsia="en-US"/>
          </w:rPr>
          <w:t>H</w:t>
        </w:r>
      </w:hyperlink>
      <w:r w:rsidR="00020FED" w:rsidRPr="002E6ECA">
        <w:rPr>
          <w:rFonts w:eastAsiaTheme="minorHAnsi"/>
          <w:sz w:val="28"/>
          <w:szCs w:val="28"/>
          <w:lang w:val="uk-UA" w:eastAsia="en-US"/>
        </w:rPr>
        <w:t xml:space="preserve">., </w:t>
      </w:r>
      <w:hyperlink r:id="rId548" w:history="1">
        <w:r w:rsidR="00020FED" w:rsidRPr="002E6ECA">
          <w:rPr>
            <w:rFonts w:eastAsiaTheme="minorHAnsi"/>
            <w:sz w:val="28"/>
            <w:szCs w:val="28"/>
            <w:lang w:val="uk-UA" w:eastAsia="en-US"/>
          </w:rPr>
          <w:t>Wang</w:t>
        </w:r>
        <w:r w:rsidR="00020FED" w:rsidRPr="002E6ECA">
          <w:rPr>
            <w:sz w:val="28"/>
            <w:szCs w:val="28"/>
            <w:lang w:val="uk-UA"/>
          </w:rPr>
          <w:t> </w:t>
        </w:r>
        <w:r w:rsidR="00020FED" w:rsidRPr="002E6ECA">
          <w:rPr>
            <w:rFonts w:eastAsiaTheme="minorHAnsi"/>
            <w:sz w:val="28"/>
            <w:szCs w:val="28"/>
            <w:lang w:val="uk-UA" w:eastAsia="en-US"/>
          </w:rPr>
          <w:t>X</w:t>
        </w:r>
      </w:hyperlink>
      <w:r w:rsidR="00020FED" w:rsidRPr="002E6ECA">
        <w:rPr>
          <w:rFonts w:eastAsiaTheme="minorHAnsi"/>
          <w:sz w:val="28"/>
          <w:szCs w:val="28"/>
          <w:lang w:val="uk-UA" w:eastAsia="en-US"/>
        </w:rPr>
        <w:t xml:space="preserve">., </w:t>
      </w:r>
      <w:hyperlink r:id="rId549" w:history="1">
        <w:r w:rsidR="00020FED" w:rsidRPr="002E6ECA">
          <w:rPr>
            <w:rFonts w:eastAsiaTheme="minorHAnsi"/>
            <w:sz w:val="28"/>
            <w:szCs w:val="28"/>
            <w:lang w:val="uk-UA" w:eastAsia="en-US"/>
          </w:rPr>
          <w:t>Liu</w:t>
        </w:r>
        <w:r w:rsidR="00020FED" w:rsidRPr="002E6ECA">
          <w:rPr>
            <w:sz w:val="28"/>
            <w:szCs w:val="28"/>
            <w:lang w:val="uk-UA"/>
          </w:rPr>
          <w:t> </w:t>
        </w:r>
        <w:r w:rsidR="00020FED" w:rsidRPr="002E6ECA">
          <w:rPr>
            <w:rFonts w:eastAsiaTheme="minorHAnsi"/>
            <w:sz w:val="28"/>
            <w:szCs w:val="28"/>
            <w:lang w:val="uk-UA" w:eastAsia="en-US"/>
          </w:rPr>
          <w:t>M</w:t>
        </w:r>
      </w:hyperlink>
      <w:r w:rsidR="00020FED" w:rsidRPr="002E6ECA">
        <w:rPr>
          <w:rFonts w:eastAsiaTheme="minorHAnsi"/>
          <w:sz w:val="28"/>
          <w:szCs w:val="28"/>
          <w:lang w:val="uk-UA" w:eastAsia="en-US"/>
        </w:rPr>
        <w:t xml:space="preserve">., </w:t>
      </w:r>
      <w:hyperlink r:id="rId550" w:history="1">
        <w:r w:rsidR="00020FED" w:rsidRPr="002E6ECA">
          <w:rPr>
            <w:rFonts w:eastAsiaTheme="minorHAnsi"/>
            <w:sz w:val="28"/>
            <w:szCs w:val="28"/>
            <w:lang w:val="uk-UA" w:eastAsia="en-US"/>
          </w:rPr>
          <w:t>Wang</w:t>
        </w:r>
        <w:r w:rsidR="00020FED" w:rsidRPr="002E6ECA">
          <w:rPr>
            <w:sz w:val="28"/>
            <w:szCs w:val="28"/>
            <w:lang w:val="uk-UA"/>
          </w:rPr>
          <w:t> </w:t>
        </w:r>
        <w:r w:rsidR="00020FED" w:rsidRPr="002E6ECA">
          <w:rPr>
            <w:rFonts w:eastAsiaTheme="minorHAnsi"/>
            <w:sz w:val="28"/>
            <w:szCs w:val="28"/>
            <w:lang w:val="uk-UA" w:eastAsia="en-US"/>
          </w:rPr>
          <w:t>Y</w:t>
        </w:r>
      </w:hyperlink>
      <w:r w:rsidR="00020FED" w:rsidRPr="002E6ECA">
        <w:rPr>
          <w:rFonts w:eastAsiaTheme="minorHAnsi"/>
          <w:sz w:val="28"/>
          <w:szCs w:val="28"/>
          <w:lang w:val="uk-UA" w:eastAsia="en-US"/>
        </w:rPr>
        <w:t xml:space="preserve">., </w:t>
      </w:r>
      <w:hyperlink r:id="rId551" w:history="1">
        <w:r w:rsidR="00020FED" w:rsidRPr="002E6ECA">
          <w:rPr>
            <w:rFonts w:eastAsiaTheme="minorHAnsi"/>
            <w:sz w:val="28"/>
            <w:szCs w:val="28"/>
            <w:lang w:val="uk-UA" w:eastAsia="en-US"/>
          </w:rPr>
          <w:t>Wang</w:t>
        </w:r>
        <w:r w:rsidR="00020FED" w:rsidRPr="002E6ECA">
          <w:rPr>
            <w:sz w:val="28"/>
            <w:szCs w:val="28"/>
            <w:lang w:val="uk-UA"/>
          </w:rPr>
          <w:t> </w:t>
        </w:r>
        <w:r w:rsidR="00020FED" w:rsidRPr="002E6ECA">
          <w:rPr>
            <w:rFonts w:eastAsiaTheme="minorHAnsi"/>
            <w:sz w:val="28"/>
            <w:szCs w:val="28"/>
            <w:lang w:val="uk-UA" w:eastAsia="en-US"/>
          </w:rPr>
          <w:t>Y</w:t>
        </w:r>
      </w:hyperlink>
      <w:r w:rsidR="00020FED" w:rsidRPr="002E6ECA">
        <w:rPr>
          <w:rFonts w:eastAsiaTheme="minorHAnsi"/>
          <w:sz w:val="28"/>
          <w:szCs w:val="28"/>
          <w:lang w:val="uk-UA" w:eastAsia="en-US"/>
        </w:rPr>
        <w:t xml:space="preserve">., </w:t>
      </w:r>
      <w:hyperlink r:id="rId552" w:history="1">
        <w:r w:rsidR="00020FED" w:rsidRPr="002E6ECA">
          <w:rPr>
            <w:rFonts w:eastAsiaTheme="minorHAnsi"/>
            <w:sz w:val="28"/>
            <w:szCs w:val="28"/>
            <w:lang w:val="uk-UA" w:eastAsia="en-US"/>
          </w:rPr>
          <w:t>Zhou</w:t>
        </w:r>
        <w:r w:rsidR="00020FED" w:rsidRPr="002E6ECA">
          <w:rPr>
            <w:sz w:val="28"/>
            <w:szCs w:val="28"/>
            <w:lang w:val="uk-UA"/>
          </w:rPr>
          <w:t> </w:t>
        </w:r>
        <w:r w:rsidR="00020FED" w:rsidRPr="002E6ECA">
          <w:rPr>
            <w:rFonts w:eastAsiaTheme="minorHAnsi"/>
            <w:sz w:val="28"/>
            <w:szCs w:val="28"/>
            <w:lang w:val="uk-UA" w:eastAsia="en-US"/>
          </w:rPr>
          <w:t>H</w:t>
        </w:r>
      </w:hyperlink>
      <w:r w:rsidR="00020FED" w:rsidRPr="002E6ECA">
        <w:rPr>
          <w:rFonts w:eastAsiaTheme="minorHAnsi"/>
          <w:sz w:val="28"/>
          <w:szCs w:val="28"/>
          <w:lang w:val="uk-UA" w:eastAsia="en-US"/>
        </w:rPr>
        <w:t xml:space="preserve">. The association between urbanization and child height: a multilevel study in China. </w:t>
      </w:r>
      <w:hyperlink r:id="rId553" w:tooltip="BMC public health." w:history="1">
        <w:r w:rsidR="00020FED" w:rsidRPr="002E6ECA">
          <w:rPr>
            <w:rFonts w:eastAsiaTheme="minorHAnsi"/>
            <w:i/>
            <w:sz w:val="28"/>
            <w:szCs w:val="28"/>
            <w:lang w:val="uk-UA" w:eastAsia="en-US"/>
          </w:rPr>
          <w:t>BMC Public Health</w:t>
        </w:r>
        <w:r w:rsidR="00020FED" w:rsidRPr="002E6ECA">
          <w:rPr>
            <w:rFonts w:eastAsiaTheme="minorHAnsi"/>
            <w:sz w:val="28"/>
            <w:szCs w:val="28"/>
            <w:lang w:val="uk-UA" w:eastAsia="en-US"/>
          </w:rPr>
          <w:t>.</w:t>
        </w:r>
      </w:hyperlink>
      <w:r w:rsidR="00020FED" w:rsidRPr="002E6ECA">
        <w:rPr>
          <w:rFonts w:eastAsiaTheme="minorHAnsi"/>
          <w:sz w:val="28"/>
          <w:szCs w:val="28"/>
          <w:lang w:val="uk-UA" w:eastAsia="en-US"/>
        </w:rPr>
        <w:t xml:space="preserve"> 2019. Vol. 19 (1). 569. doi: 10.1186/s12889-019-6921-z. </w:t>
      </w:r>
    </w:p>
    <w:p w:rsidR="00020FED" w:rsidRPr="002E6ECA" w:rsidRDefault="00020FED" w:rsidP="00020FED">
      <w:pPr>
        <w:numPr>
          <w:ilvl w:val="0"/>
          <w:numId w:val="72"/>
        </w:numPr>
        <w:spacing w:line="336" w:lineRule="auto"/>
        <w:ind w:left="0" w:firstLine="709"/>
        <w:contextualSpacing/>
        <w:jc w:val="both"/>
        <w:rPr>
          <w:rFonts w:eastAsiaTheme="minorHAnsi"/>
          <w:sz w:val="28"/>
          <w:szCs w:val="28"/>
          <w:lang w:val="uk-UA" w:eastAsia="en-US"/>
        </w:rPr>
      </w:pPr>
      <w:r w:rsidRPr="002E6ECA">
        <w:rPr>
          <w:rFonts w:eastAsiaTheme="minorHAnsi"/>
          <w:sz w:val="28"/>
          <w:szCs w:val="28"/>
          <w:lang w:val="uk-UA" w:eastAsia="en-US"/>
        </w:rPr>
        <w:t>Zurita-Corvalan</w:t>
      </w:r>
      <w:r w:rsidRPr="002E6ECA">
        <w:rPr>
          <w:sz w:val="28"/>
          <w:szCs w:val="28"/>
          <w:lang w:val="uk-UA"/>
        </w:rPr>
        <w:t> </w:t>
      </w:r>
      <w:r w:rsidRPr="002E6ECA">
        <w:rPr>
          <w:rFonts w:eastAsiaTheme="minorHAnsi"/>
          <w:sz w:val="28"/>
          <w:szCs w:val="28"/>
          <w:lang w:val="uk-UA" w:eastAsia="en-US"/>
        </w:rPr>
        <w:t>N., Nanjari</w:t>
      </w:r>
      <w:r w:rsidRPr="002E6ECA">
        <w:rPr>
          <w:sz w:val="28"/>
          <w:szCs w:val="28"/>
          <w:lang w:val="uk-UA"/>
        </w:rPr>
        <w:t> </w:t>
      </w:r>
      <w:r w:rsidRPr="002E6ECA">
        <w:rPr>
          <w:rFonts w:eastAsiaTheme="minorHAnsi"/>
          <w:sz w:val="28"/>
          <w:szCs w:val="28"/>
          <w:lang w:val="uk-UA" w:eastAsia="en-US"/>
        </w:rPr>
        <w:t>R., Fernández-Cueto</w:t>
      </w:r>
      <w:r w:rsidRPr="002E6ECA">
        <w:rPr>
          <w:sz w:val="28"/>
          <w:szCs w:val="28"/>
          <w:lang w:val="uk-UA"/>
        </w:rPr>
        <w:t> </w:t>
      </w:r>
      <w:r w:rsidRPr="002E6ECA">
        <w:rPr>
          <w:rFonts w:eastAsiaTheme="minorHAnsi"/>
          <w:sz w:val="28"/>
          <w:szCs w:val="28"/>
          <w:lang w:val="uk-UA" w:eastAsia="en-US"/>
        </w:rPr>
        <w:t>N., Cid-Arnes</w:t>
      </w:r>
      <w:r w:rsidRPr="002E6ECA">
        <w:rPr>
          <w:sz w:val="28"/>
          <w:szCs w:val="28"/>
          <w:lang w:val="uk-UA"/>
        </w:rPr>
        <w:t> </w:t>
      </w:r>
      <w:r w:rsidRPr="002E6ECA">
        <w:rPr>
          <w:rFonts w:eastAsiaTheme="minorHAnsi"/>
          <w:sz w:val="28"/>
          <w:szCs w:val="28"/>
          <w:lang w:val="uk-UA" w:eastAsia="en-US"/>
        </w:rPr>
        <w:t>M.</w:t>
      </w:r>
      <w:r w:rsidRPr="002E6ECA">
        <w:rPr>
          <w:sz w:val="28"/>
          <w:szCs w:val="28"/>
          <w:lang w:val="uk-UA"/>
        </w:rPr>
        <w:t xml:space="preserve">  </w:t>
      </w:r>
      <w:r w:rsidRPr="002E6ECA">
        <w:rPr>
          <w:rFonts w:eastAsiaTheme="minorHAnsi"/>
          <w:sz w:val="28"/>
          <w:szCs w:val="28"/>
          <w:lang w:val="uk-UA" w:eastAsia="en-US"/>
        </w:rPr>
        <w:t>P., Huber-Pérez</w:t>
      </w:r>
      <w:r w:rsidRPr="002E6ECA">
        <w:rPr>
          <w:sz w:val="28"/>
          <w:szCs w:val="28"/>
          <w:lang w:val="uk-UA"/>
        </w:rPr>
        <w:t> </w:t>
      </w:r>
      <w:r w:rsidRPr="002E6ECA">
        <w:rPr>
          <w:rFonts w:eastAsiaTheme="minorHAnsi"/>
          <w:sz w:val="28"/>
          <w:szCs w:val="28"/>
          <w:lang w:val="uk-UA" w:eastAsia="en-US"/>
        </w:rPr>
        <w:t>T., Solis-Urra</w:t>
      </w:r>
      <w:r w:rsidRPr="002E6ECA">
        <w:rPr>
          <w:sz w:val="28"/>
          <w:szCs w:val="28"/>
          <w:lang w:val="uk-UA"/>
        </w:rPr>
        <w:t> </w:t>
      </w:r>
      <w:r w:rsidRPr="002E6ECA">
        <w:rPr>
          <w:rFonts w:eastAsiaTheme="minorHAnsi"/>
          <w:sz w:val="28"/>
          <w:szCs w:val="28"/>
          <w:lang w:val="uk-UA" w:eastAsia="en-US"/>
        </w:rPr>
        <w:t>P., Cristi-Montero</w:t>
      </w:r>
      <w:r w:rsidRPr="002E6ECA">
        <w:rPr>
          <w:sz w:val="28"/>
          <w:szCs w:val="28"/>
          <w:lang w:val="uk-UA"/>
        </w:rPr>
        <w:t> </w:t>
      </w:r>
      <w:r w:rsidRPr="002E6ECA">
        <w:rPr>
          <w:rFonts w:eastAsiaTheme="minorHAnsi"/>
          <w:sz w:val="28"/>
          <w:szCs w:val="28"/>
          <w:lang w:val="uk-UA" w:eastAsia="en-US"/>
        </w:rPr>
        <w:t xml:space="preserve">C. Effect of "Super 8 Law" implementation on body composition of schoolchildren during the National Holidays in Chile. Longitudinal-ecological study. </w:t>
      </w:r>
      <w:r w:rsidRPr="002E6ECA">
        <w:rPr>
          <w:rFonts w:eastAsiaTheme="minorHAnsi"/>
          <w:i/>
          <w:sz w:val="28"/>
          <w:szCs w:val="28"/>
          <w:lang w:val="uk-UA" w:eastAsia="en-US"/>
        </w:rPr>
        <w:t>Nutr Hosp</w:t>
      </w:r>
      <w:r w:rsidRPr="002E6ECA">
        <w:rPr>
          <w:rFonts w:eastAsiaTheme="minorHAnsi"/>
          <w:sz w:val="28"/>
          <w:szCs w:val="28"/>
          <w:lang w:val="uk-UA" w:eastAsia="en-US"/>
        </w:rPr>
        <w:t xml:space="preserve">. 2018. Jun 6. Vol. 35 (4). Р. 881-887. doi: 10.20960/nh.1535. </w:t>
      </w:r>
    </w:p>
    <w:p w:rsidR="00020FED" w:rsidRPr="002E6ECA" w:rsidRDefault="00020FED" w:rsidP="00020FED">
      <w:pPr>
        <w:spacing w:line="360" w:lineRule="auto"/>
        <w:contextualSpacing/>
        <w:jc w:val="both"/>
        <w:rPr>
          <w:sz w:val="28"/>
          <w:szCs w:val="28"/>
          <w:lang w:val="en-US"/>
        </w:rPr>
      </w:pPr>
    </w:p>
    <w:p w:rsidR="001A0E08" w:rsidRPr="002E6ECA" w:rsidRDefault="00917BD4" w:rsidP="00BF5712">
      <w:pPr>
        <w:spacing w:line="312" w:lineRule="auto"/>
        <w:contextualSpacing/>
        <w:jc w:val="right"/>
        <w:rPr>
          <w:b/>
          <w:bCs/>
          <w:sz w:val="28"/>
          <w:szCs w:val="28"/>
          <w:lang w:val="uk-UA"/>
        </w:rPr>
      </w:pPr>
      <w:r w:rsidRPr="002E6ECA">
        <w:rPr>
          <w:sz w:val="28"/>
          <w:szCs w:val="28"/>
          <w:lang w:val="uk-UA"/>
        </w:rPr>
        <w:br w:type="page"/>
      </w:r>
      <w:r w:rsidR="000D7326" w:rsidRPr="002E6ECA">
        <w:rPr>
          <w:b/>
          <w:bCs/>
          <w:sz w:val="28"/>
          <w:szCs w:val="28"/>
          <w:lang w:val="uk-UA"/>
        </w:rPr>
        <w:lastRenderedPageBreak/>
        <w:t>Додаток</w:t>
      </w:r>
      <w:r w:rsidR="00D46B1B" w:rsidRPr="002E6ECA">
        <w:rPr>
          <w:b/>
          <w:bCs/>
          <w:sz w:val="28"/>
          <w:szCs w:val="28"/>
          <w:lang w:val="uk-UA"/>
        </w:rPr>
        <w:t xml:space="preserve"> </w:t>
      </w:r>
      <w:r w:rsidR="000D7326" w:rsidRPr="002E6ECA">
        <w:rPr>
          <w:b/>
          <w:bCs/>
          <w:sz w:val="28"/>
          <w:szCs w:val="28"/>
          <w:lang w:val="uk-UA"/>
        </w:rPr>
        <w:t>А</w:t>
      </w:r>
    </w:p>
    <w:p w:rsidR="00A110CD" w:rsidRPr="002E6ECA" w:rsidRDefault="00A110CD" w:rsidP="00A110CD">
      <w:pPr>
        <w:tabs>
          <w:tab w:val="left" w:pos="1134"/>
        </w:tabs>
        <w:spacing w:line="360" w:lineRule="auto"/>
        <w:ind w:firstLine="709"/>
        <w:jc w:val="both"/>
        <w:rPr>
          <w:b/>
          <w:bCs/>
          <w:sz w:val="28"/>
          <w:szCs w:val="28"/>
        </w:rPr>
      </w:pPr>
      <w:r w:rsidRPr="002E6ECA">
        <w:rPr>
          <w:b/>
          <w:bCs/>
          <w:sz w:val="28"/>
          <w:szCs w:val="28"/>
        </w:rPr>
        <w:t>СПИСОК ОПУБЛІКОВАНИХ ПРАЦЬ ЗА ТЕМОЮ ДИСЕРТАЦІЇ</w:t>
      </w:r>
    </w:p>
    <w:p w:rsidR="00A110CD" w:rsidRPr="002E6ECA" w:rsidRDefault="00A110CD" w:rsidP="00A110CD">
      <w:pPr>
        <w:tabs>
          <w:tab w:val="left" w:pos="993"/>
        </w:tabs>
        <w:spacing w:line="360" w:lineRule="auto"/>
        <w:ind w:firstLine="567"/>
        <w:jc w:val="center"/>
        <w:rPr>
          <w:i/>
          <w:sz w:val="28"/>
          <w:szCs w:val="28"/>
        </w:rPr>
      </w:pPr>
      <w:r w:rsidRPr="002E6ECA">
        <w:rPr>
          <w:i/>
          <w:sz w:val="28"/>
          <w:szCs w:val="28"/>
        </w:rPr>
        <w:t>Наукові праці в яких висвітлено основні результати  дослідження</w:t>
      </w:r>
    </w:p>
    <w:p w:rsidR="00090685" w:rsidRPr="002E6ECA" w:rsidRDefault="00090685" w:rsidP="009D6F94">
      <w:pPr>
        <w:pStyle w:val="a3"/>
        <w:numPr>
          <w:ilvl w:val="0"/>
          <w:numId w:val="74"/>
        </w:numPr>
        <w:tabs>
          <w:tab w:val="left" w:pos="993"/>
        </w:tabs>
        <w:spacing w:line="360" w:lineRule="auto"/>
        <w:ind w:left="0" w:firstLine="709"/>
        <w:jc w:val="both"/>
        <w:rPr>
          <w:rStyle w:val="aa"/>
          <w:i w:val="0"/>
          <w:iCs w:val="0"/>
          <w:sz w:val="28"/>
          <w:szCs w:val="28"/>
          <w:lang w:val="uk-UA"/>
        </w:rPr>
      </w:pPr>
      <w:r w:rsidRPr="002E6ECA">
        <w:rPr>
          <w:sz w:val="28"/>
          <w:szCs w:val="28"/>
          <w:lang w:val="uk-UA"/>
        </w:rPr>
        <w:t xml:space="preserve">Сотнікова-Мелешкіна Ж. В., Авдієвська О. Г., Ісаєва Я. А. Характеристика харчового статусу учнівської молоді в системі профілактики неінфекційних захворювань. </w:t>
      </w:r>
      <w:r w:rsidRPr="002E6ECA">
        <w:rPr>
          <w:i/>
          <w:sz w:val="28"/>
          <w:szCs w:val="28"/>
          <w:lang w:val="uk-UA"/>
        </w:rPr>
        <w:t>Проблеми безперервної медичної освіти та науки</w:t>
      </w:r>
      <w:r w:rsidRPr="002E6ECA">
        <w:rPr>
          <w:sz w:val="28"/>
          <w:szCs w:val="28"/>
          <w:lang w:val="uk-UA"/>
        </w:rPr>
        <w:t>. 2018. № 4 (32). С. 27-31. (</w:t>
      </w:r>
      <w:r w:rsidRPr="002E6ECA">
        <w:rPr>
          <w:i/>
          <w:sz w:val="28"/>
          <w:szCs w:val="28"/>
          <w:lang w:val="uk-UA"/>
        </w:rPr>
        <w:t>Концепція та дизайн роботи, проведення дослідження, написання статті, формування висновків).</w:t>
      </w:r>
    </w:p>
    <w:p w:rsidR="00090685" w:rsidRPr="002E6ECA" w:rsidRDefault="00090685" w:rsidP="00090685">
      <w:pPr>
        <w:pStyle w:val="a3"/>
        <w:numPr>
          <w:ilvl w:val="0"/>
          <w:numId w:val="74"/>
        </w:numPr>
        <w:tabs>
          <w:tab w:val="left" w:pos="993"/>
        </w:tabs>
        <w:spacing w:line="360" w:lineRule="auto"/>
        <w:ind w:left="0" w:firstLine="709"/>
        <w:jc w:val="both"/>
        <w:rPr>
          <w:sz w:val="28"/>
          <w:szCs w:val="28"/>
          <w:lang w:val="uk-UA"/>
        </w:rPr>
      </w:pPr>
      <w:r w:rsidRPr="002E6ECA">
        <w:rPr>
          <w:sz w:val="28"/>
          <w:szCs w:val="28"/>
          <w:lang w:val="uk-UA"/>
        </w:rPr>
        <w:t xml:space="preserve">Авдієвська О. Г., Сотнікова-Мелешкіна Ж. В., Ісаєва Я. А. Вплив родини на формування харчового статусу студентської молоді, харчові звички майбутніх батьків. </w:t>
      </w:r>
      <w:r w:rsidRPr="002E6ECA">
        <w:rPr>
          <w:i/>
          <w:sz w:val="28"/>
          <w:szCs w:val="28"/>
          <w:lang w:val="uk-UA"/>
        </w:rPr>
        <w:t>Здоров’я дитини</w:t>
      </w:r>
      <w:r w:rsidRPr="002E6ECA">
        <w:rPr>
          <w:sz w:val="28"/>
          <w:szCs w:val="28"/>
          <w:lang w:val="uk-UA"/>
        </w:rPr>
        <w:t>. 2019. № 14(1). С. 88-94. (</w:t>
      </w:r>
      <w:r w:rsidRPr="002E6ECA">
        <w:rPr>
          <w:i/>
          <w:sz w:val="28"/>
          <w:szCs w:val="28"/>
          <w:lang w:val="uk-UA"/>
        </w:rPr>
        <w:t>Концепція та дизайн роботи, проведення дослідження, формування висновків).</w:t>
      </w:r>
    </w:p>
    <w:p w:rsidR="00090685" w:rsidRPr="002E6ECA" w:rsidRDefault="00090685" w:rsidP="00090685">
      <w:pPr>
        <w:pStyle w:val="a3"/>
        <w:numPr>
          <w:ilvl w:val="0"/>
          <w:numId w:val="74"/>
        </w:numPr>
        <w:tabs>
          <w:tab w:val="left" w:pos="993"/>
        </w:tabs>
        <w:spacing w:line="360" w:lineRule="auto"/>
        <w:ind w:left="0" w:firstLine="709"/>
        <w:jc w:val="both"/>
        <w:rPr>
          <w:rStyle w:val="aa"/>
          <w:iCs w:val="0"/>
          <w:sz w:val="28"/>
          <w:szCs w:val="28"/>
          <w:lang w:val="uk-UA"/>
        </w:rPr>
      </w:pPr>
      <w:r w:rsidRPr="002E6ECA">
        <w:rPr>
          <w:sz w:val="28"/>
          <w:szCs w:val="28"/>
          <w:lang w:val="uk-UA"/>
        </w:rPr>
        <w:t xml:space="preserve">Romanenko V., Iermakov S., Podrigalo L., Rovnaya O., Sotnikova-Meleshkina Z., Goloha V., Ruban L. Analysis of interrelations of psychophysiological and physiological indicators of martial arts athletes. </w:t>
      </w:r>
      <w:r w:rsidRPr="002E6ECA">
        <w:rPr>
          <w:i/>
          <w:sz w:val="28"/>
          <w:szCs w:val="28"/>
          <w:lang w:val="uk-UA"/>
        </w:rPr>
        <w:t>Baltic Journal of Health and Physical Activity</w:t>
      </w:r>
      <w:r w:rsidRPr="002E6ECA">
        <w:rPr>
          <w:sz w:val="28"/>
          <w:szCs w:val="28"/>
          <w:lang w:val="uk-UA"/>
        </w:rPr>
        <w:t xml:space="preserve">. 2019. Vol. 11(4). Р. 58-68. </w:t>
      </w:r>
      <w:r w:rsidRPr="002E6ECA">
        <w:rPr>
          <w:i/>
          <w:sz w:val="28"/>
          <w:szCs w:val="28"/>
          <w:lang w:val="uk-UA"/>
        </w:rPr>
        <w:t xml:space="preserve">(Дизайн дослідження, збір даних, підготовка рукопису). </w:t>
      </w:r>
    </w:p>
    <w:p w:rsidR="00090685" w:rsidRPr="002E6ECA" w:rsidRDefault="00090685" w:rsidP="00090685">
      <w:pPr>
        <w:pStyle w:val="a3"/>
        <w:numPr>
          <w:ilvl w:val="0"/>
          <w:numId w:val="74"/>
        </w:numPr>
        <w:tabs>
          <w:tab w:val="left" w:pos="993"/>
        </w:tabs>
        <w:spacing w:line="360" w:lineRule="auto"/>
        <w:ind w:left="0" w:firstLine="709"/>
        <w:jc w:val="both"/>
        <w:rPr>
          <w:rStyle w:val="aa"/>
          <w:i w:val="0"/>
          <w:iCs w:val="0"/>
          <w:sz w:val="28"/>
          <w:szCs w:val="28"/>
          <w:lang w:val="uk-UA"/>
        </w:rPr>
      </w:pPr>
      <w:r w:rsidRPr="002E6ECA">
        <w:rPr>
          <w:sz w:val="28"/>
          <w:szCs w:val="28"/>
          <w:lang w:val="uk-UA"/>
        </w:rPr>
        <w:t xml:space="preserve">Кашкалда Д. А., Косовцова А. В., Турчина С. И., Сухова Л. Л., Сотникова-Мелешкина Ж. В. Особенности процессов свободнорадикального окисления и антиоксидантной защиты у мальчиков-подростков с гипоандрогенией в зависимости от функционального состояния щитовидной железы. </w:t>
      </w:r>
      <w:r w:rsidRPr="002E6ECA">
        <w:rPr>
          <w:i/>
          <w:sz w:val="28"/>
          <w:szCs w:val="28"/>
          <w:lang w:val="uk-UA"/>
        </w:rPr>
        <w:t>Проблеми ендокринної патології</w:t>
      </w:r>
      <w:r w:rsidRPr="002E6ECA">
        <w:rPr>
          <w:sz w:val="28"/>
          <w:szCs w:val="28"/>
          <w:lang w:val="uk-UA"/>
        </w:rPr>
        <w:t>. 2020. № 1. С. 30-35. (</w:t>
      </w:r>
      <w:r w:rsidRPr="002E6ECA">
        <w:rPr>
          <w:i/>
          <w:sz w:val="28"/>
          <w:szCs w:val="28"/>
          <w:lang w:val="uk-UA"/>
        </w:rPr>
        <w:t xml:space="preserve">Аналіз джерел наукової літератури, збір та аналіз даних). </w:t>
      </w:r>
    </w:p>
    <w:p w:rsidR="00090685" w:rsidRPr="002E6ECA" w:rsidRDefault="00090685" w:rsidP="00090685">
      <w:pPr>
        <w:pStyle w:val="a3"/>
        <w:numPr>
          <w:ilvl w:val="0"/>
          <w:numId w:val="74"/>
        </w:numPr>
        <w:tabs>
          <w:tab w:val="left" w:pos="993"/>
        </w:tabs>
        <w:spacing w:line="360" w:lineRule="auto"/>
        <w:ind w:left="0" w:firstLine="709"/>
        <w:jc w:val="both"/>
        <w:rPr>
          <w:rStyle w:val="aa"/>
          <w:bCs/>
          <w:sz w:val="28"/>
          <w:szCs w:val="28"/>
          <w:lang w:val="uk-UA"/>
        </w:rPr>
      </w:pPr>
      <w:r w:rsidRPr="002E6ECA">
        <w:rPr>
          <w:sz w:val="28"/>
          <w:szCs w:val="28"/>
          <w:lang w:val="uk-UA"/>
        </w:rPr>
        <w:t xml:space="preserve">Danylenko H. M., Sotnikova-Meleshkina Z. V., Smiianov V. A. The impact of an educational institution on development of healthy lifestyle skills for prevention of obesity in </w:t>
      </w:r>
      <w:r w:rsidRPr="002E6ECA">
        <w:rPr>
          <w:spacing w:val="-2"/>
          <w:sz w:val="28"/>
          <w:szCs w:val="28"/>
          <w:lang w:val="uk-UA"/>
        </w:rPr>
        <w:t xml:space="preserve">adolescents. </w:t>
      </w:r>
      <w:r w:rsidRPr="002E6ECA">
        <w:rPr>
          <w:i/>
          <w:spacing w:val="-2"/>
          <w:sz w:val="28"/>
          <w:szCs w:val="28"/>
          <w:lang w:val="uk-UA"/>
        </w:rPr>
        <w:t>Wiadomości Lekarskie</w:t>
      </w:r>
      <w:r w:rsidRPr="002E6ECA">
        <w:rPr>
          <w:spacing w:val="-2"/>
          <w:sz w:val="28"/>
          <w:szCs w:val="28"/>
          <w:lang w:val="uk-UA"/>
        </w:rPr>
        <w:t>. 2020. Vol. 73(5). Р. 978-982. DOI: 10.36740/WLek202005126. https://pubmed.ncbi.nlm.nih.gov/32386380/.</w:t>
      </w:r>
      <w:r w:rsidRPr="002E6ECA">
        <w:rPr>
          <w:sz w:val="28"/>
          <w:szCs w:val="28"/>
          <w:lang w:val="uk-UA"/>
        </w:rPr>
        <w:t xml:space="preserve"> </w:t>
      </w:r>
      <w:r w:rsidRPr="002E6ECA">
        <w:rPr>
          <w:i/>
          <w:iCs/>
          <w:sz w:val="28"/>
          <w:szCs w:val="28"/>
          <w:lang w:val="uk-UA"/>
        </w:rPr>
        <w:t>(</w:t>
      </w:r>
      <w:r w:rsidRPr="002E6ECA">
        <w:rPr>
          <w:bCs/>
          <w:i/>
          <w:iCs/>
          <w:sz w:val="28"/>
          <w:szCs w:val="28"/>
          <w:lang w:val="uk-UA"/>
        </w:rPr>
        <w:t xml:space="preserve">Концепція та дизайн роботи, аналіз результатів, статистичний аналіз, написання статті, критичний огляд наукових джерел). </w:t>
      </w:r>
    </w:p>
    <w:p w:rsidR="00090685" w:rsidRPr="002E6ECA" w:rsidRDefault="00090685" w:rsidP="00090685">
      <w:pPr>
        <w:pStyle w:val="a3"/>
        <w:numPr>
          <w:ilvl w:val="0"/>
          <w:numId w:val="74"/>
        </w:numPr>
        <w:tabs>
          <w:tab w:val="left" w:pos="993"/>
        </w:tabs>
        <w:spacing w:line="360" w:lineRule="auto"/>
        <w:ind w:left="0" w:firstLine="709"/>
        <w:jc w:val="both"/>
        <w:rPr>
          <w:sz w:val="28"/>
          <w:szCs w:val="28"/>
          <w:lang w:val="uk-UA"/>
        </w:rPr>
      </w:pPr>
      <w:r w:rsidRPr="002E6ECA">
        <w:rPr>
          <w:bCs/>
          <w:iCs/>
          <w:sz w:val="28"/>
          <w:szCs w:val="28"/>
          <w:lang w:val="uk-UA"/>
        </w:rPr>
        <w:lastRenderedPageBreak/>
        <w:t>Martynenko</w:t>
      </w:r>
      <w:r w:rsidRPr="002E6ECA">
        <w:rPr>
          <w:sz w:val="28"/>
          <w:szCs w:val="28"/>
          <w:lang w:val="uk-UA"/>
        </w:rPr>
        <w:t> </w:t>
      </w:r>
      <w:r w:rsidRPr="002E6ECA">
        <w:rPr>
          <w:bCs/>
          <w:iCs/>
          <w:sz w:val="28"/>
          <w:szCs w:val="28"/>
          <w:lang w:val="uk-UA"/>
        </w:rPr>
        <w:t>A., Raimondi</w:t>
      </w:r>
      <w:r w:rsidRPr="002E6ECA">
        <w:rPr>
          <w:sz w:val="28"/>
          <w:szCs w:val="28"/>
          <w:lang w:val="uk-UA"/>
        </w:rPr>
        <w:t> </w:t>
      </w:r>
      <w:r w:rsidRPr="002E6ECA">
        <w:rPr>
          <w:bCs/>
          <w:iCs/>
          <w:sz w:val="28"/>
          <w:szCs w:val="28"/>
          <w:lang w:val="uk-UA"/>
        </w:rPr>
        <w:t>G., Sotnikova</w:t>
      </w:r>
      <w:r w:rsidRPr="002E6ECA">
        <w:rPr>
          <w:sz w:val="28"/>
          <w:szCs w:val="28"/>
          <w:lang w:val="uk-UA"/>
        </w:rPr>
        <w:t>-</w:t>
      </w:r>
      <w:r w:rsidRPr="002E6ECA">
        <w:rPr>
          <w:bCs/>
          <w:iCs/>
          <w:sz w:val="28"/>
          <w:szCs w:val="28"/>
          <w:lang w:val="uk-UA"/>
        </w:rPr>
        <w:t>Meleshkina</w:t>
      </w:r>
      <w:r w:rsidRPr="002E6ECA">
        <w:rPr>
          <w:sz w:val="28"/>
          <w:szCs w:val="28"/>
          <w:lang w:val="uk-UA"/>
        </w:rPr>
        <w:t> </w:t>
      </w:r>
      <w:r w:rsidRPr="002E6ECA">
        <w:rPr>
          <w:bCs/>
          <w:iCs/>
          <w:sz w:val="28"/>
          <w:szCs w:val="28"/>
          <w:lang w:val="uk-UA"/>
        </w:rPr>
        <w:t>Zh., Danylenko</w:t>
      </w:r>
      <w:r w:rsidRPr="002E6ECA">
        <w:rPr>
          <w:sz w:val="28"/>
          <w:szCs w:val="28"/>
          <w:lang w:val="uk-UA"/>
        </w:rPr>
        <w:t> </w:t>
      </w:r>
      <w:r w:rsidRPr="002E6ECA">
        <w:rPr>
          <w:bCs/>
          <w:iCs/>
          <w:sz w:val="28"/>
          <w:szCs w:val="28"/>
          <w:lang w:val="uk-UA"/>
        </w:rPr>
        <w:t>H., Budreiko</w:t>
      </w:r>
      <w:r w:rsidRPr="002E6ECA">
        <w:rPr>
          <w:sz w:val="28"/>
          <w:szCs w:val="28"/>
          <w:lang w:val="uk-UA"/>
        </w:rPr>
        <w:t> </w:t>
      </w:r>
      <w:r w:rsidRPr="002E6ECA">
        <w:rPr>
          <w:bCs/>
          <w:iCs/>
          <w:sz w:val="28"/>
          <w:szCs w:val="28"/>
          <w:lang w:val="uk-UA"/>
        </w:rPr>
        <w:t xml:space="preserve">N. </w:t>
      </w:r>
      <w:r w:rsidRPr="002E6ECA">
        <w:rPr>
          <w:sz w:val="28"/>
          <w:szCs w:val="28"/>
          <w:lang w:val="uk-UA"/>
        </w:rPr>
        <w:t xml:space="preserve">Statistical analysis of medical time series. </w:t>
      </w:r>
      <w:r w:rsidRPr="002E6ECA">
        <w:rPr>
          <w:i/>
          <w:sz w:val="28"/>
          <w:szCs w:val="28"/>
          <w:lang w:val="uk-UA"/>
        </w:rPr>
        <w:t>Journal of V. N. Karazin` KhNU. Series «Medicine»</w:t>
      </w:r>
      <w:r w:rsidRPr="002E6ECA">
        <w:rPr>
          <w:sz w:val="28"/>
          <w:szCs w:val="28"/>
          <w:lang w:val="uk-UA"/>
        </w:rPr>
        <w:t xml:space="preserve">. 2020. Issue 40. Р. 5-12. </w:t>
      </w:r>
      <w:r w:rsidRPr="002E6ECA">
        <w:rPr>
          <w:iCs/>
          <w:sz w:val="28"/>
          <w:szCs w:val="28"/>
          <w:lang w:val="uk-UA"/>
        </w:rPr>
        <w:t>DOI: 10.26565/2313-6693-2020-40-01. (</w:t>
      </w:r>
      <w:r w:rsidRPr="002E6ECA">
        <w:rPr>
          <w:i/>
          <w:sz w:val="28"/>
          <w:szCs w:val="28"/>
          <w:lang w:val="uk-UA"/>
        </w:rPr>
        <w:t xml:space="preserve">Аналіз джерел наукової літератури, збір даних, підготовка рукопису). </w:t>
      </w:r>
    </w:p>
    <w:p w:rsidR="00090685" w:rsidRPr="002E6ECA" w:rsidRDefault="00090685" w:rsidP="00090685">
      <w:pPr>
        <w:pStyle w:val="a3"/>
        <w:numPr>
          <w:ilvl w:val="0"/>
          <w:numId w:val="74"/>
        </w:numPr>
        <w:tabs>
          <w:tab w:val="left" w:pos="993"/>
        </w:tabs>
        <w:spacing w:line="360" w:lineRule="auto"/>
        <w:ind w:left="0" w:firstLine="709"/>
        <w:jc w:val="both"/>
        <w:rPr>
          <w:rStyle w:val="aa"/>
          <w:bCs/>
          <w:sz w:val="28"/>
          <w:szCs w:val="28"/>
          <w:lang w:val="uk-UA"/>
        </w:rPr>
      </w:pPr>
      <w:r w:rsidRPr="002E6ECA">
        <w:rPr>
          <w:sz w:val="28"/>
          <w:szCs w:val="28"/>
          <w:lang w:val="uk-UA"/>
        </w:rPr>
        <w:t xml:space="preserve">Даниленко Г. М., Сотнікова-Мелешкіна Ж. В., Шкурапет Н. І., Міхановська Н. Г. Якість життя, що пов’язана зі здоров’ям учнів базової школи в умовах обмеженої фізичної та соціальної активності. </w:t>
      </w:r>
      <w:r w:rsidRPr="002E6ECA">
        <w:rPr>
          <w:i/>
          <w:sz w:val="28"/>
          <w:szCs w:val="28"/>
          <w:lang w:val="uk-UA"/>
        </w:rPr>
        <w:t>Вісник соціальної гігієни та організації охорони здоров’я України</w:t>
      </w:r>
      <w:r w:rsidRPr="002E6ECA">
        <w:rPr>
          <w:sz w:val="28"/>
          <w:szCs w:val="28"/>
          <w:lang w:val="uk-UA"/>
        </w:rPr>
        <w:t xml:space="preserve">. 2020. № 3. С. 28-33. DOI: </w:t>
      </w:r>
      <w:hyperlink r:id="rId554" w:history="1">
        <w:r w:rsidRPr="002E6ECA">
          <w:rPr>
            <w:sz w:val="28"/>
            <w:szCs w:val="28"/>
            <w:lang w:val="uk-UA"/>
          </w:rPr>
          <w:t>https://doi.org/10.11603/1681-2786.2020.3.11618</w:t>
        </w:r>
      </w:hyperlink>
      <w:r w:rsidRPr="002E6ECA">
        <w:rPr>
          <w:sz w:val="28"/>
          <w:szCs w:val="28"/>
          <w:lang w:val="uk-UA"/>
        </w:rPr>
        <w:t>. (</w:t>
      </w:r>
      <w:r w:rsidRPr="002E6ECA">
        <w:rPr>
          <w:bCs/>
          <w:i/>
          <w:iCs/>
          <w:sz w:val="28"/>
          <w:szCs w:val="28"/>
          <w:lang w:val="uk-UA"/>
        </w:rPr>
        <w:t xml:space="preserve">Концепція та дизайн роботи, збір та узагальнення результатів, статистичний аналіз, написання статті). </w:t>
      </w:r>
    </w:p>
    <w:p w:rsidR="00090685" w:rsidRPr="002E6ECA" w:rsidRDefault="00090685" w:rsidP="00090685">
      <w:pPr>
        <w:pStyle w:val="a3"/>
        <w:numPr>
          <w:ilvl w:val="0"/>
          <w:numId w:val="74"/>
        </w:numPr>
        <w:tabs>
          <w:tab w:val="left" w:pos="993"/>
        </w:tabs>
        <w:spacing w:line="360" w:lineRule="auto"/>
        <w:ind w:left="0" w:firstLine="709"/>
        <w:jc w:val="both"/>
        <w:rPr>
          <w:rStyle w:val="aa"/>
          <w:bCs/>
          <w:sz w:val="28"/>
          <w:szCs w:val="28"/>
          <w:lang w:val="uk-UA"/>
        </w:rPr>
      </w:pPr>
      <w:r w:rsidRPr="002E6ECA">
        <w:rPr>
          <w:sz w:val="28"/>
          <w:szCs w:val="28"/>
          <w:lang w:val="uk-UA"/>
        </w:rPr>
        <w:t>Даниленко Г. М., Сотнікова-Мелешкіна  Ж. В.</w:t>
      </w:r>
      <w:r w:rsidRPr="002E6ECA">
        <w:rPr>
          <w:sz w:val="28"/>
          <w:szCs w:val="28"/>
          <w:lang w:val="uk-UA" w:eastAsia="uk-UA"/>
        </w:rPr>
        <w:t xml:space="preserve"> Вплив організації освітнього процесу на розумову працездатність учнів базової школи</w:t>
      </w:r>
      <w:r w:rsidRPr="002E6ECA">
        <w:rPr>
          <w:bCs/>
          <w:sz w:val="28"/>
          <w:szCs w:val="28"/>
          <w:shd w:val="clear" w:color="auto" w:fill="FFFFFF"/>
          <w:lang w:val="uk-UA"/>
        </w:rPr>
        <w:t xml:space="preserve">. </w:t>
      </w:r>
      <w:r w:rsidRPr="002E6ECA">
        <w:rPr>
          <w:bCs/>
          <w:i/>
          <w:sz w:val="28"/>
          <w:szCs w:val="28"/>
          <w:shd w:val="clear" w:color="auto" w:fill="FFFFFF"/>
          <w:lang w:val="uk-UA"/>
        </w:rPr>
        <w:t xml:space="preserve">Вісник Вінницького національного медичного університету. </w:t>
      </w:r>
      <w:r w:rsidRPr="002E6ECA">
        <w:rPr>
          <w:bCs/>
          <w:sz w:val="28"/>
          <w:szCs w:val="28"/>
          <w:shd w:val="clear" w:color="auto" w:fill="FFFFFF"/>
          <w:lang w:val="uk-UA"/>
        </w:rPr>
        <w:t xml:space="preserve">2020. № 3 (Т. 24). С. 431-441. </w:t>
      </w:r>
      <w:r w:rsidRPr="002E6ECA">
        <w:rPr>
          <w:bCs/>
          <w:sz w:val="28"/>
          <w:szCs w:val="28"/>
          <w:lang w:val="uk-UA"/>
        </w:rPr>
        <w:t xml:space="preserve">DOI: 10.31393/reports-vnmedical-2020-24(3)-15. </w:t>
      </w:r>
      <w:r w:rsidRPr="002E6ECA">
        <w:rPr>
          <w:bCs/>
          <w:i/>
          <w:iCs/>
          <w:sz w:val="28"/>
          <w:szCs w:val="28"/>
          <w:lang w:val="uk-UA"/>
        </w:rPr>
        <w:t>(</w:t>
      </w:r>
      <w:r w:rsidRPr="002E6ECA">
        <w:rPr>
          <w:i/>
          <w:sz w:val="28"/>
          <w:szCs w:val="28"/>
          <w:lang w:val="uk-UA"/>
        </w:rPr>
        <w:t>Аналіз джерел наукової літератури, узагальнення результаті</w:t>
      </w:r>
      <w:r w:rsidRPr="002E6ECA">
        <w:rPr>
          <w:bCs/>
          <w:i/>
          <w:iCs/>
          <w:sz w:val="28"/>
          <w:szCs w:val="28"/>
          <w:lang w:val="uk-UA"/>
        </w:rPr>
        <w:t xml:space="preserve">, статистичний аналіз, написання статті). </w:t>
      </w:r>
    </w:p>
    <w:p w:rsidR="00090685" w:rsidRPr="002E6ECA" w:rsidRDefault="00090685" w:rsidP="00090685">
      <w:pPr>
        <w:pStyle w:val="a3"/>
        <w:numPr>
          <w:ilvl w:val="0"/>
          <w:numId w:val="74"/>
        </w:numPr>
        <w:tabs>
          <w:tab w:val="left" w:pos="993"/>
        </w:tabs>
        <w:spacing w:line="360" w:lineRule="auto"/>
        <w:ind w:left="0" w:firstLine="709"/>
        <w:jc w:val="both"/>
        <w:rPr>
          <w:bCs/>
          <w:i/>
          <w:iCs/>
          <w:sz w:val="28"/>
          <w:szCs w:val="28"/>
          <w:lang w:val="uk-UA"/>
        </w:rPr>
      </w:pPr>
      <w:r w:rsidRPr="002E6ECA">
        <w:rPr>
          <w:bCs/>
          <w:iCs/>
          <w:sz w:val="28"/>
          <w:szCs w:val="28"/>
          <w:lang w:val="uk-UA"/>
        </w:rPr>
        <w:t>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 Redka</w:t>
      </w:r>
      <w:r w:rsidRPr="002E6ECA">
        <w:rPr>
          <w:sz w:val="28"/>
          <w:szCs w:val="28"/>
          <w:lang w:val="uk-UA"/>
        </w:rPr>
        <w:t> </w:t>
      </w:r>
      <w:r w:rsidRPr="002E6ECA">
        <w:rPr>
          <w:bCs/>
          <w:iCs/>
          <w:sz w:val="28"/>
          <w:szCs w:val="28"/>
          <w:lang w:val="uk-UA"/>
        </w:rPr>
        <w:t>I.</w:t>
      </w:r>
      <w:r w:rsidRPr="002E6ECA">
        <w:rPr>
          <w:sz w:val="28"/>
          <w:szCs w:val="28"/>
          <w:lang w:val="uk-UA"/>
        </w:rPr>
        <w:t> </w:t>
      </w:r>
      <w:r w:rsidRPr="002E6ECA">
        <w:rPr>
          <w:bCs/>
          <w:iCs/>
          <w:sz w:val="28"/>
          <w:szCs w:val="28"/>
          <w:lang w:val="uk-UA"/>
        </w:rPr>
        <w:t>V., Mikhalchuk</w:t>
      </w:r>
      <w:r w:rsidRPr="002E6ECA">
        <w:rPr>
          <w:sz w:val="28"/>
          <w:szCs w:val="28"/>
          <w:lang w:val="uk-UA"/>
        </w:rPr>
        <w:t> </w:t>
      </w:r>
      <w:r w:rsidRPr="002E6ECA">
        <w:rPr>
          <w:bCs/>
          <w:iCs/>
          <w:sz w:val="28"/>
          <w:szCs w:val="28"/>
          <w:lang w:val="uk-UA"/>
        </w:rPr>
        <w:t>O.</w:t>
      </w:r>
      <w:r w:rsidRPr="002E6ECA">
        <w:rPr>
          <w:sz w:val="28"/>
          <w:szCs w:val="28"/>
          <w:lang w:val="uk-UA"/>
        </w:rPr>
        <w:t> </w:t>
      </w:r>
      <w:r w:rsidRPr="002E6ECA">
        <w:rPr>
          <w:bCs/>
          <w:iCs/>
          <w:sz w:val="28"/>
          <w:szCs w:val="28"/>
          <w:lang w:val="uk-UA"/>
        </w:rPr>
        <w:t xml:space="preserve">Ya. The state of vegetative regulatory systems of pupils with different academic performance. </w:t>
      </w:r>
      <w:r w:rsidRPr="002E6ECA">
        <w:rPr>
          <w:bCs/>
          <w:i/>
          <w:iCs/>
          <w:sz w:val="28"/>
          <w:szCs w:val="28"/>
          <w:lang w:val="uk-UA"/>
        </w:rPr>
        <w:t>Reports of Morphology</w:t>
      </w:r>
      <w:r w:rsidRPr="002E6ECA">
        <w:rPr>
          <w:bCs/>
          <w:iCs/>
          <w:sz w:val="28"/>
          <w:szCs w:val="28"/>
          <w:lang w:val="uk-UA"/>
        </w:rPr>
        <w:t xml:space="preserve">. 2020. Vol. 26. № 3. P. 46-51. DOI: 10.31393/morphology-journal-2020-26(3)-06. </w:t>
      </w:r>
      <w:r w:rsidRPr="002E6ECA">
        <w:rPr>
          <w:bCs/>
          <w:i/>
          <w:iCs/>
          <w:sz w:val="28"/>
          <w:szCs w:val="28"/>
          <w:lang w:val="uk-UA"/>
        </w:rPr>
        <w:t>(</w:t>
      </w:r>
      <w:r w:rsidRPr="002E6ECA">
        <w:rPr>
          <w:i/>
          <w:sz w:val="28"/>
          <w:szCs w:val="28"/>
          <w:lang w:val="uk-UA"/>
        </w:rPr>
        <w:t xml:space="preserve">Аналіз джерел наукової літератури, </w:t>
      </w:r>
      <w:r w:rsidRPr="002E6ECA">
        <w:rPr>
          <w:bCs/>
          <w:i/>
          <w:iCs/>
          <w:sz w:val="28"/>
          <w:szCs w:val="28"/>
          <w:lang w:val="uk-UA"/>
        </w:rPr>
        <w:t xml:space="preserve">статистичний аналіз даних, участь у написанні статті). </w:t>
      </w:r>
    </w:p>
    <w:p w:rsidR="00090685" w:rsidRPr="002E6ECA" w:rsidRDefault="00090685" w:rsidP="00090685">
      <w:pPr>
        <w:pStyle w:val="a3"/>
        <w:numPr>
          <w:ilvl w:val="0"/>
          <w:numId w:val="74"/>
        </w:numPr>
        <w:tabs>
          <w:tab w:val="left" w:pos="993"/>
        </w:tabs>
        <w:spacing w:line="360" w:lineRule="auto"/>
        <w:ind w:left="0" w:firstLine="709"/>
        <w:jc w:val="both"/>
        <w:rPr>
          <w:bCs/>
          <w:sz w:val="28"/>
          <w:szCs w:val="28"/>
          <w:lang w:val="uk-UA"/>
        </w:rPr>
      </w:pPr>
      <w:r w:rsidRPr="002E6ECA">
        <w:rPr>
          <w:sz w:val="28"/>
          <w:szCs w:val="28"/>
          <w:lang w:val="uk-UA"/>
        </w:rPr>
        <w:t xml:space="preserve">Сотнікова-Мелешкіна Ж. В., Міхановська Н. Г., Островська Г. Є., Романова Н. Г. Якість життя, що пов’язана зі здоров’ям та психосоціальне функціонування школярів: скринінгові методи оцінки. </w:t>
      </w:r>
      <w:r w:rsidRPr="002E6ECA">
        <w:rPr>
          <w:i/>
          <w:sz w:val="28"/>
          <w:szCs w:val="28"/>
          <w:lang w:val="uk-UA"/>
        </w:rPr>
        <w:t>Вісник проблем біології і медицини</w:t>
      </w:r>
      <w:r w:rsidRPr="002E6ECA">
        <w:rPr>
          <w:sz w:val="28"/>
          <w:szCs w:val="28"/>
          <w:lang w:val="uk-UA"/>
        </w:rPr>
        <w:t xml:space="preserve">. 2020. Вип. 4 (158). С. 88-92. </w:t>
      </w:r>
      <w:r w:rsidRPr="002E6ECA">
        <w:rPr>
          <w:bCs/>
          <w:sz w:val="28"/>
          <w:szCs w:val="28"/>
          <w:lang w:val="uk-UA"/>
        </w:rPr>
        <w:t xml:space="preserve">DOI: </w:t>
      </w:r>
      <w:hyperlink r:id="rId555" w:history="1">
        <w:r w:rsidRPr="002E6ECA">
          <w:rPr>
            <w:sz w:val="28"/>
            <w:szCs w:val="28"/>
            <w:lang w:val="uk-UA" w:eastAsia="uk-UA"/>
          </w:rPr>
          <w:t>10.29254/2077-4214-2020-4-158-88-92</w:t>
        </w:r>
      </w:hyperlink>
      <w:r w:rsidRPr="002E6ECA">
        <w:rPr>
          <w:sz w:val="28"/>
          <w:szCs w:val="28"/>
          <w:lang w:val="uk-UA" w:eastAsia="uk-UA"/>
        </w:rPr>
        <w:t xml:space="preserve">. </w:t>
      </w:r>
      <w:r w:rsidRPr="002E6ECA">
        <w:rPr>
          <w:bCs/>
          <w:i/>
          <w:iCs/>
          <w:sz w:val="28"/>
          <w:szCs w:val="28"/>
          <w:lang w:val="uk-UA"/>
        </w:rPr>
        <w:t>(Концепція та дизайн роботи, збір даних та узагальнення результатів, статистичний аналіз, написання статті).</w:t>
      </w:r>
      <w:r w:rsidRPr="002E6ECA">
        <w:rPr>
          <w:sz w:val="28"/>
          <w:szCs w:val="28"/>
          <w:lang w:val="uk-UA" w:eastAsia="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Скринінг-діагностика школярів як інструмент для визначення ризику виникнення неінфекційних захворювань у </w:t>
      </w:r>
      <w:r w:rsidRPr="002E6ECA">
        <w:rPr>
          <w:sz w:val="28"/>
          <w:szCs w:val="28"/>
          <w:lang w:val="uk-UA"/>
        </w:rPr>
        <w:lastRenderedPageBreak/>
        <w:t xml:space="preserve">навчальному колективі. </w:t>
      </w:r>
      <w:r w:rsidRPr="002E6ECA">
        <w:rPr>
          <w:i/>
          <w:sz w:val="28"/>
          <w:szCs w:val="28"/>
          <w:lang w:val="uk-UA"/>
        </w:rPr>
        <w:t>Проблеми безперервної медичної освіти та науки</w:t>
      </w:r>
      <w:r w:rsidRPr="002E6ECA">
        <w:rPr>
          <w:sz w:val="28"/>
          <w:szCs w:val="28"/>
          <w:lang w:val="uk-UA"/>
        </w:rPr>
        <w:t>.</w:t>
      </w:r>
      <w:r w:rsidRPr="002E6ECA">
        <w:rPr>
          <w:rStyle w:val="aa"/>
          <w:sz w:val="28"/>
          <w:szCs w:val="28"/>
          <w:shd w:val="clear" w:color="auto" w:fill="FFFFFF"/>
          <w:lang w:val="uk-UA"/>
        </w:rPr>
        <w:t xml:space="preserve"> </w:t>
      </w:r>
      <w:r w:rsidRPr="002E6ECA">
        <w:rPr>
          <w:sz w:val="28"/>
          <w:szCs w:val="28"/>
          <w:lang w:val="uk-UA"/>
        </w:rPr>
        <w:t xml:space="preserve">2020. № 4. С. 55-60. </w:t>
      </w:r>
      <w:r w:rsidRPr="002E6ECA">
        <w:rPr>
          <w:bCs/>
          <w:sz w:val="28"/>
          <w:szCs w:val="28"/>
          <w:lang w:val="uk-UA"/>
        </w:rPr>
        <w:t xml:space="preserve">DOI: </w:t>
      </w:r>
      <w:r w:rsidRPr="002E6ECA">
        <w:rPr>
          <w:sz w:val="28"/>
          <w:szCs w:val="28"/>
          <w:lang w:val="uk-UA"/>
        </w:rPr>
        <w:t xml:space="preserve">https://doi.org/10.31071/promedosvity2020.04.055. </w:t>
      </w:r>
    </w:p>
    <w:p w:rsidR="00090685" w:rsidRPr="002E6ECA" w:rsidRDefault="00090685" w:rsidP="00090685">
      <w:pPr>
        <w:pStyle w:val="a3"/>
        <w:numPr>
          <w:ilvl w:val="0"/>
          <w:numId w:val="74"/>
        </w:numPr>
        <w:tabs>
          <w:tab w:val="left" w:pos="993"/>
        </w:tabs>
        <w:spacing w:line="360" w:lineRule="auto"/>
        <w:ind w:left="0" w:firstLine="709"/>
        <w:jc w:val="both"/>
        <w:rPr>
          <w:spacing w:val="-2"/>
          <w:sz w:val="28"/>
          <w:szCs w:val="28"/>
          <w:lang w:val="uk-UA"/>
        </w:rPr>
      </w:pPr>
      <w:r w:rsidRPr="002E6ECA">
        <w:rPr>
          <w:sz w:val="28"/>
          <w:szCs w:val="28"/>
          <w:lang w:val="uk-UA"/>
        </w:rPr>
        <w:t>Сотнікова-</w:t>
      </w:r>
      <w:r w:rsidRPr="002E6ECA">
        <w:rPr>
          <w:spacing w:val="-2"/>
          <w:sz w:val="28"/>
          <w:szCs w:val="28"/>
          <w:lang w:val="uk-UA"/>
        </w:rPr>
        <w:t xml:space="preserve">Мелешкіна Ж. В. </w:t>
      </w:r>
      <w:r w:rsidRPr="002E6ECA">
        <w:rPr>
          <w:spacing w:val="-2"/>
          <w:sz w:val="28"/>
          <w:szCs w:val="28"/>
          <w:shd w:val="clear" w:color="auto" w:fill="FFFFFF"/>
          <w:lang w:val="uk-UA"/>
        </w:rPr>
        <w:t xml:space="preserve">Експрес-оцінка фізичного розвитку дітей шкільного віку за допомогою індексу маси тіла. </w:t>
      </w:r>
      <w:r w:rsidRPr="002E6ECA">
        <w:rPr>
          <w:i/>
          <w:spacing w:val="-2"/>
          <w:sz w:val="28"/>
          <w:szCs w:val="28"/>
          <w:lang w:val="uk-UA"/>
        </w:rPr>
        <w:t>Український журнал дитячої ендокринології</w:t>
      </w:r>
      <w:r w:rsidRPr="002E6ECA">
        <w:rPr>
          <w:spacing w:val="-2"/>
          <w:sz w:val="28"/>
          <w:szCs w:val="28"/>
          <w:lang w:val="uk-UA"/>
        </w:rPr>
        <w:t xml:space="preserve">. 2020. № 4. С. 31-36. </w:t>
      </w:r>
      <w:r w:rsidRPr="002E6ECA">
        <w:rPr>
          <w:spacing w:val="-2"/>
          <w:sz w:val="28"/>
          <w:szCs w:val="28"/>
        </w:rPr>
        <w:t>DOI</w:t>
      </w:r>
      <w:r w:rsidRPr="002E6ECA">
        <w:rPr>
          <w:spacing w:val="-2"/>
          <w:sz w:val="28"/>
          <w:szCs w:val="28"/>
          <w:lang w:val="uk-UA"/>
        </w:rPr>
        <w:t xml:space="preserve">: </w:t>
      </w:r>
      <w:r w:rsidRPr="002E6ECA">
        <w:rPr>
          <w:spacing w:val="-2"/>
          <w:sz w:val="28"/>
          <w:szCs w:val="28"/>
        </w:rPr>
        <w:t>https</w:t>
      </w:r>
      <w:r w:rsidRPr="002E6ECA">
        <w:rPr>
          <w:spacing w:val="-2"/>
          <w:sz w:val="28"/>
          <w:szCs w:val="28"/>
          <w:lang w:val="uk-UA"/>
        </w:rPr>
        <w:t>://</w:t>
      </w:r>
      <w:r w:rsidRPr="002E6ECA">
        <w:rPr>
          <w:spacing w:val="-2"/>
          <w:sz w:val="28"/>
          <w:szCs w:val="28"/>
        </w:rPr>
        <w:t>doi</w:t>
      </w:r>
      <w:r w:rsidRPr="002E6ECA">
        <w:rPr>
          <w:spacing w:val="-2"/>
          <w:sz w:val="28"/>
          <w:szCs w:val="28"/>
          <w:lang w:val="uk-UA"/>
        </w:rPr>
        <w:t>.</w:t>
      </w:r>
      <w:r w:rsidRPr="002E6ECA">
        <w:rPr>
          <w:spacing w:val="-2"/>
          <w:sz w:val="28"/>
          <w:szCs w:val="28"/>
        </w:rPr>
        <w:t>org</w:t>
      </w:r>
      <w:r w:rsidRPr="002E6ECA">
        <w:rPr>
          <w:spacing w:val="-2"/>
          <w:sz w:val="28"/>
          <w:szCs w:val="28"/>
          <w:lang w:val="uk-UA"/>
        </w:rPr>
        <w:t>/10.30978/</w:t>
      </w:r>
      <w:r w:rsidRPr="002E6ECA">
        <w:rPr>
          <w:spacing w:val="-2"/>
          <w:sz w:val="28"/>
          <w:szCs w:val="28"/>
        </w:rPr>
        <w:t>UJPE</w:t>
      </w:r>
      <w:r w:rsidRPr="002E6ECA">
        <w:rPr>
          <w:spacing w:val="-2"/>
          <w:sz w:val="28"/>
          <w:szCs w:val="28"/>
          <w:lang w:val="uk-UA"/>
        </w:rPr>
        <w:t xml:space="preserve">2020-4-31. </w:t>
      </w:r>
    </w:p>
    <w:p w:rsidR="00090685" w:rsidRPr="002E6ECA" w:rsidRDefault="00090685" w:rsidP="00090685">
      <w:pPr>
        <w:pStyle w:val="a3"/>
        <w:numPr>
          <w:ilvl w:val="0"/>
          <w:numId w:val="74"/>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Порівняльна характеристика впливу чинників ризику на суб’єктивну оцінку здоров’я школярів. </w:t>
      </w:r>
      <w:r w:rsidRPr="002E6ECA">
        <w:rPr>
          <w:bCs/>
          <w:i/>
          <w:iCs/>
          <w:sz w:val="28"/>
          <w:szCs w:val="28"/>
          <w:lang w:val="uk-UA"/>
        </w:rPr>
        <w:t>Міжнародн</w:t>
      </w:r>
      <w:r w:rsidRPr="002E6ECA">
        <w:rPr>
          <w:bCs/>
          <w:i/>
          <w:iCs/>
          <w:sz w:val="28"/>
          <w:szCs w:val="28"/>
        </w:rPr>
        <w:t>ий медичний журнал</w:t>
      </w:r>
      <w:r w:rsidRPr="002E6ECA">
        <w:rPr>
          <w:bCs/>
          <w:iCs/>
          <w:sz w:val="28"/>
          <w:szCs w:val="28"/>
        </w:rPr>
        <w:t>. 2020. № 4</w:t>
      </w:r>
      <w:r w:rsidRPr="002E6ECA">
        <w:rPr>
          <w:bCs/>
          <w:iCs/>
          <w:sz w:val="28"/>
          <w:szCs w:val="28"/>
          <w:lang w:val="uk-UA"/>
        </w:rPr>
        <w:t xml:space="preserve"> </w:t>
      </w:r>
      <w:r w:rsidRPr="002E6ECA">
        <w:rPr>
          <w:bCs/>
          <w:iCs/>
          <w:sz w:val="28"/>
          <w:szCs w:val="28"/>
        </w:rPr>
        <w:t xml:space="preserve">(104). С. 89-93. </w:t>
      </w:r>
      <w:r w:rsidRPr="002E6ECA">
        <w:rPr>
          <w:bCs/>
          <w:iCs/>
          <w:sz w:val="28"/>
          <w:szCs w:val="28"/>
          <w:lang w:val="en-US"/>
        </w:rPr>
        <w:t>DOI</w:t>
      </w:r>
      <w:r w:rsidRPr="002E6ECA">
        <w:rPr>
          <w:bCs/>
          <w:iCs/>
          <w:sz w:val="28"/>
          <w:szCs w:val="28"/>
        </w:rPr>
        <w:t>: https://doi.org/10.37436/2308-5274-2020-4-16.</w:t>
      </w:r>
      <w:r w:rsidRPr="002E6ECA">
        <w:rPr>
          <w:bCs/>
          <w:iCs/>
          <w:sz w:val="28"/>
          <w:szCs w:val="28"/>
          <w:lang w:val="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rStyle w:val="aa"/>
          <w:bCs/>
          <w:sz w:val="28"/>
          <w:szCs w:val="28"/>
          <w:lang w:val="uk-UA"/>
        </w:rPr>
      </w:pPr>
      <w:r w:rsidRPr="002E6ECA">
        <w:rPr>
          <w:spacing w:val="-4"/>
          <w:sz w:val="28"/>
          <w:szCs w:val="28"/>
          <w:lang w:val="uk-UA"/>
        </w:rPr>
        <w:t>Редька</w:t>
      </w:r>
      <w:r w:rsidRPr="002E6ECA">
        <w:rPr>
          <w:sz w:val="28"/>
          <w:szCs w:val="28"/>
          <w:lang w:val="uk-UA"/>
        </w:rPr>
        <w:t> </w:t>
      </w:r>
      <w:r w:rsidRPr="002E6ECA">
        <w:rPr>
          <w:spacing w:val="-4"/>
          <w:sz w:val="28"/>
          <w:szCs w:val="28"/>
          <w:lang w:val="uk-UA"/>
        </w:rPr>
        <w:t>І.</w:t>
      </w:r>
      <w:r w:rsidRPr="002E6ECA">
        <w:rPr>
          <w:sz w:val="28"/>
          <w:szCs w:val="28"/>
          <w:lang w:val="uk-UA"/>
        </w:rPr>
        <w:t> </w:t>
      </w:r>
      <w:r w:rsidRPr="002E6ECA">
        <w:rPr>
          <w:spacing w:val="-4"/>
          <w:sz w:val="28"/>
          <w:szCs w:val="28"/>
          <w:lang w:val="uk-UA"/>
        </w:rPr>
        <w:t>В., Даниленко</w:t>
      </w:r>
      <w:r w:rsidRPr="002E6ECA">
        <w:rPr>
          <w:sz w:val="28"/>
          <w:szCs w:val="28"/>
          <w:lang w:val="uk-UA"/>
        </w:rPr>
        <w:t> </w:t>
      </w:r>
      <w:r w:rsidRPr="002E6ECA">
        <w:rPr>
          <w:spacing w:val="-4"/>
          <w:sz w:val="28"/>
          <w:szCs w:val="28"/>
          <w:lang w:val="uk-UA"/>
        </w:rPr>
        <w:t>Г.</w:t>
      </w:r>
      <w:r w:rsidRPr="002E6ECA">
        <w:rPr>
          <w:sz w:val="28"/>
          <w:szCs w:val="28"/>
          <w:lang w:val="uk-UA"/>
        </w:rPr>
        <w:t> </w:t>
      </w:r>
      <w:r w:rsidRPr="002E6ECA">
        <w:rPr>
          <w:spacing w:val="-4"/>
          <w:sz w:val="28"/>
          <w:szCs w:val="28"/>
          <w:lang w:val="uk-UA"/>
        </w:rPr>
        <w:t>М., Сотнікова-Мелешкіна</w:t>
      </w:r>
      <w:r w:rsidRPr="002E6ECA">
        <w:rPr>
          <w:sz w:val="28"/>
          <w:szCs w:val="28"/>
          <w:lang w:val="uk-UA"/>
        </w:rPr>
        <w:t> </w:t>
      </w:r>
      <w:r w:rsidRPr="002E6ECA">
        <w:rPr>
          <w:spacing w:val="-4"/>
          <w:sz w:val="28"/>
          <w:szCs w:val="28"/>
          <w:lang w:val="uk-UA"/>
        </w:rPr>
        <w:t>Ж.</w:t>
      </w:r>
      <w:r w:rsidRPr="002E6ECA">
        <w:rPr>
          <w:sz w:val="28"/>
          <w:szCs w:val="28"/>
          <w:lang w:val="uk-UA"/>
        </w:rPr>
        <w:t> </w:t>
      </w:r>
      <w:r w:rsidRPr="002E6ECA">
        <w:rPr>
          <w:spacing w:val="-4"/>
          <w:sz w:val="28"/>
          <w:szCs w:val="28"/>
          <w:lang w:val="uk-UA"/>
        </w:rPr>
        <w:t>В., Михальчук</w:t>
      </w:r>
      <w:r w:rsidRPr="002E6ECA">
        <w:rPr>
          <w:sz w:val="28"/>
          <w:szCs w:val="28"/>
          <w:lang w:val="uk-UA"/>
        </w:rPr>
        <w:t> </w:t>
      </w:r>
      <w:r w:rsidRPr="002E6ECA">
        <w:rPr>
          <w:spacing w:val="-4"/>
          <w:sz w:val="28"/>
          <w:szCs w:val="28"/>
          <w:lang w:val="uk-UA"/>
        </w:rPr>
        <w:t>О.</w:t>
      </w:r>
      <w:r w:rsidRPr="002E6ECA">
        <w:rPr>
          <w:sz w:val="28"/>
          <w:szCs w:val="28"/>
          <w:lang w:val="uk-UA"/>
        </w:rPr>
        <w:t> </w:t>
      </w:r>
      <w:r w:rsidRPr="002E6ECA">
        <w:rPr>
          <w:spacing w:val="-4"/>
          <w:sz w:val="28"/>
          <w:szCs w:val="28"/>
          <w:lang w:val="uk-UA"/>
        </w:rPr>
        <w:t>Я. Особливості</w:t>
      </w:r>
      <w:r w:rsidRPr="002E6ECA">
        <w:rPr>
          <w:sz w:val="28"/>
          <w:szCs w:val="28"/>
          <w:lang w:val="uk-UA"/>
        </w:rPr>
        <w:t xml:space="preserve"> нейрокогнітивних процесів учнів основної школи за умов меритократичної освіти. </w:t>
      </w:r>
      <w:r w:rsidRPr="002E6ECA">
        <w:rPr>
          <w:i/>
          <w:sz w:val="28"/>
          <w:szCs w:val="28"/>
          <w:lang w:val="uk-UA"/>
        </w:rPr>
        <w:t>Актуальні проблеми сучасної медицини: Вісник Української медичної стоматологічної академії</w:t>
      </w:r>
      <w:r w:rsidRPr="002E6ECA">
        <w:rPr>
          <w:sz w:val="28"/>
          <w:szCs w:val="28"/>
          <w:lang w:val="uk-UA"/>
        </w:rPr>
        <w:t xml:space="preserve">. 2020. Т. 20. Вип. 4 (72). С. 146-150. DOI: 10.31718/2077-1096.20.4.146. </w:t>
      </w:r>
      <w:r w:rsidRPr="002E6ECA">
        <w:rPr>
          <w:bCs/>
          <w:i/>
          <w:iCs/>
          <w:sz w:val="28"/>
          <w:szCs w:val="28"/>
          <w:lang w:val="uk-UA"/>
        </w:rPr>
        <w:t>(Організація дослідження, узагальнення та статистичний аналіз даних, участь у написанні статті).</w:t>
      </w:r>
    </w:p>
    <w:p w:rsidR="00090685" w:rsidRPr="002E6ECA" w:rsidRDefault="00090685" w:rsidP="00090685">
      <w:pPr>
        <w:pStyle w:val="a3"/>
        <w:numPr>
          <w:ilvl w:val="0"/>
          <w:numId w:val="74"/>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Міхановська Н. Г., Островська Г. Є. </w:t>
      </w:r>
      <w:r w:rsidRPr="002E6ECA">
        <w:rPr>
          <w:spacing w:val="-4"/>
          <w:sz w:val="28"/>
          <w:szCs w:val="28"/>
          <w:lang w:val="uk-UA"/>
        </w:rPr>
        <w:t xml:space="preserve">Лонгітюдне дослідження якості життя, що пов’язана зі здоров’ям дітей молодшого шкільного віку. </w:t>
      </w:r>
      <w:r w:rsidRPr="002E6ECA">
        <w:rPr>
          <w:i/>
          <w:iCs/>
          <w:spacing w:val="-4"/>
          <w:sz w:val="28"/>
          <w:szCs w:val="28"/>
          <w:lang w:val="uk-UA"/>
        </w:rPr>
        <w:t>Клінічна та профілактична медицина</w:t>
      </w:r>
      <w:r w:rsidRPr="002E6ECA">
        <w:rPr>
          <w:spacing w:val="-4"/>
          <w:sz w:val="28"/>
          <w:szCs w:val="28"/>
          <w:lang w:val="uk-UA"/>
        </w:rPr>
        <w:t xml:space="preserve">. 2020. № </w:t>
      </w:r>
      <w:r w:rsidRPr="002E6ECA">
        <w:rPr>
          <w:iCs/>
          <w:spacing w:val="-4"/>
          <w:sz w:val="28"/>
          <w:szCs w:val="28"/>
          <w:lang w:val="uk-UA"/>
        </w:rPr>
        <w:t xml:space="preserve">4 </w:t>
      </w:r>
      <w:r w:rsidRPr="002E6ECA">
        <w:rPr>
          <w:spacing w:val="-4"/>
          <w:sz w:val="28"/>
          <w:szCs w:val="28"/>
          <w:lang w:val="uk-UA"/>
        </w:rPr>
        <w:t>(14).</w:t>
      </w:r>
      <w:r w:rsidRPr="002E6ECA">
        <w:rPr>
          <w:sz w:val="28"/>
          <w:szCs w:val="28"/>
          <w:lang w:val="uk-UA"/>
        </w:rPr>
        <w:t xml:space="preserve"> С. 62-69. </w:t>
      </w:r>
      <w:r w:rsidRPr="002E6ECA">
        <w:rPr>
          <w:bCs/>
          <w:sz w:val="28"/>
          <w:szCs w:val="28"/>
          <w:lang w:val="uk-UA"/>
        </w:rPr>
        <w:t xml:space="preserve">DOI: </w:t>
      </w:r>
      <w:hyperlink r:id="rId556" w:history="1">
        <w:r w:rsidRPr="002E6ECA">
          <w:rPr>
            <w:rStyle w:val="a8"/>
            <w:color w:val="auto"/>
            <w:sz w:val="28"/>
            <w:szCs w:val="28"/>
            <w:u w:val="none"/>
            <w:lang w:val="uk-UA"/>
          </w:rPr>
          <w:t>https://doi.org/10.31612/2616-4868.4(14).2020.05</w:t>
        </w:r>
      </w:hyperlink>
      <w:r w:rsidRPr="002E6ECA">
        <w:rPr>
          <w:sz w:val="28"/>
          <w:szCs w:val="28"/>
          <w:lang w:val="uk-UA"/>
        </w:rPr>
        <w:t xml:space="preserve">. </w:t>
      </w:r>
      <w:r w:rsidRPr="002E6ECA">
        <w:rPr>
          <w:bCs/>
          <w:i/>
          <w:iCs/>
          <w:sz w:val="28"/>
          <w:szCs w:val="28"/>
          <w:lang w:val="uk-UA"/>
        </w:rPr>
        <w:t>(Концепція та дизайн роботи, збір даних та узагальнення результатів, статистичний аналіз, написання статті).</w:t>
      </w:r>
      <w:r w:rsidRPr="002E6ECA">
        <w:rPr>
          <w:sz w:val="28"/>
          <w:szCs w:val="28"/>
          <w:lang w:val="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rStyle w:val="aa"/>
          <w:bCs/>
          <w:sz w:val="28"/>
          <w:szCs w:val="28"/>
          <w:lang w:val="uk-UA"/>
        </w:rPr>
      </w:pPr>
      <w:r w:rsidRPr="002E6ECA">
        <w:rPr>
          <w:sz w:val="28"/>
          <w:szCs w:val="28"/>
          <w:lang w:val="uk-UA"/>
        </w:rPr>
        <w:t xml:space="preserve">Міхановська Н. Г., Сотнікова-Мелешкіна Ж. В., Островська Г. Є., Штриголь Д. В. Скринінговий аналіз психосоціального функціонування молодших школярів в умовах навчального закладу. </w:t>
      </w:r>
      <w:r w:rsidRPr="002E6ECA">
        <w:rPr>
          <w:i/>
          <w:sz w:val="28"/>
          <w:szCs w:val="28"/>
          <w:lang w:val="uk-UA"/>
        </w:rPr>
        <w:t>EUMJ.</w:t>
      </w:r>
      <w:r w:rsidRPr="002E6ECA">
        <w:rPr>
          <w:sz w:val="28"/>
          <w:szCs w:val="28"/>
          <w:lang w:val="uk-UA"/>
        </w:rPr>
        <w:t xml:space="preserve"> 2020. № 8 (4). Р. 351-359. DOI: https://doi.org/10.21272/eumj.2020;8(4):351-359.</w:t>
      </w:r>
      <w:r w:rsidRPr="002E6ECA">
        <w:rPr>
          <w:bCs/>
          <w:i/>
          <w:iCs/>
          <w:sz w:val="28"/>
          <w:szCs w:val="28"/>
          <w:lang w:val="uk-UA"/>
        </w:rPr>
        <w:t xml:space="preserve"> (Концепція та дизайн роботи, збір даних та узагальнення результатів, статистичний аналіз, написання статті).</w:t>
      </w:r>
      <w:r w:rsidRPr="002E6ECA">
        <w:rPr>
          <w:sz w:val="28"/>
          <w:szCs w:val="28"/>
          <w:lang w:val="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b/>
          <w:bCs/>
          <w:i/>
          <w:iCs/>
          <w:sz w:val="28"/>
          <w:szCs w:val="28"/>
          <w:lang w:val="uk-UA"/>
        </w:rPr>
      </w:pPr>
      <w:r w:rsidRPr="002E6ECA">
        <w:rPr>
          <w:sz w:val="28"/>
          <w:szCs w:val="28"/>
          <w:lang w:val="uk-UA"/>
        </w:rPr>
        <w:t xml:space="preserve">Redka I. V., Mikhalchuk O. Ya., </w:t>
      </w:r>
      <w:r w:rsidRPr="002E6ECA">
        <w:rPr>
          <w:bCs/>
          <w:iCs/>
          <w:sz w:val="28"/>
          <w:szCs w:val="28"/>
          <w:lang w:val="uk-UA"/>
        </w:rPr>
        <w:t>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w:t>
      </w:r>
      <w:r w:rsidRPr="002E6ECA">
        <w:rPr>
          <w:sz w:val="28"/>
          <w:szCs w:val="28"/>
          <w:lang w:val="uk-UA"/>
        </w:rPr>
        <w:t xml:space="preserve"> Electroencephalographic monitoring of the brain functional condition in modern </w:t>
      </w:r>
      <w:r w:rsidRPr="002E6ECA">
        <w:rPr>
          <w:sz w:val="28"/>
          <w:szCs w:val="28"/>
          <w:lang w:val="uk-UA"/>
        </w:rPr>
        <w:lastRenderedPageBreak/>
        <w:t xml:space="preserve">Ukrainian schoolchildren. </w:t>
      </w:r>
      <w:r w:rsidRPr="002E6ECA">
        <w:rPr>
          <w:i/>
          <w:sz w:val="28"/>
          <w:szCs w:val="28"/>
          <w:lang w:val="uk-UA" w:eastAsia="uk-UA"/>
        </w:rPr>
        <w:t>Wiadomości Lekarskie</w:t>
      </w:r>
      <w:r w:rsidRPr="002E6ECA">
        <w:rPr>
          <w:sz w:val="28"/>
          <w:szCs w:val="28"/>
          <w:lang w:val="uk-UA" w:eastAsia="uk-UA"/>
        </w:rPr>
        <w:t xml:space="preserve">. </w:t>
      </w:r>
      <w:r w:rsidRPr="002E6ECA">
        <w:rPr>
          <w:sz w:val="28"/>
          <w:szCs w:val="28"/>
          <w:lang w:val="uk-UA"/>
        </w:rPr>
        <w:t>2020</w:t>
      </w:r>
      <w:r w:rsidRPr="002E6ECA">
        <w:rPr>
          <w:sz w:val="28"/>
          <w:szCs w:val="28"/>
          <w:lang w:val="uk-UA" w:eastAsia="uk-UA"/>
        </w:rPr>
        <w:t>. Vol. LXXIII. Issue 12 (1). Р. 2634-2639.</w:t>
      </w:r>
      <w:r w:rsidRPr="002E6ECA">
        <w:rPr>
          <w:bCs/>
          <w:i/>
          <w:iCs/>
          <w:sz w:val="28"/>
          <w:szCs w:val="28"/>
          <w:lang w:val="uk-UA"/>
        </w:rPr>
        <w:t xml:space="preserve"> (Організація дослідження, узагальнення та статистичний аналіз даних, участь у написанні статті).</w:t>
      </w:r>
      <w:r w:rsidRPr="002E6ECA">
        <w:rPr>
          <w:sz w:val="28"/>
          <w:szCs w:val="28"/>
          <w:lang w:val="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rStyle w:val="aa"/>
          <w:bCs/>
          <w:sz w:val="28"/>
          <w:szCs w:val="28"/>
          <w:lang w:val="uk-UA"/>
        </w:rPr>
      </w:pPr>
      <w:r w:rsidRPr="002E6ECA">
        <w:rPr>
          <w:sz w:val="28"/>
          <w:szCs w:val="28"/>
          <w:lang w:val="uk-UA" w:eastAsia="uk-UA"/>
        </w:rPr>
        <w:t>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В., Мартиненко</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В. Спосіб валідизації методики оцінки якості життя, що пов’язана зі здоров’ям школярів.</w:t>
      </w:r>
      <w:r w:rsidRPr="002E6ECA">
        <w:rPr>
          <w:sz w:val="28"/>
          <w:szCs w:val="28"/>
          <w:lang w:val="uk-UA"/>
        </w:rPr>
        <w:t xml:space="preserve"> </w:t>
      </w:r>
      <w:r w:rsidRPr="002E6ECA">
        <w:rPr>
          <w:bCs/>
          <w:i/>
          <w:sz w:val="28"/>
          <w:szCs w:val="28"/>
          <w:lang w:val="uk-UA"/>
        </w:rPr>
        <w:t>Клін. інформат. і Телемед</w:t>
      </w:r>
      <w:r w:rsidRPr="002E6ECA">
        <w:rPr>
          <w:bCs/>
          <w:sz w:val="28"/>
          <w:szCs w:val="28"/>
          <w:lang w:val="uk-UA"/>
        </w:rPr>
        <w:t>. 2020. Т. 15. Вип. 16. С. 57-61. DOI: https://doi.org/10.31071/kit2020.16.16.</w:t>
      </w:r>
      <w:r w:rsidRPr="002E6ECA">
        <w:rPr>
          <w:b/>
          <w:bCs/>
          <w:sz w:val="28"/>
          <w:szCs w:val="28"/>
          <w:lang w:val="uk-UA"/>
        </w:rPr>
        <w:t xml:space="preserve"> </w:t>
      </w:r>
      <w:r w:rsidRPr="002E6ECA">
        <w:rPr>
          <w:bCs/>
          <w:sz w:val="28"/>
          <w:szCs w:val="28"/>
          <w:lang w:val="uk-UA"/>
        </w:rPr>
        <w:t>(</w:t>
      </w:r>
      <w:r w:rsidRPr="002E6ECA">
        <w:rPr>
          <w:bCs/>
          <w:i/>
          <w:iCs/>
          <w:sz w:val="28"/>
          <w:szCs w:val="28"/>
          <w:lang w:val="uk-UA"/>
        </w:rPr>
        <w:t xml:space="preserve">Концепція та дизайн роботи, збір та аналіз даних, написання статті, </w:t>
      </w:r>
      <w:r w:rsidRPr="002E6ECA">
        <w:rPr>
          <w:i/>
          <w:sz w:val="28"/>
          <w:szCs w:val="28"/>
          <w:lang w:val="uk-UA"/>
        </w:rPr>
        <w:t xml:space="preserve">аналіз джерел наукової літератури). </w:t>
      </w:r>
    </w:p>
    <w:p w:rsidR="00090685" w:rsidRPr="002E6ECA" w:rsidRDefault="00090685" w:rsidP="00090685">
      <w:pPr>
        <w:pStyle w:val="a3"/>
        <w:numPr>
          <w:ilvl w:val="0"/>
          <w:numId w:val="74"/>
        </w:numPr>
        <w:tabs>
          <w:tab w:val="left" w:pos="993"/>
        </w:tabs>
        <w:spacing w:line="360" w:lineRule="auto"/>
        <w:ind w:left="0" w:firstLine="709"/>
        <w:jc w:val="both"/>
        <w:rPr>
          <w:bCs/>
          <w:i/>
          <w:iCs/>
          <w:sz w:val="28"/>
          <w:szCs w:val="28"/>
          <w:lang w:val="uk-UA"/>
        </w:rPr>
      </w:pPr>
      <w:r w:rsidRPr="002E6ECA">
        <w:rPr>
          <w:sz w:val="28"/>
          <w:szCs w:val="28"/>
          <w:lang w:val="uk-UA"/>
        </w:rPr>
        <w:t xml:space="preserve">Сотнікова-Мелешкіна Ж. В., Мартиненко О. В. Мультиваріативний метод оцінки ефективності оптимізації режиму дня школярів. 2020. </w:t>
      </w:r>
      <w:r w:rsidRPr="002E6ECA">
        <w:rPr>
          <w:bCs/>
          <w:i/>
          <w:sz w:val="28"/>
          <w:szCs w:val="28"/>
          <w:shd w:val="clear" w:color="auto" w:fill="FFFFFF"/>
          <w:lang w:val="uk-UA"/>
        </w:rPr>
        <w:t xml:space="preserve">Вісник Вінницького національного медичного університету. </w:t>
      </w:r>
      <w:r w:rsidRPr="002E6ECA">
        <w:rPr>
          <w:bCs/>
          <w:sz w:val="28"/>
          <w:szCs w:val="28"/>
          <w:shd w:val="clear" w:color="auto" w:fill="FFFFFF"/>
          <w:lang w:val="uk-UA"/>
        </w:rPr>
        <w:t xml:space="preserve">2020. № </w:t>
      </w:r>
      <w:r w:rsidRPr="002E6ECA">
        <w:rPr>
          <w:sz w:val="28"/>
          <w:szCs w:val="28"/>
          <w:lang w:val="uk-UA"/>
        </w:rPr>
        <w:t xml:space="preserve">4. С. 647-652. DOI: </w:t>
      </w:r>
      <w:r w:rsidRPr="002E6ECA">
        <w:rPr>
          <w:bCs/>
          <w:sz w:val="28"/>
          <w:szCs w:val="28"/>
          <w:lang w:val="uk-UA" w:eastAsia="uk-UA"/>
        </w:rPr>
        <w:t>10.31393/reports-vnmedical-2020-24(4)-11. (</w:t>
      </w:r>
      <w:r w:rsidRPr="002E6ECA">
        <w:rPr>
          <w:bCs/>
          <w:i/>
          <w:iCs/>
          <w:sz w:val="28"/>
          <w:szCs w:val="28"/>
          <w:lang w:val="uk-UA"/>
        </w:rPr>
        <w:t xml:space="preserve">Концепція та дизайн роботи, збір та аналіз даних, </w:t>
      </w:r>
      <w:r w:rsidRPr="002E6ECA">
        <w:rPr>
          <w:i/>
          <w:sz w:val="28"/>
          <w:szCs w:val="28"/>
          <w:lang w:val="uk-UA"/>
        </w:rPr>
        <w:t xml:space="preserve">аналіз джерел наукової літератури, </w:t>
      </w:r>
      <w:r w:rsidRPr="002E6ECA">
        <w:rPr>
          <w:bCs/>
          <w:i/>
          <w:iCs/>
          <w:sz w:val="28"/>
          <w:szCs w:val="28"/>
          <w:lang w:val="uk-UA"/>
        </w:rPr>
        <w:t>написання статті).</w:t>
      </w:r>
      <w:r w:rsidRPr="002E6ECA">
        <w:rPr>
          <w:sz w:val="28"/>
          <w:szCs w:val="28"/>
          <w:lang w:val="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bCs/>
          <w:i/>
          <w:iCs/>
          <w:sz w:val="28"/>
          <w:szCs w:val="28"/>
          <w:lang w:val="uk-UA"/>
        </w:rPr>
      </w:pPr>
      <w:r w:rsidRPr="002E6ECA">
        <w:rPr>
          <w:sz w:val="28"/>
          <w:szCs w:val="28"/>
          <w:lang w:val="en-US"/>
        </w:rPr>
        <w:t>Sotnikova</w:t>
      </w:r>
      <w:r w:rsidRPr="002E6ECA">
        <w:rPr>
          <w:sz w:val="28"/>
          <w:szCs w:val="28"/>
          <w:lang w:val="uk-UA"/>
        </w:rPr>
        <w:t>-</w:t>
      </w:r>
      <w:r w:rsidRPr="002E6ECA">
        <w:rPr>
          <w:sz w:val="28"/>
          <w:szCs w:val="28"/>
          <w:lang w:val="en-US"/>
        </w:rPr>
        <w:t>Meleshkina</w:t>
      </w:r>
      <w:r w:rsidRPr="002E6ECA">
        <w:rPr>
          <w:sz w:val="28"/>
          <w:szCs w:val="28"/>
          <w:lang w:val="uk-UA"/>
        </w:rPr>
        <w:t> </w:t>
      </w:r>
      <w:r w:rsidRPr="002E6ECA">
        <w:rPr>
          <w:sz w:val="28"/>
          <w:szCs w:val="28"/>
          <w:lang w:val="en-US"/>
        </w:rPr>
        <w:t>Zh</w:t>
      </w:r>
      <w:r w:rsidRPr="002E6ECA">
        <w:rPr>
          <w:sz w:val="28"/>
          <w:szCs w:val="28"/>
          <w:lang w:val="uk-UA"/>
        </w:rPr>
        <w:t>. </w:t>
      </w:r>
      <w:r w:rsidRPr="002E6ECA">
        <w:rPr>
          <w:sz w:val="28"/>
          <w:szCs w:val="28"/>
          <w:lang w:val="en-US"/>
        </w:rPr>
        <w:t>V</w:t>
      </w:r>
      <w:r w:rsidRPr="002E6ECA">
        <w:rPr>
          <w:sz w:val="28"/>
          <w:szCs w:val="28"/>
          <w:lang w:val="uk-UA"/>
        </w:rPr>
        <w:t xml:space="preserve">. </w:t>
      </w:r>
      <w:r w:rsidRPr="002E6ECA">
        <w:rPr>
          <w:bCs/>
          <w:sz w:val="28"/>
          <w:szCs w:val="28"/>
          <w:shd w:val="clear" w:color="auto" w:fill="FFFFFF"/>
          <w:lang w:val="en-US"/>
        </w:rPr>
        <w:t>The</w:t>
      </w:r>
      <w:r w:rsidRPr="002E6ECA">
        <w:rPr>
          <w:bCs/>
          <w:sz w:val="28"/>
          <w:szCs w:val="28"/>
          <w:shd w:val="clear" w:color="auto" w:fill="FFFFFF"/>
          <w:lang w:val="uk-UA"/>
        </w:rPr>
        <w:t xml:space="preserve"> </w:t>
      </w:r>
      <w:r w:rsidRPr="002E6ECA">
        <w:rPr>
          <w:bCs/>
          <w:sz w:val="28"/>
          <w:szCs w:val="28"/>
          <w:shd w:val="clear" w:color="auto" w:fill="FFFFFF"/>
          <w:lang w:val="en-US"/>
        </w:rPr>
        <w:t>structure</w:t>
      </w:r>
      <w:r w:rsidRPr="002E6ECA">
        <w:rPr>
          <w:bCs/>
          <w:sz w:val="28"/>
          <w:szCs w:val="28"/>
          <w:shd w:val="clear" w:color="auto" w:fill="FFFFFF"/>
          <w:lang w:val="uk-UA"/>
        </w:rPr>
        <w:t xml:space="preserve"> </w:t>
      </w:r>
      <w:r w:rsidRPr="002E6ECA">
        <w:rPr>
          <w:bCs/>
          <w:sz w:val="28"/>
          <w:szCs w:val="28"/>
          <w:shd w:val="clear" w:color="auto" w:fill="FFFFFF"/>
          <w:lang w:val="en-US"/>
        </w:rPr>
        <w:t>of</w:t>
      </w:r>
      <w:r w:rsidRPr="002E6ECA">
        <w:rPr>
          <w:bCs/>
          <w:sz w:val="28"/>
          <w:szCs w:val="28"/>
          <w:shd w:val="clear" w:color="auto" w:fill="FFFFFF"/>
          <w:lang w:val="uk-UA"/>
        </w:rPr>
        <w:t xml:space="preserve"> </w:t>
      </w:r>
      <w:r w:rsidRPr="002E6ECA">
        <w:rPr>
          <w:bCs/>
          <w:sz w:val="28"/>
          <w:szCs w:val="28"/>
          <w:shd w:val="clear" w:color="auto" w:fill="FFFFFF"/>
          <w:lang w:val="en-US"/>
        </w:rPr>
        <w:t>morbidity</w:t>
      </w:r>
      <w:r w:rsidRPr="002E6ECA">
        <w:rPr>
          <w:bCs/>
          <w:sz w:val="28"/>
          <w:szCs w:val="28"/>
          <w:shd w:val="clear" w:color="auto" w:fill="FFFFFF"/>
          <w:lang w:val="uk-UA"/>
        </w:rPr>
        <w:t xml:space="preserve"> </w:t>
      </w:r>
      <w:r w:rsidRPr="002E6ECA">
        <w:rPr>
          <w:bCs/>
          <w:sz w:val="28"/>
          <w:szCs w:val="28"/>
          <w:shd w:val="clear" w:color="auto" w:fill="FFFFFF"/>
          <w:lang w:val="en-US"/>
        </w:rPr>
        <w:t>of</w:t>
      </w:r>
      <w:r w:rsidRPr="002E6ECA">
        <w:rPr>
          <w:bCs/>
          <w:sz w:val="28"/>
          <w:szCs w:val="28"/>
          <w:shd w:val="clear" w:color="auto" w:fill="FFFFFF"/>
          <w:lang w:val="uk-UA"/>
        </w:rPr>
        <w:t xml:space="preserve"> </w:t>
      </w:r>
      <w:r w:rsidRPr="002E6ECA">
        <w:rPr>
          <w:bCs/>
          <w:sz w:val="28"/>
          <w:szCs w:val="28"/>
          <w:shd w:val="clear" w:color="auto" w:fill="FFFFFF"/>
          <w:lang w:val="en-US"/>
        </w:rPr>
        <w:t>secondary</w:t>
      </w:r>
      <w:r w:rsidRPr="002E6ECA">
        <w:rPr>
          <w:bCs/>
          <w:sz w:val="28"/>
          <w:szCs w:val="28"/>
          <w:shd w:val="clear" w:color="auto" w:fill="FFFFFF"/>
          <w:lang w:val="uk-UA"/>
        </w:rPr>
        <w:t xml:space="preserve"> </w:t>
      </w:r>
      <w:r w:rsidRPr="002E6ECA">
        <w:rPr>
          <w:bCs/>
          <w:sz w:val="28"/>
          <w:szCs w:val="28"/>
          <w:shd w:val="clear" w:color="auto" w:fill="FFFFFF"/>
          <w:lang w:val="en-US"/>
        </w:rPr>
        <w:t>school</w:t>
      </w:r>
      <w:r w:rsidRPr="002E6ECA">
        <w:rPr>
          <w:bCs/>
          <w:sz w:val="28"/>
          <w:szCs w:val="28"/>
          <w:shd w:val="clear" w:color="auto" w:fill="FFFFFF"/>
          <w:lang w:val="uk-UA"/>
        </w:rPr>
        <w:t xml:space="preserve"> </w:t>
      </w:r>
      <w:r w:rsidRPr="002E6ECA">
        <w:rPr>
          <w:bCs/>
          <w:sz w:val="28"/>
          <w:szCs w:val="28"/>
          <w:shd w:val="clear" w:color="auto" w:fill="FFFFFF"/>
          <w:lang w:val="en-US"/>
        </w:rPr>
        <w:t>children</w:t>
      </w:r>
      <w:r w:rsidRPr="002E6ECA">
        <w:rPr>
          <w:bCs/>
          <w:sz w:val="28"/>
          <w:szCs w:val="28"/>
          <w:shd w:val="clear" w:color="auto" w:fill="FFFFFF"/>
          <w:lang w:val="uk-UA"/>
        </w:rPr>
        <w:t xml:space="preserve">. </w:t>
      </w:r>
      <w:r w:rsidRPr="002E6ECA">
        <w:rPr>
          <w:bCs/>
          <w:i/>
          <w:iCs/>
          <w:sz w:val="28"/>
          <w:szCs w:val="28"/>
          <w:lang w:val="en-US"/>
        </w:rPr>
        <w:t>Reports</w:t>
      </w:r>
      <w:r w:rsidRPr="002E6ECA">
        <w:rPr>
          <w:bCs/>
          <w:i/>
          <w:iCs/>
          <w:sz w:val="28"/>
          <w:szCs w:val="28"/>
          <w:lang w:val="uk-UA"/>
        </w:rPr>
        <w:t xml:space="preserve"> </w:t>
      </w:r>
      <w:r w:rsidRPr="002E6ECA">
        <w:rPr>
          <w:bCs/>
          <w:i/>
          <w:iCs/>
          <w:sz w:val="28"/>
          <w:szCs w:val="28"/>
          <w:lang w:val="en-US"/>
        </w:rPr>
        <w:t>of</w:t>
      </w:r>
      <w:r w:rsidRPr="002E6ECA">
        <w:rPr>
          <w:bCs/>
          <w:i/>
          <w:iCs/>
          <w:sz w:val="28"/>
          <w:szCs w:val="28"/>
          <w:lang w:val="uk-UA"/>
        </w:rPr>
        <w:t xml:space="preserve"> </w:t>
      </w:r>
      <w:r w:rsidRPr="002E6ECA">
        <w:rPr>
          <w:bCs/>
          <w:i/>
          <w:iCs/>
          <w:sz w:val="28"/>
          <w:szCs w:val="28"/>
          <w:lang w:val="en-US"/>
        </w:rPr>
        <w:t>Morphology</w:t>
      </w:r>
      <w:r w:rsidRPr="002E6ECA">
        <w:rPr>
          <w:bCs/>
          <w:iCs/>
          <w:sz w:val="28"/>
          <w:szCs w:val="28"/>
          <w:lang w:val="uk-UA"/>
        </w:rPr>
        <w:t xml:space="preserve">. 2020. </w:t>
      </w:r>
      <w:r w:rsidRPr="002E6ECA">
        <w:rPr>
          <w:bCs/>
          <w:iCs/>
          <w:sz w:val="28"/>
          <w:szCs w:val="28"/>
          <w:lang w:val="en-US"/>
        </w:rPr>
        <w:t>Vol</w:t>
      </w:r>
      <w:r w:rsidRPr="002E6ECA">
        <w:rPr>
          <w:bCs/>
          <w:iCs/>
          <w:sz w:val="28"/>
          <w:szCs w:val="28"/>
          <w:lang w:val="uk-UA"/>
        </w:rPr>
        <w:t xml:space="preserve">. 26. № 4. </w:t>
      </w:r>
      <w:r w:rsidRPr="002E6ECA">
        <w:rPr>
          <w:bCs/>
          <w:iCs/>
          <w:sz w:val="28"/>
          <w:szCs w:val="28"/>
          <w:lang w:val="en-US"/>
        </w:rPr>
        <w:t>P</w:t>
      </w:r>
      <w:r w:rsidRPr="002E6ECA">
        <w:rPr>
          <w:bCs/>
          <w:iCs/>
          <w:sz w:val="28"/>
          <w:szCs w:val="28"/>
          <w:lang w:val="uk-UA"/>
        </w:rPr>
        <w:t xml:space="preserve">. 30-35. </w:t>
      </w:r>
      <w:r w:rsidRPr="002E6ECA">
        <w:rPr>
          <w:bCs/>
          <w:iCs/>
          <w:sz w:val="28"/>
          <w:szCs w:val="28"/>
          <w:lang w:val="en-US"/>
        </w:rPr>
        <w:t>DOI</w:t>
      </w:r>
      <w:r w:rsidRPr="002E6ECA">
        <w:rPr>
          <w:bCs/>
          <w:iCs/>
          <w:sz w:val="28"/>
          <w:szCs w:val="28"/>
          <w:lang w:val="uk-UA"/>
        </w:rPr>
        <w:t xml:space="preserve">: </w:t>
      </w:r>
      <w:r w:rsidRPr="002E6ECA">
        <w:rPr>
          <w:bCs/>
          <w:sz w:val="28"/>
          <w:szCs w:val="28"/>
          <w:lang w:val="uk-UA"/>
        </w:rPr>
        <w:t>10.31393/</w:t>
      </w:r>
      <w:r w:rsidRPr="002E6ECA">
        <w:rPr>
          <w:bCs/>
          <w:sz w:val="28"/>
          <w:szCs w:val="28"/>
          <w:lang w:val="en-US"/>
        </w:rPr>
        <w:t>morphology</w:t>
      </w:r>
      <w:r w:rsidRPr="002E6ECA">
        <w:rPr>
          <w:bCs/>
          <w:sz w:val="28"/>
          <w:szCs w:val="28"/>
          <w:lang w:val="uk-UA"/>
        </w:rPr>
        <w:t>-</w:t>
      </w:r>
      <w:r w:rsidRPr="002E6ECA">
        <w:rPr>
          <w:bCs/>
          <w:sz w:val="28"/>
          <w:szCs w:val="28"/>
          <w:lang w:val="en-US"/>
        </w:rPr>
        <w:t>journal</w:t>
      </w:r>
      <w:r w:rsidRPr="002E6ECA">
        <w:rPr>
          <w:bCs/>
          <w:sz w:val="28"/>
          <w:szCs w:val="28"/>
          <w:lang w:val="uk-UA"/>
        </w:rPr>
        <w:t>-2020-26(4)-05.</w:t>
      </w:r>
      <w:r w:rsidRPr="002E6ECA">
        <w:rPr>
          <w:sz w:val="28"/>
          <w:szCs w:val="28"/>
          <w:lang w:val="uk-UA"/>
        </w:rPr>
        <w:t xml:space="preserve"> </w:t>
      </w:r>
    </w:p>
    <w:p w:rsidR="00090685" w:rsidRPr="002E6ECA" w:rsidRDefault="00090685" w:rsidP="00090685">
      <w:pPr>
        <w:pStyle w:val="a3"/>
        <w:numPr>
          <w:ilvl w:val="0"/>
          <w:numId w:val="74"/>
        </w:numPr>
        <w:tabs>
          <w:tab w:val="left" w:pos="993"/>
        </w:tabs>
        <w:spacing w:line="360" w:lineRule="auto"/>
        <w:ind w:left="0" w:firstLine="709"/>
        <w:jc w:val="both"/>
        <w:rPr>
          <w:bCs/>
          <w:i/>
          <w:iCs/>
          <w:sz w:val="28"/>
          <w:szCs w:val="28"/>
          <w:lang w:val="uk-UA"/>
        </w:rPr>
      </w:pPr>
      <w:r w:rsidRPr="002E6ECA">
        <w:rPr>
          <w:bCs/>
          <w:iCs/>
          <w:sz w:val="28"/>
          <w:szCs w:val="28"/>
          <w:lang w:val="uk-UA"/>
        </w:rPr>
        <w:t>Redka</w:t>
      </w:r>
      <w:r w:rsidRPr="002E6ECA">
        <w:rPr>
          <w:sz w:val="28"/>
          <w:szCs w:val="28"/>
          <w:lang w:val="uk-UA"/>
        </w:rPr>
        <w:t> </w:t>
      </w:r>
      <w:r w:rsidRPr="002E6ECA">
        <w:rPr>
          <w:bCs/>
          <w:iCs/>
          <w:sz w:val="28"/>
          <w:szCs w:val="28"/>
          <w:lang w:val="uk-UA"/>
        </w:rPr>
        <w:t>I.</w:t>
      </w:r>
      <w:r w:rsidRPr="002E6ECA">
        <w:rPr>
          <w:sz w:val="28"/>
          <w:szCs w:val="28"/>
          <w:lang w:val="uk-UA"/>
        </w:rPr>
        <w:t> </w:t>
      </w:r>
      <w:r w:rsidRPr="002E6ECA">
        <w:rPr>
          <w:bCs/>
          <w:iCs/>
          <w:sz w:val="28"/>
          <w:szCs w:val="28"/>
          <w:lang w:val="uk-UA"/>
        </w:rPr>
        <w:t>V., Danуlenko</w:t>
      </w:r>
      <w:r w:rsidRPr="002E6ECA">
        <w:rPr>
          <w:sz w:val="28"/>
          <w:szCs w:val="28"/>
          <w:lang w:val="uk-UA"/>
        </w:rPr>
        <w:t> </w:t>
      </w:r>
      <w:r w:rsidRPr="002E6ECA">
        <w:rPr>
          <w:bCs/>
          <w:iCs/>
          <w:sz w:val="28"/>
          <w:szCs w:val="28"/>
          <w:lang w:val="uk-UA"/>
        </w:rPr>
        <w:t>H.</w:t>
      </w:r>
      <w:r w:rsidRPr="002E6ECA">
        <w:rPr>
          <w:sz w:val="28"/>
          <w:szCs w:val="28"/>
          <w:lang w:val="uk-UA"/>
        </w:rPr>
        <w:t> </w:t>
      </w:r>
      <w:r w:rsidRPr="002E6ECA">
        <w:rPr>
          <w:bCs/>
          <w:iCs/>
          <w:sz w:val="28"/>
          <w:szCs w:val="28"/>
          <w:lang w:val="uk-UA"/>
        </w:rPr>
        <w:t>M., Sotnikova-Meleshkina</w:t>
      </w:r>
      <w:r w:rsidRPr="002E6ECA">
        <w:rPr>
          <w:sz w:val="28"/>
          <w:szCs w:val="28"/>
          <w:lang w:val="uk-UA"/>
        </w:rPr>
        <w:t> </w:t>
      </w:r>
      <w:r w:rsidRPr="002E6ECA">
        <w:rPr>
          <w:bCs/>
          <w:iCs/>
          <w:sz w:val="28"/>
          <w:szCs w:val="28"/>
          <w:lang w:val="uk-UA"/>
        </w:rPr>
        <w:t>Zh.</w:t>
      </w:r>
      <w:r w:rsidRPr="002E6ECA">
        <w:rPr>
          <w:sz w:val="28"/>
          <w:szCs w:val="28"/>
          <w:lang w:val="uk-UA"/>
        </w:rPr>
        <w:t> </w:t>
      </w:r>
      <w:r w:rsidRPr="002E6ECA">
        <w:rPr>
          <w:bCs/>
          <w:iCs/>
          <w:sz w:val="28"/>
          <w:szCs w:val="28"/>
          <w:lang w:val="uk-UA"/>
        </w:rPr>
        <w:t>V., Mikhalchuk</w:t>
      </w:r>
      <w:r w:rsidRPr="002E6ECA">
        <w:rPr>
          <w:sz w:val="28"/>
          <w:szCs w:val="28"/>
          <w:lang w:val="uk-UA"/>
        </w:rPr>
        <w:t> </w:t>
      </w:r>
      <w:r w:rsidRPr="002E6ECA">
        <w:rPr>
          <w:bCs/>
          <w:iCs/>
          <w:sz w:val="28"/>
          <w:szCs w:val="28"/>
          <w:lang w:val="uk-UA"/>
        </w:rPr>
        <w:t>O.</w:t>
      </w:r>
      <w:r w:rsidRPr="002E6ECA">
        <w:rPr>
          <w:sz w:val="28"/>
          <w:szCs w:val="28"/>
          <w:lang w:val="uk-UA"/>
        </w:rPr>
        <w:t> </w:t>
      </w:r>
      <w:r w:rsidRPr="002E6ECA">
        <w:rPr>
          <w:bCs/>
          <w:iCs/>
          <w:sz w:val="28"/>
          <w:szCs w:val="28"/>
          <w:lang w:val="uk-UA"/>
        </w:rPr>
        <w:t>Ya.</w:t>
      </w:r>
      <w:r w:rsidRPr="002E6ECA">
        <w:rPr>
          <w:sz w:val="28"/>
          <w:szCs w:val="28"/>
          <w:shd w:val="clear" w:color="auto" w:fill="FFFFFF"/>
          <w:lang w:val="uk-UA"/>
        </w:rPr>
        <w:t xml:space="preserve"> Prenosological screening of autonomic regulatory systems tension in secondary school students</w:t>
      </w:r>
      <w:r w:rsidRPr="002E6ECA">
        <w:rPr>
          <w:sz w:val="28"/>
          <w:szCs w:val="28"/>
          <w:lang w:val="uk-UA" w:eastAsia="uk-UA"/>
        </w:rPr>
        <w:t xml:space="preserve">. </w:t>
      </w:r>
      <w:r w:rsidRPr="002E6ECA">
        <w:rPr>
          <w:rStyle w:val="a4"/>
          <w:b w:val="0"/>
          <w:i/>
          <w:sz w:val="28"/>
          <w:szCs w:val="28"/>
          <w:shd w:val="clear" w:color="auto" w:fill="FFFFFF"/>
          <w:lang w:val="uk-UA"/>
        </w:rPr>
        <w:t xml:space="preserve">Biomedical and Biosocial Аnthropology. </w:t>
      </w:r>
      <w:r w:rsidRPr="002E6ECA">
        <w:rPr>
          <w:rStyle w:val="a4"/>
          <w:b w:val="0"/>
          <w:sz w:val="28"/>
          <w:szCs w:val="28"/>
          <w:shd w:val="clear" w:color="auto" w:fill="FFFFFF"/>
          <w:lang w:val="uk-UA"/>
        </w:rPr>
        <w:t>2020</w:t>
      </w:r>
      <w:r w:rsidRPr="002E6ECA">
        <w:rPr>
          <w:rStyle w:val="a4"/>
          <w:b w:val="0"/>
          <w:i/>
          <w:sz w:val="28"/>
          <w:szCs w:val="28"/>
          <w:shd w:val="clear" w:color="auto" w:fill="FFFFFF"/>
          <w:lang w:val="uk-UA"/>
        </w:rPr>
        <w:t xml:space="preserve">. </w:t>
      </w:r>
      <w:r w:rsidRPr="002E6ECA">
        <w:rPr>
          <w:rStyle w:val="a4"/>
          <w:b w:val="0"/>
          <w:sz w:val="28"/>
          <w:szCs w:val="28"/>
          <w:shd w:val="clear" w:color="auto" w:fill="FFFFFF"/>
          <w:lang w:val="uk-UA"/>
        </w:rPr>
        <w:t>Vol. 38. Р. 47-53</w:t>
      </w:r>
      <w:r w:rsidRPr="002E6ECA">
        <w:rPr>
          <w:b/>
          <w:sz w:val="28"/>
          <w:szCs w:val="28"/>
          <w:lang w:val="uk-UA"/>
        </w:rPr>
        <w:t xml:space="preserve">. </w:t>
      </w:r>
      <w:r w:rsidRPr="002E6ECA">
        <w:rPr>
          <w:bCs/>
          <w:sz w:val="28"/>
          <w:szCs w:val="28"/>
          <w:lang w:val="uk-UA"/>
        </w:rPr>
        <w:t xml:space="preserve">DOI: 10.31393/bba38-2020-07. </w:t>
      </w:r>
      <w:r w:rsidRPr="002E6ECA">
        <w:rPr>
          <w:bCs/>
          <w:i/>
          <w:iCs/>
          <w:sz w:val="28"/>
          <w:szCs w:val="28"/>
          <w:lang w:val="uk-UA"/>
        </w:rPr>
        <w:t>(Організація дослідження, узагальнення та статистичний аналіз даних, участь у написанні статті).</w:t>
      </w:r>
    </w:p>
    <w:p w:rsidR="00A110CD" w:rsidRPr="002E6ECA" w:rsidRDefault="00A110CD" w:rsidP="00A110CD">
      <w:pPr>
        <w:tabs>
          <w:tab w:val="left" w:pos="993"/>
        </w:tabs>
        <w:spacing w:line="360" w:lineRule="auto"/>
        <w:ind w:firstLine="567"/>
        <w:jc w:val="center"/>
        <w:rPr>
          <w:i/>
          <w:sz w:val="28"/>
          <w:szCs w:val="28"/>
          <w:lang w:val="uk-UA"/>
        </w:rPr>
      </w:pPr>
    </w:p>
    <w:p w:rsidR="00A110CD" w:rsidRPr="002E6ECA" w:rsidRDefault="00A110CD" w:rsidP="00A110CD">
      <w:pPr>
        <w:tabs>
          <w:tab w:val="left" w:pos="993"/>
        </w:tabs>
        <w:spacing w:line="360" w:lineRule="auto"/>
        <w:ind w:firstLine="567"/>
        <w:jc w:val="center"/>
        <w:rPr>
          <w:i/>
          <w:sz w:val="28"/>
          <w:szCs w:val="28"/>
        </w:rPr>
      </w:pPr>
      <w:r w:rsidRPr="002E6ECA">
        <w:rPr>
          <w:i/>
          <w:sz w:val="28"/>
          <w:szCs w:val="28"/>
        </w:rPr>
        <w:t>Опубліковані праці апробаційного характеру</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Кіндрук М. О. Вплив технологічної досконалості педагогічної інновації на формування коморбідних станів у учнів основної школи. </w:t>
      </w:r>
      <w:r w:rsidRPr="002E6ECA">
        <w:rPr>
          <w:i/>
          <w:sz w:val="28"/>
          <w:szCs w:val="28"/>
          <w:lang w:val="uk-UA"/>
        </w:rPr>
        <w:t xml:space="preserve">Актуальні питання фізіології, патології та організації медичного забезпечення дітей шкільного віку та підлітків. Проблемні питання коморбідних станів у дітей та підлітків : </w:t>
      </w:r>
      <w:r w:rsidRPr="002E6ECA">
        <w:rPr>
          <w:bCs/>
          <w:sz w:val="28"/>
          <w:szCs w:val="28"/>
          <w:lang w:val="uk-UA"/>
        </w:rPr>
        <w:t>науково-практична конференція з міжнародною участю</w:t>
      </w:r>
      <w:r w:rsidRPr="002E6ECA">
        <w:rPr>
          <w:sz w:val="28"/>
          <w:szCs w:val="28"/>
          <w:lang w:val="uk-UA"/>
        </w:rPr>
        <w:t xml:space="preserve">, м. Харків, 16-17 листопада 2017 р. Харків, 2017. С. 53-55.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lastRenderedPageBreak/>
        <w:t xml:space="preserve">Даниленко Г. М., Сотнікова-Мелешкіна Ж. В. Самооцінка здоров’я та якості життя як критерій визначення соціальної нерівності серед дітей та підлітків. </w:t>
      </w:r>
      <w:r w:rsidRPr="002E6ECA">
        <w:rPr>
          <w:i/>
          <w:sz w:val="28"/>
          <w:szCs w:val="28"/>
          <w:lang w:val="uk-UA"/>
        </w:rPr>
        <w:t xml:space="preserve">Нові нерівності </w:t>
      </w:r>
      <w:r w:rsidR="00E26678" w:rsidRPr="002E6ECA">
        <w:rPr>
          <w:i/>
          <w:sz w:val="28"/>
          <w:szCs w:val="28"/>
          <w:lang w:val="uk-UA"/>
        </w:rPr>
        <w:t>-</w:t>
      </w:r>
      <w:r w:rsidRPr="002E6ECA">
        <w:rPr>
          <w:i/>
          <w:sz w:val="28"/>
          <w:szCs w:val="28"/>
          <w:lang w:val="uk-UA"/>
        </w:rPr>
        <w:t xml:space="preserve">нові конфлікти: шляхи подолання : </w:t>
      </w:r>
      <w:r w:rsidRPr="002E6ECA">
        <w:rPr>
          <w:sz w:val="28"/>
          <w:szCs w:val="28"/>
          <w:lang w:val="uk-UA"/>
        </w:rPr>
        <w:t xml:space="preserve">тези доповідей та виступів учасників ІІІ Конгресу Соціологічної асоціації України, м. Харків, 12-13 жовтня 2017 р. Харків, 2017. С. 433-435.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shd w:val="clear" w:color="auto" w:fill="FFFFFF"/>
          <w:lang w:val="uk-UA"/>
        </w:rPr>
        <w:t>Danylenko</w:t>
      </w:r>
      <w:r w:rsidRPr="002E6ECA">
        <w:rPr>
          <w:sz w:val="28"/>
          <w:szCs w:val="28"/>
          <w:lang w:val="uk-UA"/>
        </w:rPr>
        <w:t> </w:t>
      </w:r>
      <w:r w:rsidRPr="002E6ECA">
        <w:rPr>
          <w:sz w:val="28"/>
          <w:szCs w:val="28"/>
          <w:shd w:val="clear" w:color="auto" w:fill="FFFFFF"/>
          <w:lang w:val="uk-UA"/>
        </w:rPr>
        <w:t>H.</w:t>
      </w:r>
      <w:r w:rsidRPr="002E6ECA">
        <w:rPr>
          <w:sz w:val="28"/>
          <w:szCs w:val="28"/>
          <w:lang w:val="uk-UA"/>
        </w:rPr>
        <w:t> </w:t>
      </w:r>
      <w:r w:rsidRPr="002E6ECA">
        <w:rPr>
          <w:sz w:val="28"/>
          <w:szCs w:val="28"/>
          <w:shd w:val="clear" w:color="auto" w:fill="FFFFFF"/>
          <w:lang w:val="uk-UA"/>
        </w:rPr>
        <w:t>M., Sotnikova-Meleshkina</w:t>
      </w:r>
      <w:r w:rsidRPr="002E6ECA">
        <w:rPr>
          <w:sz w:val="28"/>
          <w:szCs w:val="28"/>
          <w:lang w:val="uk-UA"/>
        </w:rPr>
        <w:t> </w:t>
      </w:r>
      <w:r w:rsidRPr="002E6ECA">
        <w:rPr>
          <w:sz w:val="28"/>
          <w:szCs w:val="28"/>
          <w:shd w:val="clear" w:color="auto" w:fill="FFFFFF"/>
          <w:lang w:val="uk-UA"/>
        </w:rPr>
        <w:t>Z.</w:t>
      </w:r>
      <w:r w:rsidRPr="002E6ECA">
        <w:rPr>
          <w:sz w:val="28"/>
          <w:szCs w:val="28"/>
          <w:lang w:val="uk-UA"/>
        </w:rPr>
        <w:t> </w:t>
      </w:r>
      <w:r w:rsidRPr="002E6ECA">
        <w:rPr>
          <w:sz w:val="28"/>
          <w:szCs w:val="28"/>
          <w:shd w:val="clear" w:color="auto" w:fill="FFFFFF"/>
          <w:lang w:val="uk-UA"/>
        </w:rPr>
        <w:t>V., Holubnicha</w:t>
      </w:r>
      <w:r w:rsidRPr="002E6ECA">
        <w:rPr>
          <w:sz w:val="28"/>
          <w:szCs w:val="28"/>
          <w:lang w:val="uk-UA"/>
        </w:rPr>
        <w:t> </w:t>
      </w:r>
      <w:r w:rsidRPr="002E6ECA">
        <w:rPr>
          <w:sz w:val="28"/>
          <w:szCs w:val="28"/>
          <w:shd w:val="clear" w:color="auto" w:fill="FFFFFF"/>
          <w:lang w:val="uk-UA"/>
        </w:rPr>
        <w:t>H.</w:t>
      </w:r>
      <w:r w:rsidRPr="002E6ECA">
        <w:rPr>
          <w:sz w:val="28"/>
          <w:szCs w:val="28"/>
          <w:lang w:val="uk-UA"/>
        </w:rPr>
        <w:t> </w:t>
      </w:r>
      <w:r w:rsidRPr="002E6ECA">
        <w:rPr>
          <w:sz w:val="28"/>
          <w:szCs w:val="28"/>
          <w:shd w:val="clear" w:color="auto" w:fill="FFFFFF"/>
          <w:lang w:val="uk-UA"/>
        </w:rPr>
        <w:t xml:space="preserve">I. Quality of life of pupils primary school </w:t>
      </w:r>
      <w:r w:rsidR="00E26678" w:rsidRPr="002E6ECA">
        <w:rPr>
          <w:sz w:val="28"/>
          <w:szCs w:val="28"/>
          <w:shd w:val="clear" w:color="auto" w:fill="FFFFFF"/>
          <w:lang w:val="uk-UA"/>
        </w:rPr>
        <w:t>-</w:t>
      </w:r>
      <w:r w:rsidRPr="002E6ECA">
        <w:rPr>
          <w:sz w:val="28"/>
          <w:szCs w:val="28"/>
          <w:shd w:val="clear" w:color="auto" w:fill="FFFFFF"/>
          <w:lang w:val="uk-UA"/>
        </w:rPr>
        <w:t xml:space="preserve">indicator their social well-being. Public Health Forum. </w:t>
      </w:r>
      <w:r w:rsidRPr="002E6ECA">
        <w:rPr>
          <w:iCs/>
          <w:sz w:val="28"/>
          <w:szCs w:val="28"/>
          <w:lang w:val="uk-UA"/>
        </w:rPr>
        <w:t>Journal of Polish Society of Public Health</w:t>
      </w:r>
      <w:r w:rsidRPr="002E6ECA">
        <w:rPr>
          <w:sz w:val="28"/>
          <w:szCs w:val="28"/>
          <w:shd w:val="clear" w:color="auto" w:fill="FFFFFF"/>
          <w:lang w:val="uk-UA"/>
        </w:rPr>
        <w:t xml:space="preserve"> Forum. </w:t>
      </w:r>
      <w:r w:rsidRPr="002E6ECA">
        <w:rPr>
          <w:iCs/>
          <w:sz w:val="28"/>
          <w:szCs w:val="28"/>
          <w:lang w:val="uk-UA"/>
        </w:rPr>
        <w:t>Czasopismo Polskiego Towarzystwa Zdrowia Publicznego</w:t>
      </w:r>
      <w:r w:rsidRPr="002E6ECA">
        <w:rPr>
          <w:sz w:val="28"/>
          <w:szCs w:val="28"/>
          <w:lang w:val="uk-UA"/>
        </w:rPr>
        <w:t>, Wroclaw, 22</w:t>
      </w:r>
      <w:r w:rsidRPr="002E6ECA">
        <w:rPr>
          <w:sz w:val="28"/>
          <w:szCs w:val="28"/>
          <w:lang w:val="en-US"/>
        </w:rPr>
        <w:t>d</w:t>
      </w:r>
      <w:r w:rsidRPr="002E6ECA">
        <w:rPr>
          <w:sz w:val="28"/>
          <w:szCs w:val="28"/>
          <w:lang w:val="uk-UA"/>
        </w:rPr>
        <w:t xml:space="preserve">-23th November 2018 Wroclaw, 2018. Р. 199.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Багаторічна динаміка антропометричних показників фізичного розвитку школярів м. Харкова. </w:t>
      </w:r>
      <w:r w:rsidRPr="002E6ECA">
        <w:rPr>
          <w:bCs/>
          <w:i/>
          <w:sz w:val="28"/>
          <w:szCs w:val="28"/>
          <w:lang w:val="uk-UA"/>
        </w:rPr>
        <w:t xml:space="preserve">Актуальні питання фізіології, патології та організації медичного забезпечення дітей шкільного віку та підлітків. Прогнозування формування хронічної соматичної патології : </w:t>
      </w:r>
      <w:r w:rsidRPr="002E6ECA">
        <w:rPr>
          <w:sz w:val="28"/>
          <w:szCs w:val="28"/>
          <w:lang w:val="uk-UA"/>
        </w:rPr>
        <w:t xml:space="preserve">науково-практична конференція з міжнародною участю, м. Харків, 14-15 листопада 2019 Харків, 2019. № 2. С. 83-84.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 xml:space="preserve">Сотнікова-Мелешкіна Ж. В., Кривонос К. А. Гігієнічний моніторинг атмосферного повітря як фактор забезпечення санітарно-епідемічного </w:t>
      </w:r>
      <w:r w:rsidRPr="002E6ECA">
        <w:rPr>
          <w:spacing w:val="-2"/>
          <w:sz w:val="28"/>
          <w:szCs w:val="28"/>
          <w:lang w:val="uk-UA"/>
        </w:rPr>
        <w:t xml:space="preserve">благополуччя та техногенно-екологічної безпеки дитячого населення мегаполісу. </w:t>
      </w:r>
      <w:r w:rsidRPr="002E6ECA">
        <w:rPr>
          <w:i/>
          <w:spacing w:val="-2"/>
          <w:sz w:val="28"/>
          <w:szCs w:val="28"/>
          <w:lang w:val="uk-UA"/>
        </w:rPr>
        <w:t>Проблеми техногенно-екологічної безпеки: освіта, наука, практика:</w:t>
      </w:r>
      <w:r w:rsidRPr="002E6ECA">
        <w:rPr>
          <w:spacing w:val="-2"/>
          <w:sz w:val="28"/>
          <w:szCs w:val="28"/>
          <w:lang w:val="uk-UA"/>
        </w:rPr>
        <w:t xml:space="preserve"> міжнародна науково-практична конференція</w:t>
      </w:r>
      <w:r w:rsidRPr="002E6ECA">
        <w:rPr>
          <w:sz w:val="28"/>
          <w:szCs w:val="28"/>
          <w:lang w:val="uk-UA"/>
        </w:rPr>
        <w:t xml:space="preserve">, м. Харків: НУЦЗУ, 21-22 листопада 2019 Харків, 2019. С. 254-255.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Sotnikova-Meleshkina Zh. V., Avdiievska O. H., Dudnik I. V. Formation of eating behavior of student youth as a factor in the prevention of noncommunicable diseases. Public Health Forum. Journal of Polish Society of Public Health Forum. Czasopismo Polskiego Towarzystwa Zdrowia Publicznego</w:t>
      </w:r>
      <w:r w:rsidRPr="002E6ECA">
        <w:rPr>
          <w:i/>
          <w:sz w:val="28"/>
          <w:szCs w:val="28"/>
          <w:lang w:val="uk-UA"/>
        </w:rPr>
        <w:t xml:space="preserve">, </w:t>
      </w:r>
      <w:r w:rsidRPr="002E6ECA">
        <w:rPr>
          <w:sz w:val="28"/>
          <w:szCs w:val="28"/>
          <w:lang w:val="uk-UA"/>
        </w:rPr>
        <w:t xml:space="preserve">Wroclaw, 28th-29th November 2019 Wroclaw, 2019. Р. 93.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eastAsia="uk-UA"/>
        </w:rPr>
        <w:t>Авдієвська</w:t>
      </w:r>
      <w:r w:rsidRPr="002E6ECA">
        <w:rPr>
          <w:sz w:val="28"/>
          <w:szCs w:val="28"/>
          <w:lang w:val="uk-UA"/>
        </w:rPr>
        <w:t> </w:t>
      </w:r>
      <w:r w:rsidRPr="002E6ECA">
        <w:rPr>
          <w:sz w:val="28"/>
          <w:szCs w:val="28"/>
          <w:lang w:val="uk-UA" w:eastAsia="uk-UA"/>
        </w:rPr>
        <w:t>О.</w:t>
      </w:r>
      <w:r w:rsidRPr="002E6ECA">
        <w:rPr>
          <w:sz w:val="28"/>
          <w:szCs w:val="28"/>
          <w:lang w:val="uk-UA"/>
        </w:rPr>
        <w:t> </w:t>
      </w:r>
      <w:r w:rsidRPr="002E6ECA">
        <w:rPr>
          <w:sz w:val="28"/>
          <w:szCs w:val="28"/>
          <w:lang w:val="uk-UA" w:eastAsia="uk-UA"/>
        </w:rPr>
        <w:t xml:space="preserve">Г., </w:t>
      </w:r>
      <w:r w:rsidRPr="002E6ECA">
        <w:rPr>
          <w:sz w:val="28"/>
          <w:szCs w:val="28"/>
          <w:lang w:val="uk-UA"/>
        </w:rPr>
        <w:t xml:space="preserve">Даниленко Г. М., Сотнікова-Мелешкіна Ж. В., Подрігало Л. В. Вплив родини на формування свідомого ставлення підлітків до власного здоров’я. </w:t>
      </w:r>
      <w:r w:rsidRPr="002E6ECA">
        <w:rPr>
          <w:i/>
          <w:sz w:val="28"/>
          <w:szCs w:val="28"/>
          <w:lang w:val="uk-UA"/>
        </w:rPr>
        <w:t xml:space="preserve">Громадське здоров’я в Україні - сучасні виклики і </w:t>
      </w:r>
      <w:r w:rsidRPr="002E6ECA">
        <w:rPr>
          <w:i/>
          <w:sz w:val="28"/>
          <w:szCs w:val="28"/>
          <w:lang w:val="uk-UA"/>
        </w:rPr>
        <w:lastRenderedPageBreak/>
        <w:t xml:space="preserve">перспективи розвитку : </w:t>
      </w:r>
      <w:r w:rsidRPr="002E6ECA">
        <w:rPr>
          <w:sz w:val="28"/>
          <w:szCs w:val="28"/>
          <w:lang w:val="uk-UA"/>
        </w:rPr>
        <w:t xml:space="preserve">міжнародна конференція з громадського здоров’я, м. Суми, 23-24 квітня 2020 р. Суми, 2020 (формат проведення: заочна on-line конференція). С. 1058-1059.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Даниленко Г. М., Сотнікова-Мелешкіна Ж. В., Кіндрук М. О. Розумова працездатність учнів середньої школи в умовах інтенсифікації освітнього процесу</w:t>
      </w:r>
      <w:r w:rsidRPr="002E6ECA">
        <w:rPr>
          <w:i/>
          <w:sz w:val="28"/>
          <w:szCs w:val="28"/>
          <w:lang w:val="uk-UA"/>
        </w:rPr>
        <w:t xml:space="preserve">. Актуальні проблеми громадського здоров’я : </w:t>
      </w:r>
      <w:r w:rsidRPr="002E6ECA">
        <w:rPr>
          <w:sz w:val="28"/>
          <w:szCs w:val="28"/>
          <w:lang w:val="uk-UA"/>
        </w:rPr>
        <w:t>Х Всеукраїнська конференція з міжнародною участю «Освіта і здоров’я</w:t>
      </w:r>
      <w:r w:rsidRPr="002E6ECA">
        <w:rPr>
          <w:spacing w:val="-2"/>
          <w:sz w:val="28"/>
          <w:szCs w:val="28"/>
          <w:lang w:val="uk-UA"/>
        </w:rPr>
        <w:t>», м. Суми</w:t>
      </w:r>
      <w:r w:rsidRPr="002E6ECA">
        <w:rPr>
          <w:sz w:val="28"/>
          <w:szCs w:val="28"/>
          <w:lang w:val="uk-UA"/>
        </w:rPr>
        <w:t xml:space="preserve">, 7-8 квітня 2020 р. Суми, 2020. С. 89-90.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 xml:space="preserve">Сотнікова-Мелешкіна Ж. В., Островська Г. Є. Порівняльна характеристика показників якості життя учнів початкової школи за різних систем навчання. </w:t>
      </w:r>
      <w:r w:rsidRPr="002E6ECA">
        <w:rPr>
          <w:i/>
          <w:sz w:val="28"/>
          <w:szCs w:val="28"/>
          <w:lang w:val="uk-UA"/>
        </w:rPr>
        <w:t xml:space="preserve">Актуальні проблеми громадського здоров’я : </w:t>
      </w:r>
      <w:r w:rsidRPr="002E6ECA">
        <w:rPr>
          <w:sz w:val="28"/>
          <w:szCs w:val="28"/>
          <w:lang w:val="uk-UA"/>
        </w:rPr>
        <w:t>Х Всеукраїнська конференція з міжнародною участю «Освіта і здоров’я</w:t>
      </w:r>
      <w:r w:rsidRPr="002E6ECA">
        <w:rPr>
          <w:spacing w:val="-2"/>
          <w:sz w:val="28"/>
          <w:szCs w:val="28"/>
          <w:lang w:val="uk-UA"/>
        </w:rPr>
        <w:t>», м. Суми</w:t>
      </w:r>
      <w:r w:rsidRPr="002E6ECA">
        <w:rPr>
          <w:sz w:val="28"/>
          <w:szCs w:val="28"/>
          <w:lang w:val="uk-UA"/>
        </w:rPr>
        <w:t xml:space="preserve">, 7-8 квітня 2020 р. Суми, 2020. С. 149-151.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Вплив інтенсивного зорового навантаження під час дистанційного навчання на якість життя, що пов’язана зі здоров’ям учнів базової школи. </w:t>
      </w:r>
      <w:r w:rsidRPr="002E6ECA">
        <w:rPr>
          <w:i/>
          <w:sz w:val="28"/>
          <w:szCs w:val="28"/>
          <w:lang w:val="uk-UA"/>
        </w:rPr>
        <w:t xml:space="preserve">Фізичні фактори довкілля і їх вплив на формування здоров’я населення України </w:t>
      </w:r>
      <w:r w:rsidRPr="002E6ECA">
        <w:rPr>
          <w:sz w:val="28"/>
          <w:szCs w:val="28"/>
          <w:lang w:val="uk-UA"/>
        </w:rPr>
        <w:t xml:space="preserve">: шістнадцяті Марзєєвські читання, м. Київ, 12-13 листопада 2020 р. Київ, 2020. С. 192-194.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eastAsia="uk-UA"/>
        </w:rPr>
        <w:t>Даниленко</w:t>
      </w:r>
      <w:r w:rsidRPr="002E6ECA">
        <w:rPr>
          <w:sz w:val="28"/>
          <w:szCs w:val="28"/>
          <w:lang w:val="uk-UA"/>
        </w:rPr>
        <w:t> </w:t>
      </w:r>
      <w:r w:rsidRPr="002E6ECA">
        <w:rPr>
          <w:sz w:val="28"/>
          <w:szCs w:val="28"/>
          <w:lang w:val="uk-UA" w:eastAsia="uk-UA"/>
        </w:rPr>
        <w:t>Г.</w:t>
      </w:r>
      <w:r w:rsidRPr="002E6ECA">
        <w:rPr>
          <w:sz w:val="28"/>
          <w:szCs w:val="28"/>
          <w:lang w:val="uk-UA"/>
        </w:rPr>
        <w:t> </w:t>
      </w:r>
      <w:r w:rsidRPr="002E6ECA">
        <w:rPr>
          <w:sz w:val="28"/>
          <w:szCs w:val="28"/>
          <w:lang w:val="uk-UA" w:eastAsia="uk-UA"/>
        </w:rPr>
        <w:t>М., Сотнікова-Мелешкіна</w:t>
      </w:r>
      <w:r w:rsidRPr="002E6ECA">
        <w:rPr>
          <w:sz w:val="28"/>
          <w:szCs w:val="28"/>
          <w:lang w:val="uk-UA"/>
        </w:rPr>
        <w:t> </w:t>
      </w:r>
      <w:r w:rsidRPr="002E6ECA">
        <w:rPr>
          <w:sz w:val="28"/>
          <w:szCs w:val="28"/>
          <w:lang w:val="uk-UA" w:eastAsia="uk-UA"/>
        </w:rPr>
        <w:t>Ж.</w:t>
      </w:r>
      <w:r w:rsidRPr="002E6ECA">
        <w:rPr>
          <w:sz w:val="28"/>
          <w:szCs w:val="28"/>
          <w:lang w:val="uk-UA"/>
        </w:rPr>
        <w:t> </w:t>
      </w:r>
      <w:r w:rsidRPr="002E6ECA">
        <w:rPr>
          <w:sz w:val="28"/>
          <w:szCs w:val="28"/>
          <w:lang w:val="uk-UA" w:eastAsia="uk-UA"/>
        </w:rPr>
        <w:t xml:space="preserve">В. </w:t>
      </w:r>
      <w:r w:rsidRPr="002E6ECA">
        <w:rPr>
          <w:sz w:val="28"/>
          <w:szCs w:val="28"/>
          <w:lang w:val="uk-UA"/>
        </w:rPr>
        <w:t xml:space="preserve">Вплив компонентів режиму дня на суб’єктивну та об’єктивну оцінку здоров’я учнями середнього шкільного віку. </w:t>
      </w:r>
      <w:r w:rsidRPr="002E6ECA">
        <w:rPr>
          <w:bCs/>
          <w:i/>
          <w:sz w:val="28"/>
          <w:szCs w:val="28"/>
          <w:lang w:val="uk-UA"/>
        </w:rPr>
        <w:t xml:space="preserve">Актуальні питання фізіології, патології та організації медичного забезпечення дітей шкільного віку та підлітків : </w:t>
      </w:r>
      <w:r w:rsidRPr="002E6ECA">
        <w:rPr>
          <w:bCs/>
          <w:sz w:val="28"/>
          <w:szCs w:val="28"/>
          <w:lang w:val="uk-UA"/>
        </w:rPr>
        <w:t>науково-практична конференція з міжнародною участю, м. Харків, 17-18 грудня 2020 р. Харків, 2020. С. 73-74.</w:t>
      </w:r>
      <w:r w:rsidRPr="002E6ECA">
        <w:rPr>
          <w:sz w:val="28"/>
          <w:szCs w:val="28"/>
          <w:lang w:val="uk-UA"/>
        </w:rPr>
        <w:t xml:space="preserve">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eastAsia="uk-UA"/>
        </w:rPr>
        <w:t>Сотнікова-Мелешкіна</w:t>
      </w:r>
      <w:r w:rsidRPr="002E6ECA">
        <w:rPr>
          <w:sz w:val="28"/>
          <w:szCs w:val="28"/>
          <w:lang w:val="uk-UA"/>
        </w:rPr>
        <w:t> </w:t>
      </w:r>
      <w:r w:rsidRPr="002E6ECA">
        <w:rPr>
          <w:sz w:val="28"/>
          <w:szCs w:val="28"/>
          <w:lang w:val="uk-UA" w:eastAsia="uk-UA"/>
        </w:rPr>
        <w:t>Ж</w:t>
      </w:r>
      <w:r w:rsidRPr="002E6ECA">
        <w:rPr>
          <w:spacing w:val="-4"/>
          <w:sz w:val="28"/>
          <w:szCs w:val="28"/>
          <w:lang w:val="uk-UA" w:eastAsia="uk-UA"/>
        </w:rPr>
        <w:t>.</w:t>
      </w:r>
      <w:r w:rsidRPr="002E6ECA">
        <w:rPr>
          <w:sz w:val="28"/>
          <w:szCs w:val="28"/>
          <w:lang w:val="uk-UA"/>
        </w:rPr>
        <w:t> </w:t>
      </w:r>
      <w:r w:rsidRPr="002E6ECA">
        <w:rPr>
          <w:spacing w:val="-4"/>
          <w:sz w:val="28"/>
          <w:szCs w:val="28"/>
          <w:lang w:val="uk-UA" w:eastAsia="uk-UA"/>
        </w:rPr>
        <w:t>В., Даниленко</w:t>
      </w:r>
      <w:r w:rsidRPr="002E6ECA">
        <w:rPr>
          <w:sz w:val="28"/>
          <w:szCs w:val="28"/>
          <w:lang w:val="uk-UA"/>
        </w:rPr>
        <w:t> </w:t>
      </w:r>
      <w:r w:rsidRPr="002E6ECA">
        <w:rPr>
          <w:spacing w:val="-4"/>
          <w:sz w:val="28"/>
          <w:szCs w:val="28"/>
          <w:lang w:val="uk-UA" w:eastAsia="uk-UA"/>
        </w:rPr>
        <w:t>Г.</w:t>
      </w:r>
      <w:r w:rsidRPr="002E6ECA">
        <w:rPr>
          <w:sz w:val="28"/>
          <w:szCs w:val="28"/>
          <w:lang w:val="uk-UA"/>
        </w:rPr>
        <w:t> </w:t>
      </w:r>
      <w:r w:rsidRPr="002E6ECA">
        <w:rPr>
          <w:spacing w:val="-4"/>
          <w:sz w:val="28"/>
          <w:szCs w:val="28"/>
          <w:lang w:val="uk-UA" w:eastAsia="uk-UA"/>
        </w:rPr>
        <w:t>М.,</w:t>
      </w:r>
      <w:r w:rsidRPr="002E6ECA">
        <w:rPr>
          <w:spacing w:val="-4"/>
          <w:sz w:val="28"/>
          <w:szCs w:val="28"/>
          <w:vertAlign w:val="superscript"/>
          <w:lang w:val="uk-UA" w:eastAsia="uk-UA"/>
        </w:rPr>
        <w:t xml:space="preserve"> </w:t>
      </w:r>
      <w:r w:rsidRPr="002E6ECA">
        <w:rPr>
          <w:spacing w:val="-4"/>
          <w:sz w:val="28"/>
          <w:szCs w:val="28"/>
          <w:lang w:val="uk-UA" w:eastAsia="uk-UA"/>
        </w:rPr>
        <w:t>Авдієвська</w:t>
      </w:r>
      <w:r w:rsidRPr="002E6ECA">
        <w:rPr>
          <w:sz w:val="28"/>
          <w:szCs w:val="28"/>
          <w:lang w:val="uk-UA"/>
        </w:rPr>
        <w:t> </w:t>
      </w:r>
      <w:r w:rsidRPr="002E6ECA">
        <w:rPr>
          <w:spacing w:val="-4"/>
          <w:sz w:val="28"/>
          <w:szCs w:val="28"/>
          <w:lang w:val="uk-UA" w:eastAsia="uk-UA"/>
        </w:rPr>
        <w:t>О.</w:t>
      </w:r>
      <w:r w:rsidRPr="002E6ECA">
        <w:rPr>
          <w:sz w:val="28"/>
          <w:szCs w:val="28"/>
          <w:lang w:val="uk-UA"/>
        </w:rPr>
        <w:t> </w:t>
      </w:r>
      <w:r w:rsidRPr="002E6ECA">
        <w:rPr>
          <w:spacing w:val="-4"/>
          <w:sz w:val="28"/>
          <w:szCs w:val="28"/>
          <w:lang w:val="uk-UA" w:eastAsia="uk-UA"/>
        </w:rPr>
        <w:t xml:space="preserve">Г. Вплив освітнього середовища на вибір групи харчових продуктів. </w:t>
      </w:r>
      <w:r w:rsidRPr="002E6ECA">
        <w:rPr>
          <w:i/>
          <w:spacing w:val="-4"/>
          <w:sz w:val="28"/>
          <w:szCs w:val="28"/>
          <w:lang w:val="uk-UA"/>
        </w:rPr>
        <w:t xml:space="preserve">Харчові добавки. Харчування здорової та хворої людини : </w:t>
      </w:r>
      <w:r w:rsidRPr="002E6ECA">
        <w:rPr>
          <w:spacing w:val="-4"/>
          <w:sz w:val="28"/>
          <w:szCs w:val="28"/>
          <w:lang w:val="uk-UA"/>
        </w:rPr>
        <w:t xml:space="preserve">ІХ Міжнародна науково-практична конференція, м. Кривий Ріг, 23 листопада 2020 р. Кривий Ріг, 2020. С. 152-153.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rStyle w:val="tlid-translation"/>
          <w:sz w:val="28"/>
          <w:szCs w:val="28"/>
          <w:lang w:val="uk-UA"/>
        </w:rPr>
        <w:t>Даниленко</w:t>
      </w:r>
      <w:r w:rsidRPr="002E6ECA">
        <w:rPr>
          <w:sz w:val="28"/>
          <w:szCs w:val="28"/>
          <w:lang w:val="uk-UA"/>
        </w:rPr>
        <w:t> </w:t>
      </w:r>
      <w:r w:rsidRPr="002E6ECA">
        <w:rPr>
          <w:rStyle w:val="tlid-translation"/>
          <w:sz w:val="28"/>
          <w:szCs w:val="28"/>
          <w:lang w:val="uk-UA"/>
        </w:rPr>
        <w:t>Г.</w:t>
      </w:r>
      <w:r w:rsidRPr="002E6ECA">
        <w:rPr>
          <w:sz w:val="28"/>
          <w:szCs w:val="28"/>
          <w:lang w:val="uk-UA"/>
        </w:rPr>
        <w:t> </w:t>
      </w:r>
      <w:r w:rsidRPr="002E6ECA">
        <w:rPr>
          <w:rStyle w:val="tlid-translation"/>
          <w:sz w:val="28"/>
          <w:szCs w:val="28"/>
          <w:lang w:val="uk-UA"/>
        </w:rPr>
        <w:t>М., Сотнікова-Мелешкіна</w:t>
      </w:r>
      <w:r w:rsidRPr="002E6ECA">
        <w:rPr>
          <w:sz w:val="28"/>
          <w:szCs w:val="28"/>
          <w:lang w:val="uk-UA"/>
        </w:rPr>
        <w:t> </w:t>
      </w:r>
      <w:r w:rsidRPr="002E6ECA">
        <w:rPr>
          <w:rStyle w:val="tlid-translation"/>
          <w:sz w:val="28"/>
          <w:szCs w:val="28"/>
          <w:lang w:val="uk-UA"/>
        </w:rPr>
        <w:t>Ж.</w:t>
      </w:r>
      <w:r w:rsidRPr="002E6ECA">
        <w:rPr>
          <w:sz w:val="28"/>
          <w:szCs w:val="28"/>
          <w:lang w:val="uk-UA"/>
        </w:rPr>
        <w:t> </w:t>
      </w:r>
      <w:r w:rsidRPr="002E6ECA">
        <w:rPr>
          <w:rStyle w:val="tlid-translation"/>
          <w:sz w:val="28"/>
          <w:szCs w:val="28"/>
          <w:lang w:val="uk-UA"/>
        </w:rPr>
        <w:t>В., Романова</w:t>
      </w:r>
      <w:r w:rsidRPr="002E6ECA">
        <w:rPr>
          <w:sz w:val="28"/>
          <w:szCs w:val="28"/>
          <w:lang w:val="uk-UA"/>
        </w:rPr>
        <w:t> </w:t>
      </w:r>
      <w:r w:rsidRPr="002E6ECA">
        <w:rPr>
          <w:rStyle w:val="tlid-translation"/>
          <w:sz w:val="28"/>
          <w:szCs w:val="28"/>
          <w:lang w:val="uk-UA"/>
        </w:rPr>
        <w:t>Н.</w:t>
      </w:r>
      <w:r w:rsidRPr="002E6ECA">
        <w:rPr>
          <w:sz w:val="28"/>
          <w:szCs w:val="28"/>
          <w:lang w:val="uk-UA"/>
        </w:rPr>
        <w:t> </w:t>
      </w:r>
      <w:r w:rsidRPr="002E6ECA">
        <w:rPr>
          <w:rStyle w:val="tlid-translation"/>
          <w:sz w:val="28"/>
          <w:szCs w:val="28"/>
          <w:lang w:val="uk-UA"/>
        </w:rPr>
        <w:t>Г.</w:t>
      </w:r>
      <w:r w:rsidRPr="002E6ECA">
        <w:rPr>
          <w:sz w:val="28"/>
          <w:szCs w:val="28"/>
          <w:lang w:val="uk-UA" w:eastAsia="uk-UA"/>
        </w:rPr>
        <w:t xml:space="preserve"> Формування навичок здорового способу життя у школярів із різним ставленням </w:t>
      </w:r>
      <w:r w:rsidRPr="002E6ECA">
        <w:rPr>
          <w:sz w:val="28"/>
          <w:szCs w:val="28"/>
          <w:lang w:val="uk-UA" w:eastAsia="uk-UA"/>
        </w:rPr>
        <w:lastRenderedPageBreak/>
        <w:t>до освітнього закладу</w:t>
      </w:r>
      <w:r w:rsidRPr="002E6ECA">
        <w:rPr>
          <w:i/>
          <w:sz w:val="28"/>
          <w:szCs w:val="28"/>
          <w:lang w:val="uk-UA" w:eastAsia="uk-UA"/>
        </w:rPr>
        <w:t xml:space="preserve">. </w:t>
      </w:r>
      <w:r w:rsidRPr="002E6ECA">
        <w:rPr>
          <w:i/>
          <w:sz w:val="28"/>
          <w:szCs w:val="28"/>
          <w:lang w:val="uk-UA"/>
        </w:rPr>
        <w:t xml:space="preserve">Громадське здоров’я в Україні: проблеми та способи їх вирішення : </w:t>
      </w:r>
      <w:r w:rsidRPr="002E6ECA">
        <w:rPr>
          <w:sz w:val="28"/>
          <w:szCs w:val="28"/>
          <w:lang w:val="uk-UA"/>
        </w:rPr>
        <w:t xml:space="preserve">ІІІ науково-практична конференція з міжнародною участю, м. Харків, 05 листопада 2020 р. Харків, 2020. С. 22-23. </w:t>
      </w:r>
    </w:p>
    <w:p w:rsidR="00A110CD" w:rsidRPr="002E6ECA" w:rsidRDefault="00A110CD" w:rsidP="0091404F">
      <w:pPr>
        <w:pStyle w:val="a3"/>
        <w:numPr>
          <w:ilvl w:val="0"/>
          <w:numId w:val="74"/>
        </w:numPr>
        <w:tabs>
          <w:tab w:val="left" w:pos="1276"/>
        </w:tabs>
        <w:spacing w:line="360" w:lineRule="auto"/>
        <w:ind w:left="0" w:firstLine="709"/>
        <w:jc w:val="both"/>
        <w:rPr>
          <w:sz w:val="28"/>
          <w:szCs w:val="28"/>
          <w:lang w:val="uk-UA"/>
        </w:rPr>
      </w:pPr>
      <w:r w:rsidRPr="002E6ECA">
        <w:rPr>
          <w:sz w:val="28"/>
          <w:szCs w:val="28"/>
          <w:lang w:val="uk-UA"/>
        </w:rPr>
        <w:t xml:space="preserve">Сотнікова-Мелешкіна Ж. В., Зінчук О. Г. Характеристика фізичного розвитку за даними біоімпедансометрії. </w:t>
      </w:r>
      <w:r w:rsidRPr="002E6ECA">
        <w:rPr>
          <w:i/>
          <w:sz w:val="28"/>
          <w:szCs w:val="28"/>
          <w:lang w:val="uk-UA"/>
        </w:rPr>
        <w:t>Сучасні тенденції у медичних та фармацевтичних науках :</w:t>
      </w:r>
      <w:r w:rsidRPr="002E6ECA">
        <w:rPr>
          <w:sz w:val="28"/>
          <w:szCs w:val="28"/>
          <w:lang w:val="uk-UA"/>
        </w:rPr>
        <w:t xml:space="preserve"> міжнародна науково-практична конференція, м. Київ, 4-5 грудня 2020 р. Київ, 2020. С. 90-92. </w:t>
      </w:r>
    </w:p>
    <w:p w:rsidR="00A110CD" w:rsidRPr="002E6ECA" w:rsidRDefault="00A110CD" w:rsidP="00A110CD">
      <w:pPr>
        <w:tabs>
          <w:tab w:val="left" w:pos="993"/>
        </w:tabs>
        <w:spacing w:line="360" w:lineRule="auto"/>
        <w:ind w:firstLine="567"/>
        <w:jc w:val="both"/>
        <w:rPr>
          <w:bCs/>
          <w:i/>
          <w:sz w:val="28"/>
          <w:szCs w:val="28"/>
        </w:rPr>
      </w:pPr>
    </w:p>
    <w:p w:rsidR="0091404F" w:rsidRPr="002E6ECA" w:rsidRDefault="0091404F" w:rsidP="0091404F">
      <w:pPr>
        <w:tabs>
          <w:tab w:val="left" w:pos="993"/>
        </w:tabs>
        <w:spacing w:line="360" w:lineRule="auto"/>
        <w:ind w:firstLine="709"/>
        <w:rPr>
          <w:b/>
          <w:i/>
          <w:sz w:val="28"/>
          <w:szCs w:val="28"/>
        </w:rPr>
      </w:pPr>
      <w:r w:rsidRPr="002E6ECA">
        <w:rPr>
          <w:bCs/>
          <w:i/>
          <w:sz w:val="28"/>
          <w:szCs w:val="28"/>
        </w:rPr>
        <w:t>Наукові праці</w:t>
      </w:r>
      <w:r w:rsidRPr="002E6ECA">
        <w:rPr>
          <w:i/>
          <w:sz w:val="28"/>
          <w:szCs w:val="28"/>
        </w:rPr>
        <w:t>, які додатково відображають результати дослідження</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Міхановська Н. Г., Сотнікова-Мелешкіна Ж. В., Голубнича Г. І. Комплексний підхід щодо визначення психофізіологічної складової шкільної дезадаптації у молодших школярів за різних систем освіти. </w:t>
      </w:r>
      <w:r w:rsidRPr="002E6ECA">
        <w:rPr>
          <w:i/>
          <w:sz w:val="28"/>
          <w:szCs w:val="28"/>
          <w:lang w:val="uk-UA"/>
        </w:rPr>
        <w:t>East European Scientific Journal</w:t>
      </w:r>
      <w:r w:rsidRPr="002E6ECA">
        <w:rPr>
          <w:sz w:val="28"/>
          <w:szCs w:val="28"/>
          <w:lang w:val="uk-UA"/>
        </w:rPr>
        <w:t xml:space="preserve">. 2019. № 6 (46). Ч. 2. С. 16-22. </w:t>
      </w:r>
    </w:p>
    <w:p w:rsidR="0091404F" w:rsidRPr="002E6ECA" w:rsidRDefault="0091404F" w:rsidP="0091404F">
      <w:pPr>
        <w:pStyle w:val="a3"/>
        <w:numPr>
          <w:ilvl w:val="0"/>
          <w:numId w:val="75"/>
        </w:numPr>
        <w:tabs>
          <w:tab w:val="left" w:pos="993"/>
        </w:tabs>
        <w:spacing w:line="360" w:lineRule="auto"/>
        <w:ind w:left="0" w:firstLine="709"/>
        <w:jc w:val="both"/>
        <w:rPr>
          <w:rStyle w:val="aa"/>
          <w:i w:val="0"/>
          <w:iCs w:val="0"/>
          <w:sz w:val="28"/>
          <w:szCs w:val="28"/>
          <w:lang w:val="uk-UA"/>
        </w:rPr>
      </w:pPr>
      <w:r w:rsidRPr="002E6ECA">
        <w:rPr>
          <w:sz w:val="28"/>
          <w:szCs w:val="28"/>
          <w:lang w:val="uk-UA"/>
        </w:rPr>
        <w:t xml:space="preserve">Сотнікова-Мелешкіна Ж. В. Актуальні питання медичного супроводу інноваційних науково-педагогічних проєктів. </w:t>
      </w:r>
      <w:r w:rsidRPr="002E6ECA">
        <w:rPr>
          <w:i/>
          <w:sz w:val="28"/>
          <w:szCs w:val="28"/>
          <w:lang w:val="uk-UA" w:eastAsia="uk-UA"/>
        </w:rPr>
        <w:t>Український журнал медицини, біології та спорту</w:t>
      </w:r>
      <w:r w:rsidRPr="002E6ECA">
        <w:rPr>
          <w:sz w:val="28"/>
          <w:szCs w:val="28"/>
          <w:lang w:val="uk-UA" w:eastAsia="uk-UA"/>
        </w:rPr>
        <w:t xml:space="preserve">. </w:t>
      </w:r>
      <w:r w:rsidRPr="002E6ECA">
        <w:rPr>
          <w:rStyle w:val="HTML1"/>
          <w:sz w:val="28"/>
          <w:szCs w:val="28"/>
          <w:lang w:val="uk-UA"/>
        </w:rPr>
        <w:t xml:space="preserve">2020. № 5 (6). С. 51-58. </w:t>
      </w:r>
      <w:r w:rsidRPr="002E6ECA">
        <w:rPr>
          <w:bCs/>
          <w:sz w:val="28"/>
          <w:szCs w:val="28"/>
          <w:lang w:val="uk-UA"/>
        </w:rPr>
        <w:t xml:space="preserve">DOI: </w:t>
      </w:r>
      <w:r w:rsidRPr="002E6ECA">
        <w:rPr>
          <w:sz w:val="28"/>
          <w:szCs w:val="28"/>
          <w:lang w:val="uk-UA"/>
        </w:rPr>
        <w:t>https://doi.org/10.26693/jmbs05.06.051.</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Сотнікова-Мелешкіна </w:t>
      </w:r>
      <w:r w:rsidRPr="002E6ECA">
        <w:rPr>
          <w:spacing w:val="-6"/>
          <w:sz w:val="28"/>
          <w:szCs w:val="28"/>
          <w:lang w:val="uk-UA"/>
        </w:rPr>
        <w:t>Ж.</w:t>
      </w:r>
      <w:r w:rsidRPr="002E6ECA">
        <w:rPr>
          <w:sz w:val="28"/>
          <w:szCs w:val="28"/>
          <w:lang w:val="uk-UA"/>
        </w:rPr>
        <w:t> </w:t>
      </w:r>
      <w:r w:rsidRPr="002E6ECA">
        <w:rPr>
          <w:spacing w:val="-6"/>
          <w:sz w:val="28"/>
          <w:szCs w:val="28"/>
          <w:lang w:val="uk-UA"/>
        </w:rPr>
        <w:t>В</w:t>
      </w:r>
      <w:r w:rsidRPr="002E6ECA">
        <w:rPr>
          <w:sz w:val="28"/>
          <w:szCs w:val="28"/>
          <w:lang w:val="uk-UA"/>
        </w:rPr>
        <w:t>., Кривонос </w:t>
      </w:r>
      <w:r w:rsidRPr="002E6ECA">
        <w:rPr>
          <w:spacing w:val="-6"/>
          <w:sz w:val="28"/>
          <w:szCs w:val="28"/>
          <w:lang w:val="uk-UA"/>
        </w:rPr>
        <w:t>К.</w:t>
      </w:r>
      <w:r w:rsidRPr="002E6ECA">
        <w:rPr>
          <w:sz w:val="28"/>
          <w:szCs w:val="28"/>
          <w:lang w:val="uk-UA"/>
        </w:rPr>
        <w:t> </w:t>
      </w:r>
      <w:r w:rsidRPr="002E6ECA">
        <w:rPr>
          <w:spacing w:val="-6"/>
          <w:sz w:val="28"/>
          <w:szCs w:val="28"/>
          <w:lang w:val="uk-UA"/>
        </w:rPr>
        <w:t>А</w:t>
      </w:r>
      <w:r w:rsidRPr="002E6ECA">
        <w:rPr>
          <w:sz w:val="28"/>
          <w:szCs w:val="28"/>
          <w:lang w:val="uk-UA"/>
        </w:rPr>
        <w:t>., Деліч </w:t>
      </w:r>
      <w:r w:rsidRPr="002E6ECA">
        <w:rPr>
          <w:spacing w:val="-6"/>
          <w:sz w:val="28"/>
          <w:szCs w:val="28"/>
          <w:lang w:val="uk-UA"/>
        </w:rPr>
        <w:t>О.</w:t>
      </w:r>
      <w:r w:rsidRPr="002E6ECA">
        <w:rPr>
          <w:sz w:val="28"/>
          <w:szCs w:val="28"/>
          <w:lang w:val="uk-UA"/>
        </w:rPr>
        <w:t> </w:t>
      </w:r>
      <w:r w:rsidRPr="002E6ECA">
        <w:rPr>
          <w:spacing w:val="-6"/>
          <w:sz w:val="28"/>
          <w:szCs w:val="28"/>
          <w:lang w:val="uk-UA"/>
        </w:rPr>
        <w:t>Б.,</w:t>
      </w:r>
      <w:r w:rsidRPr="002E6ECA">
        <w:rPr>
          <w:sz w:val="28"/>
          <w:szCs w:val="28"/>
          <w:lang w:val="uk-UA"/>
        </w:rPr>
        <w:t xml:space="preserve"> </w:t>
      </w:r>
      <w:r w:rsidRPr="002E6ECA">
        <w:rPr>
          <w:spacing w:val="-6"/>
          <w:sz w:val="28"/>
          <w:szCs w:val="28"/>
          <w:lang w:val="uk-UA"/>
        </w:rPr>
        <w:t>Харченко</w:t>
      </w:r>
      <w:r w:rsidRPr="002E6ECA">
        <w:rPr>
          <w:sz w:val="28"/>
          <w:szCs w:val="28"/>
          <w:lang w:val="uk-UA"/>
        </w:rPr>
        <w:t> </w:t>
      </w:r>
      <w:r w:rsidRPr="002E6ECA">
        <w:rPr>
          <w:spacing w:val="-6"/>
          <w:sz w:val="28"/>
          <w:szCs w:val="28"/>
          <w:lang w:val="uk-UA"/>
        </w:rPr>
        <w:t>Л.</w:t>
      </w:r>
      <w:r w:rsidRPr="002E6ECA">
        <w:rPr>
          <w:sz w:val="28"/>
          <w:szCs w:val="28"/>
          <w:lang w:val="uk-UA"/>
        </w:rPr>
        <w:t> </w:t>
      </w:r>
      <w:r w:rsidRPr="002E6ECA">
        <w:rPr>
          <w:spacing w:val="-6"/>
          <w:sz w:val="28"/>
          <w:szCs w:val="28"/>
          <w:lang w:val="uk-UA"/>
        </w:rPr>
        <w:t xml:space="preserve">В., </w:t>
      </w:r>
      <w:r w:rsidRPr="002E6ECA">
        <w:rPr>
          <w:sz w:val="28"/>
          <w:szCs w:val="28"/>
          <w:lang w:val="uk-UA"/>
        </w:rPr>
        <w:t xml:space="preserve">Калініна Н. В. Сучасні аспекти організації гігієнічного моніторингу атмосферного повітря як фактор забезпечення санітарно-епідемічного благополуччя дитячого населення мегаполісу. </w:t>
      </w:r>
      <w:r w:rsidRPr="002E6ECA">
        <w:rPr>
          <w:i/>
          <w:sz w:val="28"/>
          <w:szCs w:val="28"/>
          <w:lang w:val="uk-UA"/>
        </w:rPr>
        <w:t>Actual problems of modern</w:t>
      </w:r>
      <w:r w:rsidRPr="002E6ECA">
        <w:rPr>
          <w:i/>
          <w:sz w:val="28"/>
          <w:szCs w:val="28"/>
          <w:lang w:val="uk-UA" w:eastAsia="uk-UA"/>
        </w:rPr>
        <w:t xml:space="preserve"> </w:t>
      </w:r>
      <w:r w:rsidRPr="002E6ECA">
        <w:rPr>
          <w:i/>
          <w:sz w:val="28"/>
          <w:szCs w:val="28"/>
          <w:lang w:val="uk-UA"/>
        </w:rPr>
        <w:t>medicine</w:t>
      </w:r>
      <w:r w:rsidRPr="002E6ECA">
        <w:rPr>
          <w:sz w:val="28"/>
          <w:szCs w:val="28"/>
          <w:lang w:val="uk-UA"/>
        </w:rPr>
        <w:t xml:space="preserve">. 2019. № 4. С. 64-72. DOI: 10.26565/2617-409X-2019-4-08. </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Сотнікова-Мелешкіна Ж. В., Лантух І. В. Медико-психологічні аспекти навчання академічно здібних та обдарованих дітей. </w:t>
      </w:r>
      <w:r w:rsidRPr="002E6ECA">
        <w:rPr>
          <w:i/>
          <w:sz w:val="28"/>
          <w:szCs w:val="28"/>
          <w:lang w:val="uk-UA"/>
        </w:rPr>
        <w:t>Психіатрія, неврологія та медична психологія</w:t>
      </w:r>
      <w:r w:rsidRPr="002E6ECA">
        <w:rPr>
          <w:sz w:val="28"/>
          <w:szCs w:val="28"/>
          <w:lang w:val="uk-UA"/>
        </w:rPr>
        <w:t>. 2020. Вип. 15. С. 95-101. DOI: 10.26565/2312-5675-2020-15-11. (</w:t>
      </w:r>
      <w:r w:rsidRPr="002E6ECA">
        <w:rPr>
          <w:bCs/>
          <w:i/>
          <w:iCs/>
          <w:sz w:val="28"/>
          <w:szCs w:val="28"/>
          <w:lang w:val="uk-UA"/>
        </w:rPr>
        <w:t xml:space="preserve">Концепція та дизайн роботи, </w:t>
      </w:r>
      <w:r w:rsidRPr="002E6ECA">
        <w:rPr>
          <w:i/>
          <w:sz w:val="28"/>
          <w:szCs w:val="28"/>
          <w:lang w:val="uk-UA"/>
        </w:rPr>
        <w:t xml:space="preserve">аналіз джерел наукової літератури, </w:t>
      </w:r>
      <w:r w:rsidRPr="002E6ECA">
        <w:rPr>
          <w:bCs/>
          <w:i/>
          <w:iCs/>
          <w:sz w:val="28"/>
          <w:szCs w:val="28"/>
          <w:lang w:val="uk-UA"/>
        </w:rPr>
        <w:t>написання статті).</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А.С. 81235 Україна. Спосіб визначення індексу коморбідності навчального процесу / Г.М. Даниленко, Ж.В. Сотнікова-Мелешкіна, </w:t>
      </w:r>
      <w:r w:rsidRPr="002E6ECA">
        <w:rPr>
          <w:sz w:val="28"/>
          <w:szCs w:val="28"/>
          <w:lang w:val="uk-UA"/>
        </w:rPr>
        <w:lastRenderedPageBreak/>
        <w:t xml:space="preserve">В.Г. Нестеренко, М.О. Кіндрук. № 82086; заявл. 18.07.18; зареєстр. 05.09.18, Бюл. № 51. </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А.С. 99290 Україна. Методика оцінки якості життя, пов'язаної зі здоров'ям у дітей середнього шкільного віку / Г.М. Даниленко, Ж.В. Сотнікова-Мелешкіна, О.О. Щербакова. зареєстр. 31.08.2020, Бюл. № 60. </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А.С. 101491 Україна. Спосіб автоматизованої оцінки фізичного розвитку дітей (комп’ютерна програма) / Ж.В. Сотнікова-Мелешкіна, А.Г. Платонова, С.В. Острополець. № 103210; заявл. 14.12.20; зареєстр. 28.12.20, Бюл. № 61. </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Сотнікова-Мелешкіна Ж. В. Визначення провідної патології щодо ризику підвищення захворюваності у навчальному колективі: метод. рек. Харків : ДУ ІОЗДП НАМН, 2020. 28 с. </w:t>
      </w:r>
    </w:p>
    <w:p w:rsidR="0091404F" w:rsidRPr="002E6ECA" w:rsidRDefault="0091404F" w:rsidP="0091404F">
      <w:pPr>
        <w:pStyle w:val="a3"/>
        <w:numPr>
          <w:ilvl w:val="0"/>
          <w:numId w:val="75"/>
        </w:numPr>
        <w:tabs>
          <w:tab w:val="left" w:pos="993"/>
        </w:tabs>
        <w:spacing w:line="360" w:lineRule="auto"/>
        <w:ind w:left="0" w:firstLine="709"/>
        <w:jc w:val="both"/>
        <w:rPr>
          <w:sz w:val="28"/>
          <w:szCs w:val="28"/>
          <w:lang w:val="uk-UA"/>
        </w:rPr>
      </w:pPr>
      <w:r w:rsidRPr="002E6ECA">
        <w:rPr>
          <w:sz w:val="28"/>
          <w:szCs w:val="28"/>
          <w:lang w:val="uk-UA"/>
        </w:rPr>
        <w:t xml:space="preserve">Даниленко Г. М., Міхановська Н. Г., Сотнікова-Мелешкіна Ж. В., Штриголь Д. В., Луценко О. Л., Островська А. Є., Романова Н. Г. Скринінг-оцінка психосоціального функціонування та якості життя, що пов’язана зі здоров’ям у школярів: метод. рек. Харків: ДУ «ІОЗДП НАМН», Харківський національний університет імені В.Н. Каразіна. 2021. 28 с. </w:t>
      </w:r>
    </w:p>
    <w:p w:rsidR="009D6048" w:rsidRPr="002E6ECA" w:rsidRDefault="009D6048" w:rsidP="009D6048">
      <w:pPr>
        <w:spacing w:line="360" w:lineRule="auto"/>
        <w:rPr>
          <w:sz w:val="28"/>
          <w:szCs w:val="28"/>
        </w:rPr>
      </w:pPr>
    </w:p>
    <w:p w:rsidR="001A0E08" w:rsidRPr="002E6ECA" w:rsidRDefault="000D7326" w:rsidP="00361A73">
      <w:pPr>
        <w:pStyle w:val="a3"/>
        <w:tabs>
          <w:tab w:val="left" w:pos="1134"/>
        </w:tabs>
        <w:spacing w:line="360" w:lineRule="auto"/>
        <w:ind w:left="709"/>
        <w:jc w:val="right"/>
        <w:rPr>
          <w:sz w:val="28"/>
          <w:szCs w:val="28"/>
          <w:lang w:val="uk-UA"/>
        </w:rPr>
      </w:pPr>
      <w:r w:rsidRPr="002E6ECA">
        <w:rPr>
          <w:b/>
          <w:bCs/>
          <w:sz w:val="28"/>
          <w:szCs w:val="28"/>
          <w:lang w:val="uk-UA"/>
        </w:rPr>
        <w:br w:type="page"/>
      </w:r>
      <w:r w:rsidRPr="002E6ECA">
        <w:rPr>
          <w:b/>
          <w:bCs/>
          <w:sz w:val="28"/>
          <w:szCs w:val="28"/>
          <w:lang w:val="uk-UA"/>
        </w:rPr>
        <w:lastRenderedPageBreak/>
        <w:t>Додаток</w:t>
      </w:r>
      <w:r w:rsidR="00D46B1B" w:rsidRPr="002E6ECA">
        <w:rPr>
          <w:b/>
          <w:bCs/>
          <w:sz w:val="28"/>
          <w:szCs w:val="28"/>
          <w:lang w:val="uk-UA"/>
        </w:rPr>
        <w:t xml:space="preserve"> </w:t>
      </w:r>
      <w:r w:rsidRPr="002E6ECA">
        <w:rPr>
          <w:b/>
          <w:bCs/>
          <w:sz w:val="28"/>
          <w:szCs w:val="28"/>
          <w:lang w:val="uk-UA"/>
        </w:rPr>
        <w:t>Б</w:t>
      </w:r>
    </w:p>
    <w:p w:rsidR="000D7326" w:rsidRPr="002E6ECA" w:rsidRDefault="000D7326" w:rsidP="001A0E08">
      <w:pPr>
        <w:pStyle w:val="a3"/>
        <w:tabs>
          <w:tab w:val="left" w:pos="1134"/>
        </w:tabs>
        <w:spacing w:line="360" w:lineRule="auto"/>
        <w:ind w:left="709"/>
        <w:jc w:val="center"/>
        <w:rPr>
          <w:sz w:val="28"/>
          <w:szCs w:val="28"/>
          <w:lang w:val="uk-UA"/>
        </w:rPr>
      </w:pPr>
      <w:r w:rsidRPr="002E6ECA">
        <w:rPr>
          <w:b/>
          <w:bCs/>
          <w:sz w:val="28"/>
          <w:szCs w:val="28"/>
          <w:lang w:val="uk-UA"/>
        </w:rPr>
        <w:t>Відомості</w:t>
      </w:r>
      <w:r w:rsidR="00D46B1B" w:rsidRPr="002E6ECA">
        <w:rPr>
          <w:b/>
          <w:bCs/>
          <w:sz w:val="28"/>
          <w:szCs w:val="28"/>
          <w:lang w:val="uk-UA"/>
        </w:rPr>
        <w:t xml:space="preserve"> </w:t>
      </w:r>
      <w:r w:rsidRPr="002E6ECA">
        <w:rPr>
          <w:b/>
          <w:bCs/>
          <w:sz w:val="28"/>
          <w:szCs w:val="28"/>
          <w:lang w:val="uk-UA"/>
        </w:rPr>
        <w:t>про</w:t>
      </w:r>
      <w:r w:rsidR="00D46B1B" w:rsidRPr="002E6ECA">
        <w:rPr>
          <w:b/>
          <w:bCs/>
          <w:sz w:val="28"/>
          <w:szCs w:val="28"/>
          <w:lang w:val="uk-UA"/>
        </w:rPr>
        <w:t xml:space="preserve"> </w:t>
      </w:r>
      <w:r w:rsidRPr="002E6ECA">
        <w:rPr>
          <w:b/>
          <w:bCs/>
          <w:sz w:val="28"/>
          <w:szCs w:val="28"/>
          <w:lang w:val="uk-UA"/>
        </w:rPr>
        <w:t>апробацію</w:t>
      </w:r>
      <w:r w:rsidR="00D46B1B" w:rsidRPr="002E6ECA">
        <w:rPr>
          <w:b/>
          <w:bCs/>
          <w:sz w:val="28"/>
          <w:szCs w:val="28"/>
          <w:lang w:val="uk-UA"/>
        </w:rPr>
        <w:t xml:space="preserve"> </w:t>
      </w:r>
      <w:r w:rsidRPr="002E6ECA">
        <w:rPr>
          <w:b/>
          <w:bCs/>
          <w:sz w:val="28"/>
          <w:szCs w:val="28"/>
          <w:lang w:val="uk-UA"/>
        </w:rPr>
        <w:t>результатів</w:t>
      </w:r>
      <w:r w:rsidR="00D46B1B" w:rsidRPr="002E6ECA">
        <w:rPr>
          <w:b/>
          <w:bCs/>
          <w:sz w:val="28"/>
          <w:szCs w:val="28"/>
          <w:lang w:val="uk-UA"/>
        </w:rPr>
        <w:t xml:space="preserve"> </w:t>
      </w:r>
      <w:r w:rsidRPr="002E6ECA">
        <w:rPr>
          <w:b/>
          <w:bCs/>
          <w:sz w:val="28"/>
          <w:szCs w:val="28"/>
          <w:lang w:val="uk-UA"/>
        </w:rPr>
        <w:t>дисертації:</w:t>
      </w:r>
    </w:p>
    <w:p w:rsidR="00214078" w:rsidRPr="002E6ECA" w:rsidRDefault="00214078" w:rsidP="00214078">
      <w:pPr>
        <w:spacing w:line="360" w:lineRule="auto"/>
        <w:jc w:val="both"/>
        <w:rPr>
          <w:sz w:val="28"/>
          <w:szCs w:val="28"/>
          <w:lang w:val="uk-UA" w:eastAsia="uk-UA"/>
        </w:rPr>
      </w:pPr>
      <w:r w:rsidRPr="002E6ECA">
        <w:rPr>
          <w:sz w:val="28"/>
          <w:szCs w:val="28"/>
          <w:lang w:val="uk-UA" w:eastAsia="uk-UA"/>
        </w:rPr>
        <w:t>Матеріали</w:t>
      </w:r>
      <w:r w:rsidR="00D46B1B" w:rsidRPr="002E6ECA">
        <w:rPr>
          <w:sz w:val="28"/>
          <w:szCs w:val="28"/>
          <w:lang w:val="uk-UA" w:eastAsia="uk-UA"/>
        </w:rPr>
        <w:t xml:space="preserve"> </w:t>
      </w:r>
      <w:r w:rsidRPr="002E6ECA">
        <w:rPr>
          <w:sz w:val="28"/>
          <w:szCs w:val="28"/>
          <w:lang w:val="uk-UA" w:eastAsia="uk-UA"/>
        </w:rPr>
        <w:t>дисертаційної</w:t>
      </w:r>
      <w:r w:rsidR="00D46B1B" w:rsidRPr="002E6ECA">
        <w:rPr>
          <w:sz w:val="28"/>
          <w:szCs w:val="28"/>
          <w:lang w:val="uk-UA" w:eastAsia="uk-UA"/>
        </w:rPr>
        <w:t xml:space="preserve"> </w:t>
      </w:r>
      <w:r w:rsidRPr="002E6ECA">
        <w:rPr>
          <w:sz w:val="28"/>
          <w:szCs w:val="28"/>
          <w:lang w:val="uk-UA" w:eastAsia="uk-UA"/>
        </w:rPr>
        <w:t>роботи</w:t>
      </w:r>
      <w:r w:rsidR="00D46B1B" w:rsidRPr="002E6ECA">
        <w:rPr>
          <w:sz w:val="28"/>
          <w:szCs w:val="28"/>
          <w:lang w:val="uk-UA" w:eastAsia="uk-UA"/>
        </w:rPr>
        <w:t xml:space="preserve"> </w:t>
      </w:r>
      <w:r w:rsidRPr="002E6ECA">
        <w:rPr>
          <w:sz w:val="28"/>
          <w:szCs w:val="28"/>
          <w:lang w:val="uk-UA" w:eastAsia="uk-UA"/>
        </w:rPr>
        <w:t>оприлюднено</w:t>
      </w:r>
      <w:r w:rsidR="00D46B1B" w:rsidRPr="002E6ECA">
        <w:rPr>
          <w:sz w:val="28"/>
          <w:szCs w:val="28"/>
          <w:lang w:val="uk-UA" w:eastAsia="uk-UA"/>
        </w:rPr>
        <w:t xml:space="preserve"> </w:t>
      </w:r>
      <w:r w:rsidRPr="002E6ECA">
        <w:rPr>
          <w:sz w:val="28"/>
          <w:szCs w:val="28"/>
          <w:lang w:val="uk-UA" w:eastAsia="uk-UA"/>
        </w:rPr>
        <w:t>на</w:t>
      </w:r>
      <w:r w:rsidR="00D46B1B" w:rsidRPr="002E6ECA">
        <w:rPr>
          <w:sz w:val="28"/>
          <w:szCs w:val="28"/>
          <w:lang w:val="uk-UA" w:eastAsia="uk-UA"/>
        </w:rPr>
        <w:t xml:space="preserve"> </w:t>
      </w:r>
      <w:r w:rsidRPr="002E6ECA">
        <w:rPr>
          <w:sz w:val="28"/>
          <w:szCs w:val="28"/>
          <w:lang w:val="uk-UA" w:eastAsia="uk-UA"/>
        </w:rPr>
        <w:t>науково-практичних</w:t>
      </w:r>
      <w:r w:rsidR="00D46B1B" w:rsidRPr="002E6ECA">
        <w:rPr>
          <w:sz w:val="28"/>
          <w:szCs w:val="28"/>
          <w:lang w:val="uk-UA" w:eastAsia="uk-UA"/>
        </w:rPr>
        <w:t xml:space="preserve"> </w:t>
      </w:r>
      <w:r w:rsidRPr="002E6ECA">
        <w:rPr>
          <w:sz w:val="28"/>
          <w:szCs w:val="28"/>
          <w:lang w:val="uk-UA" w:eastAsia="uk-UA"/>
        </w:rPr>
        <w:t>форумах</w:t>
      </w:r>
      <w:r w:rsidR="00D46B1B" w:rsidRPr="002E6ECA">
        <w:rPr>
          <w:sz w:val="28"/>
          <w:szCs w:val="28"/>
          <w:lang w:val="uk-UA" w:eastAsia="uk-UA"/>
        </w:rPr>
        <w:t xml:space="preserve"> </w:t>
      </w:r>
      <w:r w:rsidRPr="002E6ECA">
        <w:rPr>
          <w:sz w:val="28"/>
          <w:szCs w:val="28"/>
          <w:lang w:val="uk-UA" w:eastAsia="uk-UA"/>
        </w:rPr>
        <w:t>та</w:t>
      </w:r>
      <w:r w:rsidR="00D46B1B" w:rsidRPr="002E6ECA">
        <w:rPr>
          <w:sz w:val="28"/>
          <w:szCs w:val="28"/>
          <w:lang w:val="uk-UA" w:eastAsia="uk-UA"/>
        </w:rPr>
        <w:t xml:space="preserve"> </w:t>
      </w:r>
      <w:r w:rsidRPr="002E6ECA">
        <w:rPr>
          <w:sz w:val="28"/>
          <w:szCs w:val="28"/>
          <w:lang w:val="uk-UA" w:eastAsia="uk-UA"/>
        </w:rPr>
        <w:t>конференціях,</w:t>
      </w:r>
      <w:r w:rsidR="00D46B1B" w:rsidRPr="002E6ECA">
        <w:rPr>
          <w:sz w:val="28"/>
          <w:szCs w:val="28"/>
          <w:lang w:val="uk-UA" w:eastAsia="uk-UA"/>
        </w:rPr>
        <w:t xml:space="preserve"> </w:t>
      </w:r>
      <w:r w:rsidRPr="002E6ECA">
        <w:rPr>
          <w:sz w:val="28"/>
          <w:szCs w:val="28"/>
          <w:lang w:val="uk-UA" w:eastAsia="uk-UA"/>
        </w:rPr>
        <w:t>а</w:t>
      </w:r>
      <w:r w:rsidR="00D46B1B" w:rsidRPr="002E6ECA">
        <w:rPr>
          <w:sz w:val="28"/>
          <w:szCs w:val="28"/>
          <w:lang w:val="uk-UA" w:eastAsia="uk-UA"/>
        </w:rPr>
        <w:t xml:space="preserve"> </w:t>
      </w:r>
      <w:r w:rsidRPr="002E6ECA">
        <w:rPr>
          <w:sz w:val="28"/>
          <w:szCs w:val="28"/>
          <w:lang w:val="uk-UA" w:eastAsia="uk-UA"/>
        </w:rPr>
        <w:t>саме:</w:t>
      </w:r>
      <w:r w:rsidR="00D46B1B" w:rsidRPr="002E6ECA">
        <w:rPr>
          <w:sz w:val="28"/>
          <w:szCs w:val="28"/>
          <w:lang w:val="uk-UA" w:eastAsia="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науково-практична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з</w:t>
      </w:r>
      <w:r w:rsidR="00D46B1B" w:rsidRPr="002E6ECA">
        <w:rPr>
          <w:sz w:val="28"/>
          <w:szCs w:val="28"/>
          <w:lang w:val="uk-UA"/>
        </w:rPr>
        <w:t xml:space="preserve"> </w:t>
      </w:r>
      <w:r w:rsidRPr="002E6ECA">
        <w:rPr>
          <w:sz w:val="28"/>
          <w:szCs w:val="28"/>
          <w:lang w:val="uk-UA"/>
        </w:rPr>
        <w:t>міжнародною</w:t>
      </w:r>
      <w:r w:rsidR="00D46B1B" w:rsidRPr="002E6ECA">
        <w:rPr>
          <w:sz w:val="28"/>
          <w:szCs w:val="28"/>
          <w:lang w:val="uk-UA"/>
        </w:rPr>
        <w:t xml:space="preserve"> </w:t>
      </w:r>
      <w:r w:rsidRPr="002E6ECA">
        <w:rPr>
          <w:sz w:val="28"/>
          <w:szCs w:val="28"/>
          <w:lang w:val="uk-UA"/>
        </w:rPr>
        <w:t>участю</w:t>
      </w:r>
      <w:r w:rsidR="00D46B1B" w:rsidRPr="002E6ECA">
        <w:rPr>
          <w:sz w:val="28"/>
          <w:szCs w:val="28"/>
          <w:lang w:val="uk-UA"/>
        </w:rPr>
        <w:t xml:space="preserve"> </w:t>
      </w:r>
      <w:r w:rsidRPr="002E6ECA">
        <w:rPr>
          <w:sz w:val="28"/>
          <w:szCs w:val="28"/>
          <w:lang w:val="uk-UA"/>
        </w:rPr>
        <w:t>«Актуальні</w:t>
      </w:r>
      <w:r w:rsidR="00D46B1B" w:rsidRPr="002E6ECA">
        <w:rPr>
          <w:sz w:val="28"/>
          <w:szCs w:val="28"/>
          <w:lang w:val="uk-UA"/>
        </w:rPr>
        <w:t xml:space="preserve"> </w:t>
      </w:r>
      <w:r w:rsidRPr="002E6ECA">
        <w:rPr>
          <w:sz w:val="28"/>
          <w:szCs w:val="28"/>
          <w:lang w:val="uk-UA"/>
        </w:rPr>
        <w:t>питання</w:t>
      </w:r>
      <w:r w:rsidR="00D46B1B" w:rsidRPr="002E6ECA">
        <w:rPr>
          <w:sz w:val="28"/>
          <w:szCs w:val="28"/>
          <w:lang w:val="uk-UA"/>
        </w:rPr>
        <w:t xml:space="preserve"> </w:t>
      </w:r>
      <w:r w:rsidRPr="002E6ECA">
        <w:rPr>
          <w:sz w:val="28"/>
          <w:szCs w:val="28"/>
          <w:lang w:val="uk-UA"/>
        </w:rPr>
        <w:t>фізіології,</w:t>
      </w:r>
      <w:r w:rsidR="00D46B1B" w:rsidRPr="002E6ECA">
        <w:rPr>
          <w:sz w:val="28"/>
          <w:szCs w:val="28"/>
          <w:lang w:val="uk-UA"/>
        </w:rPr>
        <w:t xml:space="preserve"> </w:t>
      </w:r>
      <w:r w:rsidRPr="002E6ECA">
        <w:rPr>
          <w:sz w:val="28"/>
          <w:szCs w:val="28"/>
          <w:lang w:val="uk-UA"/>
        </w:rPr>
        <w:t>патології</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організації</w:t>
      </w:r>
      <w:r w:rsidR="00D46B1B" w:rsidRPr="002E6ECA">
        <w:rPr>
          <w:sz w:val="28"/>
          <w:szCs w:val="28"/>
          <w:lang w:val="uk-UA"/>
        </w:rPr>
        <w:t xml:space="preserve"> </w:t>
      </w:r>
      <w:r w:rsidRPr="002E6ECA">
        <w:rPr>
          <w:sz w:val="28"/>
          <w:szCs w:val="28"/>
          <w:lang w:val="uk-UA"/>
        </w:rPr>
        <w:t>медичного</w:t>
      </w:r>
      <w:r w:rsidR="00D46B1B" w:rsidRPr="002E6ECA">
        <w:rPr>
          <w:sz w:val="28"/>
          <w:szCs w:val="28"/>
          <w:lang w:val="uk-UA"/>
        </w:rPr>
        <w:t xml:space="preserve"> </w:t>
      </w:r>
      <w:r w:rsidRPr="002E6ECA">
        <w:rPr>
          <w:sz w:val="28"/>
          <w:szCs w:val="28"/>
          <w:lang w:val="uk-UA"/>
        </w:rPr>
        <w:t>забезпечення</w:t>
      </w:r>
      <w:r w:rsidR="00D46B1B" w:rsidRPr="002E6ECA">
        <w:rPr>
          <w:sz w:val="28"/>
          <w:szCs w:val="28"/>
          <w:lang w:val="uk-UA"/>
        </w:rPr>
        <w:t xml:space="preserve"> </w:t>
      </w:r>
      <w:r w:rsidRPr="002E6ECA">
        <w:rPr>
          <w:sz w:val="28"/>
          <w:szCs w:val="28"/>
          <w:lang w:val="uk-UA"/>
        </w:rPr>
        <w:t>дітей</w:t>
      </w:r>
      <w:r w:rsidR="00D46B1B" w:rsidRPr="002E6ECA">
        <w:rPr>
          <w:sz w:val="28"/>
          <w:szCs w:val="28"/>
          <w:lang w:val="uk-UA"/>
        </w:rPr>
        <w:t xml:space="preserve"> </w:t>
      </w:r>
      <w:r w:rsidRPr="002E6ECA">
        <w:rPr>
          <w:sz w:val="28"/>
          <w:szCs w:val="28"/>
          <w:lang w:val="uk-UA"/>
        </w:rPr>
        <w:t>шкільного</w:t>
      </w:r>
      <w:r w:rsidR="00D46B1B" w:rsidRPr="002E6ECA">
        <w:rPr>
          <w:sz w:val="28"/>
          <w:szCs w:val="28"/>
          <w:lang w:val="uk-UA"/>
        </w:rPr>
        <w:t xml:space="preserve"> </w:t>
      </w:r>
      <w:r w:rsidRPr="002E6ECA">
        <w:rPr>
          <w:sz w:val="28"/>
          <w:szCs w:val="28"/>
          <w:lang w:val="uk-UA"/>
        </w:rPr>
        <w:t>віку</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підлітків.</w:t>
      </w:r>
      <w:r w:rsidR="00D46B1B" w:rsidRPr="002E6ECA">
        <w:rPr>
          <w:sz w:val="28"/>
          <w:szCs w:val="28"/>
          <w:lang w:val="uk-UA"/>
        </w:rPr>
        <w:t xml:space="preserve"> </w:t>
      </w:r>
      <w:r w:rsidRPr="002E6ECA">
        <w:rPr>
          <w:sz w:val="28"/>
          <w:szCs w:val="28"/>
          <w:lang w:val="uk-UA"/>
        </w:rPr>
        <w:t>Проблемні</w:t>
      </w:r>
      <w:r w:rsidR="00D46B1B" w:rsidRPr="002E6ECA">
        <w:rPr>
          <w:sz w:val="28"/>
          <w:szCs w:val="28"/>
          <w:lang w:val="uk-UA"/>
        </w:rPr>
        <w:t xml:space="preserve"> </w:t>
      </w:r>
      <w:r w:rsidRPr="002E6ECA">
        <w:rPr>
          <w:sz w:val="28"/>
          <w:szCs w:val="28"/>
          <w:lang w:val="uk-UA"/>
        </w:rPr>
        <w:t>питання</w:t>
      </w:r>
      <w:r w:rsidR="00D46B1B" w:rsidRPr="002E6ECA">
        <w:rPr>
          <w:sz w:val="28"/>
          <w:szCs w:val="28"/>
          <w:lang w:val="uk-UA"/>
        </w:rPr>
        <w:t xml:space="preserve"> </w:t>
      </w:r>
      <w:r w:rsidRPr="002E6ECA">
        <w:rPr>
          <w:sz w:val="28"/>
          <w:szCs w:val="28"/>
          <w:lang w:val="uk-UA"/>
        </w:rPr>
        <w:t>коморбідних</w:t>
      </w:r>
      <w:r w:rsidR="00D46B1B" w:rsidRPr="002E6ECA">
        <w:rPr>
          <w:sz w:val="28"/>
          <w:szCs w:val="28"/>
          <w:lang w:val="uk-UA"/>
        </w:rPr>
        <w:t xml:space="preserve"> </w:t>
      </w:r>
      <w:r w:rsidRPr="002E6ECA">
        <w:rPr>
          <w:sz w:val="28"/>
          <w:szCs w:val="28"/>
          <w:lang w:val="uk-UA"/>
        </w:rPr>
        <w:t>станів</w:t>
      </w:r>
      <w:r w:rsidR="00D46B1B" w:rsidRPr="002E6ECA">
        <w:rPr>
          <w:sz w:val="28"/>
          <w:szCs w:val="28"/>
          <w:lang w:val="uk-UA"/>
        </w:rPr>
        <w:t xml:space="preserve"> </w:t>
      </w:r>
      <w:r w:rsidRPr="002E6ECA">
        <w:rPr>
          <w:sz w:val="28"/>
          <w:szCs w:val="28"/>
          <w:lang w:val="uk-UA"/>
        </w:rPr>
        <w:t>у</w:t>
      </w:r>
      <w:r w:rsidR="00D46B1B" w:rsidRPr="002E6ECA">
        <w:rPr>
          <w:sz w:val="28"/>
          <w:szCs w:val="28"/>
          <w:lang w:val="uk-UA"/>
        </w:rPr>
        <w:t xml:space="preserve"> </w:t>
      </w:r>
      <w:r w:rsidRPr="002E6ECA">
        <w:rPr>
          <w:sz w:val="28"/>
          <w:szCs w:val="28"/>
          <w:lang w:val="uk-UA"/>
        </w:rPr>
        <w:t>дітей</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підлітків»</w:t>
      </w:r>
      <w:r w:rsidR="00D46B1B" w:rsidRPr="002E6ECA">
        <w:rPr>
          <w:sz w:val="28"/>
          <w:szCs w:val="28"/>
          <w:lang w:val="uk-UA"/>
        </w:rPr>
        <w:t xml:space="preserve"> </w:t>
      </w:r>
      <w:r w:rsidRPr="002E6ECA">
        <w:rPr>
          <w:sz w:val="28"/>
          <w:szCs w:val="28"/>
          <w:lang w:val="uk-UA"/>
        </w:rPr>
        <w:t>(Харків,</w:t>
      </w:r>
      <w:r w:rsidR="00D46B1B" w:rsidRPr="002E6ECA">
        <w:rPr>
          <w:sz w:val="28"/>
          <w:szCs w:val="28"/>
          <w:lang w:val="uk-UA"/>
        </w:rPr>
        <w:t xml:space="preserve"> </w:t>
      </w:r>
      <w:r w:rsidRPr="002E6ECA">
        <w:rPr>
          <w:sz w:val="28"/>
          <w:szCs w:val="28"/>
          <w:lang w:val="uk-UA"/>
        </w:rPr>
        <w:t>2017)</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науково-практична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з</w:t>
      </w:r>
      <w:r w:rsidR="00D46B1B" w:rsidRPr="002E6ECA">
        <w:rPr>
          <w:sz w:val="28"/>
          <w:szCs w:val="28"/>
          <w:lang w:val="uk-UA"/>
        </w:rPr>
        <w:t xml:space="preserve"> </w:t>
      </w:r>
      <w:r w:rsidRPr="002E6ECA">
        <w:rPr>
          <w:sz w:val="28"/>
          <w:szCs w:val="28"/>
          <w:lang w:val="uk-UA"/>
        </w:rPr>
        <w:t>міжнародною</w:t>
      </w:r>
      <w:r w:rsidR="00D46B1B" w:rsidRPr="002E6ECA">
        <w:rPr>
          <w:sz w:val="28"/>
          <w:szCs w:val="28"/>
          <w:lang w:val="uk-UA"/>
        </w:rPr>
        <w:t xml:space="preserve"> </w:t>
      </w:r>
      <w:r w:rsidRPr="002E6ECA">
        <w:rPr>
          <w:sz w:val="28"/>
          <w:szCs w:val="28"/>
          <w:lang w:val="uk-UA"/>
        </w:rPr>
        <w:t>участю</w:t>
      </w:r>
      <w:r w:rsidR="00D46B1B" w:rsidRPr="002E6ECA">
        <w:rPr>
          <w:sz w:val="28"/>
          <w:szCs w:val="28"/>
          <w:lang w:val="uk-UA"/>
        </w:rPr>
        <w:t xml:space="preserve"> </w:t>
      </w:r>
      <w:r w:rsidRPr="002E6ECA">
        <w:rPr>
          <w:sz w:val="28"/>
          <w:szCs w:val="28"/>
          <w:lang w:val="uk-UA"/>
        </w:rPr>
        <w:t>«Актуальні</w:t>
      </w:r>
      <w:r w:rsidR="00D46B1B" w:rsidRPr="002E6ECA">
        <w:rPr>
          <w:sz w:val="28"/>
          <w:szCs w:val="28"/>
          <w:lang w:val="uk-UA"/>
        </w:rPr>
        <w:t xml:space="preserve"> </w:t>
      </w:r>
      <w:r w:rsidRPr="002E6ECA">
        <w:rPr>
          <w:sz w:val="28"/>
          <w:szCs w:val="28"/>
          <w:lang w:val="uk-UA"/>
        </w:rPr>
        <w:t>питання</w:t>
      </w:r>
      <w:r w:rsidR="00D46B1B" w:rsidRPr="002E6ECA">
        <w:rPr>
          <w:sz w:val="28"/>
          <w:szCs w:val="28"/>
          <w:lang w:val="uk-UA"/>
        </w:rPr>
        <w:t xml:space="preserve"> </w:t>
      </w:r>
      <w:r w:rsidRPr="002E6ECA">
        <w:rPr>
          <w:sz w:val="28"/>
          <w:szCs w:val="28"/>
          <w:lang w:val="uk-UA"/>
        </w:rPr>
        <w:t>фізіології,</w:t>
      </w:r>
      <w:r w:rsidR="00D46B1B" w:rsidRPr="002E6ECA">
        <w:rPr>
          <w:sz w:val="28"/>
          <w:szCs w:val="28"/>
          <w:lang w:val="uk-UA"/>
        </w:rPr>
        <w:t xml:space="preserve"> </w:t>
      </w:r>
      <w:r w:rsidRPr="002E6ECA">
        <w:rPr>
          <w:sz w:val="28"/>
          <w:szCs w:val="28"/>
          <w:lang w:val="uk-UA"/>
        </w:rPr>
        <w:t>патології</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організації</w:t>
      </w:r>
      <w:r w:rsidR="00D46B1B" w:rsidRPr="002E6ECA">
        <w:rPr>
          <w:sz w:val="28"/>
          <w:szCs w:val="28"/>
          <w:lang w:val="uk-UA"/>
        </w:rPr>
        <w:t xml:space="preserve"> </w:t>
      </w:r>
      <w:r w:rsidRPr="002E6ECA">
        <w:rPr>
          <w:sz w:val="28"/>
          <w:szCs w:val="28"/>
          <w:lang w:val="uk-UA"/>
        </w:rPr>
        <w:t>медичного</w:t>
      </w:r>
      <w:r w:rsidR="00D46B1B" w:rsidRPr="002E6ECA">
        <w:rPr>
          <w:sz w:val="28"/>
          <w:szCs w:val="28"/>
          <w:lang w:val="uk-UA"/>
        </w:rPr>
        <w:t xml:space="preserve"> </w:t>
      </w:r>
      <w:r w:rsidRPr="002E6ECA">
        <w:rPr>
          <w:sz w:val="28"/>
          <w:szCs w:val="28"/>
          <w:lang w:val="uk-UA"/>
        </w:rPr>
        <w:t>забезпечення</w:t>
      </w:r>
      <w:r w:rsidR="00D46B1B" w:rsidRPr="002E6ECA">
        <w:rPr>
          <w:sz w:val="28"/>
          <w:szCs w:val="28"/>
          <w:lang w:val="uk-UA"/>
        </w:rPr>
        <w:t xml:space="preserve"> </w:t>
      </w:r>
      <w:r w:rsidRPr="002E6ECA">
        <w:rPr>
          <w:sz w:val="28"/>
          <w:szCs w:val="28"/>
          <w:lang w:val="uk-UA"/>
        </w:rPr>
        <w:t>дітей</w:t>
      </w:r>
      <w:r w:rsidR="00D46B1B" w:rsidRPr="002E6ECA">
        <w:rPr>
          <w:sz w:val="28"/>
          <w:szCs w:val="28"/>
          <w:lang w:val="uk-UA"/>
        </w:rPr>
        <w:t xml:space="preserve"> </w:t>
      </w:r>
      <w:r w:rsidRPr="002E6ECA">
        <w:rPr>
          <w:sz w:val="28"/>
          <w:szCs w:val="28"/>
          <w:lang w:val="uk-UA"/>
        </w:rPr>
        <w:t>шкільного</w:t>
      </w:r>
      <w:r w:rsidR="00D46B1B" w:rsidRPr="002E6ECA">
        <w:rPr>
          <w:sz w:val="28"/>
          <w:szCs w:val="28"/>
          <w:lang w:val="uk-UA"/>
        </w:rPr>
        <w:t xml:space="preserve"> </w:t>
      </w:r>
      <w:r w:rsidRPr="002E6ECA">
        <w:rPr>
          <w:sz w:val="28"/>
          <w:szCs w:val="28"/>
          <w:lang w:val="uk-UA"/>
        </w:rPr>
        <w:t>віку</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підлітків.</w:t>
      </w:r>
      <w:r w:rsidR="00D46B1B" w:rsidRPr="002E6ECA">
        <w:rPr>
          <w:sz w:val="28"/>
          <w:szCs w:val="28"/>
          <w:lang w:val="uk-UA"/>
        </w:rPr>
        <w:t xml:space="preserve"> </w:t>
      </w:r>
      <w:r w:rsidRPr="002E6ECA">
        <w:rPr>
          <w:bCs/>
          <w:sz w:val="28"/>
          <w:szCs w:val="28"/>
          <w:lang w:val="uk-UA"/>
        </w:rPr>
        <w:t>Прогнозування</w:t>
      </w:r>
      <w:r w:rsidR="00D46B1B" w:rsidRPr="002E6ECA">
        <w:rPr>
          <w:bCs/>
          <w:sz w:val="28"/>
          <w:szCs w:val="28"/>
          <w:lang w:val="uk-UA"/>
        </w:rPr>
        <w:t xml:space="preserve"> </w:t>
      </w:r>
      <w:r w:rsidRPr="002E6ECA">
        <w:rPr>
          <w:bCs/>
          <w:sz w:val="28"/>
          <w:szCs w:val="28"/>
          <w:lang w:val="uk-UA"/>
        </w:rPr>
        <w:t>формування</w:t>
      </w:r>
      <w:r w:rsidR="00D46B1B" w:rsidRPr="002E6ECA">
        <w:rPr>
          <w:bCs/>
          <w:sz w:val="28"/>
          <w:szCs w:val="28"/>
          <w:lang w:val="uk-UA"/>
        </w:rPr>
        <w:t xml:space="preserve"> </w:t>
      </w:r>
      <w:r w:rsidRPr="002E6ECA">
        <w:rPr>
          <w:bCs/>
          <w:sz w:val="28"/>
          <w:szCs w:val="28"/>
          <w:lang w:val="uk-UA"/>
        </w:rPr>
        <w:t>хронічної</w:t>
      </w:r>
      <w:r w:rsidR="00D46B1B" w:rsidRPr="002E6ECA">
        <w:rPr>
          <w:bCs/>
          <w:sz w:val="28"/>
          <w:szCs w:val="28"/>
          <w:lang w:val="uk-UA"/>
        </w:rPr>
        <w:t xml:space="preserve"> </w:t>
      </w:r>
      <w:r w:rsidRPr="002E6ECA">
        <w:rPr>
          <w:bCs/>
          <w:sz w:val="28"/>
          <w:szCs w:val="28"/>
          <w:lang w:val="uk-UA"/>
        </w:rPr>
        <w:t>соматичної</w:t>
      </w:r>
      <w:r w:rsidR="00D46B1B" w:rsidRPr="002E6ECA">
        <w:rPr>
          <w:bCs/>
          <w:sz w:val="28"/>
          <w:szCs w:val="28"/>
          <w:lang w:val="uk-UA"/>
        </w:rPr>
        <w:t xml:space="preserve"> </w:t>
      </w:r>
      <w:r w:rsidRPr="002E6ECA">
        <w:rPr>
          <w:bCs/>
          <w:sz w:val="28"/>
          <w:szCs w:val="28"/>
          <w:lang w:val="uk-UA"/>
        </w:rPr>
        <w:t>та</w:t>
      </w:r>
      <w:r w:rsidR="00D46B1B" w:rsidRPr="002E6ECA">
        <w:rPr>
          <w:bCs/>
          <w:sz w:val="28"/>
          <w:szCs w:val="28"/>
          <w:lang w:val="uk-UA"/>
        </w:rPr>
        <w:t xml:space="preserve"> </w:t>
      </w:r>
      <w:r w:rsidRPr="002E6ECA">
        <w:rPr>
          <w:bCs/>
          <w:sz w:val="28"/>
          <w:szCs w:val="28"/>
          <w:lang w:val="uk-UA"/>
        </w:rPr>
        <w:t>психічної</w:t>
      </w:r>
      <w:r w:rsidR="00D46B1B" w:rsidRPr="002E6ECA">
        <w:rPr>
          <w:bCs/>
          <w:sz w:val="28"/>
          <w:szCs w:val="28"/>
          <w:lang w:val="uk-UA"/>
        </w:rPr>
        <w:t xml:space="preserve"> </w:t>
      </w:r>
      <w:r w:rsidRPr="002E6ECA">
        <w:rPr>
          <w:bCs/>
          <w:sz w:val="28"/>
          <w:szCs w:val="28"/>
          <w:lang w:val="uk-UA"/>
        </w:rPr>
        <w:t>патології</w:t>
      </w:r>
      <w:r w:rsidRPr="002E6ECA">
        <w:rPr>
          <w:sz w:val="28"/>
          <w:szCs w:val="28"/>
          <w:lang w:val="uk-UA"/>
        </w:rPr>
        <w:t>»</w:t>
      </w:r>
      <w:r w:rsidR="00D46B1B" w:rsidRPr="002E6ECA">
        <w:rPr>
          <w:sz w:val="28"/>
          <w:szCs w:val="28"/>
          <w:lang w:val="uk-UA"/>
        </w:rPr>
        <w:t xml:space="preserve"> </w:t>
      </w:r>
      <w:r w:rsidRPr="002E6ECA">
        <w:rPr>
          <w:sz w:val="28"/>
          <w:szCs w:val="28"/>
          <w:lang w:val="uk-UA"/>
        </w:rPr>
        <w:t>(Харків,</w:t>
      </w:r>
      <w:r w:rsidR="00D46B1B" w:rsidRPr="002E6ECA">
        <w:rPr>
          <w:sz w:val="28"/>
          <w:szCs w:val="28"/>
          <w:lang w:val="uk-UA"/>
        </w:rPr>
        <w:t xml:space="preserve"> </w:t>
      </w:r>
      <w:r w:rsidRPr="002E6ECA">
        <w:rPr>
          <w:sz w:val="28"/>
          <w:szCs w:val="28"/>
          <w:lang w:val="uk-UA"/>
        </w:rPr>
        <w:t>2019)</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науково-практична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з</w:t>
      </w:r>
      <w:r w:rsidR="00D46B1B" w:rsidRPr="002E6ECA">
        <w:rPr>
          <w:sz w:val="28"/>
          <w:szCs w:val="28"/>
          <w:lang w:val="uk-UA"/>
        </w:rPr>
        <w:t xml:space="preserve"> </w:t>
      </w:r>
      <w:r w:rsidRPr="002E6ECA">
        <w:rPr>
          <w:sz w:val="28"/>
          <w:szCs w:val="28"/>
          <w:lang w:val="uk-UA"/>
        </w:rPr>
        <w:t>міжнародною</w:t>
      </w:r>
      <w:r w:rsidR="00D46B1B" w:rsidRPr="002E6ECA">
        <w:rPr>
          <w:sz w:val="28"/>
          <w:szCs w:val="28"/>
          <w:lang w:val="uk-UA"/>
        </w:rPr>
        <w:t xml:space="preserve"> </w:t>
      </w:r>
      <w:r w:rsidRPr="002E6ECA">
        <w:rPr>
          <w:sz w:val="28"/>
          <w:szCs w:val="28"/>
          <w:lang w:val="uk-UA"/>
        </w:rPr>
        <w:t>участю</w:t>
      </w:r>
      <w:r w:rsidR="00D46B1B" w:rsidRPr="002E6ECA">
        <w:rPr>
          <w:sz w:val="28"/>
          <w:szCs w:val="28"/>
          <w:lang w:val="uk-UA"/>
        </w:rPr>
        <w:t xml:space="preserve"> </w:t>
      </w:r>
      <w:r w:rsidRPr="002E6ECA">
        <w:rPr>
          <w:sz w:val="28"/>
          <w:szCs w:val="28"/>
          <w:lang w:val="uk-UA"/>
        </w:rPr>
        <w:t>«Актуальні</w:t>
      </w:r>
      <w:r w:rsidR="00D46B1B" w:rsidRPr="002E6ECA">
        <w:rPr>
          <w:sz w:val="28"/>
          <w:szCs w:val="28"/>
          <w:lang w:val="uk-UA"/>
        </w:rPr>
        <w:t xml:space="preserve"> </w:t>
      </w:r>
      <w:r w:rsidRPr="002E6ECA">
        <w:rPr>
          <w:sz w:val="28"/>
          <w:szCs w:val="28"/>
          <w:lang w:val="uk-UA"/>
        </w:rPr>
        <w:t>питання</w:t>
      </w:r>
      <w:r w:rsidR="00D46B1B" w:rsidRPr="002E6ECA">
        <w:rPr>
          <w:sz w:val="28"/>
          <w:szCs w:val="28"/>
          <w:lang w:val="uk-UA"/>
        </w:rPr>
        <w:t xml:space="preserve"> </w:t>
      </w:r>
      <w:r w:rsidRPr="002E6ECA">
        <w:rPr>
          <w:sz w:val="28"/>
          <w:szCs w:val="28"/>
          <w:lang w:val="uk-UA"/>
        </w:rPr>
        <w:t>фізіології,</w:t>
      </w:r>
      <w:r w:rsidR="00D46B1B" w:rsidRPr="002E6ECA">
        <w:rPr>
          <w:sz w:val="28"/>
          <w:szCs w:val="28"/>
          <w:lang w:val="uk-UA"/>
        </w:rPr>
        <w:t xml:space="preserve"> </w:t>
      </w:r>
      <w:r w:rsidRPr="002E6ECA">
        <w:rPr>
          <w:sz w:val="28"/>
          <w:szCs w:val="28"/>
          <w:lang w:val="uk-UA"/>
        </w:rPr>
        <w:t>патології</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організації</w:t>
      </w:r>
      <w:r w:rsidR="00D46B1B" w:rsidRPr="002E6ECA">
        <w:rPr>
          <w:sz w:val="28"/>
          <w:szCs w:val="28"/>
          <w:lang w:val="uk-UA"/>
        </w:rPr>
        <w:t xml:space="preserve"> </w:t>
      </w:r>
      <w:r w:rsidRPr="002E6ECA">
        <w:rPr>
          <w:sz w:val="28"/>
          <w:szCs w:val="28"/>
          <w:lang w:val="uk-UA"/>
        </w:rPr>
        <w:t>медичного</w:t>
      </w:r>
      <w:r w:rsidR="00D46B1B" w:rsidRPr="002E6ECA">
        <w:rPr>
          <w:sz w:val="28"/>
          <w:szCs w:val="28"/>
          <w:lang w:val="uk-UA"/>
        </w:rPr>
        <w:t xml:space="preserve"> </w:t>
      </w:r>
      <w:r w:rsidRPr="002E6ECA">
        <w:rPr>
          <w:sz w:val="28"/>
          <w:szCs w:val="28"/>
          <w:lang w:val="uk-UA"/>
        </w:rPr>
        <w:t>забезпечення</w:t>
      </w:r>
      <w:r w:rsidR="00D46B1B" w:rsidRPr="002E6ECA">
        <w:rPr>
          <w:sz w:val="28"/>
          <w:szCs w:val="28"/>
          <w:lang w:val="uk-UA"/>
        </w:rPr>
        <w:t xml:space="preserve"> </w:t>
      </w:r>
      <w:r w:rsidRPr="002E6ECA">
        <w:rPr>
          <w:sz w:val="28"/>
          <w:szCs w:val="28"/>
          <w:lang w:val="uk-UA"/>
        </w:rPr>
        <w:t>дітей</w:t>
      </w:r>
      <w:r w:rsidR="00D46B1B" w:rsidRPr="002E6ECA">
        <w:rPr>
          <w:sz w:val="28"/>
          <w:szCs w:val="28"/>
          <w:lang w:val="uk-UA"/>
        </w:rPr>
        <w:t xml:space="preserve"> </w:t>
      </w:r>
      <w:r w:rsidRPr="002E6ECA">
        <w:rPr>
          <w:sz w:val="28"/>
          <w:szCs w:val="28"/>
          <w:lang w:val="uk-UA"/>
        </w:rPr>
        <w:t>шкільного</w:t>
      </w:r>
      <w:r w:rsidR="00D46B1B" w:rsidRPr="002E6ECA">
        <w:rPr>
          <w:sz w:val="28"/>
          <w:szCs w:val="28"/>
          <w:lang w:val="uk-UA"/>
        </w:rPr>
        <w:t xml:space="preserve"> </w:t>
      </w:r>
      <w:r w:rsidRPr="002E6ECA">
        <w:rPr>
          <w:sz w:val="28"/>
          <w:szCs w:val="28"/>
          <w:lang w:val="uk-UA"/>
        </w:rPr>
        <w:t>віку</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підлітків»</w:t>
      </w:r>
      <w:r w:rsidR="00D46B1B" w:rsidRPr="002E6ECA">
        <w:rPr>
          <w:sz w:val="28"/>
          <w:szCs w:val="28"/>
          <w:lang w:val="uk-UA"/>
        </w:rPr>
        <w:t xml:space="preserve"> </w:t>
      </w:r>
      <w:r w:rsidRPr="002E6ECA">
        <w:rPr>
          <w:sz w:val="28"/>
          <w:szCs w:val="28"/>
          <w:lang w:val="uk-UA"/>
        </w:rPr>
        <w:t>(Харків,</w:t>
      </w:r>
      <w:r w:rsidR="00D46B1B" w:rsidRPr="002E6ECA">
        <w:rPr>
          <w:sz w:val="28"/>
          <w:szCs w:val="28"/>
          <w:lang w:val="uk-UA"/>
        </w:rPr>
        <w:t xml:space="preserve"> </w:t>
      </w:r>
      <w:r w:rsidRPr="002E6ECA">
        <w:rPr>
          <w:sz w:val="28"/>
          <w:szCs w:val="28"/>
          <w:lang w:val="uk-UA"/>
        </w:rPr>
        <w:t>2018,</w:t>
      </w:r>
      <w:r w:rsidR="00D46B1B" w:rsidRPr="002E6ECA">
        <w:rPr>
          <w:sz w:val="28"/>
          <w:szCs w:val="28"/>
          <w:lang w:val="uk-UA"/>
        </w:rPr>
        <w:t xml:space="preserve"> </w:t>
      </w:r>
      <w:r w:rsidRPr="002E6ECA">
        <w:rPr>
          <w:sz w:val="28"/>
          <w:szCs w:val="28"/>
          <w:lang w:val="uk-UA"/>
        </w:rPr>
        <w:t>2020)</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ІІІ</w:t>
      </w:r>
      <w:r w:rsidR="00D46B1B" w:rsidRPr="002E6ECA">
        <w:rPr>
          <w:sz w:val="28"/>
          <w:szCs w:val="28"/>
          <w:lang w:val="uk-UA"/>
        </w:rPr>
        <w:t xml:space="preserve"> </w:t>
      </w:r>
      <w:r w:rsidRPr="002E6ECA">
        <w:rPr>
          <w:sz w:val="28"/>
          <w:szCs w:val="28"/>
          <w:lang w:val="uk-UA"/>
        </w:rPr>
        <w:t>КОНГРЕС</w:t>
      </w:r>
      <w:r w:rsidR="00D46B1B" w:rsidRPr="002E6ECA">
        <w:rPr>
          <w:sz w:val="28"/>
          <w:szCs w:val="28"/>
          <w:lang w:val="uk-UA"/>
        </w:rPr>
        <w:t xml:space="preserve"> </w:t>
      </w:r>
      <w:r w:rsidRPr="002E6ECA">
        <w:rPr>
          <w:sz w:val="28"/>
          <w:szCs w:val="28"/>
          <w:lang w:val="uk-UA"/>
        </w:rPr>
        <w:t>СОЦІОЛОГІЧНОЇ</w:t>
      </w:r>
      <w:r w:rsidR="00D46B1B" w:rsidRPr="002E6ECA">
        <w:rPr>
          <w:sz w:val="28"/>
          <w:szCs w:val="28"/>
          <w:lang w:val="uk-UA"/>
        </w:rPr>
        <w:t xml:space="preserve"> </w:t>
      </w:r>
      <w:r w:rsidRPr="002E6ECA">
        <w:rPr>
          <w:sz w:val="28"/>
          <w:szCs w:val="28"/>
          <w:lang w:val="uk-UA"/>
        </w:rPr>
        <w:t>АСОЦІАЦІЇ</w:t>
      </w:r>
      <w:r w:rsidR="00D46B1B" w:rsidRPr="002E6ECA">
        <w:rPr>
          <w:sz w:val="28"/>
          <w:szCs w:val="28"/>
          <w:lang w:val="uk-UA"/>
        </w:rPr>
        <w:t xml:space="preserve"> </w:t>
      </w:r>
      <w:r w:rsidRPr="002E6ECA">
        <w:rPr>
          <w:sz w:val="28"/>
          <w:szCs w:val="28"/>
          <w:lang w:val="uk-UA"/>
        </w:rPr>
        <w:t>УКРАЇНИ</w:t>
      </w:r>
      <w:r w:rsidR="00D46B1B" w:rsidRPr="002E6ECA">
        <w:rPr>
          <w:sz w:val="28"/>
          <w:szCs w:val="28"/>
          <w:lang w:val="uk-UA"/>
        </w:rPr>
        <w:t xml:space="preserve"> </w:t>
      </w:r>
      <w:r w:rsidRPr="002E6ECA">
        <w:rPr>
          <w:sz w:val="28"/>
          <w:szCs w:val="28"/>
          <w:lang w:val="uk-UA"/>
        </w:rPr>
        <w:t>(Харків,</w:t>
      </w:r>
      <w:r w:rsidR="00D46B1B" w:rsidRPr="002E6ECA">
        <w:rPr>
          <w:sz w:val="28"/>
          <w:szCs w:val="28"/>
          <w:lang w:val="uk-UA"/>
        </w:rPr>
        <w:t xml:space="preserve"> </w:t>
      </w:r>
      <w:r w:rsidRPr="002E6ECA">
        <w:rPr>
          <w:sz w:val="28"/>
          <w:szCs w:val="28"/>
          <w:lang w:val="uk-UA"/>
        </w:rPr>
        <w:t>2017)</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Міжнародний</w:t>
      </w:r>
      <w:r w:rsidR="00D46B1B" w:rsidRPr="002E6ECA">
        <w:rPr>
          <w:sz w:val="28"/>
          <w:szCs w:val="28"/>
          <w:lang w:val="uk-UA"/>
        </w:rPr>
        <w:t xml:space="preserve"> </w:t>
      </w:r>
      <w:r w:rsidRPr="002E6ECA">
        <w:rPr>
          <w:sz w:val="28"/>
          <w:szCs w:val="28"/>
          <w:lang w:val="uk-UA"/>
        </w:rPr>
        <w:t>Public</w:t>
      </w:r>
      <w:r w:rsidR="00D46B1B" w:rsidRPr="002E6ECA">
        <w:rPr>
          <w:sz w:val="28"/>
          <w:szCs w:val="28"/>
          <w:lang w:val="uk-UA"/>
        </w:rPr>
        <w:t xml:space="preserve"> </w:t>
      </w:r>
      <w:r w:rsidRPr="002E6ECA">
        <w:rPr>
          <w:sz w:val="28"/>
          <w:szCs w:val="28"/>
          <w:lang w:val="uk-UA"/>
        </w:rPr>
        <w:t>Health</w:t>
      </w:r>
      <w:r w:rsidR="00D46B1B" w:rsidRPr="002E6ECA">
        <w:rPr>
          <w:sz w:val="28"/>
          <w:szCs w:val="28"/>
          <w:lang w:val="uk-UA"/>
        </w:rPr>
        <w:t xml:space="preserve"> </w:t>
      </w:r>
      <w:r w:rsidRPr="002E6ECA">
        <w:rPr>
          <w:sz w:val="28"/>
          <w:szCs w:val="28"/>
          <w:lang w:val="uk-UA"/>
        </w:rPr>
        <w:t>Forum</w:t>
      </w:r>
      <w:r w:rsidR="00D46B1B" w:rsidRPr="002E6ECA">
        <w:rPr>
          <w:sz w:val="28"/>
          <w:szCs w:val="28"/>
          <w:lang w:val="uk-UA"/>
        </w:rPr>
        <w:t xml:space="preserve"> </w:t>
      </w:r>
      <w:r w:rsidRPr="002E6ECA">
        <w:rPr>
          <w:sz w:val="28"/>
          <w:szCs w:val="28"/>
          <w:lang w:val="uk-UA"/>
        </w:rPr>
        <w:t>(Вроцлав,</w:t>
      </w:r>
      <w:r w:rsidR="00D46B1B" w:rsidRPr="002E6ECA">
        <w:rPr>
          <w:sz w:val="28"/>
          <w:szCs w:val="28"/>
          <w:lang w:val="uk-UA"/>
        </w:rPr>
        <w:t xml:space="preserve"> </w:t>
      </w:r>
      <w:r w:rsidRPr="002E6ECA">
        <w:rPr>
          <w:sz w:val="28"/>
          <w:szCs w:val="28"/>
          <w:lang w:val="uk-UA"/>
        </w:rPr>
        <w:t>2018,</w:t>
      </w:r>
      <w:r w:rsidR="00D46B1B" w:rsidRPr="002E6ECA">
        <w:rPr>
          <w:sz w:val="28"/>
          <w:szCs w:val="28"/>
          <w:lang w:val="uk-UA"/>
        </w:rPr>
        <w:t xml:space="preserve"> </w:t>
      </w:r>
      <w:r w:rsidRPr="002E6ECA">
        <w:rPr>
          <w:sz w:val="28"/>
          <w:szCs w:val="28"/>
          <w:lang w:val="uk-UA"/>
        </w:rPr>
        <w:t>2019)</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стендова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Міжнародна</w:t>
      </w:r>
      <w:r w:rsidR="00D46B1B" w:rsidRPr="002E6ECA">
        <w:rPr>
          <w:sz w:val="28"/>
          <w:szCs w:val="28"/>
          <w:lang w:val="uk-UA"/>
        </w:rPr>
        <w:t xml:space="preserve"> </w:t>
      </w:r>
      <w:r w:rsidRPr="002E6ECA">
        <w:rPr>
          <w:sz w:val="28"/>
          <w:szCs w:val="28"/>
          <w:lang w:val="uk-UA"/>
        </w:rPr>
        <w:t>науково-практична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«Проблеми</w:t>
      </w:r>
      <w:r w:rsidR="00D46B1B" w:rsidRPr="002E6ECA">
        <w:rPr>
          <w:sz w:val="28"/>
          <w:szCs w:val="28"/>
          <w:lang w:val="uk-UA"/>
        </w:rPr>
        <w:t xml:space="preserve"> </w:t>
      </w:r>
      <w:r w:rsidRPr="002E6ECA">
        <w:rPr>
          <w:sz w:val="28"/>
          <w:szCs w:val="28"/>
          <w:lang w:val="uk-UA"/>
        </w:rPr>
        <w:t>техногенно-екологічної</w:t>
      </w:r>
      <w:r w:rsidR="00D46B1B" w:rsidRPr="002E6ECA">
        <w:rPr>
          <w:sz w:val="28"/>
          <w:szCs w:val="28"/>
          <w:lang w:val="uk-UA"/>
        </w:rPr>
        <w:t xml:space="preserve"> </w:t>
      </w:r>
      <w:r w:rsidRPr="002E6ECA">
        <w:rPr>
          <w:sz w:val="28"/>
          <w:szCs w:val="28"/>
          <w:lang w:val="uk-UA"/>
        </w:rPr>
        <w:t>безпеки:</w:t>
      </w:r>
      <w:r w:rsidR="00D46B1B" w:rsidRPr="002E6ECA">
        <w:rPr>
          <w:sz w:val="28"/>
          <w:szCs w:val="28"/>
          <w:lang w:val="uk-UA"/>
        </w:rPr>
        <w:t xml:space="preserve"> </w:t>
      </w:r>
      <w:r w:rsidRPr="002E6ECA">
        <w:rPr>
          <w:sz w:val="28"/>
          <w:szCs w:val="28"/>
          <w:lang w:val="uk-UA"/>
        </w:rPr>
        <w:t>освіта,</w:t>
      </w:r>
      <w:r w:rsidR="00D46B1B" w:rsidRPr="002E6ECA">
        <w:rPr>
          <w:sz w:val="28"/>
          <w:szCs w:val="28"/>
          <w:lang w:val="uk-UA"/>
        </w:rPr>
        <w:t xml:space="preserve"> </w:t>
      </w:r>
      <w:r w:rsidRPr="002E6ECA">
        <w:rPr>
          <w:sz w:val="28"/>
          <w:szCs w:val="28"/>
          <w:lang w:val="uk-UA"/>
        </w:rPr>
        <w:t>наука,</w:t>
      </w:r>
      <w:r w:rsidR="00D46B1B" w:rsidRPr="002E6ECA">
        <w:rPr>
          <w:sz w:val="28"/>
          <w:szCs w:val="28"/>
          <w:lang w:val="uk-UA"/>
        </w:rPr>
        <w:t xml:space="preserve"> </w:t>
      </w:r>
      <w:r w:rsidRPr="002E6ECA">
        <w:rPr>
          <w:sz w:val="28"/>
          <w:szCs w:val="28"/>
          <w:lang w:val="uk-UA"/>
        </w:rPr>
        <w:t>практика»</w:t>
      </w:r>
      <w:r w:rsidR="00D46B1B" w:rsidRPr="002E6ECA">
        <w:rPr>
          <w:sz w:val="28"/>
          <w:szCs w:val="28"/>
          <w:lang w:val="uk-UA"/>
        </w:rPr>
        <w:t xml:space="preserve"> </w:t>
      </w:r>
      <w:r w:rsidRPr="002E6ECA">
        <w:rPr>
          <w:sz w:val="28"/>
          <w:szCs w:val="28"/>
          <w:lang w:val="uk-UA"/>
        </w:rPr>
        <w:t>(Харків,</w:t>
      </w:r>
      <w:r w:rsidR="00D46B1B" w:rsidRPr="002E6ECA">
        <w:rPr>
          <w:sz w:val="28"/>
          <w:szCs w:val="28"/>
          <w:lang w:val="uk-UA"/>
        </w:rPr>
        <w:t xml:space="preserve"> </w:t>
      </w:r>
      <w:r w:rsidRPr="002E6ECA">
        <w:rPr>
          <w:sz w:val="28"/>
          <w:szCs w:val="28"/>
          <w:lang w:val="uk-UA"/>
        </w:rPr>
        <w:t>2019)</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Пятнадцатая</w:t>
      </w:r>
      <w:r w:rsidR="00D46B1B" w:rsidRPr="002E6ECA">
        <w:rPr>
          <w:sz w:val="28"/>
          <w:szCs w:val="28"/>
          <w:lang w:val="uk-UA"/>
        </w:rPr>
        <w:t xml:space="preserve"> </w:t>
      </w:r>
      <w:r w:rsidRPr="002E6ECA">
        <w:rPr>
          <w:sz w:val="28"/>
          <w:szCs w:val="28"/>
          <w:lang w:val="uk-UA"/>
        </w:rPr>
        <w:t>Евразийская</w:t>
      </w:r>
      <w:r w:rsidR="00D46B1B" w:rsidRPr="002E6ECA">
        <w:rPr>
          <w:sz w:val="28"/>
          <w:szCs w:val="28"/>
          <w:lang w:val="uk-UA"/>
        </w:rPr>
        <w:t xml:space="preserve"> </w:t>
      </w:r>
      <w:r w:rsidRPr="002E6ECA">
        <w:rPr>
          <w:sz w:val="28"/>
          <w:szCs w:val="28"/>
          <w:lang w:val="uk-UA"/>
        </w:rPr>
        <w:t>научная</w:t>
      </w:r>
      <w:r w:rsidR="00D46B1B" w:rsidRPr="002E6ECA">
        <w:rPr>
          <w:sz w:val="28"/>
          <w:szCs w:val="28"/>
          <w:lang w:val="uk-UA"/>
        </w:rPr>
        <w:t xml:space="preserve"> </w:t>
      </w:r>
      <w:r w:rsidRPr="002E6ECA">
        <w:rPr>
          <w:sz w:val="28"/>
          <w:szCs w:val="28"/>
          <w:lang w:val="uk-UA"/>
        </w:rPr>
        <w:t>конференция</w:t>
      </w:r>
      <w:r w:rsidR="00D46B1B" w:rsidRPr="002E6ECA">
        <w:rPr>
          <w:sz w:val="28"/>
          <w:szCs w:val="28"/>
          <w:lang w:val="uk-UA"/>
        </w:rPr>
        <w:t xml:space="preserve"> </w:t>
      </w:r>
      <w:r w:rsidRPr="002E6ECA">
        <w:rPr>
          <w:sz w:val="28"/>
          <w:szCs w:val="28"/>
          <w:lang w:val="uk-UA"/>
        </w:rPr>
        <w:t>«ДОНОЗОЛОГИЯ-2020:</w:t>
      </w:r>
      <w:r w:rsidR="00D46B1B" w:rsidRPr="002E6ECA">
        <w:rPr>
          <w:sz w:val="28"/>
          <w:szCs w:val="28"/>
          <w:lang w:val="uk-UA"/>
        </w:rPr>
        <w:t xml:space="preserve"> </w:t>
      </w:r>
      <w:r w:rsidRPr="002E6ECA">
        <w:rPr>
          <w:sz w:val="28"/>
          <w:szCs w:val="28"/>
          <w:lang w:val="uk-UA"/>
        </w:rPr>
        <w:t>Факторы</w:t>
      </w:r>
      <w:r w:rsidR="00D46B1B" w:rsidRPr="002E6ECA">
        <w:rPr>
          <w:sz w:val="28"/>
          <w:szCs w:val="28"/>
          <w:lang w:val="uk-UA"/>
        </w:rPr>
        <w:t xml:space="preserve"> </w:t>
      </w:r>
      <w:r w:rsidRPr="002E6ECA">
        <w:rPr>
          <w:sz w:val="28"/>
          <w:szCs w:val="28"/>
          <w:lang w:val="uk-UA"/>
        </w:rPr>
        <w:t>риска,</w:t>
      </w:r>
      <w:r w:rsidR="00D46B1B" w:rsidRPr="002E6ECA">
        <w:rPr>
          <w:sz w:val="28"/>
          <w:szCs w:val="28"/>
          <w:lang w:val="uk-UA"/>
        </w:rPr>
        <w:t xml:space="preserve"> </w:t>
      </w:r>
      <w:r w:rsidRPr="002E6ECA">
        <w:rPr>
          <w:sz w:val="28"/>
          <w:szCs w:val="28"/>
          <w:lang w:val="uk-UA"/>
        </w:rPr>
        <w:t>популяционное</w:t>
      </w:r>
      <w:r w:rsidR="00D46B1B" w:rsidRPr="002E6ECA">
        <w:rPr>
          <w:sz w:val="28"/>
          <w:szCs w:val="28"/>
          <w:lang w:val="uk-UA"/>
        </w:rPr>
        <w:t xml:space="preserve"> </w:t>
      </w:r>
      <w:r w:rsidRPr="002E6ECA">
        <w:rPr>
          <w:sz w:val="28"/>
          <w:szCs w:val="28"/>
          <w:lang w:val="uk-UA"/>
        </w:rPr>
        <w:t>(индивидуальное)</w:t>
      </w:r>
      <w:r w:rsidR="00D46B1B" w:rsidRPr="002E6ECA">
        <w:rPr>
          <w:sz w:val="28"/>
          <w:szCs w:val="28"/>
          <w:lang w:val="uk-UA"/>
        </w:rPr>
        <w:t xml:space="preserve"> </w:t>
      </w:r>
      <w:r w:rsidRPr="002E6ECA">
        <w:rPr>
          <w:sz w:val="28"/>
          <w:szCs w:val="28"/>
          <w:lang w:val="uk-UA"/>
        </w:rPr>
        <w:t>здоровье</w:t>
      </w:r>
      <w:r w:rsidR="00D46B1B" w:rsidRPr="002E6ECA">
        <w:rPr>
          <w:sz w:val="28"/>
          <w:szCs w:val="28"/>
          <w:lang w:val="uk-UA"/>
        </w:rPr>
        <w:t xml:space="preserve"> </w:t>
      </w:r>
      <w:r w:rsidRPr="002E6ECA">
        <w:rPr>
          <w:sz w:val="28"/>
          <w:szCs w:val="28"/>
          <w:lang w:val="uk-UA"/>
        </w:rPr>
        <w:t>в</w:t>
      </w:r>
      <w:r w:rsidR="00D46B1B" w:rsidRPr="002E6ECA">
        <w:rPr>
          <w:sz w:val="28"/>
          <w:szCs w:val="28"/>
          <w:lang w:val="uk-UA"/>
        </w:rPr>
        <w:t xml:space="preserve"> </w:t>
      </w:r>
      <w:r w:rsidRPr="002E6ECA">
        <w:rPr>
          <w:sz w:val="28"/>
          <w:szCs w:val="28"/>
          <w:lang w:val="uk-UA"/>
        </w:rPr>
        <w:t>гигиенической</w:t>
      </w:r>
      <w:r w:rsidR="00D46B1B" w:rsidRPr="002E6ECA">
        <w:rPr>
          <w:sz w:val="28"/>
          <w:szCs w:val="28"/>
          <w:lang w:val="uk-UA"/>
        </w:rPr>
        <w:t xml:space="preserve"> </w:t>
      </w:r>
      <w:r w:rsidRPr="002E6ECA">
        <w:rPr>
          <w:sz w:val="28"/>
          <w:szCs w:val="28"/>
          <w:lang w:val="uk-UA"/>
        </w:rPr>
        <w:t>донозологической</w:t>
      </w:r>
      <w:r w:rsidR="00D46B1B" w:rsidRPr="002E6ECA">
        <w:rPr>
          <w:sz w:val="28"/>
          <w:szCs w:val="28"/>
          <w:lang w:val="uk-UA"/>
        </w:rPr>
        <w:t xml:space="preserve"> </w:t>
      </w:r>
      <w:r w:rsidRPr="002E6ECA">
        <w:rPr>
          <w:sz w:val="28"/>
          <w:szCs w:val="28"/>
          <w:lang w:val="uk-UA"/>
        </w:rPr>
        <w:t>диагностике»</w:t>
      </w:r>
      <w:r w:rsidR="00D46B1B" w:rsidRPr="002E6ECA">
        <w:rPr>
          <w:sz w:val="28"/>
          <w:szCs w:val="28"/>
          <w:lang w:val="uk-UA"/>
        </w:rPr>
        <w:t xml:space="preserve"> </w:t>
      </w:r>
      <w:r w:rsidRPr="002E6ECA">
        <w:rPr>
          <w:sz w:val="28"/>
          <w:szCs w:val="28"/>
          <w:lang w:val="uk-UA"/>
        </w:rPr>
        <w:t>(Санкт-Петербург,</w:t>
      </w:r>
      <w:r w:rsidR="00D46B1B" w:rsidRPr="002E6ECA">
        <w:rPr>
          <w:sz w:val="28"/>
          <w:szCs w:val="28"/>
          <w:lang w:val="uk-UA"/>
        </w:rPr>
        <w:t xml:space="preserve"> </w:t>
      </w:r>
      <w:r w:rsidRPr="002E6ECA">
        <w:rPr>
          <w:sz w:val="28"/>
          <w:szCs w:val="28"/>
          <w:lang w:val="uk-UA"/>
        </w:rPr>
        <w:t>2020)</w:t>
      </w:r>
      <w:r w:rsidR="00D46B1B" w:rsidRPr="002E6ECA">
        <w:rPr>
          <w:sz w:val="28"/>
          <w:szCs w:val="28"/>
          <w:lang w:val="uk-UA"/>
        </w:rPr>
        <w:t xml:space="preserve"> </w:t>
      </w:r>
      <w:r w:rsidR="00E26678" w:rsidRPr="002E6ECA">
        <w:rPr>
          <w:sz w:val="28"/>
          <w:szCs w:val="28"/>
          <w:lang w:val="uk-UA"/>
        </w:rPr>
        <w:t>-</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lastRenderedPageBreak/>
        <w:t>X</w:t>
      </w:r>
      <w:r w:rsidR="00D46B1B" w:rsidRPr="002E6ECA">
        <w:rPr>
          <w:sz w:val="28"/>
          <w:szCs w:val="28"/>
          <w:lang w:val="uk-UA"/>
        </w:rPr>
        <w:t xml:space="preserve"> </w:t>
      </w:r>
      <w:r w:rsidRPr="002E6ECA">
        <w:rPr>
          <w:sz w:val="28"/>
          <w:szCs w:val="28"/>
          <w:lang w:val="uk-UA"/>
        </w:rPr>
        <w:t>Всеукраїнської</w:t>
      </w:r>
      <w:r w:rsidR="00D46B1B" w:rsidRPr="002E6ECA">
        <w:rPr>
          <w:sz w:val="28"/>
          <w:szCs w:val="28"/>
          <w:lang w:val="uk-UA"/>
        </w:rPr>
        <w:t xml:space="preserve"> </w:t>
      </w:r>
      <w:r w:rsidRPr="002E6ECA">
        <w:rPr>
          <w:sz w:val="28"/>
          <w:szCs w:val="28"/>
          <w:lang w:val="uk-UA"/>
        </w:rPr>
        <w:t>науково-практична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з</w:t>
      </w:r>
      <w:r w:rsidR="00D46B1B" w:rsidRPr="002E6ECA">
        <w:rPr>
          <w:sz w:val="28"/>
          <w:szCs w:val="28"/>
          <w:lang w:val="uk-UA"/>
        </w:rPr>
        <w:t xml:space="preserve"> </w:t>
      </w:r>
      <w:r w:rsidRPr="002E6ECA">
        <w:rPr>
          <w:sz w:val="28"/>
          <w:szCs w:val="28"/>
          <w:lang w:val="uk-UA"/>
        </w:rPr>
        <w:t>міжнародною</w:t>
      </w:r>
      <w:r w:rsidR="00D46B1B" w:rsidRPr="002E6ECA">
        <w:rPr>
          <w:sz w:val="28"/>
          <w:szCs w:val="28"/>
          <w:lang w:val="uk-UA"/>
        </w:rPr>
        <w:t xml:space="preserve"> </w:t>
      </w:r>
      <w:r w:rsidRPr="002E6ECA">
        <w:rPr>
          <w:sz w:val="28"/>
          <w:szCs w:val="28"/>
          <w:lang w:val="uk-UA"/>
        </w:rPr>
        <w:t>участю</w:t>
      </w:r>
      <w:r w:rsidR="00D46B1B" w:rsidRPr="002E6ECA">
        <w:rPr>
          <w:sz w:val="28"/>
          <w:szCs w:val="28"/>
          <w:lang w:val="uk-UA"/>
        </w:rPr>
        <w:t xml:space="preserve"> </w:t>
      </w:r>
      <w:r w:rsidRPr="002E6ECA">
        <w:rPr>
          <w:sz w:val="28"/>
          <w:szCs w:val="28"/>
          <w:lang w:val="uk-UA"/>
        </w:rPr>
        <w:t>«Освіта</w:t>
      </w:r>
      <w:r w:rsidR="00D46B1B" w:rsidRPr="002E6ECA">
        <w:rPr>
          <w:sz w:val="28"/>
          <w:szCs w:val="28"/>
          <w:lang w:val="uk-UA"/>
        </w:rPr>
        <w:t xml:space="preserve"> </w:t>
      </w:r>
      <w:r w:rsidRPr="002E6ECA">
        <w:rPr>
          <w:sz w:val="28"/>
          <w:szCs w:val="28"/>
          <w:lang w:val="uk-UA"/>
        </w:rPr>
        <w:t>і</w:t>
      </w:r>
      <w:r w:rsidR="00D46B1B" w:rsidRPr="002E6ECA">
        <w:rPr>
          <w:sz w:val="28"/>
          <w:szCs w:val="28"/>
          <w:lang w:val="uk-UA"/>
        </w:rPr>
        <w:t xml:space="preserve"> </w:t>
      </w:r>
      <w:r w:rsidRPr="002E6ECA">
        <w:rPr>
          <w:sz w:val="28"/>
          <w:szCs w:val="28"/>
          <w:lang w:val="uk-UA"/>
        </w:rPr>
        <w:t>здоров’я»</w:t>
      </w:r>
      <w:r w:rsidR="00D46B1B" w:rsidRPr="002E6ECA">
        <w:rPr>
          <w:sz w:val="28"/>
          <w:szCs w:val="28"/>
          <w:lang w:val="uk-UA"/>
        </w:rPr>
        <w:t xml:space="preserve"> </w:t>
      </w:r>
      <w:r w:rsidRPr="002E6ECA">
        <w:rPr>
          <w:sz w:val="28"/>
          <w:szCs w:val="28"/>
          <w:lang w:val="uk-UA"/>
        </w:rPr>
        <w:t>(Суми,</w:t>
      </w:r>
      <w:r w:rsidR="00D46B1B" w:rsidRPr="002E6ECA">
        <w:rPr>
          <w:sz w:val="28"/>
          <w:szCs w:val="28"/>
          <w:lang w:val="uk-UA"/>
        </w:rPr>
        <w:t xml:space="preserve"> </w:t>
      </w:r>
      <w:r w:rsidRPr="002E6ECA">
        <w:rPr>
          <w:sz w:val="28"/>
          <w:szCs w:val="28"/>
          <w:lang w:val="uk-UA"/>
        </w:rPr>
        <w:t>2020)</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Міжнародна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з</w:t>
      </w:r>
      <w:r w:rsidR="00D46B1B" w:rsidRPr="002E6ECA">
        <w:rPr>
          <w:sz w:val="28"/>
          <w:szCs w:val="28"/>
          <w:lang w:val="uk-UA"/>
        </w:rPr>
        <w:t xml:space="preserve"> </w:t>
      </w:r>
      <w:r w:rsidRPr="002E6ECA">
        <w:rPr>
          <w:sz w:val="28"/>
          <w:szCs w:val="28"/>
          <w:lang w:val="uk-UA"/>
        </w:rPr>
        <w:t>громадського</w:t>
      </w:r>
      <w:r w:rsidR="00D46B1B" w:rsidRPr="002E6ECA">
        <w:rPr>
          <w:sz w:val="28"/>
          <w:szCs w:val="28"/>
          <w:lang w:val="uk-UA"/>
        </w:rPr>
        <w:t xml:space="preserve"> </w:t>
      </w:r>
      <w:r w:rsidRPr="002E6ECA">
        <w:rPr>
          <w:sz w:val="28"/>
          <w:szCs w:val="28"/>
          <w:lang w:val="uk-UA"/>
        </w:rPr>
        <w:t>здоров’я</w:t>
      </w:r>
      <w:r w:rsidR="00D46B1B" w:rsidRPr="002E6ECA">
        <w:rPr>
          <w:sz w:val="28"/>
          <w:szCs w:val="28"/>
          <w:lang w:val="uk-UA"/>
        </w:rPr>
        <w:t xml:space="preserve"> </w:t>
      </w:r>
      <w:r w:rsidRPr="002E6ECA">
        <w:rPr>
          <w:sz w:val="28"/>
          <w:szCs w:val="28"/>
          <w:lang w:val="uk-UA"/>
        </w:rPr>
        <w:t>«громадське</w:t>
      </w:r>
      <w:r w:rsidR="00D46B1B" w:rsidRPr="002E6ECA">
        <w:rPr>
          <w:sz w:val="28"/>
          <w:szCs w:val="28"/>
          <w:lang w:val="uk-UA"/>
        </w:rPr>
        <w:t xml:space="preserve"> </w:t>
      </w:r>
      <w:r w:rsidRPr="002E6ECA">
        <w:rPr>
          <w:sz w:val="28"/>
          <w:szCs w:val="28"/>
          <w:lang w:val="uk-UA"/>
        </w:rPr>
        <w:t>здоров’я</w:t>
      </w:r>
      <w:r w:rsidR="00D46B1B" w:rsidRPr="002E6ECA">
        <w:rPr>
          <w:sz w:val="28"/>
          <w:szCs w:val="28"/>
          <w:lang w:val="uk-UA"/>
        </w:rPr>
        <w:t xml:space="preserve"> </w:t>
      </w:r>
      <w:r w:rsidRPr="002E6ECA">
        <w:rPr>
          <w:sz w:val="28"/>
          <w:szCs w:val="28"/>
          <w:lang w:val="uk-UA"/>
        </w:rPr>
        <w:t>в</w:t>
      </w:r>
      <w:r w:rsidR="00D46B1B" w:rsidRPr="002E6ECA">
        <w:rPr>
          <w:sz w:val="28"/>
          <w:szCs w:val="28"/>
          <w:lang w:val="uk-UA"/>
        </w:rPr>
        <w:t xml:space="preserve"> </w:t>
      </w:r>
      <w:r w:rsidRPr="002E6ECA">
        <w:rPr>
          <w:sz w:val="28"/>
          <w:szCs w:val="28"/>
          <w:lang w:val="uk-UA"/>
        </w:rPr>
        <w:t>Україні</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сучасні</w:t>
      </w:r>
      <w:r w:rsidR="00D46B1B" w:rsidRPr="002E6ECA">
        <w:rPr>
          <w:sz w:val="28"/>
          <w:szCs w:val="28"/>
          <w:lang w:val="uk-UA"/>
        </w:rPr>
        <w:t xml:space="preserve"> </w:t>
      </w:r>
      <w:r w:rsidRPr="002E6ECA">
        <w:rPr>
          <w:sz w:val="28"/>
          <w:szCs w:val="28"/>
          <w:lang w:val="uk-UA"/>
        </w:rPr>
        <w:t>виклики</w:t>
      </w:r>
      <w:r w:rsidR="00D46B1B" w:rsidRPr="002E6ECA">
        <w:rPr>
          <w:sz w:val="28"/>
          <w:szCs w:val="28"/>
          <w:lang w:val="uk-UA"/>
        </w:rPr>
        <w:t xml:space="preserve"> </w:t>
      </w:r>
      <w:r w:rsidRPr="002E6ECA">
        <w:rPr>
          <w:sz w:val="28"/>
          <w:szCs w:val="28"/>
          <w:lang w:val="uk-UA"/>
        </w:rPr>
        <w:t>і</w:t>
      </w:r>
      <w:r w:rsidR="00D46B1B" w:rsidRPr="002E6ECA">
        <w:rPr>
          <w:sz w:val="28"/>
          <w:szCs w:val="28"/>
          <w:lang w:val="uk-UA"/>
        </w:rPr>
        <w:t xml:space="preserve"> </w:t>
      </w:r>
      <w:r w:rsidRPr="002E6ECA">
        <w:rPr>
          <w:sz w:val="28"/>
          <w:szCs w:val="28"/>
          <w:lang w:val="uk-UA"/>
        </w:rPr>
        <w:t>перспективи</w:t>
      </w:r>
      <w:r w:rsidR="00D46B1B" w:rsidRPr="002E6ECA">
        <w:rPr>
          <w:sz w:val="28"/>
          <w:szCs w:val="28"/>
          <w:lang w:val="uk-UA"/>
        </w:rPr>
        <w:t xml:space="preserve"> </w:t>
      </w:r>
      <w:r w:rsidRPr="002E6ECA">
        <w:rPr>
          <w:sz w:val="28"/>
          <w:szCs w:val="28"/>
          <w:lang w:val="uk-UA"/>
        </w:rPr>
        <w:t>розвитку»</w:t>
      </w:r>
      <w:r w:rsidR="00D46B1B" w:rsidRPr="002E6ECA">
        <w:rPr>
          <w:sz w:val="28"/>
          <w:szCs w:val="28"/>
          <w:lang w:val="uk-UA"/>
        </w:rPr>
        <w:t xml:space="preserve"> </w:t>
      </w:r>
      <w:r w:rsidRPr="002E6ECA">
        <w:rPr>
          <w:sz w:val="28"/>
          <w:szCs w:val="28"/>
          <w:lang w:val="uk-UA"/>
        </w:rPr>
        <w:t>(Суми,</w:t>
      </w:r>
      <w:r w:rsidR="00D46B1B" w:rsidRPr="002E6ECA">
        <w:rPr>
          <w:sz w:val="28"/>
          <w:szCs w:val="28"/>
          <w:lang w:val="uk-UA"/>
        </w:rPr>
        <w:t xml:space="preserve"> </w:t>
      </w:r>
      <w:r w:rsidRPr="002E6ECA">
        <w:rPr>
          <w:sz w:val="28"/>
          <w:szCs w:val="28"/>
          <w:lang w:val="uk-UA"/>
        </w:rPr>
        <w:t>2020)</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науково-практична</w:t>
      </w:r>
      <w:r w:rsidR="00D46B1B" w:rsidRPr="002E6ECA">
        <w:rPr>
          <w:sz w:val="28"/>
          <w:szCs w:val="28"/>
          <w:lang w:val="uk-UA"/>
        </w:rPr>
        <w:t xml:space="preserve"> </w:t>
      </w:r>
      <w:r w:rsidRPr="002E6ECA">
        <w:rPr>
          <w:sz w:val="28"/>
          <w:szCs w:val="28"/>
          <w:lang w:val="uk-UA"/>
        </w:rPr>
        <w:t>конференція</w:t>
      </w:r>
      <w:r w:rsidR="00D46B1B" w:rsidRPr="002E6ECA">
        <w:rPr>
          <w:sz w:val="28"/>
          <w:szCs w:val="28"/>
          <w:lang w:val="uk-UA"/>
        </w:rPr>
        <w:t xml:space="preserve"> </w:t>
      </w:r>
      <w:r w:rsidRPr="002E6ECA">
        <w:rPr>
          <w:sz w:val="28"/>
          <w:szCs w:val="28"/>
          <w:lang w:val="uk-UA"/>
        </w:rPr>
        <w:t>«Сучасні</w:t>
      </w:r>
      <w:r w:rsidR="00D46B1B" w:rsidRPr="002E6ECA">
        <w:rPr>
          <w:sz w:val="28"/>
          <w:szCs w:val="28"/>
          <w:lang w:val="uk-UA"/>
        </w:rPr>
        <w:t xml:space="preserve"> </w:t>
      </w:r>
      <w:r w:rsidRPr="002E6ECA">
        <w:rPr>
          <w:sz w:val="28"/>
          <w:szCs w:val="28"/>
          <w:lang w:val="uk-UA"/>
        </w:rPr>
        <w:t>досягнення</w:t>
      </w:r>
      <w:r w:rsidR="00D46B1B" w:rsidRPr="002E6ECA">
        <w:rPr>
          <w:sz w:val="28"/>
          <w:szCs w:val="28"/>
          <w:lang w:val="uk-UA"/>
        </w:rPr>
        <w:t xml:space="preserve"> </w:t>
      </w:r>
      <w:r w:rsidRPr="002E6ECA">
        <w:rPr>
          <w:sz w:val="28"/>
          <w:szCs w:val="28"/>
          <w:lang w:val="uk-UA"/>
        </w:rPr>
        <w:t>і</w:t>
      </w:r>
      <w:r w:rsidR="00D46B1B" w:rsidRPr="002E6ECA">
        <w:rPr>
          <w:sz w:val="28"/>
          <w:szCs w:val="28"/>
          <w:lang w:val="uk-UA"/>
        </w:rPr>
        <w:t xml:space="preserve"> </w:t>
      </w:r>
      <w:r w:rsidRPr="002E6ECA">
        <w:rPr>
          <w:sz w:val="28"/>
          <w:szCs w:val="28"/>
          <w:lang w:val="uk-UA"/>
        </w:rPr>
        <w:t>перспективи</w:t>
      </w:r>
      <w:r w:rsidR="00D46B1B" w:rsidRPr="002E6ECA">
        <w:rPr>
          <w:sz w:val="28"/>
          <w:szCs w:val="28"/>
          <w:lang w:val="uk-UA"/>
        </w:rPr>
        <w:t xml:space="preserve"> </w:t>
      </w:r>
      <w:r w:rsidRPr="002E6ECA">
        <w:rPr>
          <w:sz w:val="28"/>
          <w:szCs w:val="28"/>
          <w:lang w:val="uk-UA"/>
        </w:rPr>
        <w:t>розвитку</w:t>
      </w:r>
      <w:r w:rsidR="00D46B1B" w:rsidRPr="002E6ECA">
        <w:rPr>
          <w:sz w:val="28"/>
          <w:szCs w:val="28"/>
          <w:lang w:val="uk-UA"/>
        </w:rPr>
        <w:t xml:space="preserve"> </w:t>
      </w:r>
      <w:r w:rsidRPr="002E6ECA">
        <w:rPr>
          <w:sz w:val="28"/>
          <w:szCs w:val="28"/>
          <w:lang w:val="uk-UA"/>
        </w:rPr>
        <w:t>профілактичної</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клінічної</w:t>
      </w:r>
      <w:r w:rsidR="00D46B1B" w:rsidRPr="002E6ECA">
        <w:rPr>
          <w:sz w:val="28"/>
          <w:szCs w:val="28"/>
          <w:lang w:val="uk-UA"/>
        </w:rPr>
        <w:t xml:space="preserve"> </w:t>
      </w:r>
      <w:r w:rsidRPr="002E6ECA">
        <w:rPr>
          <w:sz w:val="28"/>
          <w:szCs w:val="28"/>
          <w:lang w:val="uk-UA"/>
        </w:rPr>
        <w:t>медицини»</w:t>
      </w:r>
      <w:r w:rsidR="00D46B1B" w:rsidRPr="002E6ECA">
        <w:rPr>
          <w:sz w:val="28"/>
          <w:szCs w:val="28"/>
          <w:lang w:val="uk-UA"/>
        </w:rPr>
        <w:t xml:space="preserve"> </w:t>
      </w:r>
      <w:r w:rsidRPr="002E6ECA">
        <w:rPr>
          <w:sz w:val="28"/>
          <w:szCs w:val="28"/>
          <w:lang w:val="uk-UA"/>
        </w:rPr>
        <w:t>(Київ,</w:t>
      </w:r>
      <w:r w:rsidR="00D46B1B" w:rsidRPr="002E6ECA">
        <w:rPr>
          <w:sz w:val="28"/>
          <w:szCs w:val="28"/>
          <w:lang w:val="uk-UA"/>
        </w:rPr>
        <w:t xml:space="preserve"> </w:t>
      </w:r>
      <w:r w:rsidRPr="002E6ECA">
        <w:rPr>
          <w:sz w:val="28"/>
          <w:szCs w:val="28"/>
          <w:lang w:val="uk-UA"/>
        </w:rPr>
        <w:t>2020)</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9A2CF7">
      <w:pPr>
        <w:numPr>
          <w:ilvl w:val="0"/>
          <w:numId w:val="30"/>
        </w:numPr>
        <w:spacing w:line="360" w:lineRule="auto"/>
        <w:jc w:val="both"/>
        <w:rPr>
          <w:sz w:val="28"/>
          <w:szCs w:val="28"/>
          <w:lang w:val="uk-UA"/>
        </w:rPr>
      </w:pPr>
      <w:r w:rsidRPr="002E6ECA">
        <w:rPr>
          <w:sz w:val="28"/>
          <w:szCs w:val="28"/>
          <w:lang w:val="uk-UA"/>
        </w:rPr>
        <w:t>«Фізичні</w:t>
      </w:r>
      <w:r w:rsidR="00D46B1B" w:rsidRPr="002E6ECA">
        <w:rPr>
          <w:sz w:val="28"/>
          <w:szCs w:val="28"/>
          <w:lang w:val="uk-UA"/>
        </w:rPr>
        <w:t xml:space="preserve"> </w:t>
      </w:r>
      <w:r w:rsidRPr="002E6ECA">
        <w:rPr>
          <w:sz w:val="28"/>
          <w:szCs w:val="28"/>
          <w:lang w:val="uk-UA"/>
        </w:rPr>
        <w:t>фактори</w:t>
      </w:r>
      <w:r w:rsidR="00D46B1B" w:rsidRPr="002E6ECA">
        <w:rPr>
          <w:sz w:val="28"/>
          <w:szCs w:val="28"/>
          <w:lang w:val="uk-UA"/>
        </w:rPr>
        <w:t xml:space="preserve"> </w:t>
      </w:r>
      <w:r w:rsidRPr="002E6ECA">
        <w:rPr>
          <w:sz w:val="28"/>
          <w:szCs w:val="28"/>
          <w:lang w:val="uk-UA"/>
        </w:rPr>
        <w:t>довкілля</w:t>
      </w:r>
      <w:r w:rsidR="00D46B1B" w:rsidRPr="002E6ECA">
        <w:rPr>
          <w:sz w:val="28"/>
          <w:szCs w:val="28"/>
          <w:lang w:val="uk-UA"/>
        </w:rPr>
        <w:t xml:space="preserve"> </w:t>
      </w:r>
      <w:r w:rsidRPr="002E6ECA">
        <w:rPr>
          <w:sz w:val="28"/>
          <w:szCs w:val="28"/>
          <w:lang w:val="uk-UA"/>
        </w:rPr>
        <w:t>і</w:t>
      </w:r>
      <w:r w:rsidR="00D46B1B" w:rsidRPr="002E6ECA">
        <w:rPr>
          <w:sz w:val="28"/>
          <w:szCs w:val="28"/>
          <w:lang w:val="uk-UA"/>
        </w:rPr>
        <w:t xml:space="preserve"> </w:t>
      </w:r>
      <w:r w:rsidRPr="002E6ECA">
        <w:rPr>
          <w:sz w:val="28"/>
          <w:szCs w:val="28"/>
          <w:lang w:val="uk-UA"/>
        </w:rPr>
        <w:t>їх</w:t>
      </w:r>
      <w:r w:rsidR="00D46B1B" w:rsidRPr="002E6ECA">
        <w:rPr>
          <w:sz w:val="28"/>
          <w:szCs w:val="28"/>
          <w:lang w:val="uk-UA"/>
        </w:rPr>
        <w:t xml:space="preserve"> </w:t>
      </w:r>
      <w:r w:rsidRPr="002E6ECA">
        <w:rPr>
          <w:sz w:val="28"/>
          <w:szCs w:val="28"/>
          <w:lang w:val="uk-UA"/>
        </w:rPr>
        <w:t>вплив</w:t>
      </w:r>
      <w:r w:rsidR="00D46B1B" w:rsidRPr="002E6ECA">
        <w:rPr>
          <w:sz w:val="28"/>
          <w:szCs w:val="28"/>
          <w:lang w:val="uk-UA"/>
        </w:rPr>
        <w:t xml:space="preserve"> </w:t>
      </w:r>
      <w:r w:rsidRPr="002E6ECA">
        <w:rPr>
          <w:sz w:val="28"/>
          <w:szCs w:val="28"/>
          <w:lang w:val="uk-UA"/>
        </w:rPr>
        <w:t>на</w:t>
      </w:r>
      <w:r w:rsidR="00D46B1B" w:rsidRPr="002E6ECA">
        <w:rPr>
          <w:sz w:val="28"/>
          <w:szCs w:val="28"/>
          <w:lang w:val="uk-UA"/>
        </w:rPr>
        <w:t xml:space="preserve"> </w:t>
      </w:r>
      <w:r w:rsidRPr="002E6ECA">
        <w:rPr>
          <w:sz w:val="28"/>
          <w:szCs w:val="28"/>
          <w:lang w:val="uk-UA"/>
        </w:rPr>
        <w:t>формування</w:t>
      </w:r>
      <w:r w:rsidR="00D46B1B" w:rsidRPr="002E6ECA">
        <w:rPr>
          <w:sz w:val="28"/>
          <w:szCs w:val="28"/>
          <w:lang w:val="uk-UA"/>
        </w:rPr>
        <w:t xml:space="preserve"> </w:t>
      </w:r>
      <w:r w:rsidRPr="002E6ECA">
        <w:rPr>
          <w:sz w:val="28"/>
          <w:szCs w:val="28"/>
          <w:lang w:val="uk-UA"/>
        </w:rPr>
        <w:t>здоров’я</w:t>
      </w:r>
      <w:r w:rsidR="00D46B1B" w:rsidRPr="002E6ECA">
        <w:rPr>
          <w:sz w:val="28"/>
          <w:szCs w:val="28"/>
          <w:lang w:val="uk-UA"/>
        </w:rPr>
        <w:t xml:space="preserve"> </w:t>
      </w:r>
      <w:r w:rsidRPr="002E6ECA">
        <w:rPr>
          <w:sz w:val="28"/>
          <w:szCs w:val="28"/>
          <w:lang w:val="uk-UA"/>
        </w:rPr>
        <w:t>населення</w:t>
      </w:r>
      <w:r w:rsidR="00D46B1B" w:rsidRPr="002E6ECA">
        <w:rPr>
          <w:sz w:val="28"/>
          <w:szCs w:val="28"/>
          <w:lang w:val="uk-UA"/>
        </w:rPr>
        <w:t xml:space="preserve"> </w:t>
      </w:r>
      <w:r w:rsidRPr="002E6ECA">
        <w:rPr>
          <w:sz w:val="28"/>
          <w:szCs w:val="28"/>
          <w:lang w:val="uk-UA"/>
        </w:rPr>
        <w:t>України»</w:t>
      </w:r>
      <w:r w:rsidR="00D46B1B" w:rsidRPr="002E6ECA">
        <w:rPr>
          <w:sz w:val="28"/>
          <w:szCs w:val="28"/>
          <w:lang w:val="uk-UA"/>
        </w:rPr>
        <w:t xml:space="preserve"> </w:t>
      </w:r>
      <w:r w:rsidRPr="002E6ECA">
        <w:rPr>
          <w:sz w:val="28"/>
          <w:szCs w:val="28"/>
          <w:lang w:val="uk-UA"/>
        </w:rPr>
        <w:t>(шістнадцяті</w:t>
      </w:r>
      <w:r w:rsidR="00D46B1B" w:rsidRPr="002E6ECA">
        <w:rPr>
          <w:sz w:val="28"/>
          <w:szCs w:val="28"/>
          <w:lang w:val="uk-UA"/>
        </w:rPr>
        <w:t xml:space="preserve"> </w:t>
      </w:r>
      <w:r w:rsidRPr="002E6ECA">
        <w:rPr>
          <w:sz w:val="28"/>
          <w:szCs w:val="28"/>
          <w:lang w:val="uk-UA"/>
        </w:rPr>
        <w:t>Марзєєвські</w:t>
      </w:r>
      <w:r w:rsidR="00D46B1B" w:rsidRPr="002E6ECA">
        <w:rPr>
          <w:sz w:val="28"/>
          <w:szCs w:val="28"/>
          <w:lang w:val="uk-UA"/>
        </w:rPr>
        <w:t xml:space="preserve"> </w:t>
      </w:r>
      <w:r w:rsidRPr="002E6ECA">
        <w:rPr>
          <w:sz w:val="28"/>
          <w:szCs w:val="28"/>
          <w:lang w:val="uk-UA"/>
        </w:rPr>
        <w:t>читання;</w:t>
      </w:r>
      <w:r w:rsidR="00D46B1B" w:rsidRPr="002E6ECA">
        <w:rPr>
          <w:sz w:val="28"/>
          <w:szCs w:val="28"/>
          <w:lang w:val="uk-UA"/>
        </w:rPr>
        <w:t xml:space="preserve"> </w:t>
      </w:r>
      <w:r w:rsidRPr="002E6ECA">
        <w:rPr>
          <w:sz w:val="28"/>
          <w:szCs w:val="28"/>
          <w:lang w:val="uk-UA"/>
        </w:rPr>
        <w:t>Київ,</w:t>
      </w:r>
      <w:r w:rsidR="00D46B1B" w:rsidRPr="002E6ECA">
        <w:rPr>
          <w:sz w:val="28"/>
          <w:szCs w:val="28"/>
          <w:lang w:val="uk-UA"/>
        </w:rPr>
        <w:t xml:space="preserve"> </w:t>
      </w:r>
      <w:r w:rsidRPr="002E6ECA">
        <w:rPr>
          <w:sz w:val="28"/>
          <w:szCs w:val="28"/>
          <w:lang w:val="uk-UA"/>
        </w:rPr>
        <w:t>2020)</w:t>
      </w:r>
      <w:r w:rsidR="00D46B1B" w:rsidRPr="002E6ECA">
        <w:rPr>
          <w:sz w:val="28"/>
          <w:szCs w:val="28"/>
          <w:lang w:val="uk-UA"/>
        </w:rPr>
        <w:t xml:space="preserve"> </w:t>
      </w:r>
      <w:r w:rsidR="00E26678" w:rsidRPr="002E6ECA">
        <w:rPr>
          <w:sz w:val="28"/>
          <w:szCs w:val="28"/>
          <w:lang w:val="uk-UA"/>
        </w:rPr>
        <w:t>-</w:t>
      </w:r>
      <w:r w:rsidRPr="002E6ECA">
        <w:rPr>
          <w:sz w:val="28"/>
          <w:szCs w:val="28"/>
          <w:lang w:val="uk-UA"/>
        </w:rPr>
        <w:t>усна</w:t>
      </w:r>
      <w:r w:rsidR="00D46B1B" w:rsidRPr="002E6ECA">
        <w:rPr>
          <w:sz w:val="28"/>
          <w:szCs w:val="28"/>
          <w:lang w:val="uk-UA"/>
        </w:rPr>
        <w:t xml:space="preserve"> </w:t>
      </w:r>
      <w:r w:rsidRPr="002E6ECA">
        <w:rPr>
          <w:sz w:val="28"/>
          <w:szCs w:val="28"/>
          <w:lang w:val="uk-UA"/>
        </w:rPr>
        <w:t>доповідь</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публікація.</w:t>
      </w:r>
      <w:r w:rsidR="00D46B1B" w:rsidRPr="002E6ECA">
        <w:rPr>
          <w:sz w:val="28"/>
          <w:szCs w:val="28"/>
          <w:lang w:val="uk-UA"/>
        </w:rPr>
        <w:t xml:space="preserve"> </w:t>
      </w:r>
    </w:p>
    <w:p w:rsidR="00214078" w:rsidRPr="002E6ECA" w:rsidRDefault="00214078" w:rsidP="00B81AAE">
      <w:pPr>
        <w:spacing w:line="360" w:lineRule="auto"/>
        <w:ind w:firstLine="709"/>
        <w:jc w:val="center"/>
        <w:rPr>
          <w:b/>
          <w:bCs/>
          <w:sz w:val="28"/>
          <w:szCs w:val="28"/>
          <w:lang w:val="uk-UA"/>
        </w:rPr>
      </w:pPr>
    </w:p>
    <w:p w:rsidR="008955D5" w:rsidRPr="002E6ECA" w:rsidRDefault="000D7326" w:rsidP="00023668">
      <w:pPr>
        <w:spacing w:line="360" w:lineRule="auto"/>
        <w:ind w:firstLine="709"/>
        <w:jc w:val="right"/>
        <w:rPr>
          <w:b/>
          <w:bCs/>
          <w:sz w:val="28"/>
          <w:szCs w:val="28"/>
          <w:lang w:val="uk-UA"/>
        </w:rPr>
      </w:pPr>
      <w:r w:rsidRPr="002E6ECA">
        <w:rPr>
          <w:b/>
          <w:bCs/>
          <w:sz w:val="28"/>
          <w:szCs w:val="28"/>
          <w:lang w:val="uk-UA"/>
        </w:rPr>
        <w:br w:type="page"/>
      </w:r>
      <w:r w:rsidRPr="002E6ECA">
        <w:rPr>
          <w:b/>
          <w:bCs/>
          <w:sz w:val="28"/>
          <w:szCs w:val="28"/>
          <w:lang w:val="uk-UA"/>
        </w:rPr>
        <w:lastRenderedPageBreak/>
        <w:t>Додаток</w:t>
      </w:r>
      <w:r w:rsidR="00D46B1B" w:rsidRPr="002E6ECA">
        <w:rPr>
          <w:b/>
          <w:bCs/>
          <w:sz w:val="28"/>
          <w:szCs w:val="28"/>
          <w:lang w:val="uk-UA"/>
        </w:rPr>
        <w:t xml:space="preserve"> </w:t>
      </w:r>
      <w:r w:rsidRPr="002E6ECA">
        <w:rPr>
          <w:b/>
          <w:bCs/>
          <w:sz w:val="28"/>
          <w:szCs w:val="28"/>
          <w:lang w:val="uk-UA"/>
        </w:rPr>
        <w:t>В</w:t>
      </w:r>
    </w:p>
    <w:p w:rsidR="0084636B" w:rsidRPr="002E6ECA" w:rsidRDefault="0084636B" w:rsidP="007D3F0B">
      <w:pPr>
        <w:spacing w:line="336" w:lineRule="auto"/>
        <w:ind w:firstLine="709"/>
        <w:jc w:val="center"/>
        <w:rPr>
          <w:b/>
          <w:sz w:val="28"/>
          <w:szCs w:val="28"/>
          <w:lang w:val="uk-UA"/>
        </w:rPr>
      </w:pPr>
      <w:r w:rsidRPr="002E6ECA">
        <w:rPr>
          <w:b/>
          <w:bCs/>
          <w:sz w:val="28"/>
          <w:szCs w:val="28"/>
          <w:lang w:val="uk-UA"/>
        </w:rPr>
        <w:t>Структура</w:t>
      </w:r>
      <w:r w:rsidR="00D46B1B" w:rsidRPr="002E6ECA">
        <w:rPr>
          <w:b/>
          <w:bCs/>
          <w:sz w:val="28"/>
          <w:szCs w:val="28"/>
          <w:lang w:val="uk-UA"/>
        </w:rPr>
        <w:t xml:space="preserve"> </w:t>
      </w:r>
      <w:r w:rsidRPr="002E6ECA">
        <w:rPr>
          <w:b/>
          <w:sz w:val="28"/>
          <w:szCs w:val="28"/>
          <w:lang w:val="uk-UA"/>
        </w:rPr>
        <w:t>комплексу</w:t>
      </w:r>
      <w:r w:rsidR="00D46B1B" w:rsidRPr="002E6ECA">
        <w:rPr>
          <w:b/>
          <w:sz w:val="28"/>
          <w:szCs w:val="28"/>
          <w:lang w:val="uk-UA"/>
        </w:rPr>
        <w:t xml:space="preserve"> </w:t>
      </w:r>
      <w:r w:rsidRPr="002E6ECA">
        <w:rPr>
          <w:b/>
          <w:sz w:val="28"/>
          <w:szCs w:val="28"/>
          <w:lang w:val="uk-UA"/>
        </w:rPr>
        <w:t>профілактичних</w:t>
      </w:r>
      <w:r w:rsidR="00D46B1B" w:rsidRPr="002E6ECA">
        <w:rPr>
          <w:b/>
          <w:sz w:val="28"/>
          <w:szCs w:val="28"/>
          <w:lang w:val="uk-UA"/>
        </w:rPr>
        <w:t xml:space="preserve"> </w:t>
      </w:r>
      <w:r w:rsidRPr="002E6ECA">
        <w:rPr>
          <w:b/>
          <w:sz w:val="28"/>
          <w:szCs w:val="28"/>
          <w:lang w:val="uk-UA"/>
        </w:rPr>
        <w:t>заходів</w:t>
      </w:r>
      <w:r w:rsidR="00E6234D" w:rsidRPr="002E6ECA">
        <w:rPr>
          <w:b/>
          <w:sz w:val="28"/>
          <w:szCs w:val="28"/>
          <w:lang w:val="uk-UA"/>
        </w:rPr>
        <w:t xml:space="preserve"> для школярів та батьків</w:t>
      </w:r>
    </w:p>
    <w:tbl>
      <w:tblPr>
        <w:tblStyle w:val="af"/>
        <w:tblpPr w:leftFromText="180" w:rightFromText="180" w:vertAnchor="text" w:tblpY="1"/>
        <w:tblOverlap w:val="never"/>
        <w:tblW w:w="0" w:type="auto"/>
        <w:tblLook w:val="04A0" w:firstRow="1" w:lastRow="0" w:firstColumn="1" w:lastColumn="0" w:noHBand="0" w:noVBand="1"/>
      </w:tblPr>
      <w:tblGrid>
        <w:gridCol w:w="957"/>
        <w:gridCol w:w="3891"/>
        <w:gridCol w:w="4394"/>
      </w:tblGrid>
      <w:tr w:rsidR="00E6234D" w:rsidRPr="002E6ECA" w:rsidTr="008955D5">
        <w:tc>
          <w:tcPr>
            <w:tcW w:w="957" w:type="dxa"/>
            <w:vMerge w:val="restart"/>
            <w:tcMar>
              <w:left w:w="28" w:type="dxa"/>
              <w:right w:w="28" w:type="dxa"/>
            </w:tcMar>
          </w:tcPr>
          <w:p w:rsidR="00E6234D" w:rsidRPr="002E6ECA" w:rsidRDefault="00E6234D" w:rsidP="00FB1385">
            <w:pPr>
              <w:rPr>
                <w:sz w:val="27"/>
                <w:szCs w:val="27"/>
              </w:rPr>
            </w:pPr>
            <w:r w:rsidRPr="002E6ECA">
              <w:rPr>
                <w:sz w:val="27"/>
                <w:szCs w:val="27"/>
              </w:rPr>
              <w:t xml:space="preserve">Назва блоку </w:t>
            </w:r>
          </w:p>
        </w:tc>
        <w:tc>
          <w:tcPr>
            <w:tcW w:w="8285" w:type="dxa"/>
            <w:gridSpan w:val="2"/>
            <w:tcMar>
              <w:left w:w="28" w:type="dxa"/>
              <w:right w:w="28" w:type="dxa"/>
            </w:tcMar>
          </w:tcPr>
          <w:p w:rsidR="00E6234D" w:rsidRPr="002E6ECA" w:rsidRDefault="00E6234D" w:rsidP="00FB1385">
            <w:pPr>
              <w:jc w:val="center"/>
              <w:rPr>
                <w:sz w:val="27"/>
                <w:szCs w:val="27"/>
              </w:rPr>
            </w:pPr>
            <w:r w:rsidRPr="002E6ECA">
              <w:rPr>
                <w:sz w:val="27"/>
                <w:szCs w:val="27"/>
              </w:rPr>
              <w:t>Члени родини, що беруть участь у реалізації профілактичної програми</w:t>
            </w:r>
          </w:p>
        </w:tc>
      </w:tr>
      <w:tr w:rsidR="00E6234D" w:rsidRPr="002E6ECA" w:rsidTr="008955D5">
        <w:tc>
          <w:tcPr>
            <w:tcW w:w="957" w:type="dxa"/>
            <w:vMerge/>
            <w:tcMar>
              <w:left w:w="28" w:type="dxa"/>
              <w:right w:w="28" w:type="dxa"/>
            </w:tcMar>
          </w:tcPr>
          <w:p w:rsidR="00E6234D" w:rsidRPr="002E6ECA" w:rsidRDefault="00E6234D" w:rsidP="00FB1385">
            <w:pPr>
              <w:rPr>
                <w:sz w:val="27"/>
                <w:szCs w:val="27"/>
              </w:rPr>
            </w:pPr>
          </w:p>
        </w:tc>
        <w:tc>
          <w:tcPr>
            <w:tcW w:w="3891" w:type="dxa"/>
            <w:tcMar>
              <w:left w:w="28" w:type="dxa"/>
              <w:right w:w="28" w:type="dxa"/>
            </w:tcMar>
          </w:tcPr>
          <w:p w:rsidR="00E6234D" w:rsidRPr="002E6ECA" w:rsidRDefault="00E6234D" w:rsidP="00FB1385">
            <w:pPr>
              <w:jc w:val="center"/>
              <w:rPr>
                <w:sz w:val="27"/>
                <w:szCs w:val="27"/>
              </w:rPr>
            </w:pPr>
            <w:r w:rsidRPr="002E6ECA">
              <w:rPr>
                <w:sz w:val="27"/>
                <w:szCs w:val="27"/>
              </w:rPr>
              <w:t>Діти</w:t>
            </w:r>
          </w:p>
        </w:tc>
        <w:tc>
          <w:tcPr>
            <w:tcW w:w="4394" w:type="dxa"/>
            <w:tcMar>
              <w:left w:w="28" w:type="dxa"/>
              <w:right w:w="28" w:type="dxa"/>
            </w:tcMar>
          </w:tcPr>
          <w:p w:rsidR="00E6234D" w:rsidRPr="002E6ECA" w:rsidRDefault="00E6234D" w:rsidP="00FB1385">
            <w:pPr>
              <w:jc w:val="center"/>
              <w:rPr>
                <w:sz w:val="27"/>
                <w:szCs w:val="27"/>
              </w:rPr>
            </w:pPr>
            <w:r w:rsidRPr="002E6ECA">
              <w:rPr>
                <w:sz w:val="27"/>
                <w:szCs w:val="27"/>
              </w:rPr>
              <w:t>Батьки</w:t>
            </w:r>
          </w:p>
        </w:tc>
      </w:tr>
      <w:tr w:rsidR="00E6234D" w:rsidRPr="002E6ECA" w:rsidTr="008955D5">
        <w:trPr>
          <w:cantSplit/>
          <w:trHeight w:val="1134"/>
        </w:trPr>
        <w:tc>
          <w:tcPr>
            <w:tcW w:w="957" w:type="dxa"/>
            <w:vMerge w:val="restart"/>
            <w:tcMar>
              <w:left w:w="28" w:type="dxa"/>
              <w:right w:w="28" w:type="dxa"/>
            </w:tcMar>
            <w:textDirection w:val="btLr"/>
            <w:vAlign w:val="center"/>
          </w:tcPr>
          <w:p w:rsidR="00E6234D" w:rsidRPr="002E6ECA" w:rsidRDefault="00E6234D" w:rsidP="00FB1385">
            <w:pPr>
              <w:ind w:left="113" w:right="113"/>
              <w:jc w:val="center"/>
              <w:rPr>
                <w:sz w:val="27"/>
                <w:szCs w:val="27"/>
              </w:rPr>
            </w:pPr>
            <w:r w:rsidRPr="002E6ECA">
              <w:rPr>
                <w:spacing w:val="-10"/>
                <w:sz w:val="27"/>
                <w:szCs w:val="27"/>
                <w:u w:val="single"/>
              </w:rPr>
              <w:t>«Нічний сон»</w:t>
            </w:r>
          </w:p>
        </w:tc>
        <w:tc>
          <w:tcPr>
            <w:tcW w:w="3891" w:type="dxa"/>
            <w:tcMar>
              <w:left w:w="28" w:type="dxa"/>
              <w:right w:w="28" w:type="dxa"/>
            </w:tcMar>
          </w:tcPr>
          <w:p w:rsidR="00E6234D" w:rsidRPr="002E6ECA" w:rsidRDefault="00E6234D" w:rsidP="00FB1385">
            <w:pPr>
              <w:rPr>
                <w:spacing w:val="-8"/>
                <w:sz w:val="27"/>
                <w:szCs w:val="27"/>
              </w:rPr>
            </w:pPr>
            <w:r w:rsidRPr="002E6ECA">
              <w:rPr>
                <w:spacing w:val="-10"/>
                <w:sz w:val="27"/>
                <w:szCs w:val="27"/>
              </w:rPr>
              <w:t>дотримання вікової тривалості</w:t>
            </w:r>
            <w:r w:rsidRPr="002E6ECA">
              <w:rPr>
                <w:spacing w:val="-8"/>
                <w:sz w:val="27"/>
                <w:szCs w:val="27"/>
              </w:rPr>
              <w:t xml:space="preserve"> нічного сну; </w:t>
            </w:r>
          </w:p>
          <w:p w:rsidR="00E6234D" w:rsidRPr="002E6ECA" w:rsidRDefault="00E6234D" w:rsidP="00FB1385">
            <w:pPr>
              <w:rPr>
                <w:spacing w:val="-8"/>
                <w:sz w:val="27"/>
                <w:szCs w:val="27"/>
              </w:rPr>
            </w:pPr>
            <w:r w:rsidRPr="002E6ECA">
              <w:rPr>
                <w:spacing w:val="-8"/>
                <w:sz w:val="27"/>
                <w:szCs w:val="27"/>
              </w:rPr>
              <w:t xml:space="preserve">нормалізація загального режиму дня; </w:t>
            </w:r>
          </w:p>
          <w:p w:rsidR="00E6234D" w:rsidRPr="002E6ECA" w:rsidRDefault="00E6234D" w:rsidP="00FB1385">
            <w:pPr>
              <w:rPr>
                <w:sz w:val="27"/>
                <w:szCs w:val="27"/>
              </w:rPr>
            </w:pPr>
            <w:r w:rsidRPr="002E6ECA">
              <w:rPr>
                <w:spacing w:val="-8"/>
                <w:sz w:val="27"/>
                <w:szCs w:val="27"/>
              </w:rPr>
              <w:t>своєчасне відходження до сну</w:t>
            </w:r>
          </w:p>
        </w:tc>
        <w:tc>
          <w:tcPr>
            <w:tcW w:w="4394" w:type="dxa"/>
            <w:tcMar>
              <w:left w:w="28" w:type="dxa"/>
              <w:right w:w="28" w:type="dxa"/>
            </w:tcMar>
          </w:tcPr>
          <w:p w:rsidR="00E6234D" w:rsidRPr="002E6ECA" w:rsidRDefault="00E6234D" w:rsidP="00FB1385">
            <w:pPr>
              <w:rPr>
                <w:spacing w:val="-8"/>
                <w:sz w:val="27"/>
                <w:szCs w:val="27"/>
              </w:rPr>
            </w:pPr>
            <w:r w:rsidRPr="002E6ECA">
              <w:rPr>
                <w:spacing w:val="-8"/>
                <w:sz w:val="27"/>
                <w:szCs w:val="27"/>
              </w:rPr>
              <w:t xml:space="preserve">оптимізувати режим дня дитини; </w:t>
            </w:r>
          </w:p>
          <w:p w:rsidR="00E6234D" w:rsidRPr="002E6ECA" w:rsidRDefault="00E6234D" w:rsidP="00FB1385">
            <w:pPr>
              <w:rPr>
                <w:spacing w:val="-8"/>
                <w:sz w:val="27"/>
                <w:szCs w:val="27"/>
              </w:rPr>
            </w:pPr>
            <w:r w:rsidRPr="002E6ECA">
              <w:rPr>
                <w:spacing w:val="-8"/>
                <w:sz w:val="27"/>
                <w:szCs w:val="27"/>
              </w:rPr>
              <w:t xml:space="preserve">нормалізувати режим нічного сну шляхом обмеження тривалості виконання домашніх завдань, часу закінчення роботи з комп’ютером та гаджетами, контролю часу відходження до сну; </w:t>
            </w:r>
          </w:p>
          <w:p w:rsidR="00E6234D" w:rsidRPr="002E6ECA" w:rsidRDefault="00E6234D" w:rsidP="00FB1385">
            <w:pPr>
              <w:rPr>
                <w:spacing w:val="-8"/>
                <w:sz w:val="27"/>
                <w:szCs w:val="27"/>
              </w:rPr>
            </w:pPr>
            <w:r w:rsidRPr="002E6ECA">
              <w:rPr>
                <w:spacing w:val="-8"/>
                <w:sz w:val="27"/>
                <w:szCs w:val="27"/>
              </w:rPr>
              <w:t xml:space="preserve">регулювання параметрів мікроклімату у дитячій кімнаті; </w:t>
            </w:r>
          </w:p>
          <w:p w:rsidR="00E6234D" w:rsidRPr="002E6ECA" w:rsidRDefault="00E6234D" w:rsidP="008955D5">
            <w:pPr>
              <w:rPr>
                <w:sz w:val="27"/>
                <w:szCs w:val="27"/>
              </w:rPr>
            </w:pPr>
            <w:r w:rsidRPr="002E6ECA">
              <w:rPr>
                <w:spacing w:val="-8"/>
                <w:sz w:val="27"/>
                <w:szCs w:val="27"/>
              </w:rPr>
              <w:t xml:space="preserve">контроль часу прийому їжі на вечерю та її складових (відсутність продуктів та блюд, що збуджують нервову систему) </w:t>
            </w:r>
          </w:p>
        </w:tc>
      </w:tr>
      <w:tr w:rsidR="00E6234D" w:rsidRPr="002E6ECA" w:rsidTr="008955D5">
        <w:trPr>
          <w:cantSplit/>
          <w:trHeight w:val="1134"/>
        </w:trPr>
        <w:tc>
          <w:tcPr>
            <w:tcW w:w="957" w:type="dxa"/>
            <w:vMerge/>
            <w:tcMar>
              <w:left w:w="28" w:type="dxa"/>
              <w:right w:w="28" w:type="dxa"/>
            </w:tcMar>
            <w:textDirection w:val="btLr"/>
            <w:vAlign w:val="center"/>
          </w:tcPr>
          <w:p w:rsidR="00E6234D" w:rsidRPr="002E6ECA" w:rsidRDefault="00E6234D" w:rsidP="00FB1385">
            <w:pPr>
              <w:ind w:left="113" w:right="113"/>
              <w:jc w:val="center"/>
              <w:rPr>
                <w:spacing w:val="-6"/>
                <w:sz w:val="27"/>
                <w:szCs w:val="27"/>
                <w:u w:val="single"/>
              </w:rPr>
            </w:pPr>
          </w:p>
        </w:tc>
        <w:tc>
          <w:tcPr>
            <w:tcW w:w="8285" w:type="dxa"/>
            <w:gridSpan w:val="2"/>
            <w:tcMar>
              <w:left w:w="28" w:type="dxa"/>
              <w:right w:w="28" w:type="dxa"/>
            </w:tcMar>
          </w:tcPr>
          <w:p w:rsidR="00E6234D" w:rsidRPr="002E6ECA" w:rsidRDefault="00E6234D" w:rsidP="00FB1385">
            <w:pPr>
              <w:rPr>
                <w:spacing w:val="-8"/>
                <w:sz w:val="27"/>
                <w:szCs w:val="27"/>
              </w:rPr>
            </w:pPr>
            <w:r w:rsidRPr="002E6ECA">
              <w:rPr>
                <w:spacing w:val="-8"/>
                <w:sz w:val="27"/>
                <w:szCs w:val="27"/>
              </w:rPr>
              <w:t xml:space="preserve">обмеження часу роботи з гаджетами та комп’ютером, а також перегляду телепередач (не менш ніж за 2 години до сну); </w:t>
            </w:r>
          </w:p>
          <w:p w:rsidR="00E6234D" w:rsidRPr="002E6ECA" w:rsidRDefault="00E6234D" w:rsidP="00FB1385">
            <w:pPr>
              <w:rPr>
                <w:spacing w:val="-8"/>
                <w:sz w:val="27"/>
                <w:szCs w:val="27"/>
              </w:rPr>
            </w:pPr>
            <w:r w:rsidRPr="002E6ECA">
              <w:rPr>
                <w:spacing w:val="-8"/>
                <w:sz w:val="27"/>
                <w:szCs w:val="27"/>
              </w:rPr>
              <w:t xml:space="preserve">провітрювання кімнати; </w:t>
            </w:r>
          </w:p>
          <w:p w:rsidR="00E6234D" w:rsidRPr="002E6ECA" w:rsidRDefault="00E6234D" w:rsidP="00FB1385">
            <w:pPr>
              <w:rPr>
                <w:spacing w:val="-8"/>
                <w:sz w:val="27"/>
                <w:szCs w:val="27"/>
              </w:rPr>
            </w:pPr>
            <w:r w:rsidRPr="002E6ECA">
              <w:rPr>
                <w:spacing w:val="-8"/>
                <w:sz w:val="27"/>
                <w:szCs w:val="27"/>
              </w:rPr>
              <w:t>час відходу до сну та ранкового підйому</w:t>
            </w:r>
          </w:p>
        </w:tc>
      </w:tr>
      <w:tr w:rsidR="00E6234D" w:rsidRPr="002E6ECA" w:rsidTr="008955D5">
        <w:trPr>
          <w:cantSplit/>
          <w:trHeight w:val="1134"/>
        </w:trPr>
        <w:tc>
          <w:tcPr>
            <w:tcW w:w="957" w:type="dxa"/>
            <w:vMerge w:val="restart"/>
            <w:tcMar>
              <w:left w:w="28" w:type="dxa"/>
              <w:right w:w="28" w:type="dxa"/>
            </w:tcMar>
            <w:textDirection w:val="btLr"/>
            <w:vAlign w:val="center"/>
          </w:tcPr>
          <w:p w:rsidR="00E6234D" w:rsidRPr="002E6ECA" w:rsidRDefault="00E6234D" w:rsidP="00FB1385">
            <w:pPr>
              <w:ind w:left="113" w:right="113"/>
              <w:jc w:val="center"/>
              <w:rPr>
                <w:sz w:val="27"/>
                <w:szCs w:val="27"/>
              </w:rPr>
            </w:pPr>
            <w:r w:rsidRPr="002E6ECA">
              <w:rPr>
                <w:spacing w:val="-6"/>
                <w:sz w:val="27"/>
                <w:szCs w:val="27"/>
                <w:u w:val="single"/>
              </w:rPr>
              <w:t>«Гартування»</w:t>
            </w:r>
          </w:p>
        </w:tc>
        <w:tc>
          <w:tcPr>
            <w:tcW w:w="3891" w:type="dxa"/>
            <w:tcMar>
              <w:left w:w="28" w:type="dxa"/>
              <w:right w:w="28" w:type="dxa"/>
            </w:tcMar>
          </w:tcPr>
          <w:p w:rsidR="00E6234D" w:rsidRPr="002E6ECA" w:rsidRDefault="00E6234D" w:rsidP="00FB1385">
            <w:pPr>
              <w:rPr>
                <w:spacing w:val="-6"/>
                <w:sz w:val="27"/>
                <w:szCs w:val="27"/>
              </w:rPr>
            </w:pPr>
            <w:r w:rsidRPr="002E6ECA">
              <w:rPr>
                <w:spacing w:val="-6"/>
                <w:sz w:val="27"/>
                <w:szCs w:val="27"/>
              </w:rPr>
              <w:t xml:space="preserve">регулярне виконання спеціальних гартуючих процедур; </w:t>
            </w:r>
          </w:p>
          <w:p w:rsidR="00E6234D" w:rsidRPr="002E6ECA" w:rsidRDefault="00E6234D" w:rsidP="00FB1385">
            <w:pPr>
              <w:rPr>
                <w:sz w:val="27"/>
                <w:szCs w:val="27"/>
              </w:rPr>
            </w:pPr>
            <w:r w:rsidRPr="002E6ECA">
              <w:rPr>
                <w:spacing w:val="-6"/>
                <w:sz w:val="27"/>
                <w:szCs w:val="27"/>
              </w:rPr>
              <w:t>щоденні прогулянки з використанням форм активного відпочинку</w:t>
            </w:r>
          </w:p>
        </w:tc>
        <w:tc>
          <w:tcPr>
            <w:tcW w:w="4394" w:type="dxa"/>
            <w:tcMar>
              <w:left w:w="28" w:type="dxa"/>
              <w:right w:w="28" w:type="dxa"/>
            </w:tcMar>
          </w:tcPr>
          <w:p w:rsidR="00E6234D" w:rsidRPr="002E6ECA" w:rsidRDefault="00E6234D" w:rsidP="00FB1385">
            <w:pPr>
              <w:rPr>
                <w:spacing w:val="-8"/>
                <w:sz w:val="27"/>
                <w:szCs w:val="27"/>
              </w:rPr>
            </w:pPr>
            <w:r w:rsidRPr="002E6ECA">
              <w:rPr>
                <w:spacing w:val="-8"/>
                <w:sz w:val="27"/>
                <w:szCs w:val="27"/>
              </w:rPr>
              <w:t xml:space="preserve">мотивація дитини до регулярного виконання гартуючих процедур; </w:t>
            </w:r>
          </w:p>
          <w:p w:rsidR="00E6234D" w:rsidRPr="002E6ECA" w:rsidRDefault="00E6234D" w:rsidP="00FB1385">
            <w:pPr>
              <w:rPr>
                <w:spacing w:val="-6"/>
                <w:sz w:val="27"/>
                <w:szCs w:val="27"/>
              </w:rPr>
            </w:pPr>
            <w:r w:rsidRPr="002E6ECA">
              <w:rPr>
                <w:spacing w:val="-8"/>
                <w:sz w:val="27"/>
                <w:szCs w:val="27"/>
              </w:rPr>
              <w:t xml:space="preserve">контроль за температурним режимом дитячої кімнати; </w:t>
            </w:r>
          </w:p>
          <w:p w:rsidR="00E6234D" w:rsidRPr="002E6ECA" w:rsidRDefault="00E6234D" w:rsidP="00FB1385">
            <w:pPr>
              <w:rPr>
                <w:sz w:val="27"/>
                <w:szCs w:val="27"/>
              </w:rPr>
            </w:pPr>
            <w:r w:rsidRPr="002E6ECA">
              <w:rPr>
                <w:spacing w:val="-6"/>
                <w:sz w:val="27"/>
                <w:szCs w:val="27"/>
              </w:rPr>
              <w:t>регулярні прогулянки</w:t>
            </w:r>
          </w:p>
        </w:tc>
      </w:tr>
      <w:tr w:rsidR="00E6234D" w:rsidRPr="002E6ECA" w:rsidTr="008955D5">
        <w:trPr>
          <w:cantSplit/>
          <w:trHeight w:val="884"/>
        </w:trPr>
        <w:tc>
          <w:tcPr>
            <w:tcW w:w="957" w:type="dxa"/>
            <w:vMerge/>
            <w:tcMar>
              <w:left w:w="28" w:type="dxa"/>
              <w:right w:w="28" w:type="dxa"/>
            </w:tcMar>
            <w:textDirection w:val="btLr"/>
            <w:vAlign w:val="center"/>
          </w:tcPr>
          <w:p w:rsidR="00E6234D" w:rsidRPr="002E6ECA" w:rsidRDefault="00E6234D" w:rsidP="00FB1385">
            <w:pPr>
              <w:ind w:left="113" w:right="113"/>
              <w:jc w:val="center"/>
              <w:rPr>
                <w:spacing w:val="-6"/>
                <w:sz w:val="27"/>
                <w:szCs w:val="27"/>
                <w:u w:val="single"/>
              </w:rPr>
            </w:pPr>
          </w:p>
        </w:tc>
        <w:tc>
          <w:tcPr>
            <w:tcW w:w="8285" w:type="dxa"/>
            <w:gridSpan w:val="2"/>
            <w:tcMar>
              <w:left w:w="28" w:type="dxa"/>
              <w:right w:w="28" w:type="dxa"/>
            </w:tcMar>
          </w:tcPr>
          <w:p w:rsidR="00E6234D" w:rsidRPr="002E6ECA" w:rsidRDefault="00E6234D" w:rsidP="00FB1385">
            <w:pPr>
              <w:rPr>
                <w:spacing w:val="-6"/>
                <w:sz w:val="27"/>
                <w:szCs w:val="27"/>
              </w:rPr>
            </w:pPr>
            <w:r w:rsidRPr="002E6ECA">
              <w:rPr>
                <w:spacing w:val="-6"/>
                <w:sz w:val="27"/>
                <w:szCs w:val="27"/>
              </w:rPr>
              <w:t xml:space="preserve">регулярне провітрювання кімнати; </w:t>
            </w:r>
          </w:p>
          <w:p w:rsidR="00E6234D" w:rsidRPr="002E6ECA" w:rsidRDefault="00E6234D" w:rsidP="00FB1385">
            <w:pPr>
              <w:rPr>
                <w:spacing w:val="-8"/>
                <w:sz w:val="27"/>
                <w:szCs w:val="27"/>
              </w:rPr>
            </w:pPr>
            <w:r w:rsidRPr="002E6ECA">
              <w:rPr>
                <w:spacing w:val="-6"/>
                <w:sz w:val="27"/>
                <w:szCs w:val="27"/>
              </w:rPr>
              <w:t>відповідність одягу параметрам мікроклімату вдома, в школі та погодним умовам</w:t>
            </w:r>
          </w:p>
        </w:tc>
      </w:tr>
      <w:tr w:rsidR="00E6234D" w:rsidRPr="002E6ECA" w:rsidTr="008955D5">
        <w:trPr>
          <w:cantSplit/>
          <w:trHeight w:val="1134"/>
        </w:trPr>
        <w:tc>
          <w:tcPr>
            <w:tcW w:w="957" w:type="dxa"/>
            <w:vMerge w:val="restart"/>
            <w:tcMar>
              <w:left w:w="28" w:type="dxa"/>
              <w:right w:w="28" w:type="dxa"/>
            </w:tcMar>
            <w:textDirection w:val="btLr"/>
            <w:vAlign w:val="center"/>
          </w:tcPr>
          <w:p w:rsidR="00E6234D" w:rsidRPr="002E6ECA" w:rsidRDefault="00E6234D" w:rsidP="00FB1385">
            <w:pPr>
              <w:ind w:left="113" w:right="113"/>
              <w:jc w:val="center"/>
              <w:rPr>
                <w:sz w:val="27"/>
                <w:szCs w:val="27"/>
              </w:rPr>
            </w:pPr>
            <w:r w:rsidRPr="002E6ECA">
              <w:rPr>
                <w:spacing w:val="-6"/>
                <w:sz w:val="27"/>
                <w:szCs w:val="27"/>
                <w:u w:val="single"/>
              </w:rPr>
              <w:t xml:space="preserve"> «Фізична активність»</w:t>
            </w:r>
          </w:p>
        </w:tc>
        <w:tc>
          <w:tcPr>
            <w:tcW w:w="3891" w:type="dxa"/>
            <w:tcMar>
              <w:left w:w="28" w:type="dxa"/>
              <w:right w:w="28" w:type="dxa"/>
            </w:tcMar>
          </w:tcPr>
          <w:p w:rsidR="00E6234D" w:rsidRPr="002E6ECA" w:rsidRDefault="00E6234D" w:rsidP="00FB1385">
            <w:pPr>
              <w:rPr>
                <w:spacing w:val="-6"/>
                <w:sz w:val="27"/>
                <w:szCs w:val="27"/>
              </w:rPr>
            </w:pPr>
            <w:r w:rsidRPr="002E6ECA">
              <w:rPr>
                <w:spacing w:val="-6"/>
                <w:sz w:val="27"/>
                <w:szCs w:val="27"/>
              </w:rPr>
              <w:t xml:space="preserve">активні заняття підчас прогулянок та перерв у школі; </w:t>
            </w:r>
          </w:p>
          <w:p w:rsidR="00E6234D" w:rsidRPr="002E6ECA" w:rsidRDefault="00E6234D" w:rsidP="00FB1385">
            <w:pPr>
              <w:rPr>
                <w:spacing w:val="-6"/>
                <w:sz w:val="27"/>
                <w:szCs w:val="27"/>
              </w:rPr>
            </w:pPr>
            <w:r w:rsidRPr="002E6ECA">
              <w:rPr>
                <w:spacing w:val="-6"/>
                <w:sz w:val="27"/>
                <w:szCs w:val="27"/>
              </w:rPr>
              <w:t xml:space="preserve">заняття у спортивних секціях або танцювальних гуртках; </w:t>
            </w:r>
          </w:p>
          <w:p w:rsidR="00E6234D" w:rsidRPr="002E6ECA" w:rsidRDefault="00E6234D" w:rsidP="00FB1385">
            <w:pPr>
              <w:rPr>
                <w:spacing w:val="-6"/>
                <w:sz w:val="27"/>
                <w:szCs w:val="27"/>
              </w:rPr>
            </w:pPr>
            <w:r w:rsidRPr="002E6ECA">
              <w:rPr>
                <w:spacing w:val="-6"/>
                <w:sz w:val="27"/>
                <w:szCs w:val="27"/>
              </w:rPr>
              <w:t xml:space="preserve">регулярне відвідування занять фізкультури у школі; </w:t>
            </w:r>
          </w:p>
          <w:p w:rsidR="00E6234D" w:rsidRPr="002E6ECA" w:rsidRDefault="00E6234D" w:rsidP="00FB1385">
            <w:pPr>
              <w:rPr>
                <w:sz w:val="27"/>
                <w:szCs w:val="27"/>
              </w:rPr>
            </w:pPr>
            <w:r w:rsidRPr="002E6ECA">
              <w:rPr>
                <w:spacing w:val="-6"/>
                <w:sz w:val="27"/>
                <w:szCs w:val="27"/>
              </w:rPr>
              <w:t>активна участь у фізкультхвилинках на уроках та вдома при виконанні домашніх завдань</w:t>
            </w:r>
          </w:p>
        </w:tc>
        <w:tc>
          <w:tcPr>
            <w:tcW w:w="4394" w:type="dxa"/>
            <w:tcMar>
              <w:left w:w="28" w:type="dxa"/>
              <w:right w:w="28" w:type="dxa"/>
            </w:tcMar>
          </w:tcPr>
          <w:p w:rsidR="00E6234D" w:rsidRPr="002E6ECA" w:rsidRDefault="00E6234D" w:rsidP="00FB1385">
            <w:pPr>
              <w:rPr>
                <w:spacing w:val="-6"/>
                <w:sz w:val="27"/>
                <w:szCs w:val="27"/>
              </w:rPr>
            </w:pPr>
            <w:r w:rsidRPr="002E6ECA">
              <w:rPr>
                <w:spacing w:val="-6"/>
                <w:sz w:val="27"/>
                <w:szCs w:val="27"/>
              </w:rPr>
              <w:t xml:space="preserve">заохочення дитини до підвищення обсягу рухової активності; </w:t>
            </w:r>
          </w:p>
          <w:p w:rsidR="00E6234D" w:rsidRPr="002E6ECA" w:rsidRDefault="00E6234D" w:rsidP="00FB1385">
            <w:pPr>
              <w:rPr>
                <w:spacing w:val="-6"/>
                <w:sz w:val="27"/>
                <w:szCs w:val="27"/>
              </w:rPr>
            </w:pPr>
            <w:r w:rsidRPr="002E6ECA">
              <w:rPr>
                <w:spacing w:val="-6"/>
                <w:sz w:val="27"/>
                <w:szCs w:val="27"/>
              </w:rPr>
              <w:t xml:space="preserve">організація перерв та фізкультпауз при виконанні домашніх завдань, </w:t>
            </w:r>
          </w:p>
          <w:p w:rsidR="00E6234D" w:rsidRPr="002E6ECA" w:rsidRDefault="00E6234D" w:rsidP="00FB1385">
            <w:pPr>
              <w:rPr>
                <w:spacing w:val="-6"/>
                <w:sz w:val="27"/>
                <w:szCs w:val="27"/>
              </w:rPr>
            </w:pPr>
            <w:r w:rsidRPr="002E6ECA">
              <w:rPr>
                <w:spacing w:val="-6"/>
                <w:sz w:val="27"/>
                <w:szCs w:val="27"/>
              </w:rPr>
              <w:t xml:space="preserve">чередування форм занять з різним рівнем фізичної активності; </w:t>
            </w:r>
          </w:p>
          <w:p w:rsidR="00E6234D" w:rsidRPr="002E6ECA" w:rsidRDefault="00E6234D" w:rsidP="008955D5">
            <w:pPr>
              <w:rPr>
                <w:sz w:val="27"/>
                <w:szCs w:val="27"/>
              </w:rPr>
            </w:pPr>
            <w:r w:rsidRPr="002E6ECA">
              <w:rPr>
                <w:spacing w:val="-6"/>
                <w:sz w:val="27"/>
                <w:szCs w:val="27"/>
              </w:rPr>
              <w:t xml:space="preserve">контроль обсягу рухової активності за допомогою спеціальних програм та фітнес-трекерів, крокомірів </w:t>
            </w:r>
          </w:p>
        </w:tc>
      </w:tr>
      <w:tr w:rsidR="00E6234D" w:rsidRPr="002E6ECA" w:rsidTr="008955D5">
        <w:trPr>
          <w:cantSplit/>
          <w:trHeight w:val="998"/>
        </w:trPr>
        <w:tc>
          <w:tcPr>
            <w:tcW w:w="957" w:type="dxa"/>
            <w:vMerge/>
            <w:tcMar>
              <w:left w:w="28" w:type="dxa"/>
              <w:right w:w="28" w:type="dxa"/>
            </w:tcMar>
            <w:textDirection w:val="btLr"/>
            <w:vAlign w:val="center"/>
          </w:tcPr>
          <w:p w:rsidR="00E6234D" w:rsidRPr="002E6ECA" w:rsidRDefault="00E6234D" w:rsidP="00FB1385">
            <w:pPr>
              <w:ind w:left="113" w:right="113"/>
              <w:jc w:val="center"/>
              <w:rPr>
                <w:spacing w:val="-6"/>
                <w:sz w:val="27"/>
                <w:szCs w:val="27"/>
                <w:u w:val="single"/>
              </w:rPr>
            </w:pPr>
          </w:p>
        </w:tc>
        <w:tc>
          <w:tcPr>
            <w:tcW w:w="8285" w:type="dxa"/>
            <w:gridSpan w:val="2"/>
            <w:tcMar>
              <w:left w:w="28" w:type="dxa"/>
              <w:right w:w="28" w:type="dxa"/>
            </w:tcMar>
          </w:tcPr>
          <w:p w:rsidR="00E6234D" w:rsidRPr="002E6ECA" w:rsidRDefault="00E6234D" w:rsidP="00FB1385">
            <w:pPr>
              <w:rPr>
                <w:spacing w:val="-6"/>
                <w:sz w:val="27"/>
                <w:szCs w:val="27"/>
              </w:rPr>
            </w:pPr>
            <w:r w:rsidRPr="002E6ECA">
              <w:rPr>
                <w:spacing w:val="-6"/>
                <w:sz w:val="27"/>
                <w:szCs w:val="27"/>
              </w:rPr>
              <w:t>сумісне виконання ранкової гімнастики та організація активних форм дозвілля у вихідні дні;</w:t>
            </w:r>
          </w:p>
          <w:p w:rsidR="00E6234D" w:rsidRPr="002E6ECA" w:rsidRDefault="00E6234D" w:rsidP="00FB1385">
            <w:pPr>
              <w:rPr>
                <w:spacing w:val="-6"/>
                <w:sz w:val="27"/>
                <w:szCs w:val="27"/>
              </w:rPr>
            </w:pPr>
            <w:r w:rsidRPr="002E6ECA">
              <w:rPr>
                <w:spacing w:val="-6"/>
                <w:sz w:val="27"/>
                <w:szCs w:val="27"/>
              </w:rPr>
              <w:t>вибір гуртків і секцій для активних (рухових) видів діяльності</w:t>
            </w:r>
          </w:p>
        </w:tc>
      </w:tr>
    </w:tbl>
    <w:p w:rsidR="008955D5" w:rsidRPr="002E6ECA" w:rsidRDefault="008955D5">
      <w:pPr>
        <w:rPr>
          <w:lang w:val="uk-UA"/>
        </w:rPr>
      </w:pPr>
    </w:p>
    <w:p w:rsidR="008955D5" w:rsidRPr="002E6ECA" w:rsidRDefault="008955D5">
      <w:pPr>
        <w:rPr>
          <w:lang w:val="uk-UA"/>
        </w:rPr>
      </w:pPr>
    </w:p>
    <w:p w:rsidR="008955D5" w:rsidRPr="002E6ECA" w:rsidRDefault="008955D5">
      <w:pPr>
        <w:rPr>
          <w:lang w:val="uk-UA"/>
        </w:rPr>
      </w:pPr>
    </w:p>
    <w:tbl>
      <w:tblPr>
        <w:tblStyle w:val="af"/>
        <w:tblpPr w:leftFromText="180" w:rightFromText="180" w:vertAnchor="text" w:tblpY="1"/>
        <w:tblOverlap w:val="never"/>
        <w:tblW w:w="0" w:type="auto"/>
        <w:tblLook w:val="04A0" w:firstRow="1" w:lastRow="0" w:firstColumn="1" w:lastColumn="0" w:noHBand="0" w:noVBand="1"/>
      </w:tblPr>
      <w:tblGrid>
        <w:gridCol w:w="957"/>
        <w:gridCol w:w="3891"/>
        <w:gridCol w:w="4394"/>
      </w:tblGrid>
      <w:tr w:rsidR="008955D5" w:rsidRPr="002E6ECA" w:rsidTr="008955D5">
        <w:tc>
          <w:tcPr>
            <w:tcW w:w="957" w:type="dxa"/>
            <w:vMerge w:val="restart"/>
            <w:tcMar>
              <w:left w:w="28" w:type="dxa"/>
              <w:right w:w="28" w:type="dxa"/>
            </w:tcMar>
          </w:tcPr>
          <w:p w:rsidR="008955D5" w:rsidRPr="002E6ECA" w:rsidRDefault="008955D5" w:rsidP="008955D5">
            <w:pPr>
              <w:rPr>
                <w:sz w:val="27"/>
                <w:szCs w:val="27"/>
              </w:rPr>
            </w:pPr>
            <w:r w:rsidRPr="002E6ECA">
              <w:rPr>
                <w:sz w:val="27"/>
                <w:szCs w:val="27"/>
              </w:rPr>
              <w:t xml:space="preserve">Назва блоку </w:t>
            </w:r>
          </w:p>
        </w:tc>
        <w:tc>
          <w:tcPr>
            <w:tcW w:w="8285" w:type="dxa"/>
            <w:gridSpan w:val="2"/>
            <w:tcMar>
              <w:left w:w="28" w:type="dxa"/>
              <w:right w:w="28" w:type="dxa"/>
            </w:tcMar>
          </w:tcPr>
          <w:p w:rsidR="008955D5" w:rsidRPr="002E6ECA" w:rsidRDefault="008955D5" w:rsidP="008955D5">
            <w:pPr>
              <w:jc w:val="center"/>
              <w:rPr>
                <w:sz w:val="27"/>
                <w:szCs w:val="27"/>
              </w:rPr>
            </w:pPr>
            <w:r w:rsidRPr="002E6ECA">
              <w:rPr>
                <w:sz w:val="27"/>
                <w:szCs w:val="27"/>
              </w:rPr>
              <w:t>Члени родини, що беруть участь у реалізації профілактичної програми</w:t>
            </w:r>
          </w:p>
        </w:tc>
      </w:tr>
      <w:tr w:rsidR="008955D5" w:rsidRPr="002E6ECA" w:rsidTr="008955D5">
        <w:tc>
          <w:tcPr>
            <w:tcW w:w="957" w:type="dxa"/>
            <w:vMerge/>
            <w:tcMar>
              <w:left w:w="28" w:type="dxa"/>
              <w:right w:w="28" w:type="dxa"/>
            </w:tcMar>
          </w:tcPr>
          <w:p w:rsidR="008955D5" w:rsidRPr="002E6ECA" w:rsidRDefault="008955D5" w:rsidP="008955D5">
            <w:pPr>
              <w:rPr>
                <w:sz w:val="27"/>
                <w:szCs w:val="27"/>
              </w:rPr>
            </w:pPr>
          </w:p>
        </w:tc>
        <w:tc>
          <w:tcPr>
            <w:tcW w:w="3891" w:type="dxa"/>
            <w:tcMar>
              <w:left w:w="28" w:type="dxa"/>
              <w:right w:w="28" w:type="dxa"/>
            </w:tcMar>
          </w:tcPr>
          <w:p w:rsidR="008955D5" w:rsidRPr="002E6ECA" w:rsidRDefault="008955D5" w:rsidP="008955D5">
            <w:pPr>
              <w:jc w:val="center"/>
              <w:rPr>
                <w:sz w:val="27"/>
                <w:szCs w:val="27"/>
              </w:rPr>
            </w:pPr>
            <w:r w:rsidRPr="002E6ECA">
              <w:rPr>
                <w:sz w:val="27"/>
                <w:szCs w:val="27"/>
              </w:rPr>
              <w:t>Діти</w:t>
            </w:r>
          </w:p>
        </w:tc>
        <w:tc>
          <w:tcPr>
            <w:tcW w:w="4394" w:type="dxa"/>
            <w:tcMar>
              <w:left w:w="28" w:type="dxa"/>
              <w:right w:w="28" w:type="dxa"/>
            </w:tcMar>
          </w:tcPr>
          <w:p w:rsidR="008955D5" w:rsidRPr="002E6ECA" w:rsidRDefault="008955D5" w:rsidP="008955D5">
            <w:pPr>
              <w:jc w:val="center"/>
              <w:rPr>
                <w:sz w:val="27"/>
                <w:szCs w:val="27"/>
              </w:rPr>
            </w:pPr>
            <w:r w:rsidRPr="002E6ECA">
              <w:rPr>
                <w:sz w:val="27"/>
                <w:szCs w:val="27"/>
              </w:rPr>
              <w:t>Батьки</w:t>
            </w:r>
          </w:p>
        </w:tc>
      </w:tr>
    </w:tbl>
    <w:tbl>
      <w:tblPr>
        <w:tblStyle w:val="af"/>
        <w:tblW w:w="0" w:type="auto"/>
        <w:tblLook w:val="04A0" w:firstRow="1" w:lastRow="0" w:firstColumn="1" w:lastColumn="0" w:noHBand="0" w:noVBand="1"/>
      </w:tblPr>
      <w:tblGrid>
        <w:gridCol w:w="957"/>
        <w:gridCol w:w="3891"/>
        <w:gridCol w:w="4394"/>
      </w:tblGrid>
      <w:tr w:rsidR="00467FF6" w:rsidRPr="002E6ECA" w:rsidTr="008955D5">
        <w:trPr>
          <w:cantSplit/>
          <w:trHeight w:val="1134"/>
        </w:trPr>
        <w:tc>
          <w:tcPr>
            <w:tcW w:w="957" w:type="dxa"/>
            <w:vMerge w:val="restart"/>
            <w:tcMar>
              <w:left w:w="28" w:type="dxa"/>
              <w:right w:w="28" w:type="dxa"/>
            </w:tcMar>
            <w:textDirection w:val="btLr"/>
            <w:vAlign w:val="center"/>
          </w:tcPr>
          <w:p w:rsidR="00E6234D" w:rsidRPr="002E6ECA" w:rsidRDefault="00E6234D" w:rsidP="00FB1385">
            <w:pPr>
              <w:ind w:left="113" w:right="113"/>
              <w:jc w:val="center"/>
              <w:rPr>
                <w:sz w:val="26"/>
                <w:szCs w:val="26"/>
              </w:rPr>
            </w:pPr>
            <w:r w:rsidRPr="002E6ECA">
              <w:rPr>
                <w:spacing w:val="-6"/>
                <w:sz w:val="26"/>
                <w:szCs w:val="26"/>
                <w:u w:val="single"/>
              </w:rPr>
              <w:t>«Харчування»</w:t>
            </w:r>
          </w:p>
        </w:tc>
        <w:tc>
          <w:tcPr>
            <w:tcW w:w="3891" w:type="dxa"/>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правильне харчування у школі: </w:t>
            </w:r>
          </w:p>
          <w:p w:rsidR="00E6234D" w:rsidRPr="002E6ECA" w:rsidRDefault="00E6234D" w:rsidP="00FB1385">
            <w:pPr>
              <w:rPr>
                <w:spacing w:val="-6"/>
                <w:sz w:val="26"/>
                <w:szCs w:val="26"/>
              </w:rPr>
            </w:pPr>
            <w:r w:rsidRPr="002E6ECA">
              <w:rPr>
                <w:spacing w:val="-6"/>
                <w:sz w:val="26"/>
                <w:szCs w:val="26"/>
              </w:rPr>
              <w:t xml:space="preserve">вживання гарячих блюд, </w:t>
            </w:r>
          </w:p>
          <w:p w:rsidR="00E6234D" w:rsidRPr="002E6ECA" w:rsidRDefault="00E6234D" w:rsidP="00FB1385">
            <w:pPr>
              <w:rPr>
                <w:spacing w:val="-6"/>
                <w:sz w:val="26"/>
                <w:szCs w:val="26"/>
              </w:rPr>
            </w:pPr>
            <w:r w:rsidRPr="002E6ECA">
              <w:rPr>
                <w:spacing w:val="-6"/>
                <w:sz w:val="26"/>
                <w:szCs w:val="26"/>
              </w:rPr>
              <w:t xml:space="preserve">дотримання кратності прийому їжі, </w:t>
            </w:r>
          </w:p>
          <w:p w:rsidR="00E6234D" w:rsidRPr="002E6ECA" w:rsidRDefault="00E6234D" w:rsidP="00FB1385">
            <w:pPr>
              <w:rPr>
                <w:spacing w:val="-6"/>
                <w:sz w:val="26"/>
                <w:szCs w:val="26"/>
              </w:rPr>
            </w:pPr>
            <w:r w:rsidRPr="002E6ECA">
              <w:rPr>
                <w:spacing w:val="-6"/>
                <w:sz w:val="26"/>
                <w:szCs w:val="26"/>
              </w:rPr>
              <w:t xml:space="preserve">відмова від «шкідливих» продуктів (чіпси, сухарики, печиво, тістечка та ін.); </w:t>
            </w:r>
          </w:p>
          <w:p w:rsidR="00E6234D" w:rsidRPr="002E6ECA" w:rsidRDefault="00E6234D" w:rsidP="00FB1385">
            <w:pPr>
              <w:rPr>
                <w:sz w:val="26"/>
                <w:szCs w:val="26"/>
              </w:rPr>
            </w:pPr>
            <w:r w:rsidRPr="002E6ECA">
              <w:rPr>
                <w:spacing w:val="-6"/>
                <w:sz w:val="26"/>
                <w:szCs w:val="26"/>
              </w:rPr>
              <w:t>дотримання питного режиму</w:t>
            </w:r>
          </w:p>
        </w:tc>
        <w:tc>
          <w:tcPr>
            <w:tcW w:w="4394" w:type="dxa"/>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мотивація дитини до вживання гарячих блюд у школі; </w:t>
            </w:r>
          </w:p>
          <w:p w:rsidR="00E6234D" w:rsidRPr="002E6ECA" w:rsidRDefault="00E6234D" w:rsidP="00FB1385">
            <w:pPr>
              <w:rPr>
                <w:sz w:val="26"/>
                <w:szCs w:val="26"/>
              </w:rPr>
            </w:pPr>
            <w:r w:rsidRPr="002E6ECA">
              <w:rPr>
                <w:spacing w:val="-6"/>
                <w:sz w:val="26"/>
                <w:szCs w:val="26"/>
              </w:rPr>
              <w:t>включення до раціону харчування продуктів, необхідних для фізичного та інтелектуального розвитку, підвищення імунітету та стресостійкості: продукти-джерела повноцінного білку, ПНЖК, лецитину, харчових волокон, вітамінів С, А, Д, Е, групи В, макроелементів (кальцію, фосфору, магнію) та мікроелементів (цинку, заліза, міді, кобальту, селену, марганцю)</w:t>
            </w:r>
          </w:p>
        </w:tc>
      </w:tr>
      <w:tr w:rsidR="00467FF6" w:rsidRPr="002E6ECA" w:rsidTr="008955D5">
        <w:trPr>
          <w:cantSplit/>
          <w:trHeight w:val="993"/>
        </w:trPr>
        <w:tc>
          <w:tcPr>
            <w:tcW w:w="957" w:type="dxa"/>
            <w:vMerge/>
            <w:tcMar>
              <w:left w:w="28" w:type="dxa"/>
              <w:right w:w="28" w:type="dxa"/>
            </w:tcMar>
            <w:textDirection w:val="btLr"/>
            <w:vAlign w:val="center"/>
          </w:tcPr>
          <w:p w:rsidR="00E6234D" w:rsidRPr="002E6ECA" w:rsidRDefault="00E6234D" w:rsidP="00FB1385">
            <w:pPr>
              <w:ind w:left="113" w:right="113"/>
              <w:jc w:val="center"/>
              <w:rPr>
                <w:spacing w:val="-6"/>
                <w:sz w:val="26"/>
                <w:szCs w:val="26"/>
                <w:u w:val="single"/>
              </w:rPr>
            </w:pPr>
          </w:p>
        </w:tc>
        <w:tc>
          <w:tcPr>
            <w:tcW w:w="8285" w:type="dxa"/>
            <w:gridSpan w:val="2"/>
            <w:tcMar>
              <w:left w:w="28" w:type="dxa"/>
              <w:right w:w="28" w:type="dxa"/>
            </w:tcMar>
          </w:tcPr>
          <w:p w:rsidR="00E6234D" w:rsidRPr="002E6ECA" w:rsidRDefault="00E6234D" w:rsidP="00FB1385">
            <w:pPr>
              <w:rPr>
                <w:spacing w:val="-6"/>
                <w:sz w:val="26"/>
                <w:szCs w:val="26"/>
              </w:rPr>
            </w:pPr>
            <w:r w:rsidRPr="002E6ECA">
              <w:rPr>
                <w:spacing w:val="-6"/>
                <w:sz w:val="26"/>
                <w:szCs w:val="26"/>
              </w:rPr>
              <w:t>дотримання принципів раціонального харчування</w:t>
            </w:r>
          </w:p>
          <w:p w:rsidR="00E6234D" w:rsidRPr="002E6ECA" w:rsidRDefault="00E6234D" w:rsidP="00FB1385">
            <w:pPr>
              <w:rPr>
                <w:spacing w:val="-6"/>
                <w:sz w:val="26"/>
                <w:szCs w:val="26"/>
              </w:rPr>
            </w:pPr>
            <w:r w:rsidRPr="002E6ECA">
              <w:rPr>
                <w:spacing w:val="-6"/>
                <w:sz w:val="26"/>
                <w:szCs w:val="26"/>
              </w:rPr>
              <w:t xml:space="preserve">гігієна та культура прийому їжі; </w:t>
            </w:r>
          </w:p>
          <w:p w:rsidR="00E6234D" w:rsidRPr="002E6ECA" w:rsidRDefault="00E6234D" w:rsidP="00FB1385">
            <w:pPr>
              <w:rPr>
                <w:spacing w:val="-6"/>
                <w:sz w:val="26"/>
                <w:szCs w:val="26"/>
              </w:rPr>
            </w:pPr>
            <w:r w:rsidRPr="002E6ECA">
              <w:rPr>
                <w:spacing w:val="-6"/>
                <w:sz w:val="26"/>
                <w:szCs w:val="26"/>
              </w:rPr>
              <w:t>дотримання питного режиму</w:t>
            </w:r>
          </w:p>
        </w:tc>
      </w:tr>
      <w:tr w:rsidR="00467FF6" w:rsidRPr="002E6ECA" w:rsidTr="008955D5">
        <w:trPr>
          <w:cantSplit/>
          <w:trHeight w:val="1134"/>
        </w:trPr>
        <w:tc>
          <w:tcPr>
            <w:tcW w:w="957" w:type="dxa"/>
            <w:vMerge w:val="restart"/>
            <w:tcMar>
              <w:left w:w="28" w:type="dxa"/>
              <w:right w:w="28" w:type="dxa"/>
            </w:tcMar>
            <w:textDirection w:val="btLr"/>
            <w:vAlign w:val="center"/>
          </w:tcPr>
          <w:p w:rsidR="00E6234D" w:rsidRPr="002E6ECA" w:rsidRDefault="00E6234D" w:rsidP="00FB1385">
            <w:pPr>
              <w:ind w:left="113" w:right="113"/>
              <w:jc w:val="center"/>
              <w:rPr>
                <w:sz w:val="26"/>
                <w:szCs w:val="26"/>
              </w:rPr>
            </w:pPr>
            <w:r w:rsidRPr="002E6ECA">
              <w:rPr>
                <w:spacing w:val="-6"/>
                <w:sz w:val="26"/>
                <w:szCs w:val="26"/>
                <w:u w:val="single"/>
              </w:rPr>
              <w:t>«Візуальне навантаження»</w:t>
            </w:r>
          </w:p>
        </w:tc>
        <w:tc>
          <w:tcPr>
            <w:tcW w:w="3891" w:type="dxa"/>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відмова від користування гаджетами в школі; </w:t>
            </w:r>
          </w:p>
          <w:p w:rsidR="00E6234D" w:rsidRPr="002E6ECA" w:rsidRDefault="00E6234D" w:rsidP="00FB1385">
            <w:pPr>
              <w:rPr>
                <w:spacing w:val="-6"/>
                <w:sz w:val="26"/>
                <w:szCs w:val="26"/>
              </w:rPr>
            </w:pPr>
            <w:r w:rsidRPr="002E6ECA">
              <w:rPr>
                <w:spacing w:val="-6"/>
                <w:sz w:val="26"/>
                <w:szCs w:val="26"/>
              </w:rPr>
              <w:t xml:space="preserve">виконання вправ зорової гімнастики; </w:t>
            </w:r>
          </w:p>
          <w:p w:rsidR="00E6234D" w:rsidRPr="002E6ECA" w:rsidRDefault="00E6234D" w:rsidP="00FB1385">
            <w:pPr>
              <w:rPr>
                <w:sz w:val="26"/>
                <w:szCs w:val="26"/>
              </w:rPr>
            </w:pPr>
            <w:r w:rsidRPr="002E6ECA">
              <w:rPr>
                <w:spacing w:val="-6"/>
                <w:sz w:val="26"/>
                <w:szCs w:val="26"/>
              </w:rPr>
              <w:t>дотримання режиму візуальної праці та відпочинку</w:t>
            </w:r>
          </w:p>
        </w:tc>
        <w:tc>
          <w:tcPr>
            <w:tcW w:w="4394" w:type="dxa"/>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проведення бесід з дітьми щодо негативного впливу гаджетів на стан здоров’я (психоемоційний, шкода для формування постави, мозкового кровообігу та органу зору); </w:t>
            </w:r>
          </w:p>
          <w:p w:rsidR="00E6234D" w:rsidRPr="002E6ECA" w:rsidRDefault="00E6234D" w:rsidP="008955D5">
            <w:pPr>
              <w:rPr>
                <w:spacing w:val="-6"/>
                <w:sz w:val="26"/>
                <w:szCs w:val="26"/>
              </w:rPr>
            </w:pPr>
            <w:r w:rsidRPr="002E6ECA">
              <w:rPr>
                <w:spacing w:val="-6"/>
                <w:sz w:val="26"/>
                <w:szCs w:val="26"/>
              </w:rPr>
              <w:t xml:space="preserve">встановлення відповідних програм («батьківський контроль» та ін.) </w:t>
            </w:r>
          </w:p>
        </w:tc>
      </w:tr>
      <w:tr w:rsidR="00467FF6" w:rsidRPr="002E6ECA" w:rsidTr="008955D5">
        <w:trPr>
          <w:cantSplit/>
          <w:trHeight w:val="949"/>
        </w:trPr>
        <w:tc>
          <w:tcPr>
            <w:tcW w:w="957" w:type="dxa"/>
            <w:vMerge/>
            <w:tcMar>
              <w:left w:w="28" w:type="dxa"/>
              <w:right w:w="28" w:type="dxa"/>
            </w:tcMar>
            <w:textDirection w:val="btLr"/>
            <w:vAlign w:val="center"/>
          </w:tcPr>
          <w:p w:rsidR="00E6234D" w:rsidRPr="002E6ECA" w:rsidRDefault="00E6234D" w:rsidP="00FB1385">
            <w:pPr>
              <w:ind w:left="113" w:right="113"/>
              <w:jc w:val="center"/>
              <w:rPr>
                <w:spacing w:val="-6"/>
                <w:sz w:val="26"/>
                <w:szCs w:val="26"/>
                <w:u w:val="single"/>
              </w:rPr>
            </w:pPr>
          </w:p>
        </w:tc>
        <w:tc>
          <w:tcPr>
            <w:tcW w:w="8285" w:type="dxa"/>
            <w:gridSpan w:val="2"/>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обмеження екранного часу (тривалості перегляду телепередач, використання гаджетів, комп’ютерів); </w:t>
            </w:r>
          </w:p>
          <w:p w:rsidR="00E6234D" w:rsidRPr="002E6ECA" w:rsidRDefault="00E6234D" w:rsidP="00FB1385">
            <w:pPr>
              <w:rPr>
                <w:spacing w:val="-6"/>
                <w:sz w:val="26"/>
                <w:szCs w:val="26"/>
              </w:rPr>
            </w:pPr>
            <w:r w:rsidRPr="002E6ECA">
              <w:rPr>
                <w:spacing w:val="-6"/>
                <w:sz w:val="26"/>
                <w:szCs w:val="26"/>
              </w:rPr>
              <w:t>обмеження додаткових розумових навантажень</w:t>
            </w:r>
          </w:p>
        </w:tc>
      </w:tr>
      <w:tr w:rsidR="00467FF6" w:rsidRPr="002E6ECA" w:rsidTr="008955D5">
        <w:trPr>
          <w:cantSplit/>
          <w:trHeight w:val="937"/>
        </w:trPr>
        <w:tc>
          <w:tcPr>
            <w:tcW w:w="957" w:type="dxa"/>
            <w:vMerge w:val="restart"/>
            <w:tcMar>
              <w:left w:w="28" w:type="dxa"/>
              <w:right w:w="28" w:type="dxa"/>
            </w:tcMar>
            <w:textDirection w:val="btLr"/>
            <w:vAlign w:val="center"/>
          </w:tcPr>
          <w:p w:rsidR="00E6234D" w:rsidRPr="002E6ECA" w:rsidRDefault="00E6234D" w:rsidP="00FB1385">
            <w:pPr>
              <w:ind w:left="113" w:right="113"/>
              <w:jc w:val="center"/>
              <w:rPr>
                <w:sz w:val="26"/>
                <w:szCs w:val="26"/>
              </w:rPr>
            </w:pPr>
            <w:r w:rsidRPr="002E6ECA">
              <w:rPr>
                <w:spacing w:val="-6"/>
                <w:sz w:val="26"/>
                <w:szCs w:val="26"/>
                <w:u w:val="single"/>
              </w:rPr>
              <w:t>«Дозвілля»</w:t>
            </w:r>
          </w:p>
        </w:tc>
        <w:tc>
          <w:tcPr>
            <w:tcW w:w="3891" w:type="dxa"/>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самоорганізація дозвілля, </w:t>
            </w:r>
          </w:p>
          <w:p w:rsidR="00E6234D" w:rsidRPr="002E6ECA" w:rsidRDefault="00E6234D" w:rsidP="00FB1385">
            <w:pPr>
              <w:rPr>
                <w:spacing w:val="-6"/>
                <w:sz w:val="26"/>
                <w:szCs w:val="26"/>
              </w:rPr>
            </w:pPr>
            <w:r w:rsidRPr="002E6ECA">
              <w:rPr>
                <w:spacing w:val="-6"/>
                <w:sz w:val="26"/>
                <w:szCs w:val="26"/>
              </w:rPr>
              <w:t xml:space="preserve">особистий тайм-менеджмент; </w:t>
            </w:r>
          </w:p>
          <w:p w:rsidR="00E6234D" w:rsidRPr="002E6ECA" w:rsidRDefault="00E6234D" w:rsidP="00FB1385">
            <w:pPr>
              <w:rPr>
                <w:sz w:val="26"/>
                <w:szCs w:val="26"/>
              </w:rPr>
            </w:pPr>
          </w:p>
        </w:tc>
        <w:tc>
          <w:tcPr>
            <w:tcW w:w="4394" w:type="dxa"/>
            <w:tcMar>
              <w:left w:w="28" w:type="dxa"/>
              <w:right w:w="28" w:type="dxa"/>
            </w:tcMar>
          </w:tcPr>
          <w:p w:rsidR="00E6234D" w:rsidRPr="002E6ECA" w:rsidRDefault="00E6234D" w:rsidP="00FB1385">
            <w:pPr>
              <w:rPr>
                <w:spacing w:val="-6"/>
                <w:sz w:val="26"/>
                <w:szCs w:val="26"/>
              </w:rPr>
            </w:pPr>
            <w:r w:rsidRPr="002E6ECA">
              <w:rPr>
                <w:spacing w:val="-6"/>
                <w:sz w:val="26"/>
                <w:szCs w:val="26"/>
              </w:rPr>
              <w:t xml:space="preserve">організація дозвілля; </w:t>
            </w:r>
          </w:p>
          <w:p w:rsidR="00E6234D" w:rsidRPr="002E6ECA" w:rsidRDefault="00E6234D" w:rsidP="00FB1385">
            <w:pPr>
              <w:rPr>
                <w:sz w:val="26"/>
                <w:szCs w:val="26"/>
              </w:rPr>
            </w:pPr>
            <w:r w:rsidRPr="002E6ECA">
              <w:rPr>
                <w:spacing w:val="-6"/>
                <w:sz w:val="26"/>
                <w:szCs w:val="26"/>
              </w:rPr>
              <w:t xml:space="preserve">навчання дитини основам тайм-менеджменту; </w:t>
            </w:r>
          </w:p>
        </w:tc>
      </w:tr>
      <w:tr w:rsidR="00467FF6" w:rsidRPr="002E6ECA" w:rsidTr="008955D5">
        <w:tc>
          <w:tcPr>
            <w:tcW w:w="957" w:type="dxa"/>
            <w:vMerge/>
            <w:tcMar>
              <w:left w:w="28" w:type="dxa"/>
              <w:right w:w="28" w:type="dxa"/>
            </w:tcMar>
          </w:tcPr>
          <w:p w:rsidR="00E6234D" w:rsidRPr="002E6ECA" w:rsidRDefault="00E6234D" w:rsidP="00FB1385">
            <w:pPr>
              <w:rPr>
                <w:sz w:val="26"/>
                <w:szCs w:val="26"/>
              </w:rPr>
            </w:pPr>
          </w:p>
        </w:tc>
        <w:tc>
          <w:tcPr>
            <w:tcW w:w="8285" w:type="dxa"/>
            <w:gridSpan w:val="2"/>
            <w:tcMar>
              <w:left w:w="28" w:type="dxa"/>
              <w:right w:w="28" w:type="dxa"/>
            </w:tcMar>
          </w:tcPr>
          <w:p w:rsidR="00E6234D" w:rsidRPr="002E6ECA" w:rsidRDefault="00E6234D" w:rsidP="00FB1385">
            <w:pPr>
              <w:rPr>
                <w:spacing w:val="-6"/>
                <w:sz w:val="26"/>
                <w:szCs w:val="26"/>
                <w:lang w:val="uk-UA"/>
              </w:rPr>
            </w:pPr>
            <w:r w:rsidRPr="002E6ECA">
              <w:rPr>
                <w:spacing w:val="-6"/>
                <w:sz w:val="26"/>
                <w:szCs w:val="26"/>
              </w:rPr>
              <w:t>сумісне з батьками складання оптимального режиму дня/графіку виконання певних завдань та доручень вибір гуртків і секцій з різним рівнем фізичної активності</w:t>
            </w:r>
            <w:r w:rsidR="008955D5" w:rsidRPr="002E6ECA">
              <w:rPr>
                <w:spacing w:val="-6"/>
                <w:sz w:val="26"/>
                <w:szCs w:val="26"/>
                <w:lang w:val="uk-UA"/>
              </w:rPr>
              <w:t>;</w:t>
            </w:r>
          </w:p>
          <w:p w:rsidR="00E6234D" w:rsidRPr="002E6ECA" w:rsidRDefault="00E6234D" w:rsidP="008955D5">
            <w:pPr>
              <w:rPr>
                <w:sz w:val="26"/>
                <w:szCs w:val="26"/>
                <w:lang w:val="uk-UA"/>
              </w:rPr>
            </w:pPr>
            <w:r w:rsidRPr="002E6ECA">
              <w:rPr>
                <w:spacing w:val="-6"/>
                <w:sz w:val="26"/>
                <w:szCs w:val="26"/>
              </w:rPr>
              <w:t>обов’язкове використання форм активного дозвілля</w:t>
            </w:r>
          </w:p>
        </w:tc>
      </w:tr>
    </w:tbl>
    <w:p w:rsidR="00E6234D" w:rsidRPr="002E6ECA" w:rsidRDefault="00E6234D" w:rsidP="00E6234D">
      <w:pPr>
        <w:rPr>
          <w:sz w:val="28"/>
          <w:szCs w:val="28"/>
        </w:rPr>
      </w:pPr>
    </w:p>
    <w:p w:rsidR="0084636B" w:rsidRPr="002E6ECA" w:rsidRDefault="0084636B" w:rsidP="00B81AAE">
      <w:pPr>
        <w:spacing w:line="360" w:lineRule="auto"/>
        <w:ind w:firstLine="709"/>
        <w:rPr>
          <w:sz w:val="28"/>
          <w:szCs w:val="28"/>
          <w:lang w:val="uk-UA"/>
        </w:rPr>
      </w:pPr>
    </w:p>
    <w:p w:rsidR="00FE4EEC" w:rsidRPr="002E6ECA" w:rsidRDefault="00FE4EEC" w:rsidP="00FE4EEC">
      <w:pPr>
        <w:ind w:firstLine="709"/>
        <w:jc w:val="both"/>
        <w:rPr>
          <w:rFonts w:eastAsia="TimesNewRomanPSMT"/>
          <w:sz w:val="28"/>
          <w:szCs w:val="28"/>
        </w:rPr>
      </w:pPr>
      <w:r w:rsidRPr="002E6ECA">
        <w:rPr>
          <w:sz w:val="28"/>
          <w:szCs w:val="28"/>
        </w:rPr>
        <w:br w:type="page"/>
      </w:r>
    </w:p>
    <w:p w:rsidR="005F4D83" w:rsidRPr="002E6ECA" w:rsidRDefault="005F4D83" w:rsidP="00990E45">
      <w:pPr>
        <w:rPr>
          <w:sz w:val="28"/>
          <w:szCs w:val="28"/>
          <w:lang w:val="uk-UA"/>
        </w:rPr>
      </w:pPr>
      <w:r w:rsidRPr="002E6ECA">
        <w:rPr>
          <w:noProof/>
          <w:sz w:val="28"/>
          <w:szCs w:val="28"/>
          <w:lang w:val="uk-UA" w:eastAsia="uk-UA"/>
        </w:rPr>
        <w:lastRenderedPageBreak/>
        <mc:AlternateContent>
          <mc:Choice Requires="wps">
            <w:drawing>
              <wp:anchor distT="0" distB="0" distL="114300" distR="114300" simplePos="0" relativeHeight="251724288" behindDoc="0" locked="0" layoutInCell="1" allowOverlap="1" wp14:anchorId="6BA138EC" wp14:editId="23119D83">
                <wp:simplePos x="0" y="0"/>
                <wp:positionH relativeFrom="column">
                  <wp:posOffset>5228590</wp:posOffset>
                </wp:positionH>
                <wp:positionV relativeFrom="paragraph">
                  <wp:posOffset>39370</wp:posOffset>
                </wp:positionV>
                <wp:extent cx="1105535" cy="1403985"/>
                <wp:effectExtent l="0" t="0" r="0" b="0"/>
                <wp:wrapNone/>
                <wp:docPr id="3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5535" cy="1403985"/>
                        </a:xfrm>
                        <a:prstGeom prst="rect">
                          <a:avLst/>
                        </a:prstGeom>
                        <a:solidFill>
                          <a:srgbClr val="FFFFFF"/>
                        </a:solidFill>
                        <a:ln w="9525">
                          <a:noFill/>
                          <a:miter lim="800000"/>
                          <a:headEnd/>
                          <a:tailEnd/>
                        </a:ln>
                      </wps:spPr>
                      <wps:txbx>
                        <w:txbxContent>
                          <w:p w:rsidR="009A04FD" w:rsidRPr="00023668" w:rsidRDefault="009A04FD">
                            <w:pPr>
                              <w:rPr>
                                <w:b/>
                                <w:sz w:val="28"/>
                                <w:szCs w:val="28"/>
                              </w:rPr>
                            </w:pPr>
                            <w:r w:rsidRPr="00023668">
                              <w:rPr>
                                <w:b/>
                                <w:sz w:val="28"/>
                                <w:szCs w:val="28"/>
                                <w:lang w:val="uk-UA"/>
                              </w:rPr>
                              <w:t>Додаток Г</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411.7pt;margin-top:3.1pt;width:87.05pt;height:110.55pt;z-index:251724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" stroked="f">
                <v:textbox style="mso-fit-shape-to-text:t">
                  <w:txbxContent>
                    <w:p w:rsidR="009A04FD" w:rsidRPr="00023668" w:rsidRDefault="009A04FD">
                      <w:pPr>
                        <w:rPr>
                          <w:b/>
                          <w:sz w:val="28"/>
                          <w:szCs w:val="28"/>
                        </w:rPr>
                      </w:pPr>
                      <w:r w:rsidRPr="00023668">
                        <w:rPr>
                          <w:b/>
                          <w:sz w:val="28"/>
                          <w:szCs w:val="28"/>
                          <w:lang w:val="uk-UA"/>
                        </w:rPr>
                        <w:t>Додаток Г</w:t>
                      </w:r>
                    </w:p>
                  </w:txbxContent>
                </v:textbox>
              </v:shape>
            </w:pict>
          </mc:Fallback>
        </mc:AlternateContent>
      </w:r>
    </w:p>
    <w:p w:rsidR="005F4D83" w:rsidRPr="002E6ECA" w:rsidRDefault="005F4D83" w:rsidP="00990E45">
      <w:pPr>
        <w:rPr>
          <w:sz w:val="28"/>
          <w:szCs w:val="28"/>
          <w:lang w:val="uk-UA"/>
        </w:rPr>
      </w:pPr>
    </w:p>
    <w:p w:rsidR="005F4D83" w:rsidRPr="002E6ECA" w:rsidRDefault="005F4D83" w:rsidP="00990E45">
      <w:pPr>
        <w:rPr>
          <w:sz w:val="28"/>
          <w:szCs w:val="28"/>
          <w:lang w:val="uk-UA"/>
        </w:rPr>
      </w:pPr>
    </w:p>
    <w:p w:rsidR="0084636B" w:rsidRPr="002E6ECA" w:rsidRDefault="005F4D83" w:rsidP="00604C3F">
      <w:pPr>
        <w:jc w:val="right"/>
        <w:rPr>
          <w:b/>
          <w:bCs/>
          <w:sz w:val="28"/>
          <w:szCs w:val="28"/>
          <w:lang w:val="uk-UA"/>
        </w:rPr>
      </w:pPr>
      <w:r w:rsidRPr="002E6ECA">
        <w:rPr>
          <w:noProof/>
          <w:lang w:val="uk-UA" w:eastAsia="uk-UA"/>
        </w:rPr>
        <w:drawing>
          <wp:inline distT="0" distB="0" distL="0" distR="0" wp14:anchorId="75D47417" wp14:editId="72769DD3">
            <wp:extent cx="8482084" cy="5905531"/>
            <wp:effectExtent l="0" t="7302" r="7302" b="7303"/>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57">
                      <a:extLst>
                        <a:ext uri="{28A0092B-C50C-407E-A947-70E740481C1C}">
                          <a14:useLocalDpi xmlns:a14="http://schemas.microsoft.com/office/drawing/2010/main" val="0"/>
                        </a:ext>
                      </a:extLst>
                    </a:blip>
                    <a:srcRect l="54390" t="7036" r="5759" b="6595"/>
                    <a:stretch>
                      <a:fillRect/>
                    </a:stretch>
                  </pic:blipFill>
                  <pic:spPr bwMode="auto">
                    <a:xfrm rot="16200000">
                      <a:off x="0" y="0"/>
                      <a:ext cx="8488101" cy="5909720"/>
                    </a:xfrm>
                    <a:prstGeom prst="rect">
                      <a:avLst/>
                    </a:prstGeom>
                    <a:noFill/>
                    <a:ln>
                      <a:noFill/>
                    </a:ln>
                  </pic:spPr>
                </pic:pic>
              </a:graphicData>
            </a:graphic>
          </wp:inline>
        </w:drawing>
      </w:r>
      <w:r w:rsidR="00FE4EEC" w:rsidRPr="002E6ECA">
        <w:rPr>
          <w:noProof/>
          <w:lang w:val="uk-UA" w:eastAsia="uk-UA"/>
        </w:rPr>
        <mc:AlternateContent>
          <mc:Choice Requires="wps">
            <w:drawing>
              <wp:anchor distT="0" distB="0" distL="114300" distR="114300" simplePos="0" relativeHeight="251713024" behindDoc="0" locked="0" layoutInCell="1" allowOverlap="1" wp14:anchorId="4B919113" wp14:editId="2A77759F">
                <wp:simplePos x="0" y="0"/>
                <wp:positionH relativeFrom="column">
                  <wp:posOffset>1572895</wp:posOffset>
                </wp:positionH>
                <wp:positionV relativeFrom="paragraph">
                  <wp:posOffset>3638550</wp:posOffset>
                </wp:positionV>
                <wp:extent cx="9005570" cy="344805"/>
                <wp:effectExtent l="1905" t="4445" r="0" b="635"/>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rot="-5400000">
                          <a:off x="0" y="0"/>
                          <a:ext cx="9005570" cy="34480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A04FD" w:rsidRPr="00460721" w:rsidRDefault="009A04FD" w:rsidP="00FE4EEC">
                            <w:r w:rsidRPr="00460721">
                              <w:t>Алгоритм формування профілактичної програми щодо попередження неінфекційних захворювань серед школярів</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id="Поле 5" o:spid="_x0000_s1027" type="#_x0000_t202" style="position:absolute;margin-left:123.85pt;margin-top:286.5pt;width:709.1pt;height:27.15pt;rotation:-90;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" stroked="f" strokeweight=".5pt">
                <v:path arrowok="t"/>
                <v:textbox style="layout-flow:vertical;mso-layout-flow-alt:bottom-to-top">
                  <w:txbxContent>
                    <w:p w:rsidR="009A04FD" w:rsidRPr="00460721" w:rsidRDefault="009A04FD" w:rsidP="00FE4EEC">
                      <w:r w:rsidRPr="00460721">
                        <w:t>Алгоритм формування профілактичної програми щодо попередження неінфекційних захворювань серед школярів</w:t>
                      </w:r>
                    </w:p>
                  </w:txbxContent>
                </v:textbox>
              </v:shape>
            </w:pict>
          </mc:Fallback>
        </mc:AlternateContent>
      </w:r>
      <w:r w:rsidR="0084636B" w:rsidRPr="002E6ECA">
        <w:rPr>
          <w:sz w:val="28"/>
          <w:szCs w:val="28"/>
          <w:lang w:val="uk-UA"/>
        </w:rPr>
        <w:br w:type="page"/>
      </w:r>
      <w:bookmarkStart w:id="19" w:name="_GoBack"/>
      <w:bookmarkEnd w:id="19"/>
      <w:r w:rsidR="00023668" w:rsidRPr="002E6ECA">
        <w:rPr>
          <w:b/>
          <w:bCs/>
          <w:sz w:val="28"/>
          <w:szCs w:val="28"/>
          <w:lang w:val="uk-UA"/>
        </w:rPr>
        <w:lastRenderedPageBreak/>
        <w:t>Додаток Д 1</w:t>
      </w:r>
    </w:p>
    <w:p w:rsidR="0084636B" w:rsidRPr="002E6ECA" w:rsidRDefault="0084636B" w:rsidP="00214078">
      <w:pPr>
        <w:ind w:firstLine="709"/>
        <w:jc w:val="center"/>
        <w:rPr>
          <w:rStyle w:val="shorttext"/>
          <w:sz w:val="28"/>
          <w:szCs w:val="28"/>
          <w:lang w:val="uk-UA"/>
        </w:rPr>
      </w:pPr>
      <w:r w:rsidRPr="002E6ECA">
        <w:rPr>
          <w:rStyle w:val="shorttext"/>
          <w:sz w:val="28"/>
          <w:szCs w:val="28"/>
          <w:lang w:val="uk-UA"/>
        </w:rPr>
        <w:t>БЛАНКИ</w:t>
      </w:r>
      <w:r w:rsidR="00D46B1B" w:rsidRPr="002E6ECA">
        <w:rPr>
          <w:rStyle w:val="shorttext"/>
          <w:sz w:val="28"/>
          <w:szCs w:val="28"/>
          <w:lang w:val="uk-UA"/>
        </w:rPr>
        <w:t xml:space="preserve"> </w:t>
      </w:r>
      <w:r w:rsidRPr="002E6ECA">
        <w:rPr>
          <w:rStyle w:val="shorttext"/>
          <w:sz w:val="28"/>
          <w:szCs w:val="28"/>
          <w:lang w:val="uk-UA"/>
        </w:rPr>
        <w:t>МЕТОДИКИ</w:t>
      </w:r>
      <w:r w:rsidR="00D46B1B" w:rsidRPr="002E6ECA">
        <w:rPr>
          <w:rStyle w:val="shorttext"/>
          <w:sz w:val="28"/>
          <w:szCs w:val="28"/>
          <w:lang w:val="uk-UA"/>
        </w:rPr>
        <w:t xml:space="preserve"> </w:t>
      </w:r>
      <w:r w:rsidRPr="002E6ECA">
        <w:rPr>
          <w:rStyle w:val="shorttext"/>
          <w:sz w:val="28"/>
          <w:szCs w:val="28"/>
          <w:lang w:val="uk-UA"/>
        </w:rPr>
        <w:t>«ПЕРЕЛІК</w:t>
      </w:r>
      <w:r w:rsidR="00D46B1B" w:rsidRPr="002E6ECA">
        <w:rPr>
          <w:rStyle w:val="shorttext"/>
          <w:sz w:val="28"/>
          <w:szCs w:val="28"/>
          <w:lang w:val="uk-UA"/>
        </w:rPr>
        <w:t xml:space="preserve"> </w:t>
      </w:r>
      <w:r w:rsidRPr="002E6ECA">
        <w:rPr>
          <w:rStyle w:val="shorttext"/>
          <w:sz w:val="28"/>
          <w:szCs w:val="28"/>
          <w:lang w:val="uk-UA"/>
        </w:rPr>
        <w:t>ДИТЯЧИХ</w:t>
      </w:r>
      <w:r w:rsidR="00D46B1B" w:rsidRPr="002E6ECA">
        <w:rPr>
          <w:rStyle w:val="shorttext"/>
          <w:sz w:val="28"/>
          <w:szCs w:val="28"/>
          <w:lang w:val="uk-UA"/>
        </w:rPr>
        <w:t xml:space="preserve"> </w:t>
      </w:r>
      <w:r w:rsidRPr="002E6ECA">
        <w:rPr>
          <w:rStyle w:val="shorttext"/>
          <w:sz w:val="28"/>
          <w:szCs w:val="28"/>
          <w:lang w:val="uk-UA"/>
        </w:rPr>
        <w:t>СИМПТОМІВ»(PSC-Ukr</w:t>
      </w:r>
      <w:r w:rsidR="00D46B1B" w:rsidRPr="002E6ECA">
        <w:rPr>
          <w:rStyle w:val="shorttext"/>
          <w:sz w:val="28"/>
          <w:szCs w:val="28"/>
          <w:lang w:val="uk-UA"/>
        </w:rPr>
        <w:t xml:space="preserve"> </w:t>
      </w:r>
      <w:r w:rsidRPr="002E6ECA">
        <w:rPr>
          <w:rStyle w:val="shorttext"/>
          <w:sz w:val="28"/>
          <w:szCs w:val="28"/>
          <w:lang w:val="uk-UA"/>
        </w:rPr>
        <w:t>та</w:t>
      </w:r>
      <w:r w:rsidR="00D46B1B" w:rsidRPr="002E6ECA">
        <w:rPr>
          <w:rStyle w:val="shorttext"/>
          <w:sz w:val="28"/>
          <w:szCs w:val="28"/>
          <w:lang w:val="uk-UA"/>
        </w:rPr>
        <w:t xml:space="preserve"> </w:t>
      </w:r>
      <w:r w:rsidRPr="002E6ECA">
        <w:rPr>
          <w:rStyle w:val="shorttext"/>
          <w:sz w:val="28"/>
          <w:szCs w:val="28"/>
          <w:lang w:val="uk-UA"/>
        </w:rPr>
        <w:t>Y-PSC-Ukr)</w:t>
      </w:r>
    </w:p>
    <w:p w:rsidR="0084636B" w:rsidRPr="002E6ECA" w:rsidRDefault="0084636B" w:rsidP="00214078">
      <w:pPr>
        <w:ind w:firstLine="709"/>
        <w:jc w:val="center"/>
        <w:rPr>
          <w:rStyle w:val="shorttext"/>
          <w:sz w:val="28"/>
          <w:szCs w:val="28"/>
          <w:lang w:val="uk-UA"/>
        </w:rPr>
      </w:pPr>
      <w:r w:rsidRPr="002E6ECA">
        <w:rPr>
          <w:rStyle w:val="shorttext"/>
          <w:sz w:val="28"/>
          <w:szCs w:val="28"/>
          <w:lang w:val="uk-UA"/>
        </w:rPr>
        <w:t>(Адаптація</w:t>
      </w:r>
      <w:r w:rsidR="00D46B1B" w:rsidRPr="002E6ECA">
        <w:rPr>
          <w:rStyle w:val="shorttext"/>
          <w:sz w:val="28"/>
          <w:szCs w:val="28"/>
          <w:lang w:val="uk-UA"/>
        </w:rPr>
        <w:t xml:space="preserve"> </w:t>
      </w:r>
      <w:r w:rsidRPr="002E6ECA">
        <w:rPr>
          <w:rStyle w:val="shorttext"/>
          <w:sz w:val="28"/>
          <w:szCs w:val="28"/>
          <w:lang w:val="uk-UA"/>
        </w:rPr>
        <w:t>О.</w:t>
      </w:r>
      <w:r w:rsidR="00D46B1B" w:rsidRPr="002E6ECA">
        <w:rPr>
          <w:rStyle w:val="shorttext"/>
          <w:sz w:val="28"/>
          <w:szCs w:val="28"/>
          <w:lang w:val="uk-UA"/>
        </w:rPr>
        <w:t xml:space="preserve"> </w:t>
      </w:r>
      <w:r w:rsidRPr="002E6ECA">
        <w:rPr>
          <w:rStyle w:val="shorttext"/>
          <w:sz w:val="28"/>
          <w:szCs w:val="28"/>
          <w:lang w:val="uk-UA"/>
        </w:rPr>
        <w:t>Л.</w:t>
      </w:r>
      <w:r w:rsidR="00D46B1B" w:rsidRPr="002E6ECA">
        <w:rPr>
          <w:rStyle w:val="shorttext"/>
          <w:sz w:val="28"/>
          <w:szCs w:val="28"/>
          <w:lang w:val="uk-UA"/>
        </w:rPr>
        <w:t xml:space="preserve"> </w:t>
      </w:r>
      <w:r w:rsidRPr="002E6ECA">
        <w:rPr>
          <w:rStyle w:val="shorttext"/>
          <w:sz w:val="28"/>
          <w:szCs w:val="28"/>
          <w:lang w:val="uk-UA"/>
        </w:rPr>
        <w:t>Луценко,</w:t>
      </w:r>
      <w:r w:rsidR="00D46B1B" w:rsidRPr="002E6ECA">
        <w:rPr>
          <w:rStyle w:val="shorttext"/>
          <w:sz w:val="28"/>
          <w:szCs w:val="28"/>
          <w:lang w:val="uk-UA"/>
        </w:rPr>
        <w:t xml:space="preserve"> </w:t>
      </w:r>
      <w:r w:rsidRPr="002E6ECA">
        <w:rPr>
          <w:rStyle w:val="shorttext"/>
          <w:sz w:val="28"/>
          <w:szCs w:val="28"/>
          <w:lang w:val="uk-UA"/>
        </w:rPr>
        <w:t>Д.</w:t>
      </w:r>
      <w:r w:rsidR="00D46B1B" w:rsidRPr="002E6ECA">
        <w:rPr>
          <w:rStyle w:val="shorttext"/>
          <w:sz w:val="28"/>
          <w:szCs w:val="28"/>
          <w:lang w:val="uk-UA"/>
        </w:rPr>
        <w:t xml:space="preserve"> </w:t>
      </w:r>
      <w:r w:rsidRPr="002E6ECA">
        <w:rPr>
          <w:rStyle w:val="shorttext"/>
          <w:sz w:val="28"/>
          <w:szCs w:val="28"/>
          <w:lang w:val="uk-UA"/>
        </w:rPr>
        <w:t>В.</w:t>
      </w:r>
      <w:r w:rsidR="00D46B1B" w:rsidRPr="002E6ECA">
        <w:rPr>
          <w:rStyle w:val="shorttext"/>
          <w:sz w:val="28"/>
          <w:szCs w:val="28"/>
          <w:lang w:val="uk-UA"/>
        </w:rPr>
        <w:t xml:space="preserve"> </w:t>
      </w:r>
      <w:r w:rsidRPr="002E6ECA">
        <w:rPr>
          <w:rStyle w:val="shorttext"/>
          <w:sz w:val="28"/>
          <w:szCs w:val="28"/>
          <w:lang w:val="uk-UA"/>
        </w:rPr>
        <w:t>Штриголь,</w:t>
      </w:r>
      <w:r w:rsidR="00D46B1B" w:rsidRPr="002E6ECA">
        <w:rPr>
          <w:rStyle w:val="shorttext"/>
          <w:sz w:val="28"/>
          <w:szCs w:val="28"/>
          <w:lang w:val="uk-UA"/>
        </w:rPr>
        <w:t xml:space="preserve"> </w:t>
      </w:r>
      <w:r w:rsidRPr="002E6ECA">
        <w:rPr>
          <w:rStyle w:val="shorttext"/>
          <w:sz w:val="28"/>
          <w:szCs w:val="28"/>
          <w:lang w:val="uk-UA"/>
        </w:rPr>
        <w:t>Н.</w:t>
      </w:r>
      <w:r w:rsidR="00D46B1B" w:rsidRPr="002E6ECA">
        <w:rPr>
          <w:rStyle w:val="shorttext"/>
          <w:sz w:val="28"/>
          <w:szCs w:val="28"/>
          <w:lang w:val="uk-UA"/>
        </w:rPr>
        <w:t xml:space="preserve"> </w:t>
      </w:r>
      <w:r w:rsidRPr="002E6ECA">
        <w:rPr>
          <w:rStyle w:val="shorttext"/>
          <w:sz w:val="28"/>
          <w:szCs w:val="28"/>
          <w:lang w:val="uk-UA"/>
        </w:rPr>
        <w:t>Г.</w:t>
      </w:r>
      <w:r w:rsidR="00D46B1B" w:rsidRPr="002E6ECA">
        <w:rPr>
          <w:rStyle w:val="shorttext"/>
          <w:sz w:val="28"/>
          <w:szCs w:val="28"/>
          <w:lang w:val="uk-UA"/>
        </w:rPr>
        <w:t xml:space="preserve"> </w:t>
      </w:r>
      <w:r w:rsidRPr="002E6ECA">
        <w:rPr>
          <w:rStyle w:val="shorttext"/>
          <w:sz w:val="28"/>
          <w:szCs w:val="28"/>
          <w:lang w:val="uk-UA"/>
        </w:rPr>
        <w:t>Міхановської)</w:t>
      </w:r>
    </w:p>
    <w:p w:rsidR="0084636B" w:rsidRPr="002E6ECA" w:rsidRDefault="0084636B" w:rsidP="00214078">
      <w:pPr>
        <w:autoSpaceDE w:val="0"/>
        <w:autoSpaceDN w:val="0"/>
        <w:adjustRightInd w:val="0"/>
        <w:ind w:firstLine="709"/>
        <w:jc w:val="center"/>
        <w:rPr>
          <w:b/>
          <w:bCs/>
          <w:sz w:val="28"/>
          <w:szCs w:val="28"/>
          <w:lang w:val="uk-UA"/>
        </w:rPr>
      </w:pPr>
      <w:bookmarkStart w:id="20" w:name="_Hlk535047568"/>
      <w:bookmarkStart w:id="21" w:name="_Hlk535047929"/>
      <w:r w:rsidRPr="002E6ECA">
        <w:rPr>
          <w:b/>
          <w:bCs/>
          <w:sz w:val="28"/>
          <w:szCs w:val="28"/>
          <w:lang w:val="uk-UA"/>
        </w:rPr>
        <w:t>Перелік</w:t>
      </w:r>
      <w:r w:rsidR="00D46B1B" w:rsidRPr="002E6ECA">
        <w:rPr>
          <w:b/>
          <w:bCs/>
          <w:sz w:val="28"/>
          <w:szCs w:val="28"/>
          <w:lang w:val="uk-UA"/>
        </w:rPr>
        <w:t xml:space="preserve"> </w:t>
      </w:r>
      <w:r w:rsidRPr="002E6ECA">
        <w:rPr>
          <w:b/>
          <w:bCs/>
          <w:sz w:val="28"/>
          <w:szCs w:val="28"/>
          <w:lang w:val="uk-UA"/>
        </w:rPr>
        <w:t>дитячих</w:t>
      </w:r>
      <w:r w:rsidR="00D46B1B" w:rsidRPr="002E6ECA">
        <w:rPr>
          <w:b/>
          <w:bCs/>
          <w:sz w:val="28"/>
          <w:szCs w:val="28"/>
          <w:lang w:val="uk-UA"/>
        </w:rPr>
        <w:t xml:space="preserve"> </w:t>
      </w:r>
      <w:r w:rsidRPr="002E6ECA">
        <w:rPr>
          <w:b/>
          <w:bCs/>
          <w:sz w:val="28"/>
          <w:szCs w:val="28"/>
          <w:lang w:val="uk-UA"/>
        </w:rPr>
        <w:t>симптомів</w:t>
      </w:r>
      <w:r w:rsidR="00D46B1B" w:rsidRPr="002E6ECA">
        <w:rPr>
          <w:b/>
          <w:bCs/>
          <w:sz w:val="28"/>
          <w:szCs w:val="28"/>
          <w:lang w:val="uk-UA"/>
        </w:rPr>
        <w:t xml:space="preserve"> </w:t>
      </w:r>
      <w:r w:rsidR="00E26678" w:rsidRPr="002E6ECA">
        <w:rPr>
          <w:b/>
          <w:bCs/>
          <w:sz w:val="28"/>
          <w:szCs w:val="28"/>
          <w:lang w:val="uk-UA"/>
        </w:rPr>
        <w:t>-</w:t>
      </w:r>
      <w:r w:rsidRPr="002E6ECA">
        <w:rPr>
          <w:b/>
          <w:bCs/>
          <w:sz w:val="28"/>
          <w:szCs w:val="28"/>
          <w:lang w:val="uk-UA"/>
        </w:rPr>
        <w:t>дитяче-підліткова</w:t>
      </w:r>
      <w:r w:rsidR="00D46B1B" w:rsidRPr="002E6ECA">
        <w:rPr>
          <w:b/>
          <w:bCs/>
          <w:sz w:val="28"/>
          <w:szCs w:val="28"/>
          <w:lang w:val="uk-UA"/>
        </w:rPr>
        <w:t xml:space="preserve"> </w:t>
      </w:r>
      <w:r w:rsidRPr="002E6ECA">
        <w:rPr>
          <w:b/>
          <w:bCs/>
          <w:sz w:val="28"/>
          <w:szCs w:val="28"/>
          <w:lang w:val="uk-UA"/>
        </w:rPr>
        <w:t>версія</w:t>
      </w:r>
      <w:r w:rsidR="00D46B1B" w:rsidRPr="002E6ECA">
        <w:rPr>
          <w:b/>
          <w:bCs/>
          <w:sz w:val="28"/>
          <w:szCs w:val="28"/>
          <w:lang w:val="uk-UA"/>
        </w:rPr>
        <w:t xml:space="preserve"> </w:t>
      </w:r>
      <w:r w:rsidRPr="002E6ECA">
        <w:rPr>
          <w:b/>
          <w:bCs/>
          <w:sz w:val="28"/>
          <w:szCs w:val="28"/>
          <w:lang w:val="uk-UA"/>
        </w:rPr>
        <w:t>(Y-PSC)</w:t>
      </w:r>
      <w:bookmarkEnd w:id="20"/>
    </w:p>
    <w:bookmarkEnd w:id="21"/>
    <w:p w:rsidR="0084636B" w:rsidRPr="002E6ECA" w:rsidRDefault="0084636B" w:rsidP="00214078">
      <w:pPr>
        <w:autoSpaceDE w:val="0"/>
        <w:autoSpaceDN w:val="0"/>
        <w:adjustRightInd w:val="0"/>
        <w:ind w:firstLine="709"/>
        <w:rPr>
          <w:b/>
          <w:bCs/>
          <w:sz w:val="28"/>
          <w:szCs w:val="28"/>
          <w:lang w:val="uk-UA"/>
        </w:rPr>
      </w:pPr>
      <w:r w:rsidRPr="002E6ECA">
        <w:rPr>
          <w:b/>
          <w:bCs/>
          <w:sz w:val="28"/>
          <w:szCs w:val="28"/>
          <w:lang w:val="uk-UA"/>
        </w:rPr>
        <w:t>BRIGURES</w:t>
      </w:r>
      <w:r w:rsidR="00D46B1B" w:rsidRPr="002E6ECA">
        <w:rPr>
          <w:b/>
          <w:bCs/>
          <w:sz w:val="28"/>
          <w:szCs w:val="28"/>
          <w:lang w:val="uk-UA"/>
        </w:rPr>
        <w:t xml:space="preserve"> </w:t>
      </w:r>
      <w:r w:rsidRPr="002E6ECA">
        <w:rPr>
          <w:b/>
          <w:bCs/>
          <w:sz w:val="28"/>
          <w:szCs w:val="28"/>
          <w:lang w:val="uk-UA"/>
        </w:rPr>
        <w:t>TOOL</w:t>
      </w:r>
      <w:r w:rsidR="00D46B1B" w:rsidRPr="002E6ECA">
        <w:rPr>
          <w:b/>
          <w:bCs/>
          <w:sz w:val="28"/>
          <w:szCs w:val="28"/>
          <w:lang w:val="uk-UA"/>
        </w:rPr>
        <w:t xml:space="preserve"> </w:t>
      </w:r>
      <w:r w:rsidRPr="002E6ECA">
        <w:rPr>
          <w:b/>
          <w:bCs/>
          <w:sz w:val="28"/>
          <w:szCs w:val="28"/>
          <w:lang w:val="uk-UA"/>
        </w:rPr>
        <w:t>FOR</w:t>
      </w:r>
      <w:r w:rsidR="00D46B1B" w:rsidRPr="002E6ECA">
        <w:rPr>
          <w:b/>
          <w:bCs/>
          <w:sz w:val="28"/>
          <w:szCs w:val="28"/>
          <w:lang w:val="uk-UA"/>
        </w:rPr>
        <w:t xml:space="preserve"> </w:t>
      </w:r>
      <w:r w:rsidRPr="002E6ECA">
        <w:rPr>
          <w:b/>
          <w:bCs/>
          <w:sz w:val="28"/>
          <w:szCs w:val="28"/>
          <w:lang w:val="uk-UA"/>
        </w:rPr>
        <w:t>PROSSIONALS</w:t>
      </w:r>
    </w:p>
    <w:p w:rsidR="0084636B" w:rsidRPr="002E6ECA" w:rsidRDefault="0084636B" w:rsidP="003071D5">
      <w:pPr>
        <w:ind w:firstLine="709"/>
        <w:jc w:val="both"/>
        <w:rPr>
          <w:b/>
          <w:bCs/>
          <w:lang w:val="uk-UA"/>
        </w:rPr>
      </w:pPr>
      <w:r w:rsidRPr="002E6ECA">
        <w:rPr>
          <w:sz w:val="28"/>
          <w:szCs w:val="28"/>
          <w:lang w:val="uk-UA"/>
        </w:rPr>
        <w:t>Ці</w:t>
      </w:r>
      <w:r w:rsidR="00D46B1B" w:rsidRPr="002E6ECA">
        <w:rPr>
          <w:sz w:val="28"/>
          <w:szCs w:val="28"/>
          <w:lang w:val="uk-UA"/>
        </w:rPr>
        <w:t xml:space="preserve"> </w:t>
      </w:r>
      <w:r w:rsidRPr="002E6ECA">
        <w:rPr>
          <w:sz w:val="28"/>
          <w:szCs w:val="28"/>
          <w:lang w:val="uk-UA"/>
        </w:rPr>
        <w:t>речення</w:t>
      </w:r>
      <w:r w:rsidR="00D46B1B" w:rsidRPr="002E6ECA">
        <w:rPr>
          <w:sz w:val="28"/>
          <w:szCs w:val="28"/>
          <w:lang w:val="uk-UA"/>
        </w:rPr>
        <w:t xml:space="preserve"> </w:t>
      </w:r>
      <w:r w:rsidRPr="002E6ECA">
        <w:rPr>
          <w:sz w:val="28"/>
          <w:szCs w:val="28"/>
          <w:lang w:val="uk-UA"/>
        </w:rPr>
        <w:t>описують</w:t>
      </w:r>
      <w:r w:rsidR="00D46B1B" w:rsidRPr="002E6ECA">
        <w:rPr>
          <w:sz w:val="28"/>
          <w:szCs w:val="28"/>
          <w:lang w:val="uk-UA"/>
        </w:rPr>
        <w:t xml:space="preserve"> </w:t>
      </w:r>
      <w:r w:rsidRPr="002E6ECA">
        <w:rPr>
          <w:sz w:val="28"/>
          <w:szCs w:val="28"/>
          <w:lang w:val="uk-UA"/>
        </w:rPr>
        <w:t>самопочуття</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поведінку</w:t>
      </w:r>
      <w:r w:rsidR="00D46B1B" w:rsidRPr="002E6ECA">
        <w:rPr>
          <w:sz w:val="28"/>
          <w:szCs w:val="28"/>
          <w:lang w:val="uk-UA"/>
        </w:rPr>
        <w:t xml:space="preserve"> </w:t>
      </w:r>
      <w:r w:rsidRPr="002E6ECA">
        <w:rPr>
          <w:sz w:val="28"/>
          <w:szCs w:val="28"/>
          <w:lang w:val="uk-UA"/>
        </w:rPr>
        <w:t>дитини.</w:t>
      </w:r>
      <w:r w:rsidR="00D46B1B" w:rsidRPr="002E6ECA">
        <w:rPr>
          <w:sz w:val="28"/>
          <w:szCs w:val="28"/>
          <w:lang w:val="uk-UA"/>
        </w:rPr>
        <w:t xml:space="preserve"> </w:t>
      </w:r>
      <w:r w:rsidRPr="002E6ECA">
        <w:rPr>
          <w:sz w:val="28"/>
          <w:szCs w:val="28"/>
          <w:lang w:val="uk-UA"/>
        </w:rPr>
        <w:t>Будь</w:t>
      </w:r>
      <w:r w:rsidR="00D46B1B" w:rsidRPr="002E6ECA">
        <w:rPr>
          <w:sz w:val="28"/>
          <w:szCs w:val="28"/>
          <w:lang w:val="uk-UA"/>
        </w:rPr>
        <w:t xml:space="preserve"> </w:t>
      </w:r>
      <w:r w:rsidRPr="002E6ECA">
        <w:rPr>
          <w:sz w:val="28"/>
          <w:szCs w:val="28"/>
          <w:lang w:val="uk-UA"/>
        </w:rPr>
        <w:t>ласка,</w:t>
      </w:r>
      <w:r w:rsidR="00D46B1B" w:rsidRPr="002E6ECA">
        <w:rPr>
          <w:sz w:val="28"/>
          <w:szCs w:val="28"/>
          <w:lang w:val="uk-UA"/>
        </w:rPr>
        <w:t xml:space="preserve"> </w:t>
      </w:r>
      <w:r w:rsidRPr="002E6ECA">
        <w:rPr>
          <w:sz w:val="28"/>
          <w:szCs w:val="28"/>
          <w:lang w:val="uk-UA"/>
        </w:rPr>
        <w:t>прочитай</w:t>
      </w:r>
      <w:r w:rsidR="00D46B1B" w:rsidRPr="002E6ECA">
        <w:rPr>
          <w:sz w:val="28"/>
          <w:szCs w:val="28"/>
          <w:lang w:val="uk-UA"/>
        </w:rPr>
        <w:t xml:space="preserve"> </w:t>
      </w:r>
      <w:r w:rsidRPr="002E6ECA">
        <w:rPr>
          <w:sz w:val="28"/>
          <w:szCs w:val="28"/>
          <w:lang w:val="uk-UA"/>
        </w:rPr>
        <w:t>кожне</w:t>
      </w:r>
      <w:r w:rsidR="00D46B1B" w:rsidRPr="002E6ECA">
        <w:rPr>
          <w:sz w:val="28"/>
          <w:szCs w:val="28"/>
          <w:lang w:val="uk-UA"/>
        </w:rPr>
        <w:t xml:space="preserve"> </w:t>
      </w:r>
      <w:r w:rsidRPr="002E6ECA">
        <w:rPr>
          <w:sz w:val="28"/>
          <w:szCs w:val="28"/>
          <w:lang w:val="uk-UA"/>
        </w:rPr>
        <w:t>речення</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познач</w:t>
      </w:r>
      <w:r w:rsidR="00D46B1B" w:rsidRPr="002E6ECA">
        <w:rPr>
          <w:sz w:val="28"/>
          <w:szCs w:val="28"/>
          <w:lang w:val="uk-UA"/>
        </w:rPr>
        <w:t xml:space="preserve"> </w:t>
      </w:r>
      <w:r w:rsidRPr="002E6ECA">
        <w:rPr>
          <w:sz w:val="28"/>
          <w:szCs w:val="28"/>
          <w:lang w:val="uk-UA"/>
        </w:rPr>
        <w:t>галочкою</w:t>
      </w:r>
      <w:r w:rsidR="00D46B1B" w:rsidRPr="002E6ECA">
        <w:rPr>
          <w:sz w:val="28"/>
          <w:szCs w:val="28"/>
          <w:lang w:val="uk-UA"/>
        </w:rPr>
        <w:t xml:space="preserve"> </w:t>
      </w:r>
      <w:r w:rsidRPr="002E6ECA">
        <w:rPr>
          <w:sz w:val="28"/>
          <w:szCs w:val="28"/>
          <w:lang w:val="uk-UA"/>
        </w:rPr>
        <w:t>(</w:t>
      </w:r>
      <w:r w:rsidRPr="002E6ECA">
        <w:rPr>
          <w:sz w:val="28"/>
          <w:szCs w:val="28"/>
          <w:lang w:val="uk-UA"/>
        </w:rPr>
        <w:sym w:font="Wingdings" w:char="F0FC"/>
      </w:r>
      <w:r w:rsidRPr="002E6ECA">
        <w:rPr>
          <w:sz w:val="28"/>
          <w:szCs w:val="28"/>
          <w:lang w:val="uk-UA"/>
        </w:rPr>
        <w:t>)</w:t>
      </w:r>
      <w:r w:rsidR="00D46B1B" w:rsidRPr="002E6ECA">
        <w:rPr>
          <w:sz w:val="28"/>
          <w:szCs w:val="28"/>
          <w:lang w:val="uk-UA"/>
        </w:rPr>
        <w:t xml:space="preserve"> </w:t>
      </w:r>
      <w:r w:rsidRPr="002E6ECA">
        <w:rPr>
          <w:sz w:val="28"/>
          <w:szCs w:val="28"/>
          <w:lang w:val="uk-UA"/>
        </w:rPr>
        <w:t>під</w:t>
      </w:r>
      <w:r w:rsidR="00D46B1B" w:rsidRPr="002E6ECA">
        <w:rPr>
          <w:sz w:val="28"/>
          <w:szCs w:val="28"/>
          <w:lang w:val="uk-UA"/>
        </w:rPr>
        <w:t xml:space="preserve"> </w:t>
      </w:r>
      <w:r w:rsidRPr="002E6ECA">
        <w:rPr>
          <w:sz w:val="28"/>
          <w:szCs w:val="28"/>
          <w:lang w:val="uk-UA"/>
        </w:rPr>
        <w:t>відповідями</w:t>
      </w:r>
      <w:r w:rsidR="00D46B1B" w:rsidRPr="002E6ECA">
        <w:rPr>
          <w:sz w:val="28"/>
          <w:szCs w:val="28"/>
          <w:lang w:val="uk-UA"/>
        </w:rPr>
        <w:t xml:space="preserve"> </w:t>
      </w:r>
      <w:r w:rsidRPr="002E6ECA">
        <w:rPr>
          <w:sz w:val="28"/>
          <w:szCs w:val="28"/>
          <w:lang w:val="uk-UA"/>
        </w:rPr>
        <w:t>«Ніколи»,</w:t>
      </w:r>
      <w:r w:rsidR="00D46B1B" w:rsidRPr="002E6ECA">
        <w:rPr>
          <w:sz w:val="28"/>
          <w:szCs w:val="28"/>
          <w:lang w:val="uk-UA"/>
        </w:rPr>
        <w:t xml:space="preserve"> </w:t>
      </w:r>
      <w:r w:rsidRPr="002E6ECA">
        <w:rPr>
          <w:sz w:val="28"/>
          <w:szCs w:val="28"/>
          <w:lang w:val="uk-UA"/>
        </w:rPr>
        <w:t>«Іноді»</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«Часто»,</w:t>
      </w:r>
      <w:r w:rsidR="00D46B1B" w:rsidRPr="002E6ECA">
        <w:rPr>
          <w:sz w:val="28"/>
          <w:szCs w:val="28"/>
          <w:lang w:val="uk-UA"/>
        </w:rPr>
        <w:t xml:space="preserve"> </w:t>
      </w:r>
      <w:r w:rsidRPr="002E6ECA">
        <w:rPr>
          <w:sz w:val="28"/>
          <w:szCs w:val="28"/>
          <w:lang w:val="uk-UA"/>
        </w:rPr>
        <w:t>наскільки</w:t>
      </w:r>
      <w:r w:rsidR="00D46B1B" w:rsidRPr="002E6ECA">
        <w:rPr>
          <w:sz w:val="28"/>
          <w:szCs w:val="28"/>
          <w:lang w:val="uk-UA"/>
        </w:rPr>
        <w:t xml:space="preserve"> </w:t>
      </w:r>
      <w:r w:rsidRPr="002E6ECA">
        <w:rPr>
          <w:sz w:val="28"/>
          <w:szCs w:val="28"/>
          <w:lang w:val="uk-UA"/>
        </w:rPr>
        <w:t>часто</w:t>
      </w:r>
      <w:r w:rsidR="00D46B1B" w:rsidRPr="002E6ECA">
        <w:rPr>
          <w:sz w:val="28"/>
          <w:szCs w:val="28"/>
          <w:lang w:val="uk-UA"/>
        </w:rPr>
        <w:t xml:space="preserve"> </w:t>
      </w:r>
      <w:r w:rsidRPr="002E6ECA">
        <w:rPr>
          <w:sz w:val="28"/>
          <w:szCs w:val="28"/>
          <w:lang w:val="uk-UA"/>
        </w:rPr>
        <w:t>такі</w:t>
      </w:r>
      <w:r w:rsidR="00D46B1B" w:rsidRPr="002E6ECA">
        <w:rPr>
          <w:sz w:val="28"/>
          <w:szCs w:val="28"/>
          <w:lang w:val="uk-UA"/>
        </w:rPr>
        <w:t xml:space="preserve"> </w:t>
      </w:r>
      <w:r w:rsidRPr="002E6ECA">
        <w:rPr>
          <w:sz w:val="28"/>
          <w:szCs w:val="28"/>
          <w:lang w:val="uk-UA"/>
        </w:rPr>
        <w:t>самопочуття</w:t>
      </w:r>
      <w:r w:rsidR="00D46B1B" w:rsidRPr="002E6ECA">
        <w:rPr>
          <w:sz w:val="28"/>
          <w:szCs w:val="28"/>
          <w:lang w:val="uk-UA"/>
        </w:rPr>
        <w:t xml:space="preserve"> </w:t>
      </w:r>
      <w:r w:rsidRPr="002E6ECA">
        <w:rPr>
          <w:sz w:val="28"/>
          <w:szCs w:val="28"/>
          <w:lang w:val="uk-UA"/>
        </w:rPr>
        <w:t>та</w:t>
      </w:r>
      <w:r w:rsidR="00D46B1B" w:rsidRPr="002E6ECA">
        <w:rPr>
          <w:sz w:val="28"/>
          <w:szCs w:val="28"/>
          <w:lang w:val="uk-UA"/>
        </w:rPr>
        <w:t xml:space="preserve"> </w:t>
      </w:r>
      <w:r w:rsidRPr="002E6ECA">
        <w:rPr>
          <w:sz w:val="28"/>
          <w:szCs w:val="28"/>
          <w:lang w:val="uk-UA"/>
        </w:rPr>
        <w:t>поведінка</w:t>
      </w:r>
      <w:r w:rsidR="00D46B1B" w:rsidRPr="002E6ECA">
        <w:rPr>
          <w:sz w:val="28"/>
          <w:szCs w:val="28"/>
          <w:lang w:val="uk-UA"/>
        </w:rPr>
        <w:t xml:space="preserve"> </w:t>
      </w:r>
      <w:r w:rsidRPr="002E6ECA">
        <w:rPr>
          <w:sz w:val="28"/>
          <w:szCs w:val="28"/>
          <w:lang w:val="uk-UA"/>
        </w:rPr>
        <w:t>виникають</w:t>
      </w:r>
      <w:r w:rsidR="00D46B1B" w:rsidRPr="002E6ECA">
        <w:rPr>
          <w:sz w:val="28"/>
          <w:szCs w:val="28"/>
          <w:lang w:val="uk-UA"/>
        </w:rPr>
        <w:t xml:space="preserve"> </w:t>
      </w:r>
      <w:r w:rsidRPr="002E6ECA">
        <w:rPr>
          <w:sz w:val="28"/>
          <w:szCs w:val="28"/>
          <w:lang w:val="uk-UA"/>
        </w:rPr>
        <w:t>у</w:t>
      </w:r>
      <w:r w:rsidR="00D46B1B" w:rsidRPr="002E6ECA">
        <w:rPr>
          <w:sz w:val="28"/>
          <w:szCs w:val="28"/>
          <w:lang w:val="uk-UA"/>
        </w:rPr>
        <w:t xml:space="preserve"> </w:t>
      </w:r>
      <w:r w:rsidRPr="002E6ECA">
        <w:rPr>
          <w:sz w:val="28"/>
          <w:szCs w:val="28"/>
          <w:lang w:val="uk-UA"/>
        </w:rPr>
        <w:t>тебе.</w:t>
      </w:r>
      <w:r w:rsidR="00D46B1B" w:rsidRPr="002E6ECA">
        <w:rPr>
          <w:sz w:val="28"/>
          <w:szCs w:val="28"/>
          <w:lang w:val="uk-UA"/>
        </w:rPr>
        <w:t xml:space="preserve"> </w:t>
      </w:r>
      <w:r w:rsidRPr="002E6ECA">
        <w:rPr>
          <w:sz w:val="28"/>
          <w:szCs w:val="28"/>
          <w:lang w:val="uk-UA"/>
        </w:rPr>
        <w:t>Для</w:t>
      </w:r>
      <w:r w:rsidR="00D46B1B" w:rsidRPr="002E6ECA">
        <w:rPr>
          <w:sz w:val="28"/>
          <w:szCs w:val="28"/>
          <w:lang w:val="uk-UA"/>
        </w:rPr>
        <w:t xml:space="preserve"> </w:t>
      </w:r>
      <w:r w:rsidRPr="002E6ECA">
        <w:rPr>
          <w:sz w:val="28"/>
          <w:szCs w:val="28"/>
          <w:lang w:val="uk-UA"/>
        </w:rPr>
        <w:t>кожного</w:t>
      </w:r>
      <w:r w:rsidR="00D46B1B" w:rsidRPr="002E6ECA">
        <w:rPr>
          <w:sz w:val="28"/>
          <w:szCs w:val="28"/>
          <w:lang w:val="uk-UA"/>
        </w:rPr>
        <w:t xml:space="preserve"> </w:t>
      </w:r>
      <w:r w:rsidRPr="002E6ECA">
        <w:rPr>
          <w:sz w:val="28"/>
          <w:szCs w:val="28"/>
          <w:lang w:val="uk-UA"/>
        </w:rPr>
        <w:t>речення</w:t>
      </w:r>
      <w:r w:rsidR="00D46B1B" w:rsidRPr="002E6ECA">
        <w:rPr>
          <w:sz w:val="28"/>
          <w:szCs w:val="28"/>
          <w:lang w:val="uk-UA"/>
        </w:rPr>
        <w:t xml:space="preserve"> </w:t>
      </w:r>
      <w:r w:rsidRPr="002E6ECA">
        <w:rPr>
          <w:sz w:val="28"/>
          <w:szCs w:val="28"/>
          <w:lang w:val="uk-UA"/>
        </w:rPr>
        <w:t>треба</w:t>
      </w:r>
      <w:r w:rsidR="00D46B1B" w:rsidRPr="002E6ECA">
        <w:rPr>
          <w:sz w:val="28"/>
          <w:szCs w:val="28"/>
          <w:lang w:val="uk-UA"/>
        </w:rPr>
        <w:t xml:space="preserve"> </w:t>
      </w:r>
      <w:r w:rsidRPr="002E6ECA">
        <w:rPr>
          <w:sz w:val="28"/>
          <w:szCs w:val="28"/>
          <w:lang w:val="uk-UA"/>
        </w:rPr>
        <w:t>позначити</w:t>
      </w:r>
      <w:r w:rsidR="00D46B1B" w:rsidRPr="002E6ECA">
        <w:rPr>
          <w:sz w:val="28"/>
          <w:szCs w:val="28"/>
          <w:lang w:val="uk-UA"/>
        </w:rPr>
        <w:t xml:space="preserve"> </w:t>
      </w:r>
      <w:r w:rsidRPr="002E6ECA">
        <w:rPr>
          <w:sz w:val="28"/>
          <w:szCs w:val="28"/>
          <w:lang w:val="uk-UA"/>
        </w:rPr>
        <w:t>лише</w:t>
      </w:r>
      <w:r w:rsidR="00D46B1B" w:rsidRPr="002E6ECA">
        <w:rPr>
          <w:sz w:val="28"/>
          <w:szCs w:val="28"/>
          <w:lang w:val="uk-UA"/>
        </w:rPr>
        <w:t xml:space="preserve"> </w:t>
      </w:r>
      <w:r w:rsidRPr="002E6ECA">
        <w:rPr>
          <w:sz w:val="28"/>
          <w:szCs w:val="28"/>
          <w:lang w:val="uk-UA"/>
        </w:rPr>
        <w:t>одну</w:t>
      </w:r>
      <w:r w:rsidR="00D46B1B" w:rsidRPr="002E6ECA">
        <w:rPr>
          <w:sz w:val="28"/>
          <w:szCs w:val="28"/>
          <w:lang w:val="uk-UA"/>
        </w:rPr>
        <w:t xml:space="preserve"> </w:t>
      </w:r>
      <w:r w:rsidRPr="002E6ECA">
        <w:rPr>
          <w:sz w:val="28"/>
          <w:szCs w:val="28"/>
          <w:lang w:val="uk-UA"/>
        </w:rPr>
        <w:t>відповідь.</w:t>
      </w:r>
    </w:p>
    <w:tbl>
      <w:tblPr>
        <w:tblW w:w="0" w:type="auto"/>
        <w:tblInd w:w="2" w:type="dxa"/>
        <w:tblBorders>
          <w:left w:val="single" w:sz="4" w:space="0" w:color="auto"/>
          <w:right w:val="single" w:sz="4" w:space="0" w:color="auto"/>
        </w:tblBorders>
        <w:tblLook w:val="01E0" w:firstRow="1" w:lastRow="1" w:firstColumn="1" w:lastColumn="1" w:noHBand="0" w:noVBand="0"/>
      </w:tblPr>
      <w:tblGrid>
        <w:gridCol w:w="480"/>
        <w:gridCol w:w="5633"/>
        <w:gridCol w:w="530"/>
        <w:gridCol w:w="1085"/>
        <w:gridCol w:w="1055"/>
        <w:gridCol w:w="1068"/>
      </w:tblGrid>
      <w:tr w:rsidR="0084636B" w:rsidRPr="002E6ECA" w:rsidTr="0084636B">
        <w:tc>
          <w:tcPr>
            <w:tcW w:w="483" w:type="dxa"/>
            <w:tcBorders>
              <w:top w:val="single" w:sz="4" w:space="0" w:color="auto"/>
              <w:bottom w:val="single" w:sz="4" w:space="0" w:color="auto"/>
              <w:right w:val="single" w:sz="4" w:space="0" w:color="auto"/>
            </w:tcBorders>
          </w:tcPr>
          <w:p w:rsidR="0084636B" w:rsidRPr="002E6ECA" w:rsidRDefault="0084636B" w:rsidP="00214078">
            <w:pPr>
              <w:rPr>
                <w:b/>
                <w:bCs/>
                <w:lang w:val="uk-UA"/>
              </w:rPr>
            </w:pPr>
          </w:p>
        </w:tc>
        <w:tc>
          <w:tcPr>
            <w:tcW w:w="6105"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rPr>
                <w:b/>
                <w:bCs/>
                <w:lang w:val="uk-UA"/>
              </w:rPr>
            </w:pPr>
          </w:p>
        </w:tc>
        <w:tc>
          <w:tcPr>
            <w:tcW w:w="540"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rPr>
                <w:b/>
                <w:bCs/>
                <w:lang w:val="uk-UA"/>
              </w:rPr>
            </w:pPr>
          </w:p>
        </w:tc>
        <w:tc>
          <w:tcPr>
            <w:tcW w:w="1097"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jc w:val="center"/>
              <w:rPr>
                <w:b/>
                <w:bCs/>
                <w:lang w:val="uk-UA"/>
              </w:rPr>
            </w:pPr>
            <w:r w:rsidRPr="002E6ECA">
              <w:rPr>
                <w:b/>
                <w:bCs/>
                <w:lang w:val="uk-UA"/>
              </w:rPr>
              <w:t>Ніколи</w:t>
            </w:r>
          </w:p>
        </w:tc>
        <w:tc>
          <w:tcPr>
            <w:tcW w:w="1098"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jc w:val="center"/>
              <w:rPr>
                <w:b/>
                <w:bCs/>
                <w:lang w:val="uk-UA"/>
              </w:rPr>
            </w:pPr>
            <w:r w:rsidRPr="002E6ECA">
              <w:rPr>
                <w:b/>
                <w:bCs/>
                <w:lang w:val="uk-UA"/>
              </w:rPr>
              <w:t>Іноді</w:t>
            </w:r>
          </w:p>
        </w:tc>
        <w:tc>
          <w:tcPr>
            <w:tcW w:w="1098" w:type="dxa"/>
            <w:tcBorders>
              <w:top w:val="single" w:sz="4" w:space="0" w:color="auto"/>
              <w:left w:val="single" w:sz="4" w:space="0" w:color="auto"/>
              <w:bottom w:val="single" w:sz="4" w:space="0" w:color="auto"/>
            </w:tcBorders>
          </w:tcPr>
          <w:p w:rsidR="0084636B" w:rsidRPr="002E6ECA" w:rsidRDefault="0084636B" w:rsidP="00214078">
            <w:pPr>
              <w:jc w:val="center"/>
              <w:rPr>
                <w:b/>
                <w:bCs/>
                <w:lang w:val="uk-UA"/>
              </w:rPr>
            </w:pPr>
            <w:r w:rsidRPr="002E6ECA">
              <w:rPr>
                <w:b/>
                <w:bCs/>
                <w:lang w:val="uk-UA"/>
              </w:rPr>
              <w:t>Часто</w:t>
            </w:r>
          </w:p>
        </w:tc>
      </w:tr>
      <w:tr w:rsidR="0084636B" w:rsidRPr="002E6ECA" w:rsidTr="0084636B">
        <w:tc>
          <w:tcPr>
            <w:tcW w:w="483" w:type="dxa"/>
            <w:tcBorders>
              <w:top w:val="single" w:sz="4" w:space="0" w:color="auto"/>
              <w:right w:val="single" w:sz="4" w:space="0" w:color="auto"/>
            </w:tcBorders>
          </w:tcPr>
          <w:p w:rsidR="0084636B" w:rsidRPr="002E6ECA" w:rsidRDefault="0084636B" w:rsidP="00214078">
            <w:pPr>
              <w:rPr>
                <w:b/>
                <w:bCs/>
                <w:lang w:val="uk-UA"/>
              </w:rPr>
            </w:pPr>
            <w:r w:rsidRPr="002E6ECA">
              <w:rPr>
                <w:b/>
                <w:bCs/>
                <w:lang w:val="uk-UA"/>
              </w:rPr>
              <w:t>1</w:t>
            </w:r>
          </w:p>
        </w:tc>
        <w:tc>
          <w:tcPr>
            <w:tcW w:w="6105" w:type="dxa"/>
            <w:tcBorders>
              <w:top w:val="single" w:sz="4" w:space="0" w:color="auto"/>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Скаржишся</w:t>
            </w:r>
            <w:r w:rsidR="00D46B1B" w:rsidRPr="002E6ECA">
              <w:rPr>
                <w:lang w:val="uk-UA"/>
              </w:rPr>
              <w:t xml:space="preserve"> </w:t>
            </w:r>
            <w:r w:rsidRPr="002E6ECA">
              <w:rPr>
                <w:lang w:val="uk-UA"/>
              </w:rPr>
              <w:t>на</w:t>
            </w:r>
            <w:r w:rsidR="00D46B1B" w:rsidRPr="002E6ECA">
              <w:rPr>
                <w:lang w:val="uk-UA"/>
              </w:rPr>
              <w:t xml:space="preserve"> </w:t>
            </w:r>
            <w:r w:rsidRPr="002E6ECA">
              <w:rPr>
                <w:lang w:val="uk-UA"/>
              </w:rPr>
              <w:t>різні</w:t>
            </w:r>
            <w:r w:rsidR="00D46B1B" w:rsidRPr="002E6ECA">
              <w:rPr>
                <w:lang w:val="uk-UA"/>
              </w:rPr>
              <w:t xml:space="preserve"> </w:t>
            </w:r>
            <w:r w:rsidRPr="002E6ECA">
              <w:rPr>
                <w:lang w:val="uk-UA"/>
              </w:rPr>
              <w:t>болі</w:t>
            </w:r>
          </w:p>
        </w:tc>
        <w:tc>
          <w:tcPr>
            <w:tcW w:w="540" w:type="dxa"/>
            <w:tcBorders>
              <w:top w:val="single" w:sz="4" w:space="0" w:color="auto"/>
              <w:left w:val="single" w:sz="4" w:space="0" w:color="auto"/>
              <w:right w:val="single" w:sz="4" w:space="0" w:color="auto"/>
            </w:tcBorders>
          </w:tcPr>
          <w:p w:rsidR="0084636B" w:rsidRPr="002E6ECA" w:rsidRDefault="0084636B" w:rsidP="00214078">
            <w:pPr>
              <w:rPr>
                <w:b/>
                <w:bCs/>
                <w:lang w:val="uk-UA"/>
              </w:rPr>
            </w:pPr>
            <w:r w:rsidRPr="002E6ECA">
              <w:rPr>
                <w:b/>
                <w:bCs/>
                <w:lang w:val="uk-UA"/>
              </w:rPr>
              <w:t>1</w:t>
            </w:r>
          </w:p>
        </w:tc>
        <w:tc>
          <w:tcPr>
            <w:tcW w:w="1097" w:type="dxa"/>
            <w:tcBorders>
              <w:top w:val="single" w:sz="4" w:space="0" w:color="auto"/>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top w:val="single" w:sz="4" w:space="0" w:color="auto"/>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top w:val="single" w:sz="4" w:space="0" w:color="auto"/>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2</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Проводиш</w:t>
            </w:r>
            <w:r w:rsidR="00D46B1B" w:rsidRPr="002E6ECA">
              <w:rPr>
                <w:lang w:val="uk-UA"/>
              </w:rPr>
              <w:t xml:space="preserve"> </w:t>
            </w:r>
            <w:r w:rsidRPr="002E6ECA">
              <w:rPr>
                <w:lang w:val="uk-UA"/>
              </w:rPr>
              <w:t>більше</w:t>
            </w:r>
            <w:r w:rsidR="00D46B1B" w:rsidRPr="002E6ECA">
              <w:rPr>
                <w:lang w:val="uk-UA"/>
              </w:rPr>
              <w:t xml:space="preserve"> </w:t>
            </w:r>
            <w:r w:rsidRPr="002E6ECA">
              <w:rPr>
                <w:lang w:val="uk-UA"/>
              </w:rPr>
              <w:t>часу</w:t>
            </w:r>
            <w:r w:rsidR="00D46B1B" w:rsidRPr="002E6ECA">
              <w:rPr>
                <w:lang w:val="uk-UA"/>
              </w:rPr>
              <w:t xml:space="preserve"> </w:t>
            </w:r>
            <w:r w:rsidRPr="002E6ECA">
              <w:rPr>
                <w:lang w:val="uk-UA"/>
              </w:rPr>
              <w:t>наодинці</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3</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Швидко</w:t>
            </w:r>
            <w:r w:rsidR="00D46B1B" w:rsidRPr="002E6ECA">
              <w:rPr>
                <w:lang w:val="uk-UA"/>
              </w:rPr>
              <w:t xml:space="preserve"> </w:t>
            </w:r>
            <w:r w:rsidRPr="002E6ECA">
              <w:rPr>
                <w:lang w:val="uk-UA"/>
              </w:rPr>
              <w:t>втомлюєшся,</w:t>
            </w:r>
            <w:r w:rsidR="00D46B1B" w:rsidRPr="002E6ECA">
              <w:rPr>
                <w:lang w:val="uk-UA"/>
              </w:rPr>
              <w:t xml:space="preserve"> </w:t>
            </w:r>
            <w:r w:rsidRPr="002E6ECA">
              <w:rPr>
                <w:lang w:val="uk-UA"/>
              </w:rPr>
              <w:t>маєш</w:t>
            </w:r>
            <w:r w:rsidR="00D46B1B" w:rsidRPr="002E6ECA">
              <w:rPr>
                <w:lang w:val="uk-UA"/>
              </w:rPr>
              <w:t xml:space="preserve"> </w:t>
            </w:r>
            <w:r w:rsidRPr="002E6ECA">
              <w:rPr>
                <w:lang w:val="uk-UA"/>
              </w:rPr>
              <w:t>недостатньо</w:t>
            </w:r>
            <w:r w:rsidR="00D46B1B" w:rsidRPr="002E6ECA">
              <w:rPr>
                <w:lang w:val="uk-UA"/>
              </w:rPr>
              <w:t xml:space="preserve"> </w:t>
            </w:r>
            <w:r w:rsidRPr="002E6ECA">
              <w:rPr>
                <w:lang w:val="uk-UA"/>
              </w:rPr>
              <w:t>енергії</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4</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Невгамовний,</w:t>
            </w:r>
            <w:r w:rsidR="00D46B1B" w:rsidRPr="002E6ECA">
              <w:rPr>
                <w:lang w:val="uk-UA"/>
              </w:rPr>
              <w:t xml:space="preserve"> </w:t>
            </w:r>
            <w:r w:rsidRPr="002E6ECA">
              <w:rPr>
                <w:lang w:val="uk-UA"/>
              </w:rPr>
              <w:t>не</w:t>
            </w:r>
            <w:r w:rsidR="00D46B1B" w:rsidRPr="002E6ECA">
              <w:rPr>
                <w:lang w:val="uk-UA"/>
              </w:rPr>
              <w:t xml:space="preserve"> </w:t>
            </w:r>
            <w:r w:rsidRPr="002E6ECA">
              <w:rPr>
                <w:lang w:val="uk-UA"/>
              </w:rPr>
              <w:t>можеш</w:t>
            </w:r>
            <w:r w:rsidR="00D46B1B" w:rsidRPr="002E6ECA">
              <w:rPr>
                <w:lang w:val="uk-UA"/>
              </w:rPr>
              <w:t xml:space="preserve"> </w:t>
            </w:r>
            <w:r w:rsidRPr="002E6ECA">
              <w:rPr>
                <w:lang w:val="uk-UA"/>
              </w:rPr>
              <w:t>сидіти</w:t>
            </w:r>
            <w:r w:rsidR="00D46B1B" w:rsidRPr="002E6ECA">
              <w:rPr>
                <w:lang w:val="uk-UA"/>
              </w:rPr>
              <w:t xml:space="preserve"> </w:t>
            </w:r>
            <w:r w:rsidRPr="002E6ECA">
              <w:rPr>
                <w:lang w:val="uk-UA"/>
              </w:rPr>
              <w:t>спокійно</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4</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5</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Маєш</w:t>
            </w:r>
            <w:r w:rsidR="00D46B1B" w:rsidRPr="002E6ECA">
              <w:rPr>
                <w:lang w:val="uk-UA"/>
              </w:rPr>
              <w:t xml:space="preserve"> </w:t>
            </w:r>
            <w:r w:rsidRPr="002E6ECA">
              <w:rPr>
                <w:lang w:val="uk-UA"/>
              </w:rPr>
              <w:t>проблеми</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вчителем/вчителями</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5</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6</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Менше</w:t>
            </w:r>
            <w:r w:rsidR="00D46B1B" w:rsidRPr="002E6ECA">
              <w:rPr>
                <w:lang w:val="uk-UA"/>
              </w:rPr>
              <w:t xml:space="preserve"> </w:t>
            </w:r>
            <w:r w:rsidRPr="002E6ECA">
              <w:rPr>
                <w:lang w:val="uk-UA"/>
              </w:rPr>
              <w:t>цікавишся</w:t>
            </w:r>
            <w:r w:rsidR="00D46B1B" w:rsidRPr="002E6ECA">
              <w:rPr>
                <w:lang w:val="uk-UA"/>
              </w:rPr>
              <w:t xml:space="preserve"> </w:t>
            </w:r>
            <w:r w:rsidRPr="002E6ECA">
              <w:rPr>
                <w:lang w:val="uk-UA"/>
              </w:rPr>
              <w:t>школою</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6</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7</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Дієш</w:t>
            </w:r>
            <w:r w:rsidR="00D46B1B" w:rsidRPr="002E6ECA">
              <w:rPr>
                <w:lang w:val="uk-UA"/>
              </w:rPr>
              <w:t xml:space="preserve"> </w:t>
            </w:r>
            <w:r w:rsidRPr="002E6ECA">
              <w:rPr>
                <w:lang w:val="uk-UA"/>
              </w:rPr>
              <w:t>«як</w:t>
            </w:r>
            <w:r w:rsidR="00D46B1B" w:rsidRPr="002E6ECA">
              <w:rPr>
                <w:lang w:val="uk-UA"/>
              </w:rPr>
              <w:t xml:space="preserve"> </w:t>
            </w:r>
            <w:r w:rsidRPr="002E6ECA">
              <w:rPr>
                <w:lang w:val="uk-UA"/>
              </w:rPr>
              <w:t>заведений»</w:t>
            </w:r>
            <w:r w:rsidR="00D46B1B" w:rsidRPr="002E6ECA">
              <w:rPr>
                <w:lang w:val="uk-UA"/>
              </w:rPr>
              <w:t xml:space="preserve"> </w:t>
            </w:r>
            <w:r w:rsidRPr="002E6ECA">
              <w:rPr>
                <w:lang w:val="uk-UA"/>
              </w:rPr>
              <w:t>(«як</w:t>
            </w:r>
            <w:r w:rsidR="00D46B1B" w:rsidRPr="002E6ECA">
              <w:rPr>
                <w:lang w:val="uk-UA"/>
              </w:rPr>
              <w:t xml:space="preserve"> </w:t>
            </w:r>
            <w:r w:rsidRPr="002E6ECA">
              <w:rPr>
                <w:lang w:val="uk-UA"/>
              </w:rPr>
              <w:t>моторчик»)</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7</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8</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Надто</w:t>
            </w:r>
            <w:r w:rsidR="00D46B1B" w:rsidRPr="002E6ECA">
              <w:rPr>
                <w:lang w:val="uk-UA"/>
              </w:rPr>
              <w:t xml:space="preserve"> </w:t>
            </w:r>
            <w:r w:rsidRPr="002E6ECA">
              <w:rPr>
                <w:lang w:val="uk-UA"/>
              </w:rPr>
              <w:t>багато</w:t>
            </w:r>
            <w:r w:rsidR="00D46B1B" w:rsidRPr="002E6ECA">
              <w:rPr>
                <w:lang w:val="uk-UA"/>
              </w:rPr>
              <w:t xml:space="preserve"> </w:t>
            </w:r>
            <w:r w:rsidRPr="002E6ECA">
              <w:rPr>
                <w:lang w:val="uk-UA"/>
              </w:rPr>
              <w:t>витаєш</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хмарах</w:t>
            </w:r>
            <w:r w:rsidR="00D46B1B" w:rsidRPr="002E6ECA">
              <w:rPr>
                <w:lang w:val="uk-UA"/>
              </w:rPr>
              <w:t xml:space="preserve"> </w:t>
            </w:r>
            <w:r w:rsidRPr="002E6ECA">
              <w:rPr>
                <w:lang w:val="uk-UA"/>
              </w:rPr>
              <w:t>(мрієш,</w:t>
            </w:r>
            <w:r w:rsidR="00D46B1B" w:rsidRPr="002E6ECA">
              <w:rPr>
                <w:lang w:val="uk-UA"/>
              </w:rPr>
              <w:t xml:space="preserve"> </w:t>
            </w:r>
            <w:r w:rsidRPr="002E6ECA">
              <w:rPr>
                <w:lang w:val="uk-UA"/>
              </w:rPr>
              <w:t>фантазуєш)</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8</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9</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Легко</w:t>
            </w:r>
            <w:r w:rsidR="00D46B1B" w:rsidRPr="002E6ECA">
              <w:rPr>
                <w:lang w:val="uk-UA"/>
              </w:rPr>
              <w:t xml:space="preserve"> </w:t>
            </w:r>
            <w:r w:rsidRPr="002E6ECA">
              <w:rPr>
                <w:lang w:val="uk-UA"/>
              </w:rPr>
              <w:t>відволікаєшся</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9</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10</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Боїшся</w:t>
            </w:r>
            <w:r w:rsidR="00D46B1B" w:rsidRPr="002E6ECA">
              <w:rPr>
                <w:lang w:val="uk-UA"/>
              </w:rPr>
              <w:t xml:space="preserve"> </w:t>
            </w:r>
            <w:r w:rsidRPr="002E6ECA">
              <w:rPr>
                <w:lang w:val="uk-UA"/>
              </w:rPr>
              <w:t>нових</w:t>
            </w:r>
            <w:r w:rsidR="00D46B1B" w:rsidRPr="002E6ECA">
              <w:rPr>
                <w:lang w:val="uk-UA"/>
              </w:rPr>
              <w:t xml:space="preserve"> </w:t>
            </w:r>
            <w:r w:rsidRPr="002E6ECA">
              <w:rPr>
                <w:lang w:val="uk-UA"/>
              </w:rPr>
              <w:t>ситуацій</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10</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11</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Почуваєшся</w:t>
            </w:r>
            <w:r w:rsidR="00D46B1B" w:rsidRPr="002E6ECA">
              <w:rPr>
                <w:lang w:val="uk-UA"/>
              </w:rPr>
              <w:t xml:space="preserve"> </w:t>
            </w:r>
            <w:r w:rsidRPr="002E6ECA">
              <w:rPr>
                <w:lang w:val="uk-UA"/>
              </w:rPr>
              <w:t>сумним(ою),</w:t>
            </w:r>
            <w:r w:rsidR="00D46B1B" w:rsidRPr="002E6ECA">
              <w:rPr>
                <w:lang w:val="uk-UA"/>
              </w:rPr>
              <w:t xml:space="preserve"> </w:t>
            </w:r>
            <w:r w:rsidRPr="002E6ECA">
              <w:rPr>
                <w:lang w:val="uk-UA"/>
              </w:rPr>
              <w:t>нещасливим(ою)</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11</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12</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Роздратований(на),</w:t>
            </w:r>
            <w:r w:rsidR="00D46B1B" w:rsidRPr="002E6ECA">
              <w:rPr>
                <w:lang w:val="uk-UA"/>
              </w:rPr>
              <w:t xml:space="preserve"> </w:t>
            </w:r>
            <w:r w:rsidRPr="002E6ECA">
              <w:rPr>
                <w:lang w:val="uk-UA"/>
              </w:rPr>
              <w:t>сердитий(та)</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12</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13</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Відчуваєш</w:t>
            </w:r>
            <w:r w:rsidR="00D46B1B" w:rsidRPr="002E6ECA">
              <w:rPr>
                <w:lang w:val="uk-UA"/>
              </w:rPr>
              <w:t xml:space="preserve"> </w:t>
            </w:r>
            <w:r w:rsidRPr="002E6ECA">
              <w:rPr>
                <w:lang w:val="uk-UA"/>
              </w:rPr>
              <w:t>безнадійність</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13</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14</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Маєш</w:t>
            </w:r>
            <w:r w:rsidR="00D46B1B" w:rsidRPr="002E6ECA">
              <w:rPr>
                <w:lang w:val="uk-UA"/>
              </w:rPr>
              <w:t xml:space="preserve"> </w:t>
            </w:r>
            <w:r w:rsidRPr="002E6ECA">
              <w:rPr>
                <w:lang w:val="uk-UA"/>
              </w:rPr>
              <w:t>труднощі</w:t>
            </w:r>
            <w:r w:rsidR="00D46B1B" w:rsidRPr="002E6ECA">
              <w:rPr>
                <w:lang w:val="uk-UA"/>
              </w:rPr>
              <w:t xml:space="preserve"> </w:t>
            </w:r>
            <w:r w:rsidRPr="002E6ECA">
              <w:rPr>
                <w:lang w:val="uk-UA"/>
              </w:rPr>
              <w:t>із</w:t>
            </w:r>
            <w:r w:rsidR="00D46B1B" w:rsidRPr="002E6ECA">
              <w:rPr>
                <w:lang w:val="uk-UA"/>
              </w:rPr>
              <w:t xml:space="preserve"> </w:t>
            </w:r>
            <w:r w:rsidRPr="002E6ECA">
              <w:rPr>
                <w:lang w:val="uk-UA"/>
              </w:rPr>
              <w:t>зосередженням</w:t>
            </w:r>
            <w:r w:rsidR="00D46B1B" w:rsidRPr="002E6ECA">
              <w:rPr>
                <w:lang w:val="uk-UA"/>
              </w:rPr>
              <w:t xml:space="preserve"> </w:t>
            </w:r>
            <w:r w:rsidRPr="002E6ECA">
              <w:rPr>
                <w:lang w:val="uk-UA"/>
              </w:rPr>
              <w:t>уваги</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14</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15</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Менш</w:t>
            </w:r>
            <w:r w:rsidR="00D46B1B" w:rsidRPr="002E6ECA">
              <w:rPr>
                <w:lang w:val="uk-UA"/>
              </w:rPr>
              <w:t xml:space="preserve"> </w:t>
            </w:r>
            <w:r w:rsidRPr="002E6ECA">
              <w:rPr>
                <w:lang w:val="uk-UA"/>
              </w:rPr>
              <w:t>зацікавлений(на)</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друзях</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15</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16</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Б’єшся</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іншими</w:t>
            </w:r>
            <w:r w:rsidR="00D46B1B" w:rsidRPr="002E6ECA">
              <w:rPr>
                <w:lang w:val="uk-UA"/>
              </w:rPr>
              <w:t xml:space="preserve"> </w:t>
            </w:r>
            <w:r w:rsidRPr="002E6ECA">
              <w:rPr>
                <w:lang w:val="uk-UA"/>
              </w:rPr>
              <w:t>дітьми</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16</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17</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Пропускаєш</w:t>
            </w:r>
            <w:r w:rsidR="00D46B1B" w:rsidRPr="002E6ECA">
              <w:rPr>
                <w:lang w:val="uk-UA"/>
              </w:rPr>
              <w:t xml:space="preserve"> </w:t>
            </w:r>
            <w:r w:rsidRPr="002E6ECA">
              <w:rPr>
                <w:lang w:val="uk-UA"/>
              </w:rPr>
              <w:t>школу</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17</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18</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Шкільні</w:t>
            </w:r>
            <w:r w:rsidR="00D46B1B" w:rsidRPr="002E6ECA">
              <w:rPr>
                <w:lang w:val="uk-UA"/>
              </w:rPr>
              <w:t xml:space="preserve"> </w:t>
            </w:r>
            <w:r w:rsidRPr="002E6ECA">
              <w:rPr>
                <w:lang w:val="uk-UA"/>
              </w:rPr>
              <w:t>оцінки</w:t>
            </w:r>
            <w:r w:rsidR="00D46B1B" w:rsidRPr="002E6ECA">
              <w:rPr>
                <w:lang w:val="uk-UA"/>
              </w:rPr>
              <w:t xml:space="preserve"> </w:t>
            </w:r>
            <w:r w:rsidRPr="002E6ECA">
              <w:rPr>
                <w:lang w:val="uk-UA"/>
              </w:rPr>
              <w:t>погіршуються</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18</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19</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Почуваєшся</w:t>
            </w:r>
            <w:r w:rsidR="00D46B1B" w:rsidRPr="002E6ECA">
              <w:rPr>
                <w:lang w:val="uk-UA"/>
              </w:rPr>
              <w:t xml:space="preserve"> </w:t>
            </w:r>
            <w:r w:rsidRPr="002E6ECA">
              <w:rPr>
                <w:lang w:val="uk-UA"/>
              </w:rPr>
              <w:t>винним(ою)</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19</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20</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Звертаєшся</w:t>
            </w:r>
            <w:r w:rsidR="00D46B1B" w:rsidRPr="002E6ECA">
              <w:rPr>
                <w:lang w:val="uk-UA"/>
              </w:rPr>
              <w:t xml:space="preserve"> </w:t>
            </w:r>
            <w:r w:rsidRPr="002E6ECA">
              <w:rPr>
                <w:lang w:val="uk-UA"/>
              </w:rPr>
              <w:t>до</w:t>
            </w:r>
            <w:r w:rsidR="00D46B1B" w:rsidRPr="002E6ECA">
              <w:rPr>
                <w:lang w:val="uk-UA"/>
              </w:rPr>
              <w:t xml:space="preserve"> </w:t>
            </w:r>
            <w:r w:rsidRPr="002E6ECA">
              <w:rPr>
                <w:lang w:val="uk-UA"/>
              </w:rPr>
              <w:t>лікаря,</w:t>
            </w:r>
            <w:r w:rsidR="00D46B1B" w:rsidRPr="002E6ECA">
              <w:rPr>
                <w:lang w:val="uk-UA"/>
              </w:rPr>
              <w:t xml:space="preserve"> </w:t>
            </w:r>
            <w:r w:rsidRPr="002E6ECA">
              <w:rPr>
                <w:lang w:val="uk-UA"/>
              </w:rPr>
              <w:t>хоча</w:t>
            </w:r>
            <w:r w:rsidR="00D46B1B" w:rsidRPr="002E6ECA">
              <w:rPr>
                <w:lang w:val="uk-UA"/>
              </w:rPr>
              <w:t xml:space="preserve"> </w:t>
            </w:r>
            <w:r w:rsidRPr="002E6ECA">
              <w:rPr>
                <w:lang w:val="uk-UA"/>
              </w:rPr>
              <w:t>лікар</w:t>
            </w:r>
            <w:r w:rsidR="00D46B1B" w:rsidRPr="002E6ECA">
              <w:rPr>
                <w:lang w:val="uk-UA"/>
              </w:rPr>
              <w:t xml:space="preserve"> </w:t>
            </w:r>
            <w:r w:rsidRPr="002E6ECA">
              <w:rPr>
                <w:lang w:val="uk-UA"/>
              </w:rPr>
              <w:t>не</w:t>
            </w:r>
            <w:r w:rsidR="00D46B1B" w:rsidRPr="002E6ECA">
              <w:rPr>
                <w:lang w:val="uk-UA"/>
              </w:rPr>
              <w:t xml:space="preserve"> </w:t>
            </w:r>
            <w:r w:rsidRPr="002E6ECA">
              <w:rPr>
                <w:lang w:val="uk-UA"/>
              </w:rPr>
              <w:t>знаходить</w:t>
            </w:r>
            <w:r w:rsidR="00D46B1B" w:rsidRPr="002E6ECA">
              <w:rPr>
                <w:lang w:val="uk-UA"/>
              </w:rPr>
              <w:t xml:space="preserve"> </w:t>
            </w:r>
            <w:r w:rsidRPr="002E6ECA">
              <w:rPr>
                <w:lang w:val="uk-UA"/>
              </w:rPr>
              <w:t>хвороб</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20</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21</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Погано</w:t>
            </w:r>
            <w:r w:rsidR="00D46B1B" w:rsidRPr="002E6ECA">
              <w:rPr>
                <w:lang w:val="uk-UA"/>
              </w:rPr>
              <w:t xml:space="preserve"> </w:t>
            </w:r>
            <w:r w:rsidRPr="002E6ECA">
              <w:rPr>
                <w:lang w:val="uk-UA"/>
              </w:rPr>
              <w:t>спиш</w:t>
            </w:r>
            <w:r w:rsidR="00D46B1B" w:rsidRPr="002E6ECA">
              <w:rPr>
                <w:lang w:val="uk-UA"/>
              </w:rPr>
              <w:t xml:space="preserve"> </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21</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22</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Багато</w:t>
            </w:r>
            <w:r w:rsidR="00D46B1B" w:rsidRPr="002E6ECA">
              <w:rPr>
                <w:lang w:val="uk-UA"/>
              </w:rPr>
              <w:t xml:space="preserve"> </w:t>
            </w:r>
            <w:r w:rsidRPr="002E6ECA">
              <w:rPr>
                <w:lang w:val="uk-UA"/>
              </w:rPr>
              <w:t>хвилюєшся</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22</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23</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Хочеш</w:t>
            </w:r>
            <w:r w:rsidR="00D46B1B" w:rsidRPr="002E6ECA">
              <w:rPr>
                <w:lang w:val="uk-UA"/>
              </w:rPr>
              <w:t xml:space="preserve"> </w:t>
            </w:r>
            <w:r w:rsidRPr="002E6ECA">
              <w:rPr>
                <w:lang w:val="uk-UA"/>
              </w:rPr>
              <w:t>бути</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мамою</w:t>
            </w:r>
            <w:r w:rsidR="00D46B1B" w:rsidRPr="002E6ECA">
              <w:rPr>
                <w:lang w:val="uk-UA"/>
              </w:rPr>
              <w:t xml:space="preserve"> </w:t>
            </w:r>
            <w:r w:rsidRPr="002E6ECA">
              <w:rPr>
                <w:lang w:val="uk-UA"/>
              </w:rPr>
              <w:t>(батьком)</w:t>
            </w:r>
            <w:r w:rsidR="00D46B1B" w:rsidRPr="002E6ECA">
              <w:rPr>
                <w:lang w:val="uk-UA"/>
              </w:rPr>
              <w:t xml:space="preserve"> </w:t>
            </w:r>
            <w:r w:rsidRPr="002E6ECA">
              <w:rPr>
                <w:lang w:val="uk-UA"/>
              </w:rPr>
              <w:t>більше,</w:t>
            </w:r>
            <w:r w:rsidR="00D46B1B" w:rsidRPr="002E6ECA">
              <w:rPr>
                <w:lang w:val="uk-UA"/>
              </w:rPr>
              <w:t xml:space="preserve"> </w:t>
            </w:r>
            <w:r w:rsidRPr="002E6ECA">
              <w:rPr>
                <w:lang w:val="uk-UA"/>
              </w:rPr>
              <w:t>ніж</w:t>
            </w:r>
            <w:r w:rsidR="00D46B1B" w:rsidRPr="002E6ECA">
              <w:rPr>
                <w:lang w:val="uk-UA"/>
              </w:rPr>
              <w:t xml:space="preserve"> </w:t>
            </w:r>
            <w:r w:rsidRPr="002E6ECA">
              <w:rPr>
                <w:lang w:val="uk-UA"/>
              </w:rPr>
              <w:t>раніше</w:t>
            </w:r>
            <w:r w:rsidR="00D46B1B" w:rsidRPr="002E6ECA">
              <w:rPr>
                <w:lang w:val="uk-UA"/>
              </w:rPr>
              <w:t xml:space="preserve"> </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23</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24</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Відчуваєш</w:t>
            </w:r>
            <w:r w:rsidR="00D46B1B" w:rsidRPr="002E6ECA">
              <w:rPr>
                <w:lang w:val="uk-UA"/>
              </w:rPr>
              <w:t xml:space="preserve"> </w:t>
            </w:r>
            <w:r w:rsidRPr="002E6ECA">
              <w:rPr>
                <w:lang w:val="uk-UA"/>
              </w:rPr>
              <w:t>себе</w:t>
            </w:r>
            <w:r w:rsidR="00D46B1B" w:rsidRPr="002E6ECA">
              <w:rPr>
                <w:lang w:val="uk-UA"/>
              </w:rPr>
              <w:t xml:space="preserve"> </w:t>
            </w:r>
            <w:r w:rsidRPr="002E6ECA">
              <w:rPr>
                <w:lang w:val="uk-UA"/>
              </w:rPr>
              <w:t>поганим(ою)</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24</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25</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Надто</w:t>
            </w:r>
            <w:r w:rsidR="00D46B1B" w:rsidRPr="002E6ECA">
              <w:rPr>
                <w:lang w:val="uk-UA"/>
              </w:rPr>
              <w:t xml:space="preserve"> </w:t>
            </w:r>
            <w:r w:rsidRPr="002E6ECA">
              <w:rPr>
                <w:lang w:val="uk-UA"/>
              </w:rPr>
              <w:t>ризикуєш</w:t>
            </w:r>
            <w:r w:rsidR="00D46B1B" w:rsidRPr="002E6ECA">
              <w:rPr>
                <w:lang w:val="uk-UA"/>
              </w:rPr>
              <w:t xml:space="preserve"> </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25</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26</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Отримуєш</w:t>
            </w:r>
            <w:r w:rsidR="00D46B1B" w:rsidRPr="002E6ECA">
              <w:rPr>
                <w:lang w:val="uk-UA"/>
              </w:rPr>
              <w:t xml:space="preserve"> </w:t>
            </w:r>
            <w:r w:rsidRPr="002E6ECA">
              <w:rPr>
                <w:lang w:val="uk-UA"/>
              </w:rPr>
              <w:t>травми,</w:t>
            </w:r>
            <w:r w:rsidR="00D46B1B" w:rsidRPr="002E6ECA">
              <w:rPr>
                <w:lang w:val="uk-UA"/>
              </w:rPr>
              <w:t xml:space="preserve"> </w:t>
            </w:r>
            <w:r w:rsidRPr="002E6ECA">
              <w:rPr>
                <w:lang w:val="uk-UA"/>
              </w:rPr>
              <w:t>пошкодження</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26</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27</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Менше</w:t>
            </w:r>
            <w:r w:rsidR="00D46B1B" w:rsidRPr="002E6ECA">
              <w:rPr>
                <w:lang w:val="uk-UA"/>
              </w:rPr>
              <w:t xml:space="preserve"> </w:t>
            </w:r>
            <w:r w:rsidRPr="002E6ECA">
              <w:rPr>
                <w:lang w:val="uk-UA"/>
              </w:rPr>
              <w:t>розважаєшся</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27</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28</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Поводишся</w:t>
            </w:r>
            <w:r w:rsidR="00D46B1B" w:rsidRPr="002E6ECA">
              <w:rPr>
                <w:lang w:val="uk-UA"/>
              </w:rPr>
              <w:t xml:space="preserve"> </w:t>
            </w:r>
            <w:r w:rsidRPr="002E6ECA">
              <w:rPr>
                <w:lang w:val="uk-UA"/>
              </w:rPr>
              <w:t>як</w:t>
            </w:r>
            <w:r w:rsidR="00D46B1B" w:rsidRPr="002E6ECA">
              <w:rPr>
                <w:lang w:val="uk-UA"/>
              </w:rPr>
              <w:t xml:space="preserve"> </w:t>
            </w:r>
            <w:r w:rsidRPr="002E6ECA">
              <w:rPr>
                <w:lang w:val="uk-UA"/>
              </w:rPr>
              <w:t>дитина</w:t>
            </w:r>
            <w:r w:rsidR="00D46B1B" w:rsidRPr="002E6ECA">
              <w:rPr>
                <w:lang w:val="uk-UA"/>
              </w:rPr>
              <w:t xml:space="preserve"> </w:t>
            </w:r>
            <w:r w:rsidRPr="002E6ECA">
              <w:rPr>
                <w:lang w:val="uk-UA"/>
              </w:rPr>
              <w:t>молодшого</w:t>
            </w:r>
            <w:r w:rsidR="00D46B1B" w:rsidRPr="002E6ECA">
              <w:rPr>
                <w:lang w:val="uk-UA"/>
              </w:rPr>
              <w:t xml:space="preserve"> </w:t>
            </w:r>
            <w:r w:rsidRPr="002E6ECA">
              <w:rPr>
                <w:lang w:val="uk-UA"/>
              </w:rPr>
              <w:t>віку</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28</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29</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Не</w:t>
            </w:r>
            <w:r w:rsidR="00D46B1B" w:rsidRPr="002E6ECA">
              <w:rPr>
                <w:lang w:val="uk-UA"/>
              </w:rPr>
              <w:t xml:space="preserve"> </w:t>
            </w:r>
            <w:r w:rsidRPr="002E6ECA">
              <w:rPr>
                <w:lang w:val="uk-UA"/>
              </w:rPr>
              <w:t>виконуєш</w:t>
            </w:r>
            <w:r w:rsidR="00D46B1B" w:rsidRPr="002E6ECA">
              <w:rPr>
                <w:lang w:val="uk-UA"/>
              </w:rPr>
              <w:t xml:space="preserve"> </w:t>
            </w:r>
            <w:r w:rsidRPr="002E6ECA">
              <w:rPr>
                <w:lang w:val="uk-UA"/>
              </w:rPr>
              <w:t>правила</w:t>
            </w:r>
            <w:r w:rsidR="00D46B1B" w:rsidRPr="002E6ECA">
              <w:rPr>
                <w:lang w:val="uk-UA"/>
              </w:rPr>
              <w:t xml:space="preserve"> </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29</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30</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Не</w:t>
            </w:r>
            <w:r w:rsidR="00D46B1B" w:rsidRPr="002E6ECA">
              <w:rPr>
                <w:lang w:val="uk-UA"/>
              </w:rPr>
              <w:t xml:space="preserve"> </w:t>
            </w:r>
            <w:r w:rsidRPr="002E6ECA">
              <w:rPr>
                <w:lang w:val="uk-UA"/>
              </w:rPr>
              <w:t>показуєш</w:t>
            </w:r>
            <w:r w:rsidR="00D46B1B" w:rsidRPr="002E6ECA">
              <w:rPr>
                <w:lang w:val="uk-UA"/>
              </w:rPr>
              <w:t xml:space="preserve"> </w:t>
            </w:r>
            <w:r w:rsidRPr="002E6ECA">
              <w:rPr>
                <w:lang w:val="uk-UA"/>
              </w:rPr>
              <w:t>свої</w:t>
            </w:r>
            <w:r w:rsidR="00D46B1B" w:rsidRPr="002E6ECA">
              <w:rPr>
                <w:lang w:val="uk-UA"/>
              </w:rPr>
              <w:t xml:space="preserve"> </w:t>
            </w:r>
            <w:r w:rsidRPr="002E6ECA">
              <w:rPr>
                <w:lang w:val="uk-UA"/>
              </w:rPr>
              <w:t>почуття</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30</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31</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Не</w:t>
            </w:r>
            <w:r w:rsidR="00D46B1B" w:rsidRPr="002E6ECA">
              <w:rPr>
                <w:lang w:val="uk-UA"/>
              </w:rPr>
              <w:t xml:space="preserve"> </w:t>
            </w:r>
            <w:r w:rsidRPr="002E6ECA">
              <w:rPr>
                <w:lang w:val="uk-UA"/>
              </w:rPr>
              <w:t>розумієш</w:t>
            </w:r>
            <w:r w:rsidR="00D46B1B" w:rsidRPr="002E6ECA">
              <w:rPr>
                <w:lang w:val="uk-UA"/>
              </w:rPr>
              <w:t xml:space="preserve"> </w:t>
            </w:r>
            <w:r w:rsidRPr="002E6ECA">
              <w:rPr>
                <w:lang w:val="uk-UA"/>
              </w:rPr>
              <w:t>почуття</w:t>
            </w:r>
            <w:r w:rsidR="00D46B1B" w:rsidRPr="002E6ECA">
              <w:rPr>
                <w:lang w:val="uk-UA"/>
              </w:rPr>
              <w:t xml:space="preserve"> </w:t>
            </w:r>
            <w:r w:rsidRPr="002E6ECA">
              <w:rPr>
                <w:lang w:val="uk-UA"/>
              </w:rPr>
              <w:t>інших</w:t>
            </w:r>
            <w:r w:rsidR="00D46B1B" w:rsidRPr="002E6ECA">
              <w:rPr>
                <w:lang w:val="uk-UA"/>
              </w:rPr>
              <w:t xml:space="preserve"> </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31</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shd w:val="clear" w:color="auto" w:fill="D9D9D9"/>
          </w:tcPr>
          <w:p w:rsidR="0084636B" w:rsidRPr="002E6ECA" w:rsidRDefault="0084636B" w:rsidP="00214078">
            <w:pPr>
              <w:rPr>
                <w:b/>
                <w:bCs/>
                <w:lang w:val="uk-UA"/>
              </w:rPr>
            </w:pPr>
            <w:r w:rsidRPr="002E6ECA">
              <w:rPr>
                <w:b/>
                <w:bCs/>
                <w:lang w:val="uk-UA"/>
              </w:rPr>
              <w:t>32</w:t>
            </w:r>
          </w:p>
        </w:tc>
        <w:tc>
          <w:tcPr>
            <w:tcW w:w="6105"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Дражниш</w:t>
            </w:r>
            <w:r w:rsidR="00D46B1B" w:rsidRPr="002E6ECA">
              <w:rPr>
                <w:lang w:val="uk-UA"/>
              </w:rPr>
              <w:t xml:space="preserve"> </w:t>
            </w:r>
            <w:r w:rsidRPr="002E6ECA">
              <w:rPr>
                <w:lang w:val="uk-UA"/>
              </w:rPr>
              <w:t>інших</w:t>
            </w:r>
            <w:r w:rsidR="00D46B1B" w:rsidRPr="002E6ECA">
              <w:rPr>
                <w:lang w:val="uk-UA"/>
              </w:rPr>
              <w:t xml:space="preserve">  </w:t>
            </w:r>
          </w:p>
        </w:tc>
        <w:tc>
          <w:tcPr>
            <w:tcW w:w="540"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32</w:t>
            </w:r>
          </w:p>
        </w:tc>
        <w:tc>
          <w:tcPr>
            <w:tcW w:w="109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right w:val="single" w:sz="4" w:space="0" w:color="auto"/>
            </w:tcBorders>
          </w:tcPr>
          <w:p w:rsidR="0084636B" w:rsidRPr="002E6ECA" w:rsidRDefault="0084636B" w:rsidP="00214078">
            <w:pPr>
              <w:rPr>
                <w:b/>
                <w:bCs/>
                <w:lang w:val="uk-UA"/>
              </w:rPr>
            </w:pPr>
            <w:r w:rsidRPr="002E6ECA">
              <w:rPr>
                <w:b/>
                <w:bCs/>
                <w:lang w:val="uk-UA"/>
              </w:rPr>
              <w:t>33</w:t>
            </w:r>
          </w:p>
        </w:tc>
        <w:tc>
          <w:tcPr>
            <w:tcW w:w="6105"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Звинувачуєш</w:t>
            </w:r>
            <w:r w:rsidR="00D46B1B" w:rsidRPr="002E6ECA">
              <w:rPr>
                <w:lang w:val="uk-UA"/>
              </w:rPr>
              <w:t xml:space="preserve"> </w:t>
            </w:r>
            <w:r w:rsidRPr="002E6ECA">
              <w:rPr>
                <w:lang w:val="uk-UA"/>
              </w:rPr>
              <w:t>інших</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власних</w:t>
            </w:r>
            <w:r w:rsidR="00D46B1B" w:rsidRPr="002E6ECA">
              <w:rPr>
                <w:lang w:val="uk-UA"/>
              </w:rPr>
              <w:t xml:space="preserve"> </w:t>
            </w:r>
            <w:r w:rsidRPr="002E6ECA">
              <w:rPr>
                <w:lang w:val="uk-UA"/>
              </w:rPr>
              <w:t>проблемах</w:t>
            </w:r>
            <w:r w:rsidR="00D46B1B" w:rsidRPr="002E6ECA">
              <w:rPr>
                <w:lang w:val="uk-UA"/>
              </w:rPr>
              <w:t xml:space="preserve"> </w:t>
            </w:r>
          </w:p>
        </w:tc>
        <w:tc>
          <w:tcPr>
            <w:tcW w:w="540"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33</w:t>
            </w:r>
          </w:p>
        </w:tc>
        <w:tc>
          <w:tcPr>
            <w:tcW w:w="1097"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tcBorders>
          </w:tcPr>
          <w:p w:rsidR="0084636B" w:rsidRPr="002E6ECA" w:rsidRDefault="0084636B" w:rsidP="00214078">
            <w:pPr>
              <w:jc w:val="center"/>
              <w:rPr>
                <w:b/>
                <w:bCs/>
                <w:lang w:val="uk-UA"/>
              </w:rPr>
            </w:pPr>
          </w:p>
        </w:tc>
      </w:tr>
      <w:tr w:rsidR="0084636B" w:rsidRPr="002E6ECA" w:rsidTr="0084636B">
        <w:tc>
          <w:tcPr>
            <w:tcW w:w="483" w:type="dxa"/>
            <w:tcBorders>
              <w:bottom w:val="nil"/>
              <w:right w:val="single" w:sz="4" w:space="0" w:color="auto"/>
            </w:tcBorders>
            <w:shd w:val="clear" w:color="auto" w:fill="D9D9D9"/>
          </w:tcPr>
          <w:p w:rsidR="0084636B" w:rsidRPr="002E6ECA" w:rsidRDefault="0084636B" w:rsidP="00214078">
            <w:pPr>
              <w:rPr>
                <w:b/>
                <w:bCs/>
                <w:lang w:val="uk-UA"/>
              </w:rPr>
            </w:pPr>
            <w:r w:rsidRPr="002E6ECA">
              <w:rPr>
                <w:b/>
                <w:bCs/>
                <w:lang w:val="uk-UA"/>
              </w:rPr>
              <w:t>34</w:t>
            </w:r>
          </w:p>
        </w:tc>
        <w:tc>
          <w:tcPr>
            <w:tcW w:w="6105" w:type="dxa"/>
            <w:tcBorders>
              <w:left w:val="single" w:sz="4" w:space="0" w:color="auto"/>
              <w:bottom w:val="nil"/>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Береш</w:t>
            </w:r>
            <w:r w:rsidR="00D46B1B" w:rsidRPr="002E6ECA">
              <w:rPr>
                <w:lang w:val="uk-UA"/>
              </w:rPr>
              <w:t xml:space="preserve"> </w:t>
            </w:r>
            <w:r w:rsidRPr="002E6ECA">
              <w:rPr>
                <w:lang w:val="uk-UA"/>
              </w:rPr>
              <w:t>чужі</w:t>
            </w:r>
            <w:r w:rsidR="00D46B1B" w:rsidRPr="002E6ECA">
              <w:rPr>
                <w:lang w:val="uk-UA"/>
              </w:rPr>
              <w:t xml:space="preserve"> </w:t>
            </w:r>
            <w:r w:rsidRPr="002E6ECA">
              <w:rPr>
                <w:lang w:val="uk-UA"/>
              </w:rPr>
              <w:t>речі</w:t>
            </w:r>
            <w:r w:rsidR="00D46B1B" w:rsidRPr="002E6ECA">
              <w:rPr>
                <w:lang w:val="uk-UA"/>
              </w:rPr>
              <w:t xml:space="preserve"> </w:t>
            </w:r>
          </w:p>
        </w:tc>
        <w:tc>
          <w:tcPr>
            <w:tcW w:w="540" w:type="dxa"/>
            <w:tcBorders>
              <w:left w:val="single" w:sz="4" w:space="0" w:color="auto"/>
              <w:bottom w:val="nil"/>
              <w:right w:val="single" w:sz="4" w:space="0" w:color="auto"/>
            </w:tcBorders>
            <w:shd w:val="clear" w:color="auto" w:fill="D9D9D9"/>
          </w:tcPr>
          <w:p w:rsidR="0084636B" w:rsidRPr="002E6ECA" w:rsidRDefault="0084636B" w:rsidP="00214078">
            <w:pPr>
              <w:rPr>
                <w:b/>
                <w:bCs/>
                <w:lang w:val="uk-UA"/>
              </w:rPr>
            </w:pPr>
            <w:r w:rsidRPr="002E6ECA">
              <w:rPr>
                <w:b/>
                <w:bCs/>
                <w:lang w:val="uk-UA"/>
              </w:rPr>
              <w:t>34</w:t>
            </w:r>
          </w:p>
        </w:tc>
        <w:tc>
          <w:tcPr>
            <w:tcW w:w="1097" w:type="dxa"/>
            <w:tcBorders>
              <w:left w:val="single" w:sz="4" w:space="0" w:color="auto"/>
              <w:bottom w:val="nil"/>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bottom w:val="nil"/>
              <w:right w:val="single" w:sz="4" w:space="0" w:color="auto"/>
            </w:tcBorders>
            <w:shd w:val="clear" w:color="auto" w:fill="D9D9D9"/>
          </w:tcPr>
          <w:p w:rsidR="0084636B" w:rsidRPr="002E6ECA" w:rsidRDefault="0084636B" w:rsidP="00214078">
            <w:pPr>
              <w:jc w:val="center"/>
              <w:rPr>
                <w:b/>
                <w:bCs/>
                <w:lang w:val="uk-UA"/>
              </w:rPr>
            </w:pPr>
          </w:p>
        </w:tc>
        <w:tc>
          <w:tcPr>
            <w:tcW w:w="1098" w:type="dxa"/>
            <w:tcBorders>
              <w:left w:val="single" w:sz="4" w:space="0" w:color="auto"/>
              <w:bottom w:val="nil"/>
            </w:tcBorders>
            <w:shd w:val="clear" w:color="auto" w:fill="D9D9D9"/>
          </w:tcPr>
          <w:p w:rsidR="0084636B" w:rsidRPr="002E6ECA" w:rsidRDefault="0084636B" w:rsidP="00214078">
            <w:pPr>
              <w:jc w:val="center"/>
              <w:rPr>
                <w:b/>
                <w:bCs/>
                <w:lang w:val="uk-UA"/>
              </w:rPr>
            </w:pPr>
          </w:p>
        </w:tc>
      </w:tr>
      <w:tr w:rsidR="0084636B" w:rsidRPr="002E6ECA" w:rsidTr="0084636B">
        <w:tc>
          <w:tcPr>
            <w:tcW w:w="483" w:type="dxa"/>
            <w:tcBorders>
              <w:bottom w:val="single" w:sz="4" w:space="0" w:color="auto"/>
              <w:right w:val="single" w:sz="4" w:space="0" w:color="auto"/>
            </w:tcBorders>
          </w:tcPr>
          <w:p w:rsidR="0084636B" w:rsidRPr="002E6ECA" w:rsidRDefault="0084636B" w:rsidP="00214078">
            <w:pPr>
              <w:rPr>
                <w:b/>
                <w:bCs/>
                <w:lang w:val="uk-UA"/>
              </w:rPr>
            </w:pPr>
            <w:r w:rsidRPr="002E6ECA">
              <w:rPr>
                <w:b/>
                <w:bCs/>
                <w:lang w:val="uk-UA"/>
              </w:rPr>
              <w:t>35</w:t>
            </w:r>
          </w:p>
        </w:tc>
        <w:tc>
          <w:tcPr>
            <w:tcW w:w="6105" w:type="dxa"/>
            <w:tcBorders>
              <w:left w:val="single" w:sz="4" w:space="0" w:color="auto"/>
              <w:bottom w:val="single" w:sz="4" w:space="0" w:color="auto"/>
              <w:right w:val="single" w:sz="4" w:space="0" w:color="auto"/>
            </w:tcBorders>
          </w:tcPr>
          <w:p w:rsidR="0084636B" w:rsidRPr="002E6ECA" w:rsidRDefault="0084636B" w:rsidP="00214078">
            <w:pPr>
              <w:rPr>
                <w:lang w:val="uk-UA"/>
              </w:rPr>
            </w:pPr>
            <w:r w:rsidRPr="002E6ECA">
              <w:rPr>
                <w:lang w:val="uk-UA"/>
              </w:rPr>
              <w:t>Відмовляєшся</w:t>
            </w:r>
            <w:r w:rsidR="00D46B1B" w:rsidRPr="002E6ECA">
              <w:rPr>
                <w:lang w:val="uk-UA"/>
              </w:rPr>
              <w:t xml:space="preserve"> </w:t>
            </w:r>
            <w:r w:rsidRPr="002E6ECA">
              <w:rPr>
                <w:lang w:val="uk-UA"/>
              </w:rPr>
              <w:t>ділитися</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іншими</w:t>
            </w:r>
          </w:p>
        </w:tc>
        <w:tc>
          <w:tcPr>
            <w:tcW w:w="540" w:type="dxa"/>
            <w:tcBorders>
              <w:left w:val="single" w:sz="4" w:space="0" w:color="auto"/>
              <w:bottom w:val="single" w:sz="4" w:space="0" w:color="auto"/>
              <w:right w:val="single" w:sz="4" w:space="0" w:color="auto"/>
            </w:tcBorders>
          </w:tcPr>
          <w:p w:rsidR="0084636B" w:rsidRPr="002E6ECA" w:rsidRDefault="0084636B" w:rsidP="00214078">
            <w:pPr>
              <w:rPr>
                <w:b/>
                <w:bCs/>
                <w:lang w:val="uk-UA"/>
              </w:rPr>
            </w:pPr>
            <w:r w:rsidRPr="002E6ECA">
              <w:rPr>
                <w:b/>
                <w:bCs/>
                <w:lang w:val="uk-UA"/>
              </w:rPr>
              <w:t>35</w:t>
            </w:r>
          </w:p>
        </w:tc>
        <w:tc>
          <w:tcPr>
            <w:tcW w:w="1097" w:type="dxa"/>
            <w:tcBorders>
              <w:left w:val="single" w:sz="4" w:space="0" w:color="auto"/>
              <w:bottom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bottom w:val="single" w:sz="4" w:space="0" w:color="auto"/>
              <w:right w:val="single" w:sz="4" w:space="0" w:color="auto"/>
            </w:tcBorders>
          </w:tcPr>
          <w:p w:rsidR="0084636B" w:rsidRPr="002E6ECA" w:rsidRDefault="0084636B" w:rsidP="00214078">
            <w:pPr>
              <w:jc w:val="center"/>
              <w:rPr>
                <w:b/>
                <w:bCs/>
                <w:lang w:val="uk-UA"/>
              </w:rPr>
            </w:pPr>
          </w:p>
        </w:tc>
        <w:tc>
          <w:tcPr>
            <w:tcW w:w="1098" w:type="dxa"/>
            <w:tcBorders>
              <w:left w:val="single" w:sz="4" w:space="0" w:color="auto"/>
              <w:bottom w:val="single" w:sz="4" w:space="0" w:color="auto"/>
            </w:tcBorders>
          </w:tcPr>
          <w:p w:rsidR="0084636B" w:rsidRPr="002E6ECA" w:rsidRDefault="0084636B" w:rsidP="00214078">
            <w:pPr>
              <w:jc w:val="center"/>
              <w:rPr>
                <w:b/>
                <w:bCs/>
                <w:lang w:val="uk-UA"/>
              </w:rPr>
            </w:pPr>
          </w:p>
        </w:tc>
      </w:tr>
    </w:tbl>
    <w:p w:rsidR="00214078" w:rsidRPr="002E6ECA" w:rsidRDefault="0084636B" w:rsidP="00023668">
      <w:pPr>
        <w:ind w:firstLine="709"/>
        <w:jc w:val="right"/>
        <w:rPr>
          <w:b/>
          <w:bCs/>
          <w:sz w:val="28"/>
          <w:szCs w:val="28"/>
          <w:lang w:val="uk-UA"/>
        </w:rPr>
      </w:pPr>
      <w:r w:rsidRPr="002E6ECA">
        <w:rPr>
          <w:rFonts w:ascii="Arial" w:hAnsi="Arial" w:cs="Arial"/>
          <w:b/>
          <w:bCs/>
          <w:sz w:val="20"/>
          <w:szCs w:val="20"/>
          <w:lang w:val="uk-UA"/>
        </w:rPr>
        <w:br w:type="page"/>
      </w:r>
      <w:r w:rsidR="00023668" w:rsidRPr="002E6ECA">
        <w:rPr>
          <w:b/>
          <w:bCs/>
          <w:sz w:val="28"/>
          <w:szCs w:val="28"/>
          <w:lang w:val="uk-UA"/>
        </w:rPr>
        <w:lastRenderedPageBreak/>
        <w:t xml:space="preserve">Додаток Д 2 </w:t>
      </w:r>
    </w:p>
    <w:p w:rsidR="0084636B" w:rsidRPr="002E6ECA" w:rsidRDefault="0084636B" w:rsidP="00214078">
      <w:pPr>
        <w:ind w:firstLine="709"/>
        <w:jc w:val="center"/>
        <w:rPr>
          <w:b/>
          <w:bCs/>
          <w:sz w:val="28"/>
          <w:szCs w:val="28"/>
          <w:lang w:val="uk-UA"/>
        </w:rPr>
      </w:pPr>
      <w:r w:rsidRPr="002E6ECA">
        <w:rPr>
          <w:b/>
          <w:bCs/>
          <w:sz w:val="28"/>
          <w:szCs w:val="28"/>
          <w:lang w:val="uk-UA"/>
        </w:rPr>
        <w:t>Перелік</w:t>
      </w:r>
      <w:r w:rsidR="00D46B1B" w:rsidRPr="002E6ECA">
        <w:rPr>
          <w:b/>
          <w:bCs/>
          <w:sz w:val="28"/>
          <w:szCs w:val="28"/>
          <w:lang w:val="uk-UA"/>
        </w:rPr>
        <w:t xml:space="preserve"> </w:t>
      </w:r>
      <w:r w:rsidRPr="002E6ECA">
        <w:rPr>
          <w:b/>
          <w:bCs/>
          <w:sz w:val="28"/>
          <w:szCs w:val="28"/>
          <w:lang w:val="uk-UA"/>
        </w:rPr>
        <w:t>дитячих</w:t>
      </w:r>
      <w:r w:rsidR="00D46B1B" w:rsidRPr="002E6ECA">
        <w:rPr>
          <w:b/>
          <w:bCs/>
          <w:sz w:val="28"/>
          <w:szCs w:val="28"/>
          <w:lang w:val="uk-UA"/>
        </w:rPr>
        <w:t xml:space="preserve"> </w:t>
      </w:r>
      <w:r w:rsidRPr="002E6ECA">
        <w:rPr>
          <w:b/>
          <w:bCs/>
          <w:sz w:val="28"/>
          <w:szCs w:val="28"/>
          <w:lang w:val="uk-UA"/>
        </w:rPr>
        <w:t>симптомів</w:t>
      </w:r>
      <w:r w:rsidR="00D46B1B" w:rsidRPr="002E6ECA">
        <w:rPr>
          <w:b/>
          <w:bCs/>
          <w:sz w:val="28"/>
          <w:szCs w:val="28"/>
          <w:lang w:val="uk-UA"/>
        </w:rPr>
        <w:t xml:space="preserve"> </w:t>
      </w:r>
      <w:r w:rsidR="00E26678" w:rsidRPr="002E6ECA">
        <w:rPr>
          <w:b/>
          <w:bCs/>
          <w:sz w:val="28"/>
          <w:szCs w:val="28"/>
          <w:lang w:val="uk-UA"/>
        </w:rPr>
        <w:t>-</w:t>
      </w:r>
      <w:r w:rsidRPr="002E6ECA">
        <w:rPr>
          <w:b/>
          <w:bCs/>
          <w:sz w:val="28"/>
          <w:szCs w:val="28"/>
          <w:lang w:val="uk-UA"/>
        </w:rPr>
        <w:t>версія</w:t>
      </w:r>
      <w:r w:rsidR="00D46B1B" w:rsidRPr="002E6ECA">
        <w:rPr>
          <w:b/>
          <w:bCs/>
          <w:sz w:val="28"/>
          <w:szCs w:val="28"/>
          <w:lang w:val="uk-UA"/>
        </w:rPr>
        <w:t xml:space="preserve"> </w:t>
      </w:r>
      <w:r w:rsidRPr="002E6ECA">
        <w:rPr>
          <w:b/>
          <w:bCs/>
          <w:sz w:val="28"/>
          <w:szCs w:val="28"/>
          <w:lang w:val="uk-UA"/>
        </w:rPr>
        <w:t>для</w:t>
      </w:r>
      <w:r w:rsidR="00D46B1B" w:rsidRPr="002E6ECA">
        <w:rPr>
          <w:b/>
          <w:bCs/>
          <w:sz w:val="28"/>
          <w:szCs w:val="28"/>
          <w:lang w:val="uk-UA"/>
        </w:rPr>
        <w:t xml:space="preserve"> </w:t>
      </w:r>
      <w:r w:rsidRPr="002E6ECA">
        <w:rPr>
          <w:b/>
          <w:bCs/>
          <w:sz w:val="28"/>
          <w:szCs w:val="28"/>
          <w:lang w:val="uk-UA"/>
        </w:rPr>
        <w:t>батьків</w:t>
      </w:r>
      <w:r w:rsidR="00D46B1B" w:rsidRPr="002E6ECA">
        <w:rPr>
          <w:b/>
          <w:bCs/>
          <w:sz w:val="28"/>
          <w:szCs w:val="28"/>
          <w:lang w:val="uk-UA"/>
        </w:rPr>
        <w:t xml:space="preserve"> </w:t>
      </w:r>
      <w:r w:rsidRPr="002E6ECA">
        <w:rPr>
          <w:b/>
          <w:bCs/>
          <w:sz w:val="28"/>
          <w:szCs w:val="28"/>
          <w:lang w:val="uk-UA"/>
        </w:rPr>
        <w:t>(PSC)</w:t>
      </w:r>
    </w:p>
    <w:p w:rsidR="0084636B" w:rsidRPr="002E6ECA" w:rsidRDefault="0084636B" w:rsidP="00214078">
      <w:pPr>
        <w:ind w:firstLine="709"/>
        <w:rPr>
          <w:lang w:val="uk-UA"/>
        </w:rPr>
      </w:pPr>
      <w:r w:rsidRPr="002E6ECA">
        <w:rPr>
          <w:lang w:val="uk-UA"/>
        </w:rPr>
        <w:t>Емоційне</w:t>
      </w:r>
      <w:r w:rsidR="00D46B1B" w:rsidRPr="002E6ECA">
        <w:rPr>
          <w:lang w:val="uk-UA"/>
        </w:rPr>
        <w:t xml:space="preserve"> </w:t>
      </w:r>
      <w:r w:rsidRPr="002E6ECA">
        <w:rPr>
          <w:lang w:val="uk-UA"/>
        </w:rPr>
        <w:t>та</w:t>
      </w:r>
      <w:r w:rsidR="00D46B1B" w:rsidRPr="002E6ECA">
        <w:rPr>
          <w:lang w:val="uk-UA"/>
        </w:rPr>
        <w:t xml:space="preserve"> </w:t>
      </w:r>
      <w:r w:rsidRPr="002E6ECA">
        <w:rPr>
          <w:lang w:val="uk-UA"/>
        </w:rPr>
        <w:t>фізичне</w:t>
      </w:r>
      <w:r w:rsidR="00D46B1B" w:rsidRPr="002E6ECA">
        <w:rPr>
          <w:lang w:val="uk-UA"/>
        </w:rPr>
        <w:t xml:space="preserve"> </w:t>
      </w:r>
      <w:r w:rsidRPr="002E6ECA">
        <w:rPr>
          <w:lang w:val="uk-UA"/>
        </w:rPr>
        <w:t>здоров'я</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дітей</w:t>
      </w:r>
      <w:r w:rsidR="00D46B1B" w:rsidRPr="002E6ECA">
        <w:rPr>
          <w:lang w:val="uk-UA"/>
        </w:rPr>
        <w:t xml:space="preserve"> </w:t>
      </w:r>
      <w:r w:rsidRPr="002E6ECA">
        <w:rPr>
          <w:lang w:val="uk-UA"/>
        </w:rPr>
        <w:t>тісно</w:t>
      </w:r>
      <w:r w:rsidR="00D46B1B" w:rsidRPr="002E6ECA">
        <w:rPr>
          <w:lang w:val="uk-UA"/>
        </w:rPr>
        <w:t xml:space="preserve"> </w:t>
      </w:r>
      <w:r w:rsidRPr="002E6ECA">
        <w:rPr>
          <w:lang w:val="uk-UA"/>
        </w:rPr>
        <w:t>пов’язані.</w:t>
      </w:r>
      <w:r w:rsidR="00D46B1B" w:rsidRPr="002E6ECA">
        <w:rPr>
          <w:lang w:val="uk-UA"/>
        </w:rPr>
        <w:t xml:space="preserve"> </w:t>
      </w:r>
      <w:r w:rsidRPr="002E6ECA">
        <w:rPr>
          <w:lang w:val="uk-UA"/>
        </w:rPr>
        <w:t>Оскільки</w:t>
      </w:r>
      <w:r w:rsidR="00D46B1B" w:rsidRPr="002E6ECA">
        <w:rPr>
          <w:lang w:val="uk-UA"/>
        </w:rPr>
        <w:t xml:space="preserve"> </w:t>
      </w:r>
      <w:r w:rsidRPr="002E6ECA">
        <w:rPr>
          <w:lang w:val="uk-UA"/>
        </w:rPr>
        <w:t>батьки</w:t>
      </w:r>
      <w:r w:rsidR="00D46B1B" w:rsidRPr="002E6ECA">
        <w:rPr>
          <w:lang w:val="uk-UA"/>
        </w:rPr>
        <w:t xml:space="preserve"> </w:t>
      </w:r>
      <w:r w:rsidRPr="002E6ECA">
        <w:rPr>
          <w:lang w:val="uk-UA"/>
        </w:rPr>
        <w:t>часто</w:t>
      </w:r>
      <w:r w:rsidR="00D46B1B" w:rsidRPr="002E6ECA">
        <w:rPr>
          <w:lang w:val="uk-UA"/>
        </w:rPr>
        <w:t xml:space="preserve"> </w:t>
      </w:r>
      <w:r w:rsidRPr="002E6ECA">
        <w:rPr>
          <w:lang w:val="uk-UA"/>
        </w:rPr>
        <w:t>першими</w:t>
      </w:r>
      <w:r w:rsidR="00D46B1B" w:rsidRPr="002E6ECA">
        <w:rPr>
          <w:lang w:val="uk-UA"/>
        </w:rPr>
        <w:t xml:space="preserve"> </w:t>
      </w:r>
      <w:r w:rsidRPr="002E6ECA">
        <w:rPr>
          <w:lang w:val="uk-UA"/>
        </w:rPr>
        <w:t>помічають</w:t>
      </w:r>
      <w:r w:rsidR="00D46B1B" w:rsidRPr="002E6ECA">
        <w:rPr>
          <w:lang w:val="uk-UA"/>
        </w:rPr>
        <w:t xml:space="preserve"> </w:t>
      </w:r>
      <w:r w:rsidRPr="002E6ECA">
        <w:rPr>
          <w:lang w:val="uk-UA"/>
        </w:rPr>
        <w:t>проблеми</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поведінкою,</w:t>
      </w:r>
      <w:r w:rsidR="00D46B1B" w:rsidRPr="002E6ECA">
        <w:rPr>
          <w:lang w:val="uk-UA"/>
        </w:rPr>
        <w:t xml:space="preserve"> </w:t>
      </w:r>
      <w:r w:rsidRPr="002E6ECA">
        <w:rPr>
          <w:lang w:val="uk-UA"/>
        </w:rPr>
        <w:t>емоціями</w:t>
      </w:r>
      <w:r w:rsidR="00D46B1B" w:rsidRPr="002E6ECA">
        <w:rPr>
          <w:lang w:val="uk-UA"/>
        </w:rPr>
        <w:t xml:space="preserve"> </w:t>
      </w:r>
      <w:r w:rsidRPr="002E6ECA">
        <w:rPr>
          <w:lang w:val="uk-UA"/>
        </w:rPr>
        <w:t>або</w:t>
      </w:r>
      <w:r w:rsidR="00D46B1B" w:rsidRPr="002E6ECA">
        <w:rPr>
          <w:lang w:val="uk-UA"/>
        </w:rPr>
        <w:t xml:space="preserve"> </w:t>
      </w:r>
      <w:r w:rsidRPr="002E6ECA">
        <w:rPr>
          <w:lang w:val="uk-UA"/>
        </w:rPr>
        <w:t>навчанням</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їх</w:t>
      </w:r>
      <w:r w:rsidR="00D46B1B" w:rsidRPr="002E6ECA">
        <w:rPr>
          <w:lang w:val="uk-UA"/>
        </w:rPr>
        <w:t xml:space="preserve"> </w:t>
      </w:r>
      <w:r w:rsidRPr="002E6ECA">
        <w:rPr>
          <w:lang w:val="uk-UA"/>
        </w:rPr>
        <w:t>дитини,</w:t>
      </w:r>
      <w:r w:rsidR="00D46B1B" w:rsidRPr="002E6ECA">
        <w:rPr>
          <w:lang w:val="uk-UA"/>
        </w:rPr>
        <w:t xml:space="preserve"> </w:t>
      </w:r>
      <w:r w:rsidRPr="002E6ECA">
        <w:rPr>
          <w:lang w:val="uk-UA"/>
        </w:rPr>
        <w:t>ви</w:t>
      </w:r>
      <w:r w:rsidR="00D46B1B" w:rsidRPr="002E6ECA">
        <w:rPr>
          <w:lang w:val="uk-UA"/>
        </w:rPr>
        <w:t xml:space="preserve"> </w:t>
      </w:r>
      <w:r w:rsidRPr="002E6ECA">
        <w:rPr>
          <w:lang w:val="uk-UA"/>
        </w:rPr>
        <w:t>можете</w:t>
      </w:r>
      <w:r w:rsidR="00D46B1B" w:rsidRPr="002E6ECA">
        <w:rPr>
          <w:lang w:val="uk-UA"/>
        </w:rPr>
        <w:t xml:space="preserve"> </w:t>
      </w:r>
      <w:r w:rsidRPr="002E6ECA">
        <w:rPr>
          <w:lang w:val="uk-UA"/>
        </w:rPr>
        <w:t>допомогти</w:t>
      </w:r>
      <w:r w:rsidR="00D46B1B" w:rsidRPr="002E6ECA">
        <w:rPr>
          <w:lang w:val="uk-UA"/>
        </w:rPr>
        <w:t xml:space="preserve"> </w:t>
      </w:r>
      <w:r w:rsidRPr="002E6ECA">
        <w:rPr>
          <w:lang w:val="uk-UA"/>
        </w:rPr>
        <w:t>вашій</w:t>
      </w:r>
      <w:r w:rsidR="00D46B1B" w:rsidRPr="002E6ECA">
        <w:rPr>
          <w:lang w:val="uk-UA"/>
        </w:rPr>
        <w:t xml:space="preserve"> </w:t>
      </w:r>
      <w:r w:rsidRPr="002E6ECA">
        <w:rPr>
          <w:lang w:val="uk-UA"/>
        </w:rPr>
        <w:t>дитині</w:t>
      </w:r>
      <w:r w:rsidR="00D46B1B" w:rsidRPr="002E6ECA">
        <w:rPr>
          <w:lang w:val="uk-UA"/>
        </w:rPr>
        <w:t xml:space="preserve"> </w:t>
      </w:r>
      <w:r w:rsidRPr="002E6ECA">
        <w:rPr>
          <w:lang w:val="uk-UA"/>
        </w:rPr>
        <w:t>отримати</w:t>
      </w:r>
      <w:r w:rsidR="00D46B1B" w:rsidRPr="002E6ECA">
        <w:rPr>
          <w:lang w:val="uk-UA"/>
        </w:rPr>
        <w:t xml:space="preserve"> </w:t>
      </w:r>
      <w:r w:rsidRPr="002E6ECA">
        <w:rPr>
          <w:lang w:val="uk-UA"/>
        </w:rPr>
        <w:t>найкращу</w:t>
      </w:r>
      <w:r w:rsidR="00D46B1B" w:rsidRPr="002E6ECA">
        <w:rPr>
          <w:lang w:val="uk-UA"/>
        </w:rPr>
        <w:t xml:space="preserve"> </w:t>
      </w:r>
      <w:r w:rsidRPr="002E6ECA">
        <w:rPr>
          <w:lang w:val="uk-UA"/>
        </w:rPr>
        <w:t>допомогу,</w:t>
      </w:r>
      <w:r w:rsidR="00D46B1B" w:rsidRPr="002E6ECA">
        <w:rPr>
          <w:lang w:val="uk-UA"/>
        </w:rPr>
        <w:t xml:space="preserve"> </w:t>
      </w:r>
      <w:r w:rsidRPr="002E6ECA">
        <w:rPr>
          <w:lang w:val="uk-UA"/>
        </w:rPr>
        <w:t>відповівши</w:t>
      </w:r>
      <w:r w:rsidR="00D46B1B" w:rsidRPr="002E6ECA">
        <w:rPr>
          <w:lang w:val="uk-UA"/>
        </w:rPr>
        <w:t xml:space="preserve"> </w:t>
      </w:r>
      <w:r w:rsidRPr="002E6ECA">
        <w:rPr>
          <w:lang w:val="uk-UA"/>
        </w:rPr>
        <w:t>на</w:t>
      </w:r>
      <w:r w:rsidR="00D46B1B" w:rsidRPr="002E6ECA">
        <w:rPr>
          <w:lang w:val="uk-UA"/>
        </w:rPr>
        <w:t xml:space="preserve"> </w:t>
      </w:r>
      <w:r w:rsidRPr="002E6ECA">
        <w:rPr>
          <w:lang w:val="uk-UA"/>
        </w:rPr>
        <w:t>ці</w:t>
      </w:r>
      <w:r w:rsidR="00D46B1B" w:rsidRPr="002E6ECA">
        <w:rPr>
          <w:lang w:val="uk-UA"/>
        </w:rPr>
        <w:t xml:space="preserve"> </w:t>
      </w:r>
      <w:r w:rsidRPr="002E6ECA">
        <w:rPr>
          <w:lang w:val="uk-UA"/>
        </w:rPr>
        <w:t>питання.</w:t>
      </w:r>
      <w:r w:rsidR="00D46B1B" w:rsidRPr="002E6ECA">
        <w:rPr>
          <w:lang w:val="uk-UA"/>
        </w:rPr>
        <w:t xml:space="preserve"> </w:t>
      </w:r>
      <w:r w:rsidRPr="002E6ECA">
        <w:rPr>
          <w:lang w:val="uk-UA"/>
        </w:rPr>
        <w:t>Будь</w:t>
      </w:r>
      <w:r w:rsidR="00D46B1B" w:rsidRPr="002E6ECA">
        <w:rPr>
          <w:lang w:val="uk-UA"/>
        </w:rPr>
        <w:t xml:space="preserve"> </w:t>
      </w:r>
      <w:r w:rsidRPr="002E6ECA">
        <w:rPr>
          <w:lang w:val="uk-UA"/>
        </w:rPr>
        <w:t>ласка,</w:t>
      </w:r>
      <w:r w:rsidR="00D46B1B" w:rsidRPr="002E6ECA">
        <w:rPr>
          <w:lang w:val="uk-UA"/>
        </w:rPr>
        <w:t xml:space="preserve"> </w:t>
      </w:r>
      <w:r w:rsidRPr="002E6ECA">
        <w:rPr>
          <w:lang w:val="uk-UA"/>
        </w:rPr>
        <w:t>вкажіть,</w:t>
      </w:r>
      <w:r w:rsidR="00D46B1B" w:rsidRPr="002E6ECA">
        <w:rPr>
          <w:lang w:val="uk-UA"/>
        </w:rPr>
        <w:t xml:space="preserve"> </w:t>
      </w:r>
      <w:r w:rsidRPr="002E6ECA">
        <w:rPr>
          <w:lang w:val="uk-UA"/>
        </w:rPr>
        <w:t>які</w:t>
      </w:r>
      <w:r w:rsidR="00D46B1B" w:rsidRPr="002E6ECA">
        <w:rPr>
          <w:lang w:val="uk-UA"/>
        </w:rPr>
        <w:t xml:space="preserve"> </w:t>
      </w:r>
      <w:r w:rsidRPr="002E6ECA">
        <w:rPr>
          <w:lang w:val="uk-UA"/>
        </w:rPr>
        <w:t>речення</w:t>
      </w:r>
      <w:r w:rsidR="00D46B1B" w:rsidRPr="002E6ECA">
        <w:rPr>
          <w:lang w:val="uk-UA"/>
        </w:rPr>
        <w:t xml:space="preserve"> </w:t>
      </w:r>
      <w:r w:rsidRPr="002E6ECA">
        <w:rPr>
          <w:lang w:val="uk-UA"/>
        </w:rPr>
        <w:t>найкраще</w:t>
      </w:r>
      <w:r w:rsidR="00D46B1B" w:rsidRPr="002E6ECA">
        <w:rPr>
          <w:lang w:val="uk-UA"/>
        </w:rPr>
        <w:t xml:space="preserve"> </w:t>
      </w:r>
      <w:r w:rsidRPr="002E6ECA">
        <w:rPr>
          <w:lang w:val="uk-UA"/>
        </w:rPr>
        <w:t>описують</w:t>
      </w:r>
      <w:r w:rsidR="00D46B1B" w:rsidRPr="002E6ECA">
        <w:rPr>
          <w:lang w:val="uk-UA"/>
        </w:rPr>
        <w:t xml:space="preserve"> </w:t>
      </w:r>
      <w:r w:rsidRPr="002E6ECA">
        <w:rPr>
          <w:lang w:val="uk-UA"/>
        </w:rPr>
        <w:t>вашу</w:t>
      </w:r>
      <w:r w:rsidR="00D46B1B" w:rsidRPr="002E6ECA">
        <w:rPr>
          <w:lang w:val="uk-UA"/>
        </w:rPr>
        <w:t xml:space="preserve"> </w:t>
      </w:r>
      <w:r w:rsidRPr="002E6ECA">
        <w:rPr>
          <w:lang w:val="uk-UA"/>
        </w:rPr>
        <w:t>дитину.</w:t>
      </w:r>
    </w:p>
    <w:p w:rsidR="0084636B" w:rsidRPr="002E6ECA" w:rsidRDefault="0084636B" w:rsidP="00214078">
      <w:pPr>
        <w:ind w:firstLine="709"/>
        <w:rPr>
          <w:rFonts w:ascii="Arial" w:hAnsi="Arial" w:cs="Arial"/>
          <w:bCs/>
          <w:lang w:val="uk-UA"/>
        </w:rPr>
      </w:pPr>
      <w:r w:rsidRPr="002E6ECA">
        <w:rPr>
          <w:bCs/>
          <w:lang w:val="uk-UA"/>
        </w:rPr>
        <w:t>Будь</w:t>
      </w:r>
      <w:r w:rsidR="00D46B1B" w:rsidRPr="002E6ECA">
        <w:rPr>
          <w:bCs/>
          <w:lang w:val="uk-UA"/>
        </w:rPr>
        <w:t xml:space="preserve"> </w:t>
      </w:r>
      <w:r w:rsidRPr="002E6ECA">
        <w:rPr>
          <w:bCs/>
          <w:lang w:val="uk-UA"/>
        </w:rPr>
        <w:t>ласка,</w:t>
      </w:r>
      <w:r w:rsidR="00D46B1B" w:rsidRPr="002E6ECA">
        <w:rPr>
          <w:bCs/>
          <w:lang w:val="uk-UA"/>
        </w:rPr>
        <w:t xml:space="preserve"> </w:t>
      </w:r>
      <w:r w:rsidRPr="002E6ECA">
        <w:rPr>
          <w:bCs/>
          <w:lang w:val="uk-UA"/>
        </w:rPr>
        <w:t>прочитайте</w:t>
      </w:r>
      <w:r w:rsidR="00D46B1B" w:rsidRPr="002E6ECA">
        <w:rPr>
          <w:bCs/>
          <w:lang w:val="uk-UA"/>
        </w:rPr>
        <w:t xml:space="preserve"> </w:t>
      </w:r>
      <w:r w:rsidRPr="002E6ECA">
        <w:rPr>
          <w:bCs/>
          <w:lang w:val="uk-UA"/>
        </w:rPr>
        <w:t>кожне</w:t>
      </w:r>
      <w:r w:rsidR="00D46B1B" w:rsidRPr="002E6ECA">
        <w:rPr>
          <w:bCs/>
          <w:lang w:val="uk-UA"/>
        </w:rPr>
        <w:t xml:space="preserve"> </w:t>
      </w:r>
      <w:r w:rsidRPr="002E6ECA">
        <w:rPr>
          <w:bCs/>
          <w:lang w:val="uk-UA"/>
        </w:rPr>
        <w:t>речення</w:t>
      </w:r>
      <w:r w:rsidR="00D46B1B" w:rsidRPr="002E6ECA">
        <w:rPr>
          <w:bCs/>
          <w:lang w:val="uk-UA"/>
        </w:rPr>
        <w:t xml:space="preserve"> </w:t>
      </w:r>
      <w:r w:rsidRPr="002E6ECA">
        <w:rPr>
          <w:bCs/>
          <w:lang w:val="uk-UA"/>
        </w:rPr>
        <w:t>та</w:t>
      </w:r>
      <w:r w:rsidR="00D46B1B" w:rsidRPr="002E6ECA">
        <w:rPr>
          <w:bCs/>
          <w:lang w:val="uk-UA"/>
        </w:rPr>
        <w:t xml:space="preserve"> </w:t>
      </w:r>
      <w:r w:rsidRPr="002E6ECA">
        <w:rPr>
          <w:bCs/>
          <w:lang w:val="uk-UA"/>
        </w:rPr>
        <w:t>позначте</w:t>
      </w:r>
      <w:r w:rsidR="00D46B1B" w:rsidRPr="002E6ECA">
        <w:rPr>
          <w:bCs/>
          <w:lang w:val="uk-UA"/>
        </w:rPr>
        <w:t xml:space="preserve"> </w:t>
      </w:r>
      <w:r w:rsidRPr="002E6ECA">
        <w:rPr>
          <w:bCs/>
          <w:lang w:val="uk-UA"/>
        </w:rPr>
        <w:t>галочкою</w:t>
      </w:r>
      <w:r w:rsidR="00D46B1B" w:rsidRPr="002E6ECA">
        <w:rPr>
          <w:bCs/>
          <w:lang w:val="uk-UA"/>
        </w:rPr>
        <w:t xml:space="preserve"> </w:t>
      </w:r>
      <w:r w:rsidRPr="002E6ECA">
        <w:rPr>
          <w:bCs/>
          <w:lang w:val="uk-UA"/>
        </w:rPr>
        <w:t>(</w:t>
      </w:r>
      <w:r w:rsidRPr="002E6ECA">
        <w:rPr>
          <w:bCs/>
          <w:lang w:val="uk-UA"/>
        </w:rPr>
        <w:sym w:font="Wingdings" w:char="F0FC"/>
      </w:r>
      <w:r w:rsidRPr="002E6ECA">
        <w:rPr>
          <w:bCs/>
          <w:lang w:val="uk-UA"/>
        </w:rPr>
        <w:t>)</w:t>
      </w:r>
      <w:r w:rsidR="00D46B1B" w:rsidRPr="002E6ECA">
        <w:rPr>
          <w:bCs/>
          <w:lang w:val="uk-UA"/>
        </w:rPr>
        <w:t xml:space="preserve"> </w:t>
      </w:r>
      <w:r w:rsidRPr="002E6ECA">
        <w:rPr>
          <w:bCs/>
          <w:lang w:val="uk-UA"/>
        </w:rPr>
        <w:t>під</w:t>
      </w:r>
      <w:r w:rsidR="00D46B1B" w:rsidRPr="002E6ECA">
        <w:rPr>
          <w:bCs/>
          <w:lang w:val="uk-UA"/>
        </w:rPr>
        <w:t xml:space="preserve"> </w:t>
      </w:r>
      <w:r w:rsidRPr="002E6ECA">
        <w:rPr>
          <w:bCs/>
          <w:lang w:val="uk-UA"/>
        </w:rPr>
        <w:t>відповідями</w:t>
      </w:r>
      <w:r w:rsidR="00D46B1B" w:rsidRPr="002E6ECA">
        <w:rPr>
          <w:bCs/>
          <w:lang w:val="uk-UA"/>
        </w:rPr>
        <w:t xml:space="preserve"> </w:t>
      </w:r>
      <w:r w:rsidRPr="002E6ECA">
        <w:rPr>
          <w:bCs/>
          <w:lang w:val="uk-UA"/>
        </w:rPr>
        <w:t>«Ніколи»,</w:t>
      </w:r>
      <w:r w:rsidR="00D46B1B" w:rsidRPr="002E6ECA">
        <w:rPr>
          <w:bCs/>
          <w:lang w:val="uk-UA"/>
        </w:rPr>
        <w:t xml:space="preserve"> </w:t>
      </w:r>
      <w:r w:rsidRPr="002E6ECA">
        <w:rPr>
          <w:bCs/>
          <w:lang w:val="uk-UA"/>
        </w:rPr>
        <w:t>«Іноді»</w:t>
      </w:r>
      <w:r w:rsidR="00D46B1B" w:rsidRPr="002E6ECA">
        <w:rPr>
          <w:bCs/>
          <w:lang w:val="uk-UA"/>
        </w:rPr>
        <w:t xml:space="preserve"> </w:t>
      </w:r>
      <w:r w:rsidRPr="002E6ECA">
        <w:rPr>
          <w:bCs/>
          <w:lang w:val="uk-UA"/>
        </w:rPr>
        <w:t>та</w:t>
      </w:r>
      <w:r w:rsidR="00D46B1B" w:rsidRPr="002E6ECA">
        <w:rPr>
          <w:bCs/>
          <w:lang w:val="uk-UA"/>
        </w:rPr>
        <w:t xml:space="preserve"> </w:t>
      </w:r>
      <w:r w:rsidRPr="002E6ECA">
        <w:rPr>
          <w:bCs/>
          <w:lang w:val="uk-UA"/>
        </w:rPr>
        <w:t>«Часто»,</w:t>
      </w:r>
      <w:r w:rsidR="00D46B1B" w:rsidRPr="002E6ECA">
        <w:rPr>
          <w:bCs/>
          <w:lang w:val="uk-UA"/>
        </w:rPr>
        <w:t xml:space="preserve"> </w:t>
      </w:r>
      <w:r w:rsidRPr="002E6ECA">
        <w:rPr>
          <w:bCs/>
          <w:lang w:val="uk-UA"/>
        </w:rPr>
        <w:t>наскільки</w:t>
      </w:r>
      <w:r w:rsidR="00D46B1B" w:rsidRPr="002E6ECA">
        <w:rPr>
          <w:bCs/>
          <w:lang w:val="uk-UA"/>
        </w:rPr>
        <w:t xml:space="preserve"> </w:t>
      </w:r>
      <w:r w:rsidRPr="002E6ECA">
        <w:rPr>
          <w:bCs/>
          <w:lang w:val="uk-UA"/>
        </w:rPr>
        <w:t>часто</w:t>
      </w:r>
      <w:r w:rsidR="00D46B1B" w:rsidRPr="002E6ECA">
        <w:rPr>
          <w:bCs/>
          <w:lang w:val="uk-UA"/>
        </w:rPr>
        <w:t xml:space="preserve"> </w:t>
      </w:r>
      <w:r w:rsidRPr="002E6ECA">
        <w:rPr>
          <w:bCs/>
          <w:lang w:val="uk-UA"/>
        </w:rPr>
        <w:t>такі</w:t>
      </w:r>
      <w:r w:rsidR="00D46B1B" w:rsidRPr="002E6ECA">
        <w:rPr>
          <w:bCs/>
          <w:lang w:val="uk-UA"/>
        </w:rPr>
        <w:t xml:space="preserve"> </w:t>
      </w:r>
      <w:r w:rsidRPr="002E6ECA">
        <w:rPr>
          <w:bCs/>
          <w:lang w:val="uk-UA"/>
        </w:rPr>
        <w:t>почуття</w:t>
      </w:r>
      <w:r w:rsidR="00D46B1B" w:rsidRPr="002E6ECA">
        <w:rPr>
          <w:bCs/>
          <w:lang w:val="uk-UA"/>
        </w:rPr>
        <w:t xml:space="preserve"> </w:t>
      </w:r>
      <w:r w:rsidRPr="002E6ECA">
        <w:rPr>
          <w:bCs/>
          <w:lang w:val="uk-UA"/>
        </w:rPr>
        <w:t>та</w:t>
      </w:r>
      <w:r w:rsidR="00D46B1B" w:rsidRPr="002E6ECA">
        <w:rPr>
          <w:bCs/>
          <w:lang w:val="uk-UA"/>
        </w:rPr>
        <w:t xml:space="preserve"> </w:t>
      </w:r>
      <w:r w:rsidRPr="002E6ECA">
        <w:rPr>
          <w:bCs/>
          <w:lang w:val="uk-UA"/>
        </w:rPr>
        <w:t>поведінка</w:t>
      </w:r>
      <w:r w:rsidR="00D46B1B" w:rsidRPr="002E6ECA">
        <w:rPr>
          <w:bCs/>
          <w:lang w:val="uk-UA"/>
        </w:rPr>
        <w:t xml:space="preserve"> </w:t>
      </w:r>
      <w:r w:rsidRPr="002E6ECA">
        <w:rPr>
          <w:bCs/>
          <w:lang w:val="uk-UA"/>
        </w:rPr>
        <w:t>виникають</w:t>
      </w:r>
      <w:r w:rsidR="00D46B1B" w:rsidRPr="002E6ECA">
        <w:rPr>
          <w:bCs/>
          <w:lang w:val="uk-UA"/>
        </w:rPr>
        <w:t xml:space="preserve"> </w:t>
      </w:r>
      <w:r w:rsidRPr="002E6ECA">
        <w:rPr>
          <w:bCs/>
          <w:lang w:val="uk-UA"/>
        </w:rPr>
        <w:t>у</w:t>
      </w:r>
      <w:r w:rsidR="00D46B1B" w:rsidRPr="002E6ECA">
        <w:rPr>
          <w:bCs/>
          <w:lang w:val="uk-UA"/>
        </w:rPr>
        <w:t xml:space="preserve"> </w:t>
      </w:r>
      <w:r w:rsidRPr="002E6ECA">
        <w:rPr>
          <w:bCs/>
          <w:lang w:val="uk-UA"/>
        </w:rPr>
        <w:t>вашої</w:t>
      </w:r>
      <w:r w:rsidR="00D46B1B" w:rsidRPr="002E6ECA">
        <w:rPr>
          <w:bCs/>
          <w:lang w:val="uk-UA"/>
        </w:rPr>
        <w:t xml:space="preserve"> </w:t>
      </w:r>
      <w:r w:rsidRPr="002E6ECA">
        <w:rPr>
          <w:bCs/>
          <w:lang w:val="uk-UA"/>
        </w:rPr>
        <w:t>дитини.</w:t>
      </w:r>
      <w:r w:rsidR="00D46B1B" w:rsidRPr="002E6ECA">
        <w:rPr>
          <w:bCs/>
          <w:lang w:val="uk-UA"/>
        </w:rPr>
        <w:t xml:space="preserve"> </w:t>
      </w:r>
    </w:p>
    <w:tbl>
      <w:tblPr>
        <w:tblW w:w="9610" w:type="dxa"/>
        <w:tblInd w:w="2" w:type="dxa"/>
        <w:tblLook w:val="01E0" w:firstRow="1" w:lastRow="1" w:firstColumn="1" w:lastColumn="1" w:noHBand="0" w:noVBand="0"/>
      </w:tblPr>
      <w:tblGrid>
        <w:gridCol w:w="479"/>
        <w:gridCol w:w="5864"/>
        <w:gridCol w:w="524"/>
        <w:gridCol w:w="1079"/>
        <w:gridCol w:w="807"/>
        <w:gridCol w:w="857"/>
      </w:tblGrid>
      <w:tr w:rsidR="0084636B" w:rsidRPr="002E6ECA" w:rsidTr="00214078">
        <w:tc>
          <w:tcPr>
            <w:tcW w:w="479"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rPr>
                <w:b/>
                <w:bCs/>
                <w:lang w:val="uk-UA"/>
              </w:rPr>
            </w:pPr>
          </w:p>
        </w:tc>
        <w:tc>
          <w:tcPr>
            <w:tcW w:w="5864"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rPr>
                <w:b/>
                <w:bCs/>
                <w:lang w:val="uk-UA"/>
              </w:rPr>
            </w:pPr>
          </w:p>
        </w:tc>
        <w:tc>
          <w:tcPr>
            <w:tcW w:w="524"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rPr>
                <w:b/>
                <w:bCs/>
                <w:lang w:val="uk-UA"/>
              </w:rPr>
            </w:pPr>
          </w:p>
        </w:tc>
        <w:tc>
          <w:tcPr>
            <w:tcW w:w="1079"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jc w:val="center"/>
              <w:rPr>
                <w:b/>
                <w:bCs/>
                <w:lang w:val="uk-UA"/>
              </w:rPr>
            </w:pPr>
            <w:r w:rsidRPr="002E6ECA">
              <w:rPr>
                <w:b/>
                <w:bCs/>
                <w:lang w:val="uk-UA"/>
              </w:rPr>
              <w:t>Ніколи</w:t>
            </w:r>
          </w:p>
        </w:tc>
        <w:tc>
          <w:tcPr>
            <w:tcW w:w="807"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jc w:val="center"/>
              <w:rPr>
                <w:b/>
                <w:bCs/>
                <w:lang w:val="uk-UA"/>
              </w:rPr>
            </w:pPr>
            <w:r w:rsidRPr="002E6ECA">
              <w:rPr>
                <w:b/>
                <w:bCs/>
                <w:lang w:val="uk-UA"/>
              </w:rPr>
              <w:t>Іноді</w:t>
            </w:r>
          </w:p>
        </w:tc>
        <w:tc>
          <w:tcPr>
            <w:tcW w:w="857" w:type="dxa"/>
            <w:tcBorders>
              <w:top w:val="single" w:sz="4" w:space="0" w:color="auto"/>
              <w:left w:val="single" w:sz="4" w:space="0" w:color="auto"/>
              <w:bottom w:val="single" w:sz="4" w:space="0" w:color="auto"/>
              <w:right w:val="single" w:sz="4" w:space="0" w:color="auto"/>
            </w:tcBorders>
          </w:tcPr>
          <w:p w:rsidR="0084636B" w:rsidRPr="002E6ECA" w:rsidRDefault="0084636B" w:rsidP="00214078">
            <w:pPr>
              <w:jc w:val="center"/>
              <w:rPr>
                <w:b/>
                <w:bCs/>
                <w:lang w:val="uk-UA"/>
              </w:rPr>
            </w:pPr>
            <w:r w:rsidRPr="002E6ECA">
              <w:rPr>
                <w:b/>
                <w:bCs/>
                <w:lang w:val="uk-UA"/>
              </w:rPr>
              <w:t>Часто</w:t>
            </w:r>
          </w:p>
        </w:tc>
      </w:tr>
      <w:tr w:rsidR="0084636B" w:rsidRPr="002E6ECA" w:rsidTr="00214078">
        <w:tc>
          <w:tcPr>
            <w:tcW w:w="479" w:type="dxa"/>
            <w:tcBorders>
              <w:top w:val="single" w:sz="4" w:space="0" w:color="auto"/>
              <w:left w:val="single" w:sz="4" w:space="0" w:color="auto"/>
              <w:right w:val="single" w:sz="4" w:space="0" w:color="auto"/>
            </w:tcBorders>
          </w:tcPr>
          <w:p w:rsidR="0084636B" w:rsidRPr="002E6ECA" w:rsidRDefault="0084636B" w:rsidP="00214078">
            <w:pPr>
              <w:rPr>
                <w:b/>
                <w:bCs/>
                <w:lang w:val="uk-UA"/>
              </w:rPr>
            </w:pPr>
            <w:r w:rsidRPr="002E6ECA">
              <w:rPr>
                <w:b/>
                <w:bCs/>
                <w:lang w:val="uk-UA"/>
              </w:rPr>
              <w:t>1</w:t>
            </w:r>
          </w:p>
        </w:tc>
        <w:tc>
          <w:tcPr>
            <w:tcW w:w="5864" w:type="dxa"/>
            <w:tcBorders>
              <w:top w:val="single" w:sz="4" w:space="0" w:color="auto"/>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Скаржиться</w:t>
            </w:r>
            <w:r w:rsidR="00D46B1B" w:rsidRPr="002E6ECA">
              <w:rPr>
                <w:lang w:val="uk-UA"/>
              </w:rPr>
              <w:t xml:space="preserve"> </w:t>
            </w:r>
            <w:r w:rsidRPr="002E6ECA">
              <w:rPr>
                <w:lang w:val="uk-UA"/>
              </w:rPr>
              <w:t>на</w:t>
            </w:r>
            <w:r w:rsidR="00D46B1B" w:rsidRPr="002E6ECA">
              <w:rPr>
                <w:lang w:val="uk-UA"/>
              </w:rPr>
              <w:t xml:space="preserve"> </w:t>
            </w:r>
            <w:r w:rsidRPr="002E6ECA">
              <w:rPr>
                <w:lang w:val="uk-UA"/>
              </w:rPr>
              <w:t>різні</w:t>
            </w:r>
            <w:r w:rsidR="00D46B1B" w:rsidRPr="002E6ECA">
              <w:rPr>
                <w:lang w:val="uk-UA"/>
              </w:rPr>
              <w:t xml:space="preserve"> </w:t>
            </w:r>
            <w:r w:rsidRPr="002E6ECA">
              <w:rPr>
                <w:lang w:val="uk-UA"/>
              </w:rPr>
              <w:t>болі</w:t>
            </w:r>
          </w:p>
        </w:tc>
        <w:tc>
          <w:tcPr>
            <w:tcW w:w="524" w:type="dxa"/>
            <w:tcBorders>
              <w:top w:val="single" w:sz="4" w:space="0" w:color="auto"/>
              <w:left w:val="single" w:sz="4" w:space="0" w:color="auto"/>
              <w:right w:val="single" w:sz="4" w:space="0" w:color="auto"/>
            </w:tcBorders>
          </w:tcPr>
          <w:p w:rsidR="0084636B" w:rsidRPr="002E6ECA" w:rsidRDefault="0084636B" w:rsidP="00214078">
            <w:pPr>
              <w:rPr>
                <w:b/>
                <w:bCs/>
                <w:lang w:val="uk-UA"/>
              </w:rPr>
            </w:pPr>
            <w:r w:rsidRPr="002E6ECA">
              <w:rPr>
                <w:b/>
                <w:bCs/>
                <w:lang w:val="uk-UA"/>
              </w:rPr>
              <w:t>1</w:t>
            </w:r>
          </w:p>
        </w:tc>
        <w:tc>
          <w:tcPr>
            <w:tcW w:w="1079" w:type="dxa"/>
            <w:tcBorders>
              <w:top w:val="single" w:sz="4" w:space="0" w:color="auto"/>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top w:val="single" w:sz="4" w:space="0" w:color="auto"/>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top w:val="single" w:sz="4" w:space="0" w:color="auto"/>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Проводить</w:t>
            </w:r>
            <w:r w:rsidR="00D46B1B" w:rsidRPr="002E6ECA">
              <w:rPr>
                <w:lang w:val="uk-UA"/>
              </w:rPr>
              <w:t xml:space="preserve"> </w:t>
            </w:r>
            <w:r w:rsidRPr="002E6ECA">
              <w:rPr>
                <w:lang w:val="uk-UA"/>
              </w:rPr>
              <w:t>більше</w:t>
            </w:r>
            <w:r w:rsidR="00D46B1B" w:rsidRPr="002E6ECA">
              <w:rPr>
                <w:lang w:val="uk-UA"/>
              </w:rPr>
              <w:t xml:space="preserve"> </w:t>
            </w:r>
            <w:r w:rsidRPr="002E6ECA">
              <w:rPr>
                <w:lang w:val="uk-UA"/>
              </w:rPr>
              <w:t>часу</w:t>
            </w:r>
            <w:r w:rsidR="00D46B1B" w:rsidRPr="002E6ECA">
              <w:rPr>
                <w:lang w:val="uk-UA"/>
              </w:rPr>
              <w:t xml:space="preserve"> </w:t>
            </w:r>
            <w:r w:rsidRPr="002E6ECA">
              <w:rPr>
                <w:lang w:val="uk-UA"/>
              </w:rPr>
              <w:t>наодинці</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Швидко</w:t>
            </w:r>
            <w:r w:rsidR="00D46B1B" w:rsidRPr="002E6ECA">
              <w:rPr>
                <w:lang w:val="uk-UA"/>
              </w:rPr>
              <w:t xml:space="preserve"> </w:t>
            </w:r>
            <w:r w:rsidRPr="002E6ECA">
              <w:rPr>
                <w:lang w:val="uk-UA"/>
              </w:rPr>
              <w:t>втомлюється,</w:t>
            </w:r>
            <w:r w:rsidR="00D46B1B" w:rsidRPr="002E6ECA">
              <w:rPr>
                <w:lang w:val="uk-UA"/>
              </w:rPr>
              <w:t xml:space="preserve"> </w:t>
            </w:r>
            <w:r w:rsidRPr="002E6ECA">
              <w:rPr>
                <w:lang w:val="uk-UA"/>
              </w:rPr>
              <w:t>має</w:t>
            </w:r>
            <w:r w:rsidR="00D46B1B" w:rsidRPr="002E6ECA">
              <w:rPr>
                <w:lang w:val="uk-UA"/>
              </w:rPr>
              <w:t xml:space="preserve"> </w:t>
            </w:r>
            <w:r w:rsidRPr="002E6ECA">
              <w:rPr>
                <w:lang w:val="uk-UA"/>
              </w:rPr>
              <w:t>недостатньо</w:t>
            </w:r>
            <w:r w:rsidR="00D46B1B" w:rsidRPr="002E6ECA">
              <w:rPr>
                <w:lang w:val="uk-UA"/>
              </w:rPr>
              <w:t xml:space="preserve"> </w:t>
            </w:r>
            <w:r w:rsidRPr="002E6ECA">
              <w:rPr>
                <w:lang w:val="uk-UA"/>
              </w:rPr>
              <w:t>енергії</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4</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Невгамовний,</w:t>
            </w:r>
            <w:r w:rsidR="00D46B1B" w:rsidRPr="002E6ECA">
              <w:rPr>
                <w:lang w:val="uk-UA"/>
              </w:rPr>
              <w:t xml:space="preserve"> </w:t>
            </w:r>
            <w:r w:rsidRPr="002E6ECA">
              <w:rPr>
                <w:lang w:val="uk-UA"/>
              </w:rPr>
              <w:t>не</w:t>
            </w:r>
            <w:r w:rsidR="00D46B1B" w:rsidRPr="002E6ECA">
              <w:rPr>
                <w:lang w:val="uk-UA"/>
              </w:rPr>
              <w:t xml:space="preserve"> </w:t>
            </w:r>
            <w:r w:rsidRPr="002E6ECA">
              <w:rPr>
                <w:lang w:val="uk-UA"/>
              </w:rPr>
              <w:t>може</w:t>
            </w:r>
            <w:r w:rsidR="00D46B1B" w:rsidRPr="002E6ECA">
              <w:rPr>
                <w:lang w:val="uk-UA"/>
              </w:rPr>
              <w:t xml:space="preserve"> </w:t>
            </w:r>
            <w:r w:rsidRPr="002E6ECA">
              <w:rPr>
                <w:lang w:val="uk-UA"/>
              </w:rPr>
              <w:t>сидіти</w:t>
            </w:r>
            <w:r w:rsidR="00D46B1B" w:rsidRPr="002E6ECA">
              <w:rPr>
                <w:lang w:val="uk-UA"/>
              </w:rPr>
              <w:t xml:space="preserve"> </w:t>
            </w:r>
            <w:r w:rsidRPr="002E6ECA">
              <w:rPr>
                <w:lang w:val="uk-UA"/>
              </w:rPr>
              <w:t>спокійно</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4</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5</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Має</w:t>
            </w:r>
            <w:r w:rsidR="00D46B1B" w:rsidRPr="002E6ECA">
              <w:rPr>
                <w:lang w:val="uk-UA"/>
              </w:rPr>
              <w:t xml:space="preserve"> </w:t>
            </w:r>
            <w:r w:rsidRPr="002E6ECA">
              <w:rPr>
                <w:lang w:val="uk-UA"/>
              </w:rPr>
              <w:t>проблеми</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вчителем/вчителями</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5</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6</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Менше</w:t>
            </w:r>
            <w:r w:rsidR="00D46B1B" w:rsidRPr="002E6ECA">
              <w:rPr>
                <w:lang w:val="uk-UA"/>
              </w:rPr>
              <w:t xml:space="preserve"> </w:t>
            </w:r>
            <w:r w:rsidRPr="002E6ECA">
              <w:rPr>
                <w:lang w:val="uk-UA"/>
              </w:rPr>
              <w:t>цікавиться</w:t>
            </w:r>
            <w:r w:rsidR="00D46B1B" w:rsidRPr="002E6ECA">
              <w:rPr>
                <w:lang w:val="uk-UA"/>
              </w:rPr>
              <w:t xml:space="preserve"> </w:t>
            </w:r>
            <w:r w:rsidRPr="002E6ECA">
              <w:rPr>
                <w:lang w:val="uk-UA"/>
              </w:rPr>
              <w:t>школою</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6</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7</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Діє</w:t>
            </w:r>
            <w:r w:rsidR="00D46B1B" w:rsidRPr="002E6ECA">
              <w:rPr>
                <w:lang w:val="uk-UA"/>
              </w:rPr>
              <w:t xml:space="preserve"> </w:t>
            </w:r>
            <w:r w:rsidRPr="002E6ECA">
              <w:rPr>
                <w:lang w:val="uk-UA"/>
              </w:rPr>
              <w:t>«як</w:t>
            </w:r>
            <w:r w:rsidR="00D46B1B" w:rsidRPr="002E6ECA">
              <w:rPr>
                <w:lang w:val="uk-UA"/>
              </w:rPr>
              <w:t xml:space="preserve"> </w:t>
            </w:r>
            <w:r w:rsidRPr="002E6ECA">
              <w:rPr>
                <w:lang w:val="uk-UA"/>
              </w:rPr>
              <w:t>заведений»</w:t>
            </w:r>
            <w:r w:rsidR="00D46B1B" w:rsidRPr="002E6ECA">
              <w:rPr>
                <w:lang w:val="uk-UA"/>
              </w:rPr>
              <w:t xml:space="preserve"> </w:t>
            </w:r>
            <w:r w:rsidRPr="002E6ECA">
              <w:rPr>
                <w:lang w:val="uk-UA"/>
              </w:rPr>
              <w:t>(«як</w:t>
            </w:r>
            <w:r w:rsidR="00D46B1B" w:rsidRPr="002E6ECA">
              <w:rPr>
                <w:lang w:val="uk-UA"/>
              </w:rPr>
              <w:t xml:space="preserve"> </w:t>
            </w:r>
            <w:r w:rsidRPr="002E6ECA">
              <w:rPr>
                <w:lang w:val="uk-UA"/>
              </w:rPr>
              <w:t>моторчик»)</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7</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8</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Надто</w:t>
            </w:r>
            <w:r w:rsidR="00D46B1B" w:rsidRPr="002E6ECA">
              <w:rPr>
                <w:lang w:val="uk-UA"/>
              </w:rPr>
              <w:t xml:space="preserve"> </w:t>
            </w:r>
            <w:r w:rsidRPr="002E6ECA">
              <w:rPr>
                <w:lang w:val="uk-UA"/>
              </w:rPr>
              <w:t>багато</w:t>
            </w:r>
            <w:r w:rsidR="00D46B1B" w:rsidRPr="002E6ECA">
              <w:rPr>
                <w:lang w:val="uk-UA"/>
              </w:rPr>
              <w:t xml:space="preserve"> </w:t>
            </w:r>
            <w:r w:rsidRPr="002E6ECA">
              <w:rPr>
                <w:lang w:val="uk-UA"/>
              </w:rPr>
              <w:t>витає</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хмарах</w:t>
            </w:r>
            <w:r w:rsidR="00D46B1B" w:rsidRPr="002E6ECA">
              <w:rPr>
                <w:lang w:val="uk-UA"/>
              </w:rPr>
              <w:t xml:space="preserve"> </w:t>
            </w:r>
            <w:r w:rsidRPr="002E6ECA">
              <w:rPr>
                <w:lang w:val="uk-UA"/>
              </w:rPr>
              <w:t>(мріє,</w:t>
            </w:r>
            <w:r w:rsidR="00D46B1B" w:rsidRPr="002E6ECA">
              <w:rPr>
                <w:lang w:val="uk-UA"/>
              </w:rPr>
              <w:t xml:space="preserve"> </w:t>
            </w:r>
            <w:r w:rsidRPr="002E6ECA">
              <w:rPr>
                <w:lang w:val="uk-UA"/>
              </w:rPr>
              <w:t>фантазує)</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8</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9</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Легко</w:t>
            </w:r>
            <w:r w:rsidR="00D46B1B" w:rsidRPr="002E6ECA">
              <w:rPr>
                <w:lang w:val="uk-UA"/>
              </w:rPr>
              <w:t xml:space="preserve"> </w:t>
            </w:r>
            <w:r w:rsidRPr="002E6ECA">
              <w:rPr>
                <w:lang w:val="uk-UA"/>
              </w:rPr>
              <w:t>відволікається</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9</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10</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Боїться</w:t>
            </w:r>
            <w:r w:rsidR="00D46B1B" w:rsidRPr="002E6ECA">
              <w:rPr>
                <w:lang w:val="uk-UA"/>
              </w:rPr>
              <w:t xml:space="preserve"> </w:t>
            </w:r>
            <w:r w:rsidRPr="002E6ECA">
              <w:rPr>
                <w:lang w:val="uk-UA"/>
              </w:rPr>
              <w:t>нових</w:t>
            </w:r>
            <w:r w:rsidR="00D46B1B" w:rsidRPr="002E6ECA">
              <w:rPr>
                <w:lang w:val="uk-UA"/>
              </w:rPr>
              <w:t xml:space="preserve"> </w:t>
            </w:r>
            <w:r w:rsidRPr="002E6ECA">
              <w:rPr>
                <w:lang w:val="uk-UA"/>
              </w:rPr>
              <w:t>ситуацій</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10</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11</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Почувається</w:t>
            </w:r>
            <w:r w:rsidR="00D46B1B" w:rsidRPr="002E6ECA">
              <w:rPr>
                <w:lang w:val="uk-UA"/>
              </w:rPr>
              <w:t xml:space="preserve"> </w:t>
            </w:r>
            <w:r w:rsidRPr="002E6ECA">
              <w:rPr>
                <w:lang w:val="uk-UA"/>
              </w:rPr>
              <w:t>сумним,</w:t>
            </w:r>
            <w:r w:rsidR="00D46B1B" w:rsidRPr="002E6ECA">
              <w:rPr>
                <w:lang w:val="uk-UA"/>
              </w:rPr>
              <w:t xml:space="preserve"> </w:t>
            </w:r>
            <w:r w:rsidRPr="002E6ECA">
              <w:rPr>
                <w:lang w:val="uk-UA"/>
              </w:rPr>
              <w:t>нещасливим</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11</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12</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Роздратований,</w:t>
            </w:r>
            <w:r w:rsidR="00D46B1B" w:rsidRPr="002E6ECA">
              <w:rPr>
                <w:lang w:val="uk-UA"/>
              </w:rPr>
              <w:t xml:space="preserve"> </w:t>
            </w:r>
            <w:r w:rsidRPr="002E6ECA">
              <w:rPr>
                <w:lang w:val="uk-UA"/>
              </w:rPr>
              <w:t>сердитий</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12</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13</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Відчуває</w:t>
            </w:r>
            <w:r w:rsidR="00D46B1B" w:rsidRPr="002E6ECA">
              <w:rPr>
                <w:lang w:val="uk-UA"/>
              </w:rPr>
              <w:t xml:space="preserve"> </w:t>
            </w:r>
            <w:r w:rsidRPr="002E6ECA">
              <w:rPr>
                <w:lang w:val="uk-UA"/>
              </w:rPr>
              <w:t>безнадійність</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13</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14</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Має</w:t>
            </w:r>
            <w:r w:rsidR="00D46B1B" w:rsidRPr="002E6ECA">
              <w:rPr>
                <w:lang w:val="uk-UA"/>
              </w:rPr>
              <w:t xml:space="preserve"> </w:t>
            </w:r>
            <w:r w:rsidRPr="002E6ECA">
              <w:rPr>
                <w:lang w:val="uk-UA"/>
              </w:rPr>
              <w:t>труднощі</w:t>
            </w:r>
            <w:r w:rsidR="00D46B1B" w:rsidRPr="002E6ECA">
              <w:rPr>
                <w:lang w:val="uk-UA"/>
              </w:rPr>
              <w:t xml:space="preserve"> </w:t>
            </w:r>
            <w:r w:rsidRPr="002E6ECA">
              <w:rPr>
                <w:lang w:val="uk-UA"/>
              </w:rPr>
              <w:t>із</w:t>
            </w:r>
            <w:r w:rsidR="00D46B1B" w:rsidRPr="002E6ECA">
              <w:rPr>
                <w:lang w:val="uk-UA"/>
              </w:rPr>
              <w:t xml:space="preserve"> </w:t>
            </w:r>
            <w:r w:rsidRPr="002E6ECA">
              <w:rPr>
                <w:lang w:val="uk-UA"/>
              </w:rPr>
              <w:t>зосередженням</w:t>
            </w:r>
            <w:r w:rsidR="00D46B1B" w:rsidRPr="002E6ECA">
              <w:rPr>
                <w:lang w:val="uk-UA"/>
              </w:rPr>
              <w:t xml:space="preserve"> </w:t>
            </w:r>
            <w:r w:rsidRPr="002E6ECA">
              <w:rPr>
                <w:lang w:val="uk-UA"/>
              </w:rPr>
              <w:t>уваги</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14</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15</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Менш</w:t>
            </w:r>
            <w:r w:rsidR="00D46B1B" w:rsidRPr="002E6ECA">
              <w:rPr>
                <w:lang w:val="uk-UA"/>
              </w:rPr>
              <w:t xml:space="preserve"> </w:t>
            </w:r>
            <w:r w:rsidRPr="002E6ECA">
              <w:rPr>
                <w:lang w:val="uk-UA"/>
              </w:rPr>
              <w:t>зацікавлений</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друзях</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15</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16</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Б’ється</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іншими</w:t>
            </w:r>
            <w:r w:rsidR="00D46B1B" w:rsidRPr="002E6ECA">
              <w:rPr>
                <w:lang w:val="uk-UA"/>
              </w:rPr>
              <w:t xml:space="preserve"> </w:t>
            </w:r>
            <w:r w:rsidRPr="002E6ECA">
              <w:rPr>
                <w:lang w:val="uk-UA"/>
              </w:rPr>
              <w:t>дітьми</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16</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17</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Пропускає</w:t>
            </w:r>
            <w:r w:rsidR="00D46B1B" w:rsidRPr="002E6ECA">
              <w:rPr>
                <w:lang w:val="uk-UA"/>
              </w:rPr>
              <w:t xml:space="preserve"> </w:t>
            </w:r>
            <w:r w:rsidRPr="002E6ECA">
              <w:rPr>
                <w:lang w:val="uk-UA"/>
              </w:rPr>
              <w:t>школу</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17</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18</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Шкільні</w:t>
            </w:r>
            <w:r w:rsidR="00D46B1B" w:rsidRPr="002E6ECA">
              <w:rPr>
                <w:lang w:val="uk-UA"/>
              </w:rPr>
              <w:t xml:space="preserve"> </w:t>
            </w:r>
            <w:r w:rsidRPr="002E6ECA">
              <w:rPr>
                <w:lang w:val="uk-UA"/>
              </w:rPr>
              <w:t>оцінки</w:t>
            </w:r>
            <w:r w:rsidR="00D46B1B" w:rsidRPr="002E6ECA">
              <w:rPr>
                <w:lang w:val="uk-UA"/>
              </w:rPr>
              <w:t xml:space="preserve"> </w:t>
            </w:r>
            <w:r w:rsidRPr="002E6ECA">
              <w:rPr>
                <w:lang w:val="uk-UA"/>
              </w:rPr>
              <w:t>погіршуються</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18</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19</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Почувається</w:t>
            </w:r>
            <w:r w:rsidR="00D46B1B" w:rsidRPr="002E6ECA">
              <w:rPr>
                <w:lang w:val="uk-UA"/>
              </w:rPr>
              <w:t xml:space="preserve"> </w:t>
            </w:r>
            <w:r w:rsidRPr="002E6ECA">
              <w:rPr>
                <w:lang w:val="uk-UA"/>
              </w:rPr>
              <w:t>винним</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19</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20</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Звертається</w:t>
            </w:r>
            <w:r w:rsidR="00D46B1B" w:rsidRPr="002E6ECA">
              <w:rPr>
                <w:lang w:val="uk-UA"/>
              </w:rPr>
              <w:t xml:space="preserve"> </w:t>
            </w:r>
            <w:r w:rsidRPr="002E6ECA">
              <w:rPr>
                <w:lang w:val="uk-UA"/>
              </w:rPr>
              <w:t>до</w:t>
            </w:r>
            <w:r w:rsidR="00D46B1B" w:rsidRPr="002E6ECA">
              <w:rPr>
                <w:lang w:val="uk-UA"/>
              </w:rPr>
              <w:t xml:space="preserve"> </w:t>
            </w:r>
            <w:r w:rsidRPr="002E6ECA">
              <w:rPr>
                <w:lang w:val="uk-UA"/>
              </w:rPr>
              <w:t>лікаря,</w:t>
            </w:r>
            <w:r w:rsidR="00D46B1B" w:rsidRPr="002E6ECA">
              <w:rPr>
                <w:lang w:val="uk-UA"/>
              </w:rPr>
              <w:t xml:space="preserve"> </w:t>
            </w:r>
            <w:r w:rsidRPr="002E6ECA">
              <w:rPr>
                <w:lang w:val="uk-UA"/>
              </w:rPr>
              <w:t>хоча</w:t>
            </w:r>
            <w:r w:rsidR="00D46B1B" w:rsidRPr="002E6ECA">
              <w:rPr>
                <w:lang w:val="uk-UA"/>
              </w:rPr>
              <w:t xml:space="preserve"> </w:t>
            </w:r>
            <w:r w:rsidRPr="002E6ECA">
              <w:rPr>
                <w:lang w:val="uk-UA"/>
              </w:rPr>
              <w:t>лікар</w:t>
            </w:r>
            <w:r w:rsidR="00D46B1B" w:rsidRPr="002E6ECA">
              <w:rPr>
                <w:lang w:val="uk-UA"/>
              </w:rPr>
              <w:t xml:space="preserve"> </w:t>
            </w:r>
            <w:r w:rsidRPr="002E6ECA">
              <w:rPr>
                <w:lang w:val="uk-UA"/>
              </w:rPr>
              <w:t>не</w:t>
            </w:r>
            <w:r w:rsidR="00D46B1B" w:rsidRPr="002E6ECA">
              <w:rPr>
                <w:lang w:val="uk-UA"/>
              </w:rPr>
              <w:t xml:space="preserve"> </w:t>
            </w:r>
            <w:r w:rsidRPr="002E6ECA">
              <w:rPr>
                <w:lang w:val="uk-UA"/>
              </w:rPr>
              <w:t>знаходить</w:t>
            </w:r>
            <w:r w:rsidR="00D46B1B" w:rsidRPr="002E6ECA">
              <w:rPr>
                <w:lang w:val="uk-UA"/>
              </w:rPr>
              <w:t xml:space="preserve"> </w:t>
            </w:r>
            <w:r w:rsidRPr="002E6ECA">
              <w:rPr>
                <w:lang w:val="uk-UA"/>
              </w:rPr>
              <w:t>хвороб</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20</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21</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Погано</w:t>
            </w:r>
            <w:r w:rsidR="00D46B1B" w:rsidRPr="002E6ECA">
              <w:rPr>
                <w:lang w:val="uk-UA"/>
              </w:rPr>
              <w:t xml:space="preserve"> </w:t>
            </w:r>
            <w:r w:rsidRPr="002E6ECA">
              <w:rPr>
                <w:lang w:val="uk-UA"/>
              </w:rPr>
              <w:t>спить</w:t>
            </w:r>
            <w:r w:rsidR="00D46B1B" w:rsidRPr="002E6ECA">
              <w:rPr>
                <w:lang w:val="uk-UA"/>
              </w:rPr>
              <w:t xml:space="preserve"> </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21</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22</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Багато</w:t>
            </w:r>
            <w:r w:rsidR="00D46B1B" w:rsidRPr="002E6ECA">
              <w:rPr>
                <w:lang w:val="uk-UA"/>
              </w:rPr>
              <w:t xml:space="preserve"> </w:t>
            </w:r>
            <w:r w:rsidRPr="002E6ECA">
              <w:rPr>
                <w:lang w:val="uk-UA"/>
              </w:rPr>
              <w:t>хвилюється</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22</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23</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Хоче</w:t>
            </w:r>
            <w:r w:rsidR="00D46B1B" w:rsidRPr="002E6ECA">
              <w:rPr>
                <w:lang w:val="uk-UA"/>
              </w:rPr>
              <w:t xml:space="preserve"> </w:t>
            </w:r>
            <w:r w:rsidRPr="002E6ECA">
              <w:rPr>
                <w:lang w:val="uk-UA"/>
              </w:rPr>
              <w:t>бути</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Вами</w:t>
            </w:r>
            <w:r w:rsidR="00D46B1B" w:rsidRPr="002E6ECA">
              <w:rPr>
                <w:lang w:val="uk-UA"/>
              </w:rPr>
              <w:t xml:space="preserve"> </w:t>
            </w:r>
            <w:r w:rsidRPr="002E6ECA">
              <w:rPr>
                <w:lang w:val="uk-UA"/>
              </w:rPr>
              <w:t>більше,</w:t>
            </w:r>
            <w:r w:rsidR="00D46B1B" w:rsidRPr="002E6ECA">
              <w:rPr>
                <w:lang w:val="uk-UA"/>
              </w:rPr>
              <w:t xml:space="preserve"> </w:t>
            </w:r>
            <w:r w:rsidRPr="002E6ECA">
              <w:rPr>
                <w:lang w:val="uk-UA"/>
              </w:rPr>
              <w:t>ніж</w:t>
            </w:r>
            <w:r w:rsidR="00D46B1B" w:rsidRPr="002E6ECA">
              <w:rPr>
                <w:lang w:val="uk-UA"/>
              </w:rPr>
              <w:t xml:space="preserve"> </w:t>
            </w:r>
            <w:r w:rsidRPr="002E6ECA">
              <w:rPr>
                <w:lang w:val="uk-UA"/>
              </w:rPr>
              <w:t>раніше</w:t>
            </w:r>
            <w:r w:rsidR="00D46B1B" w:rsidRPr="002E6ECA">
              <w:rPr>
                <w:lang w:val="uk-UA"/>
              </w:rPr>
              <w:t xml:space="preserve"> </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23</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24</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Відчуває</w:t>
            </w:r>
            <w:r w:rsidR="00D46B1B" w:rsidRPr="002E6ECA">
              <w:rPr>
                <w:lang w:val="uk-UA"/>
              </w:rPr>
              <w:t xml:space="preserve"> </w:t>
            </w:r>
            <w:r w:rsidRPr="002E6ECA">
              <w:rPr>
                <w:lang w:val="uk-UA"/>
              </w:rPr>
              <w:t>себе</w:t>
            </w:r>
            <w:r w:rsidR="00D46B1B" w:rsidRPr="002E6ECA">
              <w:rPr>
                <w:lang w:val="uk-UA"/>
              </w:rPr>
              <w:t xml:space="preserve"> </w:t>
            </w:r>
            <w:r w:rsidRPr="002E6ECA">
              <w:rPr>
                <w:lang w:val="uk-UA"/>
              </w:rPr>
              <w:t>поганим</w:t>
            </w:r>
            <w:r w:rsidR="00D46B1B" w:rsidRPr="002E6ECA">
              <w:rPr>
                <w:lang w:val="uk-UA"/>
              </w:rPr>
              <w:t xml:space="preserve"> </w:t>
            </w:r>
            <w:r w:rsidRPr="002E6ECA">
              <w:rPr>
                <w:lang w:val="uk-UA"/>
              </w:rPr>
              <w:t>(поганою)</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24</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25</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Надто</w:t>
            </w:r>
            <w:r w:rsidR="00D46B1B" w:rsidRPr="002E6ECA">
              <w:rPr>
                <w:lang w:val="uk-UA"/>
              </w:rPr>
              <w:t xml:space="preserve"> </w:t>
            </w:r>
            <w:r w:rsidRPr="002E6ECA">
              <w:rPr>
                <w:lang w:val="uk-UA"/>
              </w:rPr>
              <w:t>ризикує</w:t>
            </w:r>
            <w:r w:rsidR="00D46B1B" w:rsidRPr="002E6ECA">
              <w:rPr>
                <w:lang w:val="uk-UA"/>
              </w:rPr>
              <w:t xml:space="preserve"> </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25</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26</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Отримує</w:t>
            </w:r>
            <w:r w:rsidR="00D46B1B" w:rsidRPr="002E6ECA">
              <w:rPr>
                <w:lang w:val="uk-UA"/>
              </w:rPr>
              <w:t xml:space="preserve"> </w:t>
            </w:r>
            <w:r w:rsidRPr="002E6ECA">
              <w:rPr>
                <w:lang w:val="uk-UA"/>
              </w:rPr>
              <w:t>травми,</w:t>
            </w:r>
            <w:r w:rsidR="00D46B1B" w:rsidRPr="002E6ECA">
              <w:rPr>
                <w:lang w:val="uk-UA"/>
              </w:rPr>
              <w:t xml:space="preserve"> </w:t>
            </w:r>
            <w:r w:rsidRPr="002E6ECA">
              <w:rPr>
                <w:lang w:val="uk-UA"/>
              </w:rPr>
              <w:t>пошкодження</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26</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27</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Менше</w:t>
            </w:r>
            <w:r w:rsidR="00D46B1B" w:rsidRPr="002E6ECA">
              <w:rPr>
                <w:lang w:val="uk-UA"/>
              </w:rPr>
              <w:t xml:space="preserve"> </w:t>
            </w:r>
            <w:r w:rsidRPr="002E6ECA">
              <w:rPr>
                <w:lang w:val="uk-UA"/>
              </w:rPr>
              <w:t>розважається</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27</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28</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Поводиться</w:t>
            </w:r>
            <w:r w:rsidR="00D46B1B" w:rsidRPr="002E6ECA">
              <w:rPr>
                <w:lang w:val="uk-UA"/>
              </w:rPr>
              <w:t xml:space="preserve"> </w:t>
            </w:r>
            <w:r w:rsidRPr="002E6ECA">
              <w:rPr>
                <w:lang w:val="uk-UA"/>
              </w:rPr>
              <w:t>як</w:t>
            </w:r>
            <w:r w:rsidR="00D46B1B" w:rsidRPr="002E6ECA">
              <w:rPr>
                <w:lang w:val="uk-UA"/>
              </w:rPr>
              <w:t xml:space="preserve"> </w:t>
            </w:r>
            <w:r w:rsidRPr="002E6ECA">
              <w:rPr>
                <w:lang w:val="uk-UA"/>
              </w:rPr>
              <w:t>дитина</w:t>
            </w:r>
            <w:r w:rsidR="00D46B1B" w:rsidRPr="002E6ECA">
              <w:rPr>
                <w:lang w:val="uk-UA"/>
              </w:rPr>
              <w:t xml:space="preserve"> </w:t>
            </w:r>
            <w:r w:rsidRPr="002E6ECA">
              <w:rPr>
                <w:lang w:val="uk-UA"/>
              </w:rPr>
              <w:t>молодшого</w:t>
            </w:r>
            <w:r w:rsidR="00D46B1B" w:rsidRPr="002E6ECA">
              <w:rPr>
                <w:lang w:val="uk-UA"/>
              </w:rPr>
              <w:t xml:space="preserve"> </w:t>
            </w:r>
            <w:r w:rsidRPr="002E6ECA">
              <w:rPr>
                <w:lang w:val="uk-UA"/>
              </w:rPr>
              <w:t>віку</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28</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29</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Не</w:t>
            </w:r>
            <w:r w:rsidR="00D46B1B" w:rsidRPr="002E6ECA">
              <w:rPr>
                <w:lang w:val="uk-UA"/>
              </w:rPr>
              <w:t xml:space="preserve"> </w:t>
            </w:r>
            <w:r w:rsidRPr="002E6ECA">
              <w:rPr>
                <w:lang w:val="uk-UA"/>
              </w:rPr>
              <w:t>виконує</w:t>
            </w:r>
            <w:r w:rsidR="00D46B1B" w:rsidRPr="002E6ECA">
              <w:rPr>
                <w:lang w:val="uk-UA"/>
              </w:rPr>
              <w:t xml:space="preserve"> </w:t>
            </w:r>
            <w:r w:rsidRPr="002E6ECA">
              <w:rPr>
                <w:lang w:val="uk-UA"/>
              </w:rPr>
              <w:t>правила</w:t>
            </w:r>
            <w:r w:rsidR="00D46B1B" w:rsidRPr="002E6ECA">
              <w:rPr>
                <w:lang w:val="uk-UA"/>
              </w:rPr>
              <w:t xml:space="preserve"> </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29</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30</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Не</w:t>
            </w:r>
            <w:r w:rsidR="00D46B1B" w:rsidRPr="002E6ECA">
              <w:rPr>
                <w:lang w:val="uk-UA"/>
              </w:rPr>
              <w:t xml:space="preserve"> </w:t>
            </w:r>
            <w:r w:rsidRPr="002E6ECA">
              <w:rPr>
                <w:lang w:val="uk-UA"/>
              </w:rPr>
              <w:t>показує</w:t>
            </w:r>
            <w:r w:rsidR="00D46B1B" w:rsidRPr="002E6ECA">
              <w:rPr>
                <w:lang w:val="uk-UA"/>
              </w:rPr>
              <w:t xml:space="preserve"> </w:t>
            </w:r>
            <w:r w:rsidRPr="002E6ECA">
              <w:rPr>
                <w:lang w:val="uk-UA"/>
              </w:rPr>
              <w:t>свої</w:t>
            </w:r>
            <w:r w:rsidR="00D46B1B" w:rsidRPr="002E6ECA">
              <w:rPr>
                <w:lang w:val="uk-UA"/>
              </w:rPr>
              <w:t xml:space="preserve"> </w:t>
            </w:r>
            <w:r w:rsidRPr="002E6ECA">
              <w:rPr>
                <w:lang w:val="uk-UA"/>
              </w:rPr>
              <w:t>почуття</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30</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31</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Не</w:t>
            </w:r>
            <w:r w:rsidR="00D46B1B" w:rsidRPr="002E6ECA">
              <w:rPr>
                <w:lang w:val="uk-UA"/>
              </w:rPr>
              <w:t xml:space="preserve"> </w:t>
            </w:r>
            <w:r w:rsidRPr="002E6ECA">
              <w:rPr>
                <w:lang w:val="uk-UA"/>
              </w:rPr>
              <w:t>розуміє</w:t>
            </w:r>
            <w:r w:rsidR="00D46B1B" w:rsidRPr="002E6ECA">
              <w:rPr>
                <w:lang w:val="uk-UA"/>
              </w:rPr>
              <w:t xml:space="preserve"> </w:t>
            </w:r>
            <w:r w:rsidRPr="002E6ECA">
              <w:rPr>
                <w:lang w:val="uk-UA"/>
              </w:rPr>
              <w:t>почуття</w:t>
            </w:r>
            <w:r w:rsidR="00D46B1B" w:rsidRPr="002E6ECA">
              <w:rPr>
                <w:lang w:val="uk-UA"/>
              </w:rPr>
              <w:t xml:space="preserve"> </w:t>
            </w:r>
            <w:r w:rsidRPr="002E6ECA">
              <w:rPr>
                <w:lang w:val="uk-UA"/>
              </w:rPr>
              <w:t>інших</w:t>
            </w:r>
            <w:r w:rsidR="00D46B1B" w:rsidRPr="002E6ECA">
              <w:rPr>
                <w:lang w:val="uk-UA"/>
              </w:rPr>
              <w:t xml:space="preserve"> </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31</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32</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Дражнить</w:t>
            </w:r>
            <w:r w:rsidR="00D46B1B" w:rsidRPr="002E6ECA">
              <w:rPr>
                <w:lang w:val="uk-UA"/>
              </w:rPr>
              <w:t xml:space="preserve"> </w:t>
            </w:r>
            <w:r w:rsidRPr="002E6ECA">
              <w:rPr>
                <w:lang w:val="uk-UA"/>
              </w:rPr>
              <w:t>інших</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32</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33</w:t>
            </w:r>
          </w:p>
        </w:tc>
        <w:tc>
          <w:tcPr>
            <w:tcW w:w="5864" w:type="dxa"/>
            <w:tcBorders>
              <w:left w:val="single" w:sz="4" w:space="0" w:color="auto"/>
              <w:right w:val="single" w:sz="4" w:space="0" w:color="auto"/>
            </w:tcBorders>
          </w:tcPr>
          <w:p w:rsidR="0084636B" w:rsidRPr="002E6ECA" w:rsidRDefault="0084636B" w:rsidP="00214078">
            <w:pPr>
              <w:autoSpaceDE w:val="0"/>
              <w:autoSpaceDN w:val="0"/>
              <w:adjustRightInd w:val="0"/>
              <w:rPr>
                <w:lang w:val="uk-UA"/>
              </w:rPr>
            </w:pPr>
            <w:r w:rsidRPr="002E6ECA">
              <w:rPr>
                <w:lang w:val="uk-UA"/>
              </w:rPr>
              <w:t>Звинувачує</w:t>
            </w:r>
            <w:r w:rsidR="00D46B1B" w:rsidRPr="002E6ECA">
              <w:rPr>
                <w:lang w:val="uk-UA"/>
              </w:rPr>
              <w:t xml:space="preserve"> </w:t>
            </w:r>
            <w:r w:rsidRPr="002E6ECA">
              <w:rPr>
                <w:lang w:val="uk-UA"/>
              </w:rPr>
              <w:t>інших</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власних</w:t>
            </w:r>
            <w:r w:rsidR="00D46B1B" w:rsidRPr="002E6ECA">
              <w:rPr>
                <w:lang w:val="uk-UA"/>
              </w:rPr>
              <w:t xml:space="preserve"> </w:t>
            </w:r>
            <w:r w:rsidRPr="002E6ECA">
              <w:rPr>
                <w:lang w:val="uk-UA"/>
              </w:rPr>
              <w:t>проблемах</w:t>
            </w:r>
            <w:r w:rsidR="00D46B1B" w:rsidRPr="002E6ECA">
              <w:rPr>
                <w:lang w:val="uk-UA"/>
              </w:rPr>
              <w:t xml:space="preserve"> </w:t>
            </w:r>
          </w:p>
        </w:tc>
        <w:tc>
          <w:tcPr>
            <w:tcW w:w="524" w:type="dxa"/>
            <w:tcBorders>
              <w:left w:val="single" w:sz="4" w:space="0" w:color="auto"/>
              <w:right w:val="single" w:sz="4" w:space="0" w:color="auto"/>
            </w:tcBorders>
          </w:tcPr>
          <w:p w:rsidR="0084636B" w:rsidRPr="002E6ECA" w:rsidRDefault="0084636B" w:rsidP="00214078">
            <w:pPr>
              <w:rPr>
                <w:b/>
                <w:bCs/>
                <w:lang w:val="uk-UA"/>
              </w:rPr>
            </w:pPr>
            <w:r w:rsidRPr="002E6ECA">
              <w:rPr>
                <w:b/>
                <w:bCs/>
                <w:lang w:val="uk-UA"/>
              </w:rPr>
              <w:t>33</w:t>
            </w:r>
          </w:p>
        </w:tc>
        <w:tc>
          <w:tcPr>
            <w:tcW w:w="1079" w:type="dxa"/>
            <w:tcBorders>
              <w:left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34</w:t>
            </w:r>
          </w:p>
        </w:tc>
        <w:tc>
          <w:tcPr>
            <w:tcW w:w="5864" w:type="dxa"/>
            <w:tcBorders>
              <w:left w:val="single" w:sz="4" w:space="0" w:color="auto"/>
              <w:right w:val="single" w:sz="4" w:space="0" w:color="auto"/>
            </w:tcBorders>
            <w:shd w:val="clear" w:color="auto" w:fill="D9D9D9"/>
          </w:tcPr>
          <w:p w:rsidR="0084636B" w:rsidRPr="002E6ECA" w:rsidRDefault="0084636B" w:rsidP="00214078">
            <w:pPr>
              <w:autoSpaceDE w:val="0"/>
              <w:autoSpaceDN w:val="0"/>
              <w:adjustRightInd w:val="0"/>
              <w:rPr>
                <w:lang w:val="uk-UA"/>
              </w:rPr>
            </w:pPr>
            <w:r w:rsidRPr="002E6ECA">
              <w:rPr>
                <w:lang w:val="uk-UA"/>
              </w:rPr>
              <w:t>Бере</w:t>
            </w:r>
            <w:r w:rsidR="00D46B1B" w:rsidRPr="002E6ECA">
              <w:rPr>
                <w:lang w:val="uk-UA"/>
              </w:rPr>
              <w:t xml:space="preserve"> </w:t>
            </w:r>
            <w:r w:rsidRPr="002E6ECA">
              <w:rPr>
                <w:lang w:val="uk-UA"/>
              </w:rPr>
              <w:t>чужі</w:t>
            </w:r>
            <w:r w:rsidR="00D46B1B" w:rsidRPr="002E6ECA">
              <w:rPr>
                <w:lang w:val="uk-UA"/>
              </w:rPr>
              <w:t xml:space="preserve"> </w:t>
            </w:r>
            <w:r w:rsidRPr="002E6ECA">
              <w:rPr>
                <w:lang w:val="uk-UA"/>
              </w:rPr>
              <w:t>речі</w:t>
            </w:r>
            <w:r w:rsidR="00D46B1B" w:rsidRPr="002E6ECA">
              <w:rPr>
                <w:lang w:val="uk-UA"/>
              </w:rPr>
              <w:t xml:space="preserve"> </w:t>
            </w:r>
          </w:p>
        </w:tc>
        <w:tc>
          <w:tcPr>
            <w:tcW w:w="524" w:type="dxa"/>
            <w:tcBorders>
              <w:left w:val="single" w:sz="4" w:space="0" w:color="auto"/>
              <w:right w:val="single" w:sz="4" w:space="0" w:color="auto"/>
            </w:tcBorders>
            <w:shd w:val="clear" w:color="auto" w:fill="D9D9D9"/>
          </w:tcPr>
          <w:p w:rsidR="0084636B" w:rsidRPr="002E6ECA" w:rsidRDefault="0084636B" w:rsidP="00214078">
            <w:pPr>
              <w:rPr>
                <w:b/>
                <w:bCs/>
                <w:lang w:val="uk-UA"/>
              </w:rPr>
            </w:pPr>
            <w:r w:rsidRPr="002E6ECA">
              <w:rPr>
                <w:b/>
                <w:bCs/>
                <w:lang w:val="uk-UA"/>
              </w:rPr>
              <w:t>34</w:t>
            </w:r>
          </w:p>
        </w:tc>
        <w:tc>
          <w:tcPr>
            <w:tcW w:w="1079"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0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c>
          <w:tcPr>
            <w:tcW w:w="857" w:type="dxa"/>
            <w:tcBorders>
              <w:left w:val="single" w:sz="4" w:space="0" w:color="auto"/>
              <w:right w:val="single" w:sz="4" w:space="0" w:color="auto"/>
            </w:tcBorders>
            <w:shd w:val="clear" w:color="auto" w:fill="D9D9D9"/>
          </w:tcPr>
          <w:p w:rsidR="0084636B" w:rsidRPr="002E6ECA" w:rsidRDefault="0084636B" w:rsidP="00214078">
            <w:pPr>
              <w:jc w:val="center"/>
              <w:rPr>
                <w:b/>
                <w:bCs/>
                <w:lang w:val="uk-UA"/>
              </w:rPr>
            </w:pPr>
          </w:p>
        </w:tc>
      </w:tr>
      <w:tr w:rsidR="0084636B" w:rsidRPr="002E6ECA" w:rsidTr="00214078">
        <w:tc>
          <w:tcPr>
            <w:tcW w:w="479" w:type="dxa"/>
            <w:tcBorders>
              <w:left w:val="single" w:sz="4" w:space="0" w:color="auto"/>
              <w:bottom w:val="single" w:sz="4" w:space="0" w:color="auto"/>
              <w:right w:val="single" w:sz="4" w:space="0" w:color="auto"/>
            </w:tcBorders>
          </w:tcPr>
          <w:p w:rsidR="0084636B" w:rsidRPr="002E6ECA" w:rsidRDefault="0084636B" w:rsidP="00214078">
            <w:pPr>
              <w:rPr>
                <w:b/>
                <w:bCs/>
                <w:lang w:val="uk-UA"/>
              </w:rPr>
            </w:pPr>
            <w:r w:rsidRPr="002E6ECA">
              <w:rPr>
                <w:b/>
                <w:bCs/>
                <w:lang w:val="uk-UA"/>
              </w:rPr>
              <w:t>35</w:t>
            </w:r>
          </w:p>
        </w:tc>
        <w:tc>
          <w:tcPr>
            <w:tcW w:w="5864" w:type="dxa"/>
            <w:tcBorders>
              <w:left w:val="single" w:sz="4" w:space="0" w:color="auto"/>
              <w:bottom w:val="single" w:sz="4" w:space="0" w:color="auto"/>
              <w:right w:val="single" w:sz="4" w:space="0" w:color="auto"/>
            </w:tcBorders>
          </w:tcPr>
          <w:p w:rsidR="0084636B" w:rsidRPr="002E6ECA" w:rsidRDefault="0084636B" w:rsidP="00214078">
            <w:pPr>
              <w:rPr>
                <w:lang w:val="uk-UA"/>
              </w:rPr>
            </w:pPr>
            <w:r w:rsidRPr="002E6ECA">
              <w:rPr>
                <w:lang w:val="uk-UA"/>
              </w:rPr>
              <w:t>Відмовляється</w:t>
            </w:r>
            <w:r w:rsidR="00D46B1B" w:rsidRPr="002E6ECA">
              <w:rPr>
                <w:lang w:val="uk-UA"/>
              </w:rPr>
              <w:t xml:space="preserve"> </w:t>
            </w:r>
            <w:r w:rsidRPr="002E6ECA">
              <w:rPr>
                <w:lang w:val="uk-UA"/>
              </w:rPr>
              <w:t>ділитися</w:t>
            </w:r>
            <w:r w:rsidR="00D46B1B" w:rsidRPr="002E6ECA">
              <w:rPr>
                <w:lang w:val="uk-UA"/>
              </w:rPr>
              <w:t xml:space="preserve"> </w:t>
            </w:r>
            <w:r w:rsidRPr="002E6ECA">
              <w:rPr>
                <w:lang w:val="uk-UA"/>
              </w:rPr>
              <w:t>з</w:t>
            </w:r>
            <w:r w:rsidR="00D46B1B" w:rsidRPr="002E6ECA">
              <w:rPr>
                <w:lang w:val="uk-UA"/>
              </w:rPr>
              <w:t xml:space="preserve"> </w:t>
            </w:r>
            <w:r w:rsidRPr="002E6ECA">
              <w:rPr>
                <w:lang w:val="uk-UA"/>
              </w:rPr>
              <w:t>іншими</w:t>
            </w:r>
          </w:p>
        </w:tc>
        <w:tc>
          <w:tcPr>
            <w:tcW w:w="524" w:type="dxa"/>
            <w:tcBorders>
              <w:left w:val="single" w:sz="4" w:space="0" w:color="auto"/>
              <w:bottom w:val="single" w:sz="4" w:space="0" w:color="auto"/>
              <w:right w:val="single" w:sz="4" w:space="0" w:color="auto"/>
            </w:tcBorders>
          </w:tcPr>
          <w:p w:rsidR="0084636B" w:rsidRPr="002E6ECA" w:rsidRDefault="0084636B" w:rsidP="00214078">
            <w:pPr>
              <w:rPr>
                <w:b/>
                <w:bCs/>
                <w:lang w:val="uk-UA"/>
              </w:rPr>
            </w:pPr>
            <w:r w:rsidRPr="002E6ECA">
              <w:rPr>
                <w:b/>
                <w:bCs/>
                <w:lang w:val="uk-UA"/>
              </w:rPr>
              <w:t>35</w:t>
            </w:r>
          </w:p>
        </w:tc>
        <w:tc>
          <w:tcPr>
            <w:tcW w:w="1079" w:type="dxa"/>
            <w:tcBorders>
              <w:left w:val="single" w:sz="4" w:space="0" w:color="auto"/>
              <w:bottom w:val="single" w:sz="4" w:space="0" w:color="auto"/>
              <w:right w:val="single" w:sz="4" w:space="0" w:color="auto"/>
            </w:tcBorders>
          </w:tcPr>
          <w:p w:rsidR="0084636B" w:rsidRPr="002E6ECA" w:rsidRDefault="0084636B" w:rsidP="00214078">
            <w:pPr>
              <w:jc w:val="center"/>
              <w:rPr>
                <w:b/>
                <w:bCs/>
                <w:lang w:val="uk-UA"/>
              </w:rPr>
            </w:pPr>
          </w:p>
        </w:tc>
        <w:tc>
          <w:tcPr>
            <w:tcW w:w="807" w:type="dxa"/>
            <w:tcBorders>
              <w:left w:val="single" w:sz="4" w:space="0" w:color="auto"/>
              <w:bottom w:val="single" w:sz="4" w:space="0" w:color="auto"/>
              <w:right w:val="single" w:sz="4" w:space="0" w:color="auto"/>
            </w:tcBorders>
          </w:tcPr>
          <w:p w:rsidR="0084636B" w:rsidRPr="002E6ECA" w:rsidRDefault="0084636B" w:rsidP="00214078">
            <w:pPr>
              <w:jc w:val="center"/>
              <w:rPr>
                <w:b/>
                <w:bCs/>
                <w:lang w:val="uk-UA"/>
              </w:rPr>
            </w:pPr>
          </w:p>
        </w:tc>
        <w:tc>
          <w:tcPr>
            <w:tcW w:w="857" w:type="dxa"/>
            <w:tcBorders>
              <w:left w:val="single" w:sz="4" w:space="0" w:color="auto"/>
              <w:bottom w:val="single" w:sz="4" w:space="0" w:color="auto"/>
              <w:right w:val="single" w:sz="4" w:space="0" w:color="auto"/>
            </w:tcBorders>
          </w:tcPr>
          <w:p w:rsidR="0084636B" w:rsidRPr="002E6ECA" w:rsidRDefault="0084636B" w:rsidP="00214078">
            <w:pPr>
              <w:jc w:val="center"/>
              <w:rPr>
                <w:b/>
                <w:bCs/>
                <w:lang w:val="uk-UA"/>
              </w:rPr>
            </w:pPr>
          </w:p>
        </w:tc>
      </w:tr>
    </w:tbl>
    <w:p w:rsidR="00C47BB0" w:rsidRPr="002E6ECA" w:rsidRDefault="0084636B" w:rsidP="00C47BB0">
      <w:pPr>
        <w:spacing w:line="240" w:lineRule="exact"/>
        <w:ind w:firstLine="709"/>
        <w:rPr>
          <w:lang w:val="uk-UA"/>
        </w:rPr>
      </w:pPr>
      <w:r w:rsidRPr="002E6ECA">
        <w:rPr>
          <w:lang w:val="uk-UA"/>
        </w:rPr>
        <w:t>Чи</w:t>
      </w:r>
      <w:r w:rsidR="00D46B1B" w:rsidRPr="002E6ECA">
        <w:rPr>
          <w:lang w:val="uk-UA"/>
        </w:rPr>
        <w:t xml:space="preserve"> </w:t>
      </w:r>
      <w:r w:rsidRPr="002E6ECA">
        <w:rPr>
          <w:lang w:val="uk-UA"/>
        </w:rPr>
        <w:t>має</w:t>
      </w:r>
      <w:r w:rsidR="00D46B1B" w:rsidRPr="002E6ECA">
        <w:rPr>
          <w:lang w:val="uk-UA"/>
        </w:rPr>
        <w:t xml:space="preserve"> </w:t>
      </w:r>
      <w:r w:rsidRPr="002E6ECA">
        <w:rPr>
          <w:lang w:val="uk-UA"/>
        </w:rPr>
        <w:t>ваша</w:t>
      </w:r>
      <w:r w:rsidR="00D46B1B" w:rsidRPr="002E6ECA">
        <w:rPr>
          <w:lang w:val="uk-UA"/>
        </w:rPr>
        <w:t xml:space="preserve"> </w:t>
      </w:r>
      <w:r w:rsidRPr="002E6ECA">
        <w:rPr>
          <w:lang w:val="uk-UA"/>
        </w:rPr>
        <w:t>дитина</w:t>
      </w:r>
      <w:r w:rsidR="00D46B1B" w:rsidRPr="002E6ECA">
        <w:rPr>
          <w:lang w:val="uk-UA"/>
        </w:rPr>
        <w:t xml:space="preserve"> </w:t>
      </w:r>
      <w:r w:rsidRPr="002E6ECA">
        <w:rPr>
          <w:lang w:val="uk-UA"/>
        </w:rPr>
        <w:t>які-небудь</w:t>
      </w:r>
      <w:r w:rsidR="00D46B1B" w:rsidRPr="002E6ECA">
        <w:rPr>
          <w:lang w:val="uk-UA"/>
        </w:rPr>
        <w:t xml:space="preserve"> </w:t>
      </w:r>
      <w:r w:rsidRPr="002E6ECA">
        <w:rPr>
          <w:lang w:val="uk-UA"/>
        </w:rPr>
        <w:t>емоційні</w:t>
      </w:r>
      <w:r w:rsidR="00D46B1B" w:rsidRPr="002E6ECA">
        <w:rPr>
          <w:lang w:val="uk-UA"/>
        </w:rPr>
        <w:t xml:space="preserve"> </w:t>
      </w:r>
      <w:r w:rsidRPr="002E6ECA">
        <w:rPr>
          <w:lang w:val="uk-UA"/>
        </w:rPr>
        <w:t>або</w:t>
      </w:r>
      <w:r w:rsidR="00D46B1B" w:rsidRPr="002E6ECA">
        <w:rPr>
          <w:lang w:val="uk-UA"/>
        </w:rPr>
        <w:t xml:space="preserve"> </w:t>
      </w:r>
      <w:r w:rsidRPr="002E6ECA">
        <w:rPr>
          <w:lang w:val="uk-UA"/>
        </w:rPr>
        <w:t>поведінкові</w:t>
      </w:r>
      <w:r w:rsidR="00D46B1B" w:rsidRPr="002E6ECA">
        <w:rPr>
          <w:lang w:val="uk-UA"/>
        </w:rPr>
        <w:t xml:space="preserve"> </w:t>
      </w:r>
      <w:r w:rsidRPr="002E6ECA">
        <w:rPr>
          <w:lang w:val="uk-UA"/>
        </w:rPr>
        <w:t>проблеми,</w:t>
      </w:r>
      <w:r w:rsidR="00D46B1B" w:rsidRPr="002E6ECA">
        <w:rPr>
          <w:lang w:val="uk-UA"/>
        </w:rPr>
        <w:t xml:space="preserve"> </w:t>
      </w:r>
      <w:r w:rsidRPr="002E6ECA">
        <w:rPr>
          <w:lang w:val="uk-UA"/>
        </w:rPr>
        <w:t>за</w:t>
      </w:r>
      <w:r w:rsidR="00D46B1B" w:rsidRPr="002E6ECA">
        <w:rPr>
          <w:lang w:val="uk-UA"/>
        </w:rPr>
        <w:t xml:space="preserve"> </w:t>
      </w:r>
      <w:r w:rsidRPr="002E6ECA">
        <w:rPr>
          <w:lang w:val="uk-UA"/>
        </w:rPr>
        <w:t>якими</w:t>
      </w:r>
      <w:r w:rsidR="00D46B1B" w:rsidRPr="002E6ECA">
        <w:rPr>
          <w:lang w:val="uk-UA"/>
        </w:rPr>
        <w:t xml:space="preserve"> </w:t>
      </w:r>
      <w:r w:rsidRPr="002E6ECA">
        <w:rPr>
          <w:lang w:val="uk-UA"/>
        </w:rPr>
        <w:t>він</w:t>
      </w:r>
      <w:r w:rsidR="00D46B1B" w:rsidRPr="002E6ECA">
        <w:rPr>
          <w:lang w:val="uk-UA"/>
        </w:rPr>
        <w:t xml:space="preserve"> </w:t>
      </w:r>
      <w:r w:rsidRPr="002E6ECA">
        <w:rPr>
          <w:lang w:val="uk-UA"/>
        </w:rPr>
        <w:t>або</w:t>
      </w:r>
      <w:r w:rsidR="00D46B1B" w:rsidRPr="002E6ECA">
        <w:rPr>
          <w:lang w:val="uk-UA"/>
        </w:rPr>
        <w:t xml:space="preserve"> </w:t>
      </w:r>
      <w:r w:rsidRPr="002E6ECA">
        <w:rPr>
          <w:lang w:val="uk-UA"/>
        </w:rPr>
        <w:t>вона</w:t>
      </w:r>
      <w:r w:rsidR="00D46B1B" w:rsidRPr="002E6ECA">
        <w:rPr>
          <w:lang w:val="uk-UA"/>
        </w:rPr>
        <w:t xml:space="preserve"> </w:t>
      </w:r>
      <w:r w:rsidRPr="002E6ECA">
        <w:rPr>
          <w:lang w:val="uk-UA"/>
        </w:rPr>
        <w:t>потребує</w:t>
      </w:r>
      <w:r w:rsidR="00D46B1B" w:rsidRPr="002E6ECA">
        <w:rPr>
          <w:lang w:val="uk-UA"/>
        </w:rPr>
        <w:t xml:space="preserve"> </w:t>
      </w:r>
      <w:r w:rsidRPr="002E6ECA">
        <w:rPr>
          <w:lang w:val="uk-UA"/>
        </w:rPr>
        <w:t>допомоги?</w:t>
      </w:r>
      <w:r w:rsidR="00D46B1B" w:rsidRPr="002E6ECA">
        <w:rPr>
          <w:lang w:val="uk-UA"/>
        </w:rPr>
        <w:t xml:space="preserve">     </w:t>
      </w:r>
      <w:r w:rsidRPr="002E6ECA">
        <w:rPr>
          <w:lang w:val="uk-UA"/>
        </w:rPr>
        <w:t>(</w:t>
      </w:r>
      <w:r w:rsidR="00D46B1B" w:rsidRPr="002E6ECA">
        <w:rPr>
          <w:lang w:val="uk-UA"/>
        </w:rPr>
        <w:t xml:space="preserve">  </w:t>
      </w:r>
      <w:r w:rsidRPr="002E6ECA">
        <w:rPr>
          <w:lang w:val="uk-UA"/>
        </w:rPr>
        <w:t>)</w:t>
      </w:r>
      <w:r w:rsidR="00D46B1B" w:rsidRPr="002E6ECA">
        <w:rPr>
          <w:lang w:val="uk-UA"/>
        </w:rPr>
        <w:t xml:space="preserve"> </w:t>
      </w:r>
      <w:r w:rsidRPr="002E6ECA">
        <w:rPr>
          <w:lang w:val="uk-UA"/>
        </w:rPr>
        <w:t>Ні</w:t>
      </w:r>
      <w:r w:rsidR="00D46B1B" w:rsidRPr="002E6ECA">
        <w:rPr>
          <w:lang w:val="uk-UA"/>
        </w:rPr>
        <w:t xml:space="preserve">    </w:t>
      </w:r>
      <w:r w:rsidRPr="002E6ECA">
        <w:rPr>
          <w:lang w:val="uk-UA"/>
        </w:rPr>
        <w:t>(</w:t>
      </w:r>
      <w:r w:rsidR="00D46B1B" w:rsidRPr="002E6ECA">
        <w:rPr>
          <w:lang w:val="uk-UA"/>
        </w:rPr>
        <w:t xml:space="preserve">  </w:t>
      </w:r>
      <w:r w:rsidRPr="002E6ECA">
        <w:rPr>
          <w:lang w:val="uk-UA"/>
        </w:rPr>
        <w:t>)</w:t>
      </w:r>
      <w:r w:rsidR="00D46B1B" w:rsidRPr="002E6ECA">
        <w:rPr>
          <w:lang w:val="uk-UA"/>
        </w:rPr>
        <w:t xml:space="preserve"> </w:t>
      </w:r>
      <w:r w:rsidRPr="002E6ECA">
        <w:rPr>
          <w:lang w:val="uk-UA"/>
        </w:rPr>
        <w:t>Так</w:t>
      </w:r>
      <w:r w:rsidR="00D46B1B" w:rsidRPr="002E6ECA">
        <w:rPr>
          <w:lang w:val="uk-UA"/>
        </w:rPr>
        <w:t xml:space="preserve"> </w:t>
      </w:r>
    </w:p>
    <w:p w:rsidR="00214078" w:rsidRPr="002E6ECA" w:rsidRDefault="0084636B" w:rsidP="00023668">
      <w:pPr>
        <w:spacing w:line="240" w:lineRule="exact"/>
        <w:ind w:firstLine="709"/>
        <w:jc w:val="right"/>
        <w:rPr>
          <w:b/>
          <w:bCs/>
          <w:sz w:val="28"/>
          <w:szCs w:val="28"/>
        </w:rPr>
      </w:pPr>
      <w:r w:rsidRPr="002E6ECA">
        <w:rPr>
          <w:lang w:val="uk-UA"/>
        </w:rPr>
        <w:t>Чи</w:t>
      </w:r>
      <w:r w:rsidR="00D46B1B" w:rsidRPr="002E6ECA">
        <w:rPr>
          <w:lang w:val="uk-UA"/>
        </w:rPr>
        <w:t xml:space="preserve"> </w:t>
      </w:r>
      <w:r w:rsidRPr="002E6ECA">
        <w:rPr>
          <w:lang w:val="uk-UA"/>
        </w:rPr>
        <w:t>є</w:t>
      </w:r>
      <w:r w:rsidR="00D46B1B" w:rsidRPr="002E6ECA">
        <w:rPr>
          <w:lang w:val="uk-UA"/>
        </w:rPr>
        <w:t xml:space="preserve"> </w:t>
      </w:r>
      <w:r w:rsidRPr="002E6ECA">
        <w:rPr>
          <w:lang w:val="uk-UA"/>
        </w:rPr>
        <w:t>певний</w:t>
      </w:r>
      <w:r w:rsidR="00D46B1B" w:rsidRPr="002E6ECA">
        <w:rPr>
          <w:lang w:val="uk-UA"/>
        </w:rPr>
        <w:t xml:space="preserve"> </w:t>
      </w:r>
      <w:r w:rsidRPr="002E6ECA">
        <w:rPr>
          <w:lang w:val="uk-UA"/>
        </w:rPr>
        <w:t>вид</w:t>
      </w:r>
      <w:r w:rsidR="00D46B1B" w:rsidRPr="002E6ECA">
        <w:rPr>
          <w:lang w:val="uk-UA"/>
        </w:rPr>
        <w:t xml:space="preserve"> </w:t>
      </w:r>
      <w:r w:rsidRPr="002E6ECA">
        <w:rPr>
          <w:lang w:val="uk-UA"/>
        </w:rPr>
        <w:t>допомоги</w:t>
      </w:r>
      <w:r w:rsidR="00D46B1B" w:rsidRPr="002E6ECA">
        <w:rPr>
          <w:lang w:val="uk-UA"/>
        </w:rPr>
        <w:t xml:space="preserve"> </w:t>
      </w:r>
      <w:r w:rsidRPr="002E6ECA">
        <w:rPr>
          <w:lang w:val="uk-UA"/>
        </w:rPr>
        <w:t>(послуг),</w:t>
      </w:r>
      <w:r w:rsidR="00D46B1B" w:rsidRPr="002E6ECA">
        <w:rPr>
          <w:lang w:val="uk-UA"/>
        </w:rPr>
        <w:t xml:space="preserve"> </w:t>
      </w:r>
      <w:r w:rsidRPr="002E6ECA">
        <w:rPr>
          <w:lang w:val="uk-UA"/>
        </w:rPr>
        <w:t>який</w:t>
      </w:r>
      <w:r w:rsidR="00D46B1B" w:rsidRPr="002E6ECA">
        <w:rPr>
          <w:lang w:val="uk-UA"/>
        </w:rPr>
        <w:t xml:space="preserve"> </w:t>
      </w:r>
      <w:r w:rsidRPr="002E6ECA">
        <w:rPr>
          <w:lang w:val="uk-UA"/>
        </w:rPr>
        <w:t>ви</w:t>
      </w:r>
      <w:r w:rsidR="00D46B1B" w:rsidRPr="002E6ECA">
        <w:rPr>
          <w:lang w:val="uk-UA"/>
        </w:rPr>
        <w:t xml:space="preserve"> </w:t>
      </w:r>
      <w:r w:rsidRPr="002E6ECA">
        <w:rPr>
          <w:lang w:val="uk-UA"/>
        </w:rPr>
        <w:t>би</w:t>
      </w:r>
      <w:r w:rsidR="00D46B1B" w:rsidRPr="002E6ECA">
        <w:rPr>
          <w:lang w:val="uk-UA"/>
        </w:rPr>
        <w:t xml:space="preserve"> </w:t>
      </w:r>
      <w:r w:rsidRPr="002E6ECA">
        <w:rPr>
          <w:lang w:val="uk-UA"/>
        </w:rPr>
        <w:t>хотіли,</w:t>
      </w:r>
      <w:r w:rsidR="00D46B1B" w:rsidRPr="002E6ECA">
        <w:rPr>
          <w:lang w:val="uk-UA"/>
        </w:rPr>
        <w:t xml:space="preserve"> </w:t>
      </w:r>
      <w:r w:rsidRPr="002E6ECA">
        <w:rPr>
          <w:lang w:val="uk-UA"/>
        </w:rPr>
        <w:t>щоб</w:t>
      </w:r>
      <w:r w:rsidR="00D46B1B" w:rsidRPr="002E6ECA">
        <w:rPr>
          <w:lang w:val="uk-UA"/>
        </w:rPr>
        <w:t xml:space="preserve"> </w:t>
      </w:r>
      <w:r w:rsidRPr="002E6ECA">
        <w:rPr>
          <w:lang w:val="uk-UA"/>
        </w:rPr>
        <w:t>ваша</w:t>
      </w:r>
      <w:r w:rsidR="00D46B1B" w:rsidRPr="002E6ECA">
        <w:rPr>
          <w:lang w:val="uk-UA"/>
        </w:rPr>
        <w:t xml:space="preserve"> </w:t>
      </w:r>
      <w:r w:rsidRPr="002E6ECA">
        <w:rPr>
          <w:lang w:val="uk-UA"/>
        </w:rPr>
        <w:t>дитина</w:t>
      </w:r>
      <w:r w:rsidR="00D46B1B" w:rsidRPr="002E6ECA">
        <w:rPr>
          <w:lang w:val="uk-UA"/>
        </w:rPr>
        <w:t xml:space="preserve"> </w:t>
      </w:r>
      <w:r w:rsidRPr="002E6ECA">
        <w:rPr>
          <w:lang w:val="uk-UA"/>
        </w:rPr>
        <w:t>отримала</w:t>
      </w:r>
      <w:r w:rsidR="00D46B1B" w:rsidRPr="002E6ECA">
        <w:rPr>
          <w:lang w:val="uk-UA"/>
        </w:rPr>
        <w:t xml:space="preserve"> </w:t>
      </w:r>
      <w:r w:rsidRPr="002E6ECA">
        <w:rPr>
          <w:lang w:val="uk-UA"/>
        </w:rPr>
        <w:t>для</w:t>
      </w:r>
      <w:r w:rsidR="00D46B1B" w:rsidRPr="002E6ECA">
        <w:rPr>
          <w:lang w:val="uk-UA"/>
        </w:rPr>
        <w:t xml:space="preserve"> </w:t>
      </w:r>
      <w:r w:rsidRPr="002E6ECA">
        <w:rPr>
          <w:lang w:val="uk-UA"/>
        </w:rPr>
        <w:t>вирішення</w:t>
      </w:r>
      <w:r w:rsidR="00D46B1B" w:rsidRPr="002E6ECA">
        <w:rPr>
          <w:lang w:val="uk-UA"/>
        </w:rPr>
        <w:t xml:space="preserve"> </w:t>
      </w:r>
      <w:r w:rsidRPr="002E6ECA">
        <w:rPr>
          <w:lang w:val="uk-UA"/>
        </w:rPr>
        <w:t>цих</w:t>
      </w:r>
      <w:r w:rsidR="00D46B1B" w:rsidRPr="002E6ECA">
        <w:rPr>
          <w:lang w:val="uk-UA"/>
        </w:rPr>
        <w:t xml:space="preserve"> </w:t>
      </w:r>
      <w:r w:rsidRPr="002E6ECA">
        <w:rPr>
          <w:lang w:val="uk-UA"/>
        </w:rPr>
        <w:t>проблем?</w:t>
      </w:r>
      <w:r w:rsidR="00C47BB0" w:rsidRPr="002E6ECA">
        <w:rPr>
          <w:lang w:val="uk-UA"/>
        </w:rPr>
        <w:t xml:space="preserve">    </w:t>
      </w:r>
      <w:r w:rsidR="00D46B1B" w:rsidRPr="002E6ECA">
        <w:rPr>
          <w:lang w:val="uk-UA"/>
        </w:rPr>
        <w:t xml:space="preserve"> </w:t>
      </w:r>
      <w:r w:rsidRPr="002E6ECA">
        <w:rPr>
          <w:lang w:val="uk-UA"/>
        </w:rPr>
        <w:t>(</w:t>
      </w:r>
      <w:r w:rsidR="00D46B1B" w:rsidRPr="002E6ECA">
        <w:rPr>
          <w:lang w:val="uk-UA"/>
        </w:rPr>
        <w:t xml:space="preserve">  </w:t>
      </w:r>
      <w:r w:rsidRPr="002E6ECA">
        <w:rPr>
          <w:lang w:val="uk-UA"/>
        </w:rPr>
        <w:t>)</w:t>
      </w:r>
      <w:r w:rsidR="00D46B1B" w:rsidRPr="002E6ECA">
        <w:rPr>
          <w:lang w:val="uk-UA"/>
        </w:rPr>
        <w:t xml:space="preserve"> </w:t>
      </w:r>
      <w:r w:rsidRPr="002E6ECA">
        <w:rPr>
          <w:lang w:val="uk-UA"/>
        </w:rPr>
        <w:t>Ні</w:t>
      </w:r>
      <w:r w:rsidR="00D46B1B" w:rsidRPr="002E6ECA">
        <w:rPr>
          <w:lang w:val="uk-UA"/>
        </w:rPr>
        <w:t xml:space="preserve">    </w:t>
      </w:r>
      <w:r w:rsidRPr="002E6ECA">
        <w:rPr>
          <w:lang w:val="uk-UA"/>
        </w:rPr>
        <w:t>(</w:t>
      </w:r>
      <w:r w:rsidR="00D46B1B" w:rsidRPr="002E6ECA">
        <w:rPr>
          <w:lang w:val="uk-UA"/>
        </w:rPr>
        <w:t xml:space="preserve">  </w:t>
      </w:r>
      <w:r w:rsidRPr="002E6ECA">
        <w:rPr>
          <w:lang w:val="uk-UA"/>
        </w:rPr>
        <w:t>)</w:t>
      </w:r>
      <w:r w:rsidR="00D46B1B" w:rsidRPr="002E6ECA">
        <w:rPr>
          <w:lang w:val="uk-UA"/>
        </w:rPr>
        <w:t xml:space="preserve"> </w:t>
      </w:r>
      <w:r w:rsidRPr="002E6ECA">
        <w:rPr>
          <w:lang w:val="uk-UA"/>
        </w:rPr>
        <w:t>Так</w:t>
      </w:r>
      <w:r w:rsidR="00D46B1B" w:rsidRPr="002E6ECA">
        <w:rPr>
          <w:lang w:val="uk-UA"/>
        </w:rPr>
        <w:t xml:space="preserve"> </w:t>
      </w:r>
      <w:r w:rsidRPr="002E6ECA">
        <w:rPr>
          <w:lang w:val="uk-UA"/>
        </w:rPr>
        <w:t>Якщо</w:t>
      </w:r>
      <w:r w:rsidR="00D46B1B" w:rsidRPr="002E6ECA">
        <w:rPr>
          <w:lang w:val="uk-UA"/>
        </w:rPr>
        <w:t xml:space="preserve"> </w:t>
      </w:r>
      <w:r w:rsidRPr="002E6ECA">
        <w:rPr>
          <w:lang w:val="uk-UA"/>
        </w:rPr>
        <w:t>так,</w:t>
      </w:r>
      <w:r w:rsidR="00D46B1B" w:rsidRPr="002E6ECA">
        <w:rPr>
          <w:lang w:val="uk-UA"/>
        </w:rPr>
        <w:t xml:space="preserve"> </w:t>
      </w:r>
      <w:r w:rsidRPr="002E6ECA">
        <w:rPr>
          <w:lang w:val="uk-UA"/>
        </w:rPr>
        <w:t>то</w:t>
      </w:r>
      <w:r w:rsidR="00D46B1B" w:rsidRPr="002E6ECA">
        <w:rPr>
          <w:lang w:val="uk-UA"/>
        </w:rPr>
        <w:t xml:space="preserve"> </w:t>
      </w:r>
      <w:r w:rsidRPr="002E6ECA">
        <w:rPr>
          <w:lang w:val="uk-UA"/>
        </w:rPr>
        <w:t>яку</w:t>
      </w:r>
      <w:r w:rsidR="00D46B1B" w:rsidRPr="002E6ECA">
        <w:rPr>
          <w:lang w:val="uk-UA"/>
        </w:rPr>
        <w:t xml:space="preserve"> </w:t>
      </w:r>
      <w:r w:rsidRPr="002E6ECA">
        <w:rPr>
          <w:lang w:val="uk-UA"/>
        </w:rPr>
        <w:t>саме</w:t>
      </w:r>
      <w:r w:rsidR="00D46B1B" w:rsidRPr="002E6ECA">
        <w:rPr>
          <w:lang w:val="uk-UA"/>
        </w:rPr>
        <w:t xml:space="preserve"> </w:t>
      </w:r>
      <w:r w:rsidRPr="002E6ECA">
        <w:rPr>
          <w:lang w:val="uk-UA"/>
        </w:rPr>
        <w:t>допомогу</w:t>
      </w:r>
      <w:r w:rsidR="00D46B1B" w:rsidRPr="002E6ECA">
        <w:rPr>
          <w:lang w:val="uk-UA"/>
        </w:rPr>
        <w:t xml:space="preserve"> </w:t>
      </w:r>
      <w:r w:rsidRPr="002E6ECA">
        <w:rPr>
          <w:lang w:val="uk-UA"/>
        </w:rPr>
        <w:t>(послуги)?______</w:t>
      </w:r>
      <w:r w:rsidRPr="002E6ECA">
        <w:rPr>
          <w:rStyle w:val="shorttext"/>
          <w:sz w:val="28"/>
          <w:szCs w:val="28"/>
          <w:lang w:val="uk-UA"/>
        </w:rPr>
        <w:br w:type="page"/>
      </w:r>
      <w:r w:rsidR="00023668" w:rsidRPr="002E6ECA">
        <w:rPr>
          <w:b/>
          <w:bCs/>
          <w:sz w:val="28"/>
          <w:szCs w:val="28"/>
          <w:lang w:val="uk-UA"/>
        </w:rPr>
        <w:lastRenderedPageBreak/>
        <w:t xml:space="preserve">Додаток Д </w:t>
      </w:r>
      <w:r w:rsidR="00023668" w:rsidRPr="002E6ECA">
        <w:rPr>
          <w:b/>
          <w:bCs/>
        </w:rPr>
        <w:t>3</w:t>
      </w:r>
    </w:p>
    <w:p w:rsidR="0084636B" w:rsidRPr="002E6ECA" w:rsidRDefault="0084636B" w:rsidP="00214078">
      <w:pPr>
        <w:ind w:firstLine="709"/>
        <w:rPr>
          <w:rStyle w:val="shorttext"/>
          <w:caps/>
          <w:sz w:val="28"/>
          <w:szCs w:val="28"/>
          <w:lang w:val="uk-UA"/>
        </w:rPr>
      </w:pPr>
      <w:r w:rsidRPr="002E6ECA">
        <w:rPr>
          <w:rStyle w:val="shorttext"/>
          <w:caps/>
          <w:sz w:val="28"/>
          <w:szCs w:val="28"/>
          <w:lang w:val="uk-UA"/>
        </w:rPr>
        <w:t>Алгоритм</w:t>
      </w:r>
      <w:r w:rsidR="00D46B1B" w:rsidRPr="002E6ECA">
        <w:rPr>
          <w:rStyle w:val="shorttext"/>
          <w:caps/>
          <w:sz w:val="28"/>
          <w:szCs w:val="28"/>
          <w:lang w:val="uk-UA"/>
        </w:rPr>
        <w:t xml:space="preserve"> </w:t>
      </w:r>
      <w:r w:rsidRPr="002E6ECA">
        <w:rPr>
          <w:rStyle w:val="shorttext"/>
          <w:caps/>
          <w:sz w:val="28"/>
          <w:szCs w:val="28"/>
          <w:lang w:val="uk-UA"/>
        </w:rPr>
        <w:t>обчислення</w:t>
      </w:r>
      <w:r w:rsidR="00D46B1B" w:rsidRPr="002E6ECA">
        <w:rPr>
          <w:rStyle w:val="shorttext"/>
          <w:caps/>
          <w:sz w:val="28"/>
          <w:szCs w:val="28"/>
          <w:lang w:val="uk-UA"/>
        </w:rPr>
        <w:t xml:space="preserve"> </w:t>
      </w:r>
      <w:r w:rsidRPr="002E6ECA">
        <w:rPr>
          <w:rStyle w:val="shorttext"/>
          <w:caps/>
          <w:sz w:val="28"/>
          <w:szCs w:val="28"/>
          <w:lang w:val="uk-UA"/>
        </w:rPr>
        <w:t>результатів</w:t>
      </w:r>
      <w:r w:rsidR="00D46B1B" w:rsidRPr="002E6ECA">
        <w:rPr>
          <w:rStyle w:val="shorttext"/>
          <w:caps/>
          <w:sz w:val="28"/>
          <w:szCs w:val="28"/>
          <w:lang w:val="uk-UA"/>
        </w:rPr>
        <w:t xml:space="preserve"> </w:t>
      </w:r>
      <w:r w:rsidRPr="002E6ECA">
        <w:rPr>
          <w:rStyle w:val="shorttext"/>
          <w:caps/>
          <w:sz w:val="28"/>
          <w:szCs w:val="28"/>
          <w:lang w:val="uk-UA"/>
        </w:rPr>
        <w:t>методики</w:t>
      </w:r>
    </w:p>
    <w:p w:rsidR="0084636B" w:rsidRPr="002E6ECA" w:rsidRDefault="0084636B" w:rsidP="0084636B">
      <w:pPr>
        <w:spacing w:line="360" w:lineRule="auto"/>
        <w:ind w:firstLine="709"/>
        <w:jc w:val="center"/>
        <w:rPr>
          <w:rStyle w:val="shorttext"/>
          <w:sz w:val="28"/>
          <w:szCs w:val="28"/>
          <w:lang w:val="uk-UA"/>
        </w:rPr>
      </w:pPr>
      <w:r w:rsidRPr="002E6ECA">
        <w:rPr>
          <w:rStyle w:val="shorttext"/>
          <w:sz w:val="28"/>
          <w:szCs w:val="28"/>
          <w:lang w:val="uk-UA"/>
        </w:rPr>
        <w:t>«ПЕРЕЛІК</w:t>
      </w:r>
      <w:r w:rsidR="00D46B1B" w:rsidRPr="002E6ECA">
        <w:rPr>
          <w:rStyle w:val="shorttext"/>
          <w:sz w:val="28"/>
          <w:szCs w:val="28"/>
          <w:lang w:val="uk-UA"/>
        </w:rPr>
        <w:t xml:space="preserve"> </w:t>
      </w:r>
      <w:r w:rsidRPr="002E6ECA">
        <w:rPr>
          <w:rStyle w:val="shorttext"/>
          <w:sz w:val="28"/>
          <w:szCs w:val="28"/>
          <w:lang w:val="uk-UA"/>
        </w:rPr>
        <w:t>ДИТЯЧИХ</w:t>
      </w:r>
      <w:r w:rsidR="00D46B1B" w:rsidRPr="002E6ECA">
        <w:rPr>
          <w:rStyle w:val="shorttext"/>
          <w:sz w:val="28"/>
          <w:szCs w:val="28"/>
          <w:lang w:val="uk-UA"/>
        </w:rPr>
        <w:t xml:space="preserve"> </w:t>
      </w:r>
      <w:r w:rsidRPr="002E6ECA">
        <w:rPr>
          <w:rStyle w:val="shorttext"/>
          <w:sz w:val="28"/>
          <w:szCs w:val="28"/>
          <w:lang w:val="uk-UA"/>
        </w:rPr>
        <w:t>СИМПТОМІВ»</w:t>
      </w:r>
      <w:r w:rsidR="00D46B1B" w:rsidRPr="002E6ECA">
        <w:rPr>
          <w:rStyle w:val="shorttext"/>
          <w:sz w:val="28"/>
          <w:szCs w:val="28"/>
          <w:lang w:val="uk-UA"/>
        </w:rPr>
        <w:t xml:space="preserve"> </w:t>
      </w:r>
      <w:r w:rsidRPr="002E6ECA">
        <w:rPr>
          <w:rStyle w:val="shorttext"/>
          <w:sz w:val="28"/>
          <w:szCs w:val="28"/>
          <w:lang w:val="uk-UA"/>
        </w:rPr>
        <w:t>(PSC-Ukr</w:t>
      </w:r>
      <w:r w:rsidR="00D46B1B" w:rsidRPr="002E6ECA">
        <w:rPr>
          <w:rStyle w:val="shorttext"/>
          <w:sz w:val="28"/>
          <w:szCs w:val="28"/>
          <w:lang w:val="uk-UA"/>
        </w:rPr>
        <w:t xml:space="preserve"> </w:t>
      </w:r>
      <w:r w:rsidRPr="002E6ECA">
        <w:rPr>
          <w:rStyle w:val="shorttext"/>
          <w:sz w:val="28"/>
          <w:szCs w:val="28"/>
          <w:lang w:val="uk-UA"/>
        </w:rPr>
        <w:t>та</w:t>
      </w:r>
      <w:r w:rsidR="00D46B1B" w:rsidRPr="002E6ECA">
        <w:rPr>
          <w:rStyle w:val="shorttext"/>
          <w:sz w:val="28"/>
          <w:szCs w:val="28"/>
          <w:lang w:val="uk-UA"/>
        </w:rPr>
        <w:t xml:space="preserve"> </w:t>
      </w:r>
      <w:r w:rsidRPr="002E6ECA">
        <w:rPr>
          <w:rStyle w:val="shorttext"/>
          <w:sz w:val="28"/>
          <w:szCs w:val="28"/>
          <w:lang w:val="uk-UA"/>
        </w:rPr>
        <w:t>Y-PSC-Ukr)</w:t>
      </w:r>
    </w:p>
    <w:p w:rsidR="0084636B" w:rsidRPr="002E6ECA" w:rsidRDefault="0084636B" w:rsidP="0084636B">
      <w:pPr>
        <w:spacing w:line="360" w:lineRule="auto"/>
        <w:ind w:firstLine="709"/>
        <w:jc w:val="center"/>
        <w:rPr>
          <w:rStyle w:val="shorttext"/>
          <w:sz w:val="28"/>
          <w:szCs w:val="28"/>
          <w:lang w:val="uk-UA"/>
        </w:rPr>
      </w:pPr>
      <w:r w:rsidRPr="002E6ECA">
        <w:rPr>
          <w:rStyle w:val="shorttext"/>
          <w:sz w:val="28"/>
          <w:szCs w:val="28"/>
          <w:lang w:val="uk-UA"/>
        </w:rPr>
        <w:t>(Адаптація</w:t>
      </w:r>
      <w:r w:rsidR="00D46B1B" w:rsidRPr="002E6ECA">
        <w:rPr>
          <w:rStyle w:val="shorttext"/>
          <w:sz w:val="28"/>
          <w:szCs w:val="28"/>
          <w:lang w:val="uk-UA"/>
        </w:rPr>
        <w:t xml:space="preserve"> </w:t>
      </w:r>
      <w:r w:rsidRPr="002E6ECA">
        <w:rPr>
          <w:rStyle w:val="shorttext"/>
          <w:sz w:val="28"/>
          <w:szCs w:val="28"/>
          <w:lang w:val="uk-UA"/>
        </w:rPr>
        <w:t>О.</w:t>
      </w:r>
      <w:r w:rsidR="00D46B1B" w:rsidRPr="002E6ECA">
        <w:rPr>
          <w:rStyle w:val="shorttext"/>
          <w:sz w:val="28"/>
          <w:szCs w:val="28"/>
          <w:lang w:val="uk-UA"/>
        </w:rPr>
        <w:t xml:space="preserve"> </w:t>
      </w:r>
      <w:r w:rsidRPr="002E6ECA">
        <w:rPr>
          <w:rStyle w:val="shorttext"/>
          <w:sz w:val="28"/>
          <w:szCs w:val="28"/>
          <w:lang w:val="uk-UA"/>
        </w:rPr>
        <w:t>Л.</w:t>
      </w:r>
      <w:r w:rsidR="00D46B1B" w:rsidRPr="002E6ECA">
        <w:rPr>
          <w:rStyle w:val="shorttext"/>
          <w:sz w:val="28"/>
          <w:szCs w:val="28"/>
          <w:lang w:val="uk-UA"/>
        </w:rPr>
        <w:t xml:space="preserve"> </w:t>
      </w:r>
      <w:r w:rsidRPr="002E6ECA">
        <w:rPr>
          <w:rStyle w:val="shorttext"/>
          <w:sz w:val="28"/>
          <w:szCs w:val="28"/>
          <w:lang w:val="uk-UA"/>
        </w:rPr>
        <w:t>Луценко,</w:t>
      </w:r>
      <w:r w:rsidR="00D46B1B" w:rsidRPr="002E6ECA">
        <w:rPr>
          <w:rStyle w:val="shorttext"/>
          <w:sz w:val="28"/>
          <w:szCs w:val="28"/>
          <w:lang w:val="uk-UA"/>
        </w:rPr>
        <w:t xml:space="preserve"> </w:t>
      </w:r>
      <w:r w:rsidRPr="002E6ECA">
        <w:rPr>
          <w:rStyle w:val="shorttext"/>
          <w:sz w:val="28"/>
          <w:szCs w:val="28"/>
          <w:lang w:val="uk-UA"/>
        </w:rPr>
        <w:t>Д.</w:t>
      </w:r>
      <w:r w:rsidR="00D46B1B" w:rsidRPr="002E6ECA">
        <w:rPr>
          <w:rStyle w:val="shorttext"/>
          <w:sz w:val="28"/>
          <w:szCs w:val="28"/>
          <w:lang w:val="uk-UA"/>
        </w:rPr>
        <w:t xml:space="preserve"> </w:t>
      </w:r>
      <w:r w:rsidRPr="002E6ECA">
        <w:rPr>
          <w:rStyle w:val="shorttext"/>
          <w:sz w:val="28"/>
          <w:szCs w:val="28"/>
          <w:lang w:val="uk-UA"/>
        </w:rPr>
        <w:t>В.</w:t>
      </w:r>
      <w:r w:rsidR="00D46B1B" w:rsidRPr="002E6ECA">
        <w:rPr>
          <w:rStyle w:val="shorttext"/>
          <w:sz w:val="28"/>
          <w:szCs w:val="28"/>
          <w:lang w:val="uk-UA"/>
        </w:rPr>
        <w:t xml:space="preserve"> </w:t>
      </w:r>
      <w:r w:rsidRPr="002E6ECA">
        <w:rPr>
          <w:rStyle w:val="shorttext"/>
          <w:sz w:val="28"/>
          <w:szCs w:val="28"/>
          <w:lang w:val="uk-UA"/>
        </w:rPr>
        <w:t>Штриголь,</w:t>
      </w:r>
      <w:r w:rsidR="00D46B1B" w:rsidRPr="002E6ECA">
        <w:rPr>
          <w:rStyle w:val="shorttext"/>
          <w:sz w:val="28"/>
          <w:szCs w:val="28"/>
          <w:lang w:val="uk-UA"/>
        </w:rPr>
        <w:t xml:space="preserve"> </w:t>
      </w:r>
      <w:r w:rsidRPr="002E6ECA">
        <w:rPr>
          <w:rStyle w:val="shorttext"/>
          <w:sz w:val="28"/>
          <w:szCs w:val="28"/>
          <w:lang w:val="uk-UA"/>
        </w:rPr>
        <w:t>Н.</w:t>
      </w:r>
      <w:r w:rsidR="00D46B1B" w:rsidRPr="002E6ECA">
        <w:rPr>
          <w:rStyle w:val="shorttext"/>
          <w:sz w:val="28"/>
          <w:szCs w:val="28"/>
          <w:lang w:val="uk-UA"/>
        </w:rPr>
        <w:t xml:space="preserve"> </w:t>
      </w:r>
      <w:r w:rsidRPr="002E6ECA">
        <w:rPr>
          <w:rStyle w:val="shorttext"/>
          <w:sz w:val="28"/>
          <w:szCs w:val="28"/>
          <w:lang w:val="uk-UA"/>
        </w:rPr>
        <w:t>Г.</w:t>
      </w:r>
      <w:r w:rsidR="00D46B1B" w:rsidRPr="002E6ECA">
        <w:rPr>
          <w:rStyle w:val="shorttext"/>
          <w:sz w:val="28"/>
          <w:szCs w:val="28"/>
          <w:lang w:val="uk-UA"/>
        </w:rPr>
        <w:t xml:space="preserve"> </w:t>
      </w:r>
      <w:r w:rsidRPr="002E6ECA">
        <w:rPr>
          <w:rStyle w:val="shorttext"/>
          <w:sz w:val="28"/>
          <w:szCs w:val="28"/>
          <w:lang w:val="uk-UA"/>
        </w:rPr>
        <w:t>Міхановської)</w:t>
      </w:r>
    </w:p>
    <w:p w:rsidR="0084636B" w:rsidRPr="002E6ECA" w:rsidRDefault="0084636B" w:rsidP="0084636B">
      <w:pPr>
        <w:spacing w:line="360" w:lineRule="auto"/>
        <w:ind w:firstLine="709"/>
        <w:rPr>
          <w:rStyle w:val="shorttext"/>
          <w:sz w:val="28"/>
          <w:szCs w:val="28"/>
          <w:lang w:val="uk-UA"/>
        </w:rPr>
      </w:pPr>
    </w:p>
    <w:p w:rsidR="0084636B" w:rsidRPr="002E6ECA" w:rsidRDefault="0084636B" w:rsidP="0084636B">
      <w:pPr>
        <w:spacing w:line="360" w:lineRule="auto"/>
        <w:ind w:firstLine="709"/>
        <w:jc w:val="both"/>
        <w:rPr>
          <w:rStyle w:val="shorttext"/>
          <w:sz w:val="28"/>
          <w:szCs w:val="28"/>
          <w:lang w:val="uk-UA"/>
        </w:rPr>
      </w:pPr>
      <w:r w:rsidRPr="002E6ECA">
        <w:rPr>
          <w:rStyle w:val="shorttext"/>
          <w:sz w:val="28"/>
          <w:szCs w:val="28"/>
          <w:lang w:val="uk-UA"/>
        </w:rPr>
        <w:t>PSC</w:t>
      </w:r>
      <w:r w:rsidR="00D46B1B" w:rsidRPr="002E6ECA">
        <w:rPr>
          <w:rStyle w:val="shorttext"/>
          <w:sz w:val="28"/>
          <w:szCs w:val="28"/>
          <w:lang w:val="uk-UA"/>
        </w:rPr>
        <w:t xml:space="preserve"> </w:t>
      </w:r>
      <w:r w:rsidRPr="002E6ECA">
        <w:rPr>
          <w:rStyle w:val="shorttext"/>
          <w:sz w:val="28"/>
          <w:szCs w:val="28"/>
          <w:lang w:val="uk-UA"/>
        </w:rPr>
        <w:t>складається</w:t>
      </w:r>
      <w:r w:rsidR="00D46B1B" w:rsidRPr="002E6ECA">
        <w:rPr>
          <w:rStyle w:val="shorttext"/>
          <w:sz w:val="28"/>
          <w:szCs w:val="28"/>
          <w:lang w:val="uk-UA"/>
        </w:rPr>
        <w:t xml:space="preserve"> </w:t>
      </w:r>
      <w:r w:rsidRPr="002E6ECA">
        <w:rPr>
          <w:rStyle w:val="shorttext"/>
          <w:sz w:val="28"/>
          <w:szCs w:val="28"/>
          <w:lang w:val="uk-UA"/>
        </w:rPr>
        <w:t>з</w:t>
      </w:r>
      <w:r w:rsidR="00D46B1B" w:rsidRPr="002E6ECA">
        <w:rPr>
          <w:rStyle w:val="shorttext"/>
          <w:sz w:val="28"/>
          <w:szCs w:val="28"/>
          <w:lang w:val="uk-UA"/>
        </w:rPr>
        <w:t xml:space="preserve"> </w:t>
      </w:r>
      <w:r w:rsidRPr="002E6ECA">
        <w:rPr>
          <w:rStyle w:val="shorttext"/>
          <w:sz w:val="28"/>
          <w:szCs w:val="28"/>
          <w:lang w:val="uk-UA"/>
        </w:rPr>
        <w:t>35</w:t>
      </w:r>
      <w:r w:rsidR="00D46B1B" w:rsidRPr="002E6ECA">
        <w:rPr>
          <w:rStyle w:val="shorttext"/>
          <w:sz w:val="28"/>
          <w:szCs w:val="28"/>
          <w:lang w:val="uk-UA"/>
        </w:rPr>
        <w:t xml:space="preserve"> </w:t>
      </w:r>
      <w:r w:rsidRPr="002E6ECA">
        <w:rPr>
          <w:rStyle w:val="shorttext"/>
          <w:sz w:val="28"/>
          <w:szCs w:val="28"/>
          <w:lang w:val="uk-UA"/>
        </w:rPr>
        <w:t>пунктів,</w:t>
      </w:r>
      <w:r w:rsidR="00D46B1B" w:rsidRPr="002E6ECA">
        <w:rPr>
          <w:rStyle w:val="shorttext"/>
          <w:sz w:val="28"/>
          <w:szCs w:val="28"/>
          <w:lang w:val="uk-UA"/>
        </w:rPr>
        <w:t xml:space="preserve"> </w:t>
      </w:r>
      <w:r w:rsidRPr="002E6ECA">
        <w:rPr>
          <w:rStyle w:val="shorttext"/>
          <w:sz w:val="28"/>
          <w:szCs w:val="28"/>
          <w:lang w:val="uk-UA"/>
        </w:rPr>
        <w:t>які</w:t>
      </w:r>
      <w:r w:rsidR="00D46B1B" w:rsidRPr="002E6ECA">
        <w:rPr>
          <w:rStyle w:val="shorttext"/>
          <w:sz w:val="28"/>
          <w:szCs w:val="28"/>
          <w:lang w:val="uk-UA"/>
        </w:rPr>
        <w:t xml:space="preserve"> </w:t>
      </w:r>
      <w:r w:rsidRPr="002E6ECA">
        <w:rPr>
          <w:rStyle w:val="shorttext"/>
          <w:sz w:val="28"/>
          <w:szCs w:val="28"/>
          <w:lang w:val="uk-UA"/>
        </w:rPr>
        <w:t>оцінюються</w:t>
      </w:r>
      <w:r w:rsidR="00D46B1B" w:rsidRPr="002E6ECA">
        <w:rPr>
          <w:rStyle w:val="shorttext"/>
          <w:sz w:val="28"/>
          <w:szCs w:val="28"/>
          <w:lang w:val="uk-UA"/>
        </w:rPr>
        <w:t xml:space="preserve"> </w:t>
      </w:r>
      <w:r w:rsidRPr="002E6ECA">
        <w:rPr>
          <w:rStyle w:val="shorttext"/>
          <w:sz w:val="28"/>
          <w:szCs w:val="28"/>
          <w:lang w:val="uk-UA"/>
        </w:rPr>
        <w:t>як</w:t>
      </w:r>
      <w:r w:rsidR="00D46B1B" w:rsidRPr="002E6ECA">
        <w:rPr>
          <w:rStyle w:val="shorttext"/>
          <w:sz w:val="28"/>
          <w:szCs w:val="28"/>
          <w:lang w:val="uk-UA"/>
        </w:rPr>
        <w:t xml:space="preserve"> </w:t>
      </w:r>
      <w:r w:rsidRPr="002E6ECA">
        <w:rPr>
          <w:rStyle w:val="shorttext"/>
          <w:sz w:val="28"/>
          <w:szCs w:val="28"/>
          <w:lang w:val="uk-UA"/>
        </w:rPr>
        <w:t>"Ніколи",</w:t>
      </w:r>
      <w:r w:rsidR="00D46B1B" w:rsidRPr="002E6ECA">
        <w:rPr>
          <w:rStyle w:val="shorttext"/>
          <w:sz w:val="28"/>
          <w:szCs w:val="28"/>
          <w:lang w:val="uk-UA"/>
        </w:rPr>
        <w:t xml:space="preserve"> </w:t>
      </w:r>
      <w:r w:rsidRPr="002E6ECA">
        <w:rPr>
          <w:rStyle w:val="shorttext"/>
          <w:sz w:val="28"/>
          <w:szCs w:val="28"/>
          <w:lang w:val="uk-UA"/>
        </w:rPr>
        <w:t>"Іноді"</w:t>
      </w:r>
      <w:r w:rsidR="00D46B1B" w:rsidRPr="002E6ECA">
        <w:rPr>
          <w:rStyle w:val="shorttext"/>
          <w:sz w:val="28"/>
          <w:szCs w:val="28"/>
          <w:lang w:val="uk-UA"/>
        </w:rPr>
        <w:t xml:space="preserve"> </w:t>
      </w:r>
      <w:r w:rsidRPr="002E6ECA">
        <w:rPr>
          <w:rStyle w:val="shorttext"/>
          <w:sz w:val="28"/>
          <w:szCs w:val="28"/>
          <w:lang w:val="uk-UA"/>
        </w:rPr>
        <w:t>або</w:t>
      </w:r>
      <w:r w:rsidR="00D46B1B" w:rsidRPr="002E6ECA">
        <w:rPr>
          <w:rStyle w:val="shorttext"/>
          <w:sz w:val="28"/>
          <w:szCs w:val="28"/>
          <w:lang w:val="uk-UA"/>
        </w:rPr>
        <w:t xml:space="preserve"> </w:t>
      </w:r>
      <w:r w:rsidRPr="002E6ECA">
        <w:rPr>
          <w:rStyle w:val="shorttext"/>
          <w:sz w:val="28"/>
          <w:szCs w:val="28"/>
          <w:lang w:val="uk-UA"/>
        </w:rPr>
        <w:t>«Часто»,</w:t>
      </w:r>
      <w:r w:rsidR="00D46B1B" w:rsidRPr="002E6ECA">
        <w:rPr>
          <w:rStyle w:val="shorttext"/>
          <w:sz w:val="28"/>
          <w:szCs w:val="28"/>
          <w:lang w:val="uk-UA"/>
        </w:rPr>
        <w:t xml:space="preserve"> </w:t>
      </w:r>
      <w:r w:rsidRPr="002E6ECA">
        <w:rPr>
          <w:rStyle w:val="shorttext"/>
          <w:sz w:val="28"/>
          <w:szCs w:val="28"/>
          <w:lang w:val="uk-UA"/>
        </w:rPr>
        <w:t>і</w:t>
      </w:r>
      <w:r w:rsidR="00D46B1B" w:rsidRPr="002E6ECA">
        <w:rPr>
          <w:rStyle w:val="shorttext"/>
          <w:sz w:val="28"/>
          <w:szCs w:val="28"/>
          <w:lang w:val="uk-UA"/>
        </w:rPr>
        <w:t xml:space="preserve"> </w:t>
      </w:r>
      <w:r w:rsidRPr="002E6ECA">
        <w:rPr>
          <w:rStyle w:val="shorttext"/>
          <w:sz w:val="28"/>
          <w:szCs w:val="28"/>
          <w:lang w:val="uk-UA"/>
        </w:rPr>
        <w:t>переводяться</w:t>
      </w:r>
      <w:r w:rsidR="00D46B1B" w:rsidRPr="002E6ECA">
        <w:rPr>
          <w:rStyle w:val="shorttext"/>
          <w:sz w:val="28"/>
          <w:szCs w:val="28"/>
          <w:lang w:val="uk-UA"/>
        </w:rPr>
        <w:t xml:space="preserve"> </w:t>
      </w:r>
      <w:r w:rsidRPr="002E6ECA">
        <w:rPr>
          <w:rStyle w:val="shorttext"/>
          <w:sz w:val="28"/>
          <w:szCs w:val="28"/>
          <w:lang w:val="uk-UA"/>
        </w:rPr>
        <w:t>у</w:t>
      </w:r>
      <w:r w:rsidR="00D46B1B" w:rsidRPr="002E6ECA">
        <w:rPr>
          <w:rStyle w:val="shorttext"/>
          <w:sz w:val="28"/>
          <w:szCs w:val="28"/>
          <w:lang w:val="uk-UA"/>
        </w:rPr>
        <w:t xml:space="preserve"> </w:t>
      </w:r>
      <w:r w:rsidRPr="002E6ECA">
        <w:rPr>
          <w:rStyle w:val="shorttext"/>
          <w:sz w:val="28"/>
          <w:szCs w:val="28"/>
          <w:lang w:val="uk-UA"/>
        </w:rPr>
        <w:t>0,</w:t>
      </w:r>
      <w:r w:rsidR="00D46B1B" w:rsidRPr="002E6ECA">
        <w:rPr>
          <w:rStyle w:val="shorttext"/>
          <w:sz w:val="28"/>
          <w:szCs w:val="28"/>
          <w:lang w:val="uk-UA"/>
        </w:rPr>
        <w:t xml:space="preserve"> </w:t>
      </w:r>
      <w:r w:rsidRPr="002E6ECA">
        <w:rPr>
          <w:rStyle w:val="shorttext"/>
          <w:sz w:val="28"/>
          <w:szCs w:val="28"/>
          <w:lang w:val="uk-UA"/>
        </w:rPr>
        <w:t>1</w:t>
      </w:r>
      <w:r w:rsidR="00D46B1B" w:rsidRPr="002E6ECA">
        <w:rPr>
          <w:rStyle w:val="shorttext"/>
          <w:sz w:val="28"/>
          <w:szCs w:val="28"/>
          <w:lang w:val="uk-UA"/>
        </w:rPr>
        <w:t xml:space="preserve"> </w:t>
      </w:r>
      <w:r w:rsidRPr="002E6ECA">
        <w:rPr>
          <w:rStyle w:val="shorttext"/>
          <w:sz w:val="28"/>
          <w:szCs w:val="28"/>
          <w:lang w:val="uk-UA"/>
        </w:rPr>
        <w:t>або</w:t>
      </w:r>
      <w:r w:rsidR="00D46B1B" w:rsidRPr="002E6ECA">
        <w:rPr>
          <w:rStyle w:val="shorttext"/>
          <w:sz w:val="28"/>
          <w:szCs w:val="28"/>
          <w:lang w:val="uk-UA"/>
        </w:rPr>
        <w:t xml:space="preserve"> </w:t>
      </w:r>
      <w:r w:rsidRPr="002E6ECA">
        <w:rPr>
          <w:rStyle w:val="shorttext"/>
          <w:sz w:val="28"/>
          <w:szCs w:val="28"/>
          <w:lang w:val="uk-UA"/>
        </w:rPr>
        <w:t>2</w:t>
      </w:r>
      <w:r w:rsidR="00D46B1B" w:rsidRPr="002E6ECA">
        <w:rPr>
          <w:rStyle w:val="shorttext"/>
          <w:sz w:val="28"/>
          <w:szCs w:val="28"/>
          <w:lang w:val="uk-UA"/>
        </w:rPr>
        <w:t xml:space="preserve"> </w:t>
      </w:r>
      <w:r w:rsidRPr="002E6ECA">
        <w:rPr>
          <w:rStyle w:val="shorttext"/>
          <w:sz w:val="28"/>
          <w:szCs w:val="28"/>
          <w:lang w:val="uk-UA"/>
        </w:rPr>
        <w:t>бали</w:t>
      </w:r>
      <w:r w:rsidR="00D46B1B" w:rsidRPr="002E6ECA">
        <w:rPr>
          <w:rStyle w:val="shorttext"/>
          <w:sz w:val="28"/>
          <w:szCs w:val="28"/>
          <w:lang w:val="uk-UA"/>
        </w:rPr>
        <w:t xml:space="preserve"> </w:t>
      </w:r>
      <w:r w:rsidRPr="002E6ECA">
        <w:rPr>
          <w:rStyle w:val="shorttext"/>
          <w:sz w:val="28"/>
          <w:szCs w:val="28"/>
          <w:lang w:val="uk-UA"/>
        </w:rPr>
        <w:t>відповідно.</w:t>
      </w:r>
      <w:r w:rsidR="00D46B1B" w:rsidRPr="002E6ECA">
        <w:rPr>
          <w:rStyle w:val="shorttext"/>
          <w:sz w:val="28"/>
          <w:szCs w:val="28"/>
          <w:lang w:val="uk-UA"/>
        </w:rPr>
        <w:t xml:space="preserve"> </w:t>
      </w:r>
      <w:r w:rsidRPr="002E6ECA">
        <w:rPr>
          <w:rStyle w:val="shorttext"/>
          <w:sz w:val="28"/>
          <w:szCs w:val="28"/>
          <w:lang w:val="uk-UA"/>
        </w:rPr>
        <w:t>Загальний</w:t>
      </w:r>
      <w:r w:rsidR="00D46B1B" w:rsidRPr="002E6ECA">
        <w:rPr>
          <w:rStyle w:val="shorttext"/>
          <w:sz w:val="28"/>
          <w:szCs w:val="28"/>
          <w:lang w:val="uk-UA"/>
        </w:rPr>
        <w:t xml:space="preserve"> </w:t>
      </w:r>
      <w:r w:rsidRPr="002E6ECA">
        <w:rPr>
          <w:rStyle w:val="shorttext"/>
          <w:sz w:val="28"/>
          <w:szCs w:val="28"/>
          <w:lang w:val="uk-UA"/>
        </w:rPr>
        <w:t>бал</w:t>
      </w:r>
      <w:r w:rsidR="00D46B1B" w:rsidRPr="002E6ECA">
        <w:rPr>
          <w:rStyle w:val="shorttext"/>
          <w:sz w:val="28"/>
          <w:szCs w:val="28"/>
          <w:lang w:val="uk-UA"/>
        </w:rPr>
        <w:t xml:space="preserve"> </w:t>
      </w:r>
      <w:r w:rsidRPr="002E6ECA">
        <w:rPr>
          <w:rStyle w:val="shorttext"/>
          <w:sz w:val="28"/>
          <w:szCs w:val="28"/>
          <w:lang w:val="uk-UA"/>
        </w:rPr>
        <w:t>розраховується</w:t>
      </w:r>
      <w:r w:rsidR="00D46B1B" w:rsidRPr="002E6ECA">
        <w:rPr>
          <w:rStyle w:val="shorttext"/>
          <w:sz w:val="28"/>
          <w:szCs w:val="28"/>
          <w:lang w:val="uk-UA"/>
        </w:rPr>
        <w:t xml:space="preserve"> </w:t>
      </w:r>
      <w:r w:rsidRPr="002E6ECA">
        <w:rPr>
          <w:rStyle w:val="shorttext"/>
          <w:sz w:val="28"/>
          <w:szCs w:val="28"/>
          <w:lang w:val="uk-UA"/>
        </w:rPr>
        <w:t>шляхом</w:t>
      </w:r>
      <w:r w:rsidR="00D46B1B" w:rsidRPr="002E6ECA">
        <w:rPr>
          <w:rStyle w:val="shorttext"/>
          <w:sz w:val="28"/>
          <w:szCs w:val="28"/>
          <w:lang w:val="uk-UA"/>
        </w:rPr>
        <w:t xml:space="preserve"> </w:t>
      </w:r>
      <w:r w:rsidRPr="002E6ECA">
        <w:rPr>
          <w:rStyle w:val="shorttext"/>
          <w:sz w:val="28"/>
          <w:szCs w:val="28"/>
          <w:lang w:val="uk-UA"/>
        </w:rPr>
        <w:t>додавання</w:t>
      </w:r>
      <w:r w:rsidR="00D46B1B" w:rsidRPr="002E6ECA">
        <w:rPr>
          <w:rStyle w:val="shorttext"/>
          <w:sz w:val="28"/>
          <w:szCs w:val="28"/>
          <w:lang w:val="uk-UA"/>
        </w:rPr>
        <w:t xml:space="preserve"> </w:t>
      </w:r>
      <w:r w:rsidRPr="002E6ECA">
        <w:rPr>
          <w:rStyle w:val="shorttext"/>
          <w:sz w:val="28"/>
          <w:szCs w:val="28"/>
          <w:lang w:val="uk-UA"/>
        </w:rPr>
        <w:t>балів</w:t>
      </w:r>
      <w:r w:rsidR="00D46B1B" w:rsidRPr="002E6ECA">
        <w:rPr>
          <w:rStyle w:val="shorttext"/>
          <w:sz w:val="28"/>
          <w:szCs w:val="28"/>
          <w:lang w:val="uk-UA"/>
        </w:rPr>
        <w:t xml:space="preserve"> </w:t>
      </w:r>
      <w:r w:rsidRPr="002E6ECA">
        <w:rPr>
          <w:rStyle w:val="shorttext"/>
          <w:sz w:val="28"/>
          <w:szCs w:val="28"/>
          <w:lang w:val="uk-UA"/>
        </w:rPr>
        <w:t>за</w:t>
      </w:r>
      <w:r w:rsidR="00D46B1B" w:rsidRPr="002E6ECA">
        <w:rPr>
          <w:rStyle w:val="shorttext"/>
          <w:sz w:val="28"/>
          <w:szCs w:val="28"/>
          <w:lang w:val="uk-UA"/>
        </w:rPr>
        <w:t xml:space="preserve"> </w:t>
      </w:r>
      <w:r w:rsidRPr="002E6ECA">
        <w:rPr>
          <w:rStyle w:val="shorttext"/>
          <w:sz w:val="28"/>
          <w:szCs w:val="28"/>
          <w:lang w:val="uk-UA"/>
        </w:rPr>
        <w:t>кожним</w:t>
      </w:r>
      <w:r w:rsidR="00D46B1B" w:rsidRPr="002E6ECA">
        <w:rPr>
          <w:rStyle w:val="shorttext"/>
          <w:sz w:val="28"/>
          <w:szCs w:val="28"/>
          <w:lang w:val="uk-UA"/>
        </w:rPr>
        <w:t xml:space="preserve"> </w:t>
      </w:r>
      <w:r w:rsidRPr="002E6ECA">
        <w:rPr>
          <w:rStyle w:val="shorttext"/>
          <w:sz w:val="28"/>
          <w:szCs w:val="28"/>
          <w:lang w:val="uk-UA"/>
        </w:rPr>
        <w:t>з</w:t>
      </w:r>
      <w:r w:rsidR="00D46B1B" w:rsidRPr="002E6ECA">
        <w:rPr>
          <w:rStyle w:val="shorttext"/>
          <w:sz w:val="28"/>
          <w:szCs w:val="28"/>
          <w:lang w:val="uk-UA"/>
        </w:rPr>
        <w:t xml:space="preserve"> </w:t>
      </w:r>
      <w:r w:rsidRPr="002E6ECA">
        <w:rPr>
          <w:rStyle w:val="shorttext"/>
          <w:sz w:val="28"/>
          <w:szCs w:val="28"/>
          <w:lang w:val="uk-UA"/>
        </w:rPr>
        <w:t>35</w:t>
      </w:r>
      <w:r w:rsidR="00D46B1B" w:rsidRPr="002E6ECA">
        <w:rPr>
          <w:rStyle w:val="shorttext"/>
          <w:sz w:val="28"/>
          <w:szCs w:val="28"/>
          <w:lang w:val="uk-UA"/>
        </w:rPr>
        <w:t xml:space="preserve"> </w:t>
      </w:r>
      <w:r w:rsidRPr="002E6ECA">
        <w:rPr>
          <w:rStyle w:val="shorttext"/>
          <w:sz w:val="28"/>
          <w:szCs w:val="28"/>
          <w:lang w:val="uk-UA"/>
        </w:rPr>
        <w:t>пунктів.</w:t>
      </w:r>
      <w:r w:rsidR="00D46B1B" w:rsidRPr="002E6ECA">
        <w:rPr>
          <w:rStyle w:val="shorttext"/>
          <w:sz w:val="28"/>
          <w:szCs w:val="28"/>
          <w:lang w:val="uk-UA"/>
        </w:rPr>
        <w:t xml:space="preserve"> </w:t>
      </w:r>
    </w:p>
    <w:p w:rsidR="0084636B" w:rsidRPr="002E6ECA" w:rsidRDefault="0084636B" w:rsidP="0084636B">
      <w:pPr>
        <w:spacing w:line="360" w:lineRule="auto"/>
        <w:ind w:firstLine="709"/>
        <w:jc w:val="both"/>
        <w:rPr>
          <w:rStyle w:val="shorttext"/>
          <w:sz w:val="28"/>
          <w:szCs w:val="28"/>
          <w:lang w:val="uk-UA"/>
        </w:rPr>
      </w:pPr>
      <w:r w:rsidRPr="002E6ECA">
        <w:rPr>
          <w:rStyle w:val="shorttext"/>
          <w:sz w:val="28"/>
          <w:szCs w:val="28"/>
          <w:lang w:val="uk-UA"/>
        </w:rPr>
        <w:t>Мінімальний</w:t>
      </w:r>
      <w:r w:rsidR="00D46B1B" w:rsidRPr="002E6ECA">
        <w:rPr>
          <w:rStyle w:val="shorttext"/>
          <w:sz w:val="28"/>
          <w:szCs w:val="28"/>
          <w:lang w:val="uk-UA"/>
        </w:rPr>
        <w:t xml:space="preserve"> </w:t>
      </w:r>
      <w:r w:rsidRPr="002E6ECA">
        <w:rPr>
          <w:rStyle w:val="shorttext"/>
          <w:sz w:val="28"/>
          <w:szCs w:val="28"/>
          <w:lang w:val="uk-UA"/>
        </w:rPr>
        <w:t>бал</w:t>
      </w:r>
      <w:r w:rsidR="00D46B1B" w:rsidRPr="002E6ECA">
        <w:rPr>
          <w:rStyle w:val="shorttext"/>
          <w:sz w:val="28"/>
          <w:szCs w:val="28"/>
          <w:lang w:val="uk-UA"/>
        </w:rPr>
        <w:t xml:space="preserve"> </w:t>
      </w:r>
      <w:r w:rsidRPr="002E6ECA">
        <w:rPr>
          <w:rStyle w:val="shorttext"/>
          <w:sz w:val="28"/>
          <w:szCs w:val="28"/>
          <w:lang w:val="uk-UA"/>
        </w:rPr>
        <w:t>за</w:t>
      </w:r>
      <w:r w:rsidR="00D46B1B" w:rsidRPr="002E6ECA">
        <w:rPr>
          <w:rStyle w:val="shorttext"/>
          <w:sz w:val="28"/>
          <w:szCs w:val="28"/>
          <w:lang w:val="uk-UA"/>
        </w:rPr>
        <w:t xml:space="preserve"> </w:t>
      </w:r>
      <w:r w:rsidRPr="002E6ECA">
        <w:rPr>
          <w:rStyle w:val="shorttext"/>
          <w:sz w:val="28"/>
          <w:szCs w:val="28"/>
          <w:lang w:val="uk-UA"/>
        </w:rPr>
        <w:t>методикою</w:t>
      </w:r>
      <w:r w:rsidR="00D46B1B" w:rsidRPr="002E6ECA">
        <w:rPr>
          <w:rStyle w:val="shorttext"/>
          <w:sz w:val="28"/>
          <w:szCs w:val="28"/>
          <w:lang w:val="uk-UA"/>
        </w:rPr>
        <w:t xml:space="preserve"> </w:t>
      </w:r>
      <w:r w:rsidRPr="002E6ECA">
        <w:rPr>
          <w:rStyle w:val="shorttext"/>
          <w:sz w:val="28"/>
          <w:szCs w:val="28"/>
          <w:lang w:val="uk-UA"/>
        </w:rPr>
        <w:t>може</w:t>
      </w:r>
      <w:r w:rsidR="00D46B1B" w:rsidRPr="002E6ECA">
        <w:rPr>
          <w:rStyle w:val="shorttext"/>
          <w:sz w:val="28"/>
          <w:szCs w:val="28"/>
          <w:lang w:val="uk-UA"/>
        </w:rPr>
        <w:t xml:space="preserve"> </w:t>
      </w:r>
      <w:r w:rsidRPr="002E6ECA">
        <w:rPr>
          <w:rStyle w:val="shorttext"/>
          <w:sz w:val="28"/>
          <w:szCs w:val="28"/>
          <w:lang w:val="uk-UA"/>
        </w:rPr>
        <w:t>дорівнювати</w:t>
      </w:r>
      <w:r w:rsidR="00D46B1B" w:rsidRPr="002E6ECA">
        <w:rPr>
          <w:rStyle w:val="shorttext"/>
          <w:sz w:val="28"/>
          <w:szCs w:val="28"/>
          <w:lang w:val="uk-UA"/>
        </w:rPr>
        <w:t xml:space="preserve"> </w:t>
      </w:r>
      <w:r w:rsidRPr="002E6ECA">
        <w:rPr>
          <w:rStyle w:val="shorttext"/>
          <w:sz w:val="28"/>
          <w:szCs w:val="28"/>
          <w:lang w:val="uk-UA"/>
        </w:rPr>
        <w:t>0</w:t>
      </w:r>
      <w:r w:rsidR="00D46B1B" w:rsidRPr="002E6ECA">
        <w:rPr>
          <w:rStyle w:val="shorttext"/>
          <w:sz w:val="28"/>
          <w:szCs w:val="28"/>
          <w:lang w:val="uk-UA"/>
        </w:rPr>
        <w:t xml:space="preserve"> </w:t>
      </w:r>
      <w:r w:rsidRPr="002E6ECA">
        <w:rPr>
          <w:rStyle w:val="shorttext"/>
          <w:sz w:val="28"/>
          <w:szCs w:val="28"/>
          <w:lang w:val="uk-UA"/>
        </w:rPr>
        <w:t>балів,</w:t>
      </w:r>
      <w:r w:rsidR="00D46B1B" w:rsidRPr="002E6ECA">
        <w:rPr>
          <w:rStyle w:val="shorttext"/>
          <w:sz w:val="28"/>
          <w:szCs w:val="28"/>
          <w:lang w:val="uk-UA"/>
        </w:rPr>
        <w:t xml:space="preserve"> </w:t>
      </w:r>
      <w:r w:rsidRPr="002E6ECA">
        <w:rPr>
          <w:rStyle w:val="shorttext"/>
          <w:sz w:val="28"/>
          <w:szCs w:val="28"/>
          <w:lang w:val="uk-UA"/>
        </w:rPr>
        <w:t>максимальний</w:t>
      </w:r>
      <w:r w:rsidR="00D46B1B" w:rsidRPr="002E6ECA">
        <w:rPr>
          <w:rStyle w:val="shorttext"/>
          <w:sz w:val="28"/>
          <w:szCs w:val="28"/>
          <w:lang w:val="uk-UA"/>
        </w:rPr>
        <w:t xml:space="preserve"> </w:t>
      </w:r>
      <w:r w:rsidRPr="002E6ECA">
        <w:rPr>
          <w:rStyle w:val="shorttext"/>
          <w:sz w:val="28"/>
          <w:szCs w:val="28"/>
          <w:lang w:val="uk-UA"/>
        </w:rPr>
        <w:t>–70</w:t>
      </w:r>
      <w:r w:rsidR="00D46B1B" w:rsidRPr="002E6ECA">
        <w:rPr>
          <w:rStyle w:val="shorttext"/>
          <w:sz w:val="28"/>
          <w:szCs w:val="28"/>
          <w:lang w:val="uk-UA"/>
        </w:rPr>
        <w:t xml:space="preserve"> </w:t>
      </w:r>
      <w:r w:rsidRPr="002E6ECA">
        <w:rPr>
          <w:rStyle w:val="shorttext"/>
          <w:sz w:val="28"/>
          <w:szCs w:val="28"/>
          <w:lang w:val="uk-UA"/>
        </w:rPr>
        <w:t>балів</w:t>
      </w:r>
      <w:r w:rsidR="00D46B1B" w:rsidRPr="002E6ECA">
        <w:rPr>
          <w:rStyle w:val="shorttext"/>
          <w:sz w:val="28"/>
          <w:szCs w:val="28"/>
          <w:lang w:val="uk-UA"/>
        </w:rPr>
        <w:t xml:space="preserve"> </w:t>
      </w:r>
      <w:r w:rsidRPr="002E6ECA">
        <w:rPr>
          <w:rStyle w:val="shorttext"/>
          <w:sz w:val="28"/>
          <w:szCs w:val="28"/>
          <w:lang w:val="uk-UA"/>
        </w:rPr>
        <w:t>для</w:t>
      </w:r>
      <w:r w:rsidR="00D46B1B" w:rsidRPr="002E6ECA">
        <w:rPr>
          <w:rStyle w:val="shorttext"/>
          <w:sz w:val="28"/>
          <w:szCs w:val="28"/>
          <w:lang w:val="uk-UA"/>
        </w:rPr>
        <w:t xml:space="preserve"> </w:t>
      </w:r>
      <w:r w:rsidRPr="002E6ECA">
        <w:rPr>
          <w:rStyle w:val="shorttext"/>
          <w:sz w:val="28"/>
          <w:szCs w:val="28"/>
          <w:lang w:val="uk-UA"/>
        </w:rPr>
        <w:t>повної</w:t>
      </w:r>
      <w:r w:rsidR="00D46B1B" w:rsidRPr="002E6ECA">
        <w:rPr>
          <w:rStyle w:val="shorttext"/>
          <w:sz w:val="28"/>
          <w:szCs w:val="28"/>
          <w:lang w:val="uk-UA"/>
        </w:rPr>
        <w:t xml:space="preserve"> </w:t>
      </w:r>
      <w:r w:rsidRPr="002E6ECA">
        <w:rPr>
          <w:rStyle w:val="shorttext"/>
          <w:sz w:val="28"/>
          <w:szCs w:val="28"/>
          <w:lang w:val="uk-UA"/>
        </w:rPr>
        <w:t>версії</w:t>
      </w:r>
      <w:r w:rsidR="00D46B1B" w:rsidRPr="002E6ECA">
        <w:rPr>
          <w:rStyle w:val="shorttext"/>
          <w:sz w:val="28"/>
          <w:szCs w:val="28"/>
          <w:lang w:val="uk-UA"/>
        </w:rPr>
        <w:t xml:space="preserve"> </w:t>
      </w:r>
      <w:r w:rsidRPr="002E6ECA">
        <w:rPr>
          <w:rStyle w:val="shorttext"/>
          <w:sz w:val="28"/>
          <w:szCs w:val="28"/>
          <w:lang w:val="uk-UA"/>
        </w:rPr>
        <w:t>тесту</w:t>
      </w:r>
      <w:r w:rsidR="00D46B1B" w:rsidRPr="002E6ECA">
        <w:rPr>
          <w:rStyle w:val="shorttext"/>
          <w:sz w:val="28"/>
          <w:szCs w:val="28"/>
          <w:lang w:val="uk-UA"/>
        </w:rPr>
        <w:t xml:space="preserve"> </w:t>
      </w:r>
      <w:r w:rsidRPr="002E6ECA">
        <w:rPr>
          <w:rStyle w:val="shorttext"/>
          <w:sz w:val="28"/>
          <w:szCs w:val="28"/>
          <w:lang w:val="uk-UA"/>
        </w:rPr>
        <w:t>з</w:t>
      </w:r>
      <w:r w:rsidR="00D46B1B" w:rsidRPr="002E6ECA">
        <w:rPr>
          <w:rStyle w:val="shorttext"/>
          <w:sz w:val="28"/>
          <w:szCs w:val="28"/>
          <w:lang w:val="uk-UA"/>
        </w:rPr>
        <w:t xml:space="preserve"> </w:t>
      </w:r>
      <w:r w:rsidRPr="002E6ECA">
        <w:rPr>
          <w:rStyle w:val="shorttext"/>
          <w:sz w:val="28"/>
          <w:szCs w:val="28"/>
          <w:lang w:val="uk-UA"/>
        </w:rPr>
        <w:t>35</w:t>
      </w:r>
      <w:r w:rsidR="00D46B1B" w:rsidRPr="002E6ECA">
        <w:rPr>
          <w:rStyle w:val="shorttext"/>
          <w:sz w:val="28"/>
          <w:szCs w:val="28"/>
          <w:lang w:val="uk-UA"/>
        </w:rPr>
        <w:t xml:space="preserve"> </w:t>
      </w:r>
      <w:r w:rsidRPr="002E6ECA">
        <w:rPr>
          <w:rStyle w:val="shorttext"/>
          <w:sz w:val="28"/>
          <w:szCs w:val="28"/>
          <w:lang w:val="uk-UA"/>
        </w:rPr>
        <w:t>пунктів.</w:t>
      </w:r>
    </w:p>
    <w:p w:rsidR="0084636B" w:rsidRPr="002E6ECA" w:rsidRDefault="0084636B" w:rsidP="0084636B">
      <w:pPr>
        <w:spacing w:line="360" w:lineRule="auto"/>
        <w:ind w:firstLine="709"/>
        <w:jc w:val="both"/>
        <w:rPr>
          <w:rStyle w:val="shorttext"/>
          <w:sz w:val="28"/>
          <w:szCs w:val="28"/>
          <w:lang w:val="uk-UA"/>
        </w:rPr>
      </w:pPr>
      <w:r w:rsidRPr="002E6ECA">
        <w:rPr>
          <w:rStyle w:val="shorttext"/>
          <w:sz w:val="28"/>
          <w:szCs w:val="28"/>
          <w:lang w:val="uk-UA"/>
        </w:rPr>
        <w:t>Скрінінговим</w:t>
      </w:r>
      <w:r w:rsidR="00D46B1B" w:rsidRPr="002E6ECA">
        <w:rPr>
          <w:rStyle w:val="shorttext"/>
          <w:sz w:val="28"/>
          <w:szCs w:val="28"/>
          <w:lang w:val="uk-UA"/>
        </w:rPr>
        <w:t xml:space="preserve"> </w:t>
      </w:r>
      <w:r w:rsidRPr="002E6ECA">
        <w:rPr>
          <w:rStyle w:val="shorttext"/>
          <w:sz w:val="28"/>
          <w:szCs w:val="28"/>
          <w:lang w:val="uk-UA"/>
        </w:rPr>
        <w:t>критичним</w:t>
      </w:r>
      <w:r w:rsidR="00D46B1B" w:rsidRPr="002E6ECA">
        <w:rPr>
          <w:rStyle w:val="shorttext"/>
          <w:sz w:val="28"/>
          <w:szCs w:val="28"/>
          <w:lang w:val="uk-UA"/>
        </w:rPr>
        <w:t xml:space="preserve"> </w:t>
      </w:r>
      <w:r w:rsidRPr="002E6ECA">
        <w:rPr>
          <w:rStyle w:val="shorttext"/>
          <w:sz w:val="28"/>
          <w:szCs w:val="28"/>
          <w:lang w:val="uk-UA"/>
        </w:rPr>
        <w:t>значенням</w:t>
      </w:r>
      <w:r w:rsidR="00D46B1B" w:rsidRPr="002E6ECA">
        <w:rPr>
          <w:rStyle w:val="shorttext"/>
          <w:sz w:val="28"/>
          <w:szCs w:val="28"/>
          <w:lang w:val="uk-UA"/>
        </w:rPr>
        <w:t xml:space="preserve"> </w:t>
      </w:r>
      <w:r w:rsidRPr="002E6ECA">
        <w:rPr>
          <w:rStyle w:val="shorttext"/>
          <w:sz w:val="28"/>
          <w:szCs w:val="28"/>
          <w:lang w:val="uk-UA"/>
        </w:rPr>
        <w:t>для</w:t>
      </w:r>
      <w:r w:rsidR="00D46B1B" w:rsidRPr="002E6ECA">
        <w:rPr>
          <w:rStyle w:val="shorttext"/>
          <w:sz w:val="28"/>
          <w:szCs w:val="28"/>
          <w:lang w:val="uk-UA"/>
        </w:rPr>
        <w:t xml:space="preserve"> </w:t>
      </w:r>
      <w:r w:rsidRPr="002E6ECA">
        <w:rPr>
          <w:rStyle w:val="shorttext"/>
          <w:sz w:val="28"/>
          <w:szCs w:val="28"/>
          <w:lang w:val="uk-UA"/>
        </w:rPr>
        <w:t>методики</w:t>
      </w:r>
      <w:r w:rsidR="00D46B1B" w:rsidRPr="002E6ECA">
        <w:rPr>
          <w:rStyle w:val="shorttext"/>
          <w:sz w:val="28"/>
          <w:szCs w:val="28"/>
          <w:lang w:val="uk-UA"/>
        </w:rPr>
        <w:t xml:space="preserve"> </w:t>
      </w:r>
      <w:r w:rsidRPr="002E6ECA">
        <w:rPr>
          <w:rStyle w:val="shorttext"/>
          <w:sz w:val="28"/>
          <w:szCs w:val="28"/>
          <w:lang w:val="uk-UA"/>
        </w:rPr>
        <w:t>PSC-Ukr</w:t>
      </w:r>
      <w:r w:rsidR="00D46B1B" w:rsidRPr="002E6ECA">
        <w:rPr>
          <w:rStyle w:val="shorttext"/>
          <w:sz w:val="28"/>
          <w:szCs w:val="28"/>
          <w:lang w:val="uk-UA"/>
        </w:rPr>
        <w:t xml:space="preserve"> </w:t>
      </w:r>
      <w:r w:rsidRPr="002E6ECA">
        <w:rPr>
          <w:rStyle w:val="shorttext"/>
          <w:sz w:val="28"/>
          <w:szCs w:val="28"/>
          <w:lang w:val="uk-UA"/>
        </w:rPr>
        <w:t>є</w:t>
      </w:r>
      <w:r w:rsidR="00D46B1B" w:rsidRPr="002E6ECA">
        <w:rPr>
          <w:rStyle w:val="shorttext"/>
          <w:sz w:val="28"/>
          <w:szCs w:val="28"/>
          <w:lang w:val="uk-UA"/>
        </w:rPr>
        <w:t xml:space="preserve"> </w:t>
      </w:r>
      <w:r w:rsidRPr="002E6ECA">
        <w:rPr>
          <w:rStyle w:val="shorttext"/>
          <w:sz w:val="28"/>
          <w:szCs w:val="28"/>
          <w:lang w:val="uk-UA"/>
        </w:rPr>
        <w:t>22+</w:t>
      </w:r>
      <w:r w:rsidR="00D46B1B" w:rsidRPr="002E6ECA">
        <w:rPr>
          <w:rStyle w:val="shorttext"/>
          <w:sz w:val="28"/>
          <w:szCs w:val="28"/>
          <w:lang w:val="uk-UA"/>
        </w:rPr>
        <w:t xml:space="preserve"> </w:t>
      </w:r>
      <w:r w:rsidRPr="002E6ECA">
        <w:rPr>
          <w:rStyle w:val="shorttext"/>
          <w:sz w:val="28"/>
          <w:szCs w:val="28"/>
          <w:lang w:val="uk-UA"/>
        </w:rPr>
        <w:t>та</w:t>
      </w:r>
      <w:r w:rsidR="00D46B1B" w:rsidRPr="002E6ECA">
        <w:rPr>
          <w:rStyle w:val="shorttext"/>
          <w:sz w:val="28"/>
          <w:szCs w:val="28"/>
          <w:lang w:val="uk-UA"/>
        </w:rPr>
        <w:t xml:space="preserve"> </w:t>
      </w:r>
      <w:r w:rsidRPr="002E6ECA">
        <w:rPr>
          <w:rStyle w:val="shorttext"/>
          <w:sz w:val="28"/>
          <w:szCs w:val="28"/>
          <w:lang w:val="uk-UA"/>
        </w:rPr>
        <w:t>для</w:t>
      </w:r>
      <w:r w:rsidR="00D46B1B" w:rsidRPr="002E6ECA">
        <w:rPr>
          <w:rStyle w:val="shorttext"/>
          <w:sz w:val="28"/>
          <w:szCs w:val="28"/>
          <w:lang w:val="uk-UA"/>
        </w:rPr>
        <w:t xml:space="preserve"> </w:t>
      </w:r>
      <w:r w:rsidRPr="002E6ECA">
        <w:rPr>
          <w:rStyle w:val="shorttext"/>
          <w:sz w:val="28"/>
          <w:szCs w:val="28"/>
          <w:lang w:val="uk-UA"/>
        </w:rPr>
        <w:t>Y-PSC-Ukr</w:t>
      </w:r>
      <w:r w:rsidR="00D46B1B" w:rsidRPr="002E6ECA">
        <w:rPr>
          <w:rStyle w:val="shorttext"/>
          <w:sz w:val="28"/>
          <w:szCs w:val="28"/>
          <w:lang w:val="uk-UA"/>
        </w:rPr>
        <w:t xml:space="preserve"> </w:t>
      </w:r>
      <w:r w:rsidRPr="002E6ECA">
        <w:rPr>
          <w:rStyle w:val="shorttext"/>
          <w:sz w:val="28"/>
          <w:szCs w:val="28"/>
          <w:lang w:val="uk-UA"/>
        </w:rPr>
        <w:t>є</w:t>
      </w:r>
      <w:r w:rsidR="00D46B1B" w:rsidRPr="002E6ECA">
        <w:rPr>
          <w:rStyle w:val="shorttext"/>
          <w:sz w:val="28"/>
          <w:szCs w:val="28"/>
          <w:lang w:val="uk-UA"/>
        </w:rPr>
        <w:t xml:space="preserve"> </w:t>
      </w:r>
      <w:r w:rsidRPr="002E6ECA">
        <w:rPr>
          <w:rStyle w:val="shorttext"/>
          <w:sz w:val="28"/>
          <w:szCs w:val="28"/>
          <w:lang w:val="uk-UA"/>
        </w:rPr>
        <w:t>21+.</w:t>
      </w:r>
      <w:r w:rsidR="00D46B1B" w:rsidRPr="002E6ECA">
        <w:rPr>
          <w:rStyle w:val="shorttext"/>
          <w:sz w:val="28"/>
          <w:szCs w:val="28"/>
          <w:lang w:val="uk-UA"/>
        </w:rPr>
        <w:t xml:space="preserve"> </w:t>
      </w:r>
      <w:r w:rsidRPr="002E6ECA">
        <w:rPr>
          <w:rStyle w:val="shorttext"/>
          <w:sz w:val="28"/>
          <w:szCs w:val="28"/>
          <w:lang w:val="uk-UA"/>
        </w:rPr>
        <w:t>Такі</w:t>
      </w:r>
      <w:r w:rsidR="00D46B1B" w:rsidRPr="002E6ECA">
        <w:rPr>
          <w:rStyle w:val="shorttext"/>
          <w:sz w:val="28"/>
          <w:szCs w:val="28"/>
          <w:lang w:val="uk-UA"/>
        </w:rPr>
        <w:t xml:space="preserve"> </w:t>
      </w:r>
      <w:r w:rsidRPr="002E6ECA">
        <w:rPr>
          <w:rStyle w:val="shorttext"/>
          <w:sz w:val="28"/>
          <w:szCs w:val="28"/>
          <w:lang w:val="uk-UA"/>
        </w:rPr>
        <w:t>бали</w:t>
      </w:r>
      <w:r w:rsidR="00D46B1B" w:rsidRPr="002E6ECA">
        <w:rPr>
          <w:rStyle w:val="shorttext"/>
          <w:sz w:val="28"/>
          <w:szCs w:val="28"/>
          <w:lang w:val="uk-UA"/>
        </w:rPr>
        <w:t xml:space="preserve"> </w:t>
      </w:r>
      <w:r w:rsidRPr="002E6ECA">
        <w:rPr>
          <w:rStyle w:val="shorttext"/>
          <w:sz w:val="28"/>
          <w:szCs w:val="28"/>
          <w:lang w:val="uk-UA"/>
        </w:rPr>
        <w:t>свідчать,</w:t>
      </w:r>
      <w:r w:rsidR="00D46B1B" w:rsidRPr="002E6ECA">
        <w:rPr>
          <w:rStyle w:val="shorttext"/>
          <w:sz w:val="28"/>
          <w:szCs w:val="28"/>
          <w:lang w:val="uk-UA"/>
        </w:rPr>
        <w:t xml:space="preserve"> </w:t>
      </w:r>
      <w:r w:rsidRPr="002E6ECA">
        <w:rPr>
          <w:rStyle w:val="shorttext"/>
          <w:sz w:val="28"/>
          <w:szCs w:val="28"/>
          <w:lang w:val="uk-UA"/>
        </w:rPr>
        <w:t>що</w:t>
      </w:r>
      <w:r w:rsidR="00D46B1B" w:rsidRPr="002E6ECA">
        <w:rPr>
          <w:rStyle w:val="shorttext"/>
          <w:sz w:val="28"/>
          <w:szCs w:val="28"/>
          <w:lang w:val="uk-UA"/>
        </w:rPr>
        <w:t xml:space="preserve"> </w:t>
      </w:r>
      <w:r w:rsidRPr="002E6ECA">
        <w:rPr>
          <w:rStyle w:val="shorttext"/>
          <w:sz w:val="28"/>
          <w:szCs w:val="28"/>
          <w:lang w:val="uk-UA"/>
        </w:rPr>
        <w:t>дитині</w:t>
      </w:r>
      <w:r w:rsidR="00D46B1B" w:rsidRPr="002E6ECA">
        <w:rPr>
          <w:rStyle w:val="shorttext"/>
          <w:sz w:val="28"/>
          <w:szCs w:val="28"/>
          <w:lang w:val="uk-UA"/>
        </w:rPr>
        <w:t xml:space="preserve"> </w:t>
      </w:r>
      <w:r w:rsidRPr="002E6ECA">
        <w:rPr>
          <w:rStyle w:val="shorttext"/>
          <w:sz w:val="28"/>
          <w:szCs w:val="28"/>
          <w:lang w:val="uk-UA"/>
        </w:rPr>
        <w:t>може</w:t>
      </w:r>
      <w:r w:rsidR="00D46B1B" w:rsidRPr="002E6ECA">
        <w:rPr>
          <w:rStyle w:val="shorttext"/>
          <w:sz w:val="28"/>
          <w:szCs w:val="28"/>
          <w:lang w:val="uk-UA"/>
        </w:rPr>
        <w:t xml:space="preserve"> </w:t>
      </w:r>
      <w:r w:rsidRPr="002E6ECA">
        <w:rPr>
          <w:rStyle w:val="shorttext"/>
          <w:sz w:val="28"/>
          <w:szCs w:val="28"/>
          <w:lang w:val="uk-UA"/>
        </w:rPr>
        <w:t>допомогти</w:t>
      </w:r>
      <w:r w:rsidR="00D46B1B" w:rsidRPr="002E6ECA">
        <w:rPr>
          <w:rStyle w:val="shorttext"/>
          <w:sz w:val="28"/>
          <w:szCs w:val="28"/>
          <w:lang w:val="uk-UA"/>
        </w:rPr>
        <w:t xml:space="preserve"> </w:t>
      </w:r>
      <w:r w:rsidRPr="002E6ECA">
        <w:rPr>
          <w:rStyle w:val="shorttext"/>
          <w:sz w:val="28"/>
          <w:szCs w:val="28"/>
          <w:lang w:val="uk-UA"/>
        </w:rPr>
        <w:t>додаткова</w:t>
      </w:r>
      <w:r w:rsidR="00D46B1B" w:rsidRPr="002E6ECA">
        <w:rPr>
          <w:rStyle w:val="shorttext"/>
          <w:sz w:val="28"/>
          <w:szCs w:val="28"/>
          <w:lang w:val="uk-UA"/>
        </w:rPr>
        <w:t xml:space="preserve"> </w:t>
      </w:r>
      <w:r w:rsidRPr="002E6ECA">
        <w:rPr>
          <w:rStyle w:val="shorttext"/>
          <w:sz w:val="28"/>
          <w:szCs w:val="28"/>
          <w:lang w:val="uk-UA"/>
        </w:rPr>
        <w:t>консультація</w:t>
      </w:r>
      <w:r w:rsidR="00D46B1B" w:rsidRPr="002E6ECA">
        <w:rPr>
          <w:rStyle w:val="shorttext"/>
          <w:sz w:val="28"/>
          <w:szCs w:val="28"/>
          <w:lang w:val="uk-UA"/>
        </w:rPr>
        <w:t xml:space="preserve"> </w:t>
      </w:r>
      <w:r w:rsidRPr="002E6ECA">
        <w:rPr>
          <w:rStyle w:val="shorttext"/>
          <w:sz w:val="28"/>
          <w:szCs w:val="28"/>
          <w:lang w:val="uk-UA"/>
        </w:rPr>
        <w:t>спеціаліста</w:t>
      </w:r>
      <w:r w:rsidR="00D46B1B" w:rsidRPr="002E6ECA">
        <w:rPr>
          <w:rStyle w:val="shorttext"/>
          <w:sz w:val="28"/>
          <w:szCs w:val="28"/>
          <w:lang w:val="uk-UA"/>
        </w:rPr>
        <w:t xml:space="preserve"> </w:t>
      </w:r>
      <w:r w:rsidRPr="002E6ECA">
        <w:rPr>
          <w:rStyle w:val="shorttext"/>
          <w:sz w:val="28"/>
          <w:szCs w:val="28"/>
          <w:lang w:val="uk-UA"/>
        </w:rPr>
        <w:t>з</w:t>
      </w:r>
      <w:r w:rsidR="00D46B1B" w:rsidRPr="002E6ECA">
        <w:rPr>
          <w:rStyle w:val="shorttext"/>
          <w:sz w:val="28"/>
          <w:szCs w:val="28"/>
          <w:lang w:val="uk-UA"/>
        </w:rPr>
        <w:t xml:space="preserve"> </w:t>
      </w:r>
      <w:r w:rsidRPr="002E6ECA">
        <w:rPr>
          <w:rStyle w:val="shorttext"/>
          <w:sz w:val="28"/>
          <w:szCs w:val="28"/>
          <w:lang w:val="uk-UA"/>
        </w:rPr>
        <w:t>психічного</w:t>
      </w:r>
      <w:r w:rsidR="00D46B1B" w:rsidRPr="002E6ECA">
        <w:rPr>
          <w:rStyle w:val="shorttext"/>
          <w:sz w:val="28"/>
          <w:szCs w:val="28"/>
          <w:lang w:val="uk-UA"/>
        </w:rPr>
        <w:t xml:space="preserve"> </w:t>
      </w:r>
      <w:r w:rsidRPr="002E6ECA">
        <w:rPr>
          <w:rStyle w:val="shorttext"/>
          <w:sz w:val="28"/>
          <w:szCs w:val="28"/>
          <w:lang w:val="uk-UA"/>
        </w:rPr>
        <w:t>здоров’я.</w:t>
      </w:r>
    </w:p>
    <w:p w:rsidR="0084636B" w:rsidRPr="002E6ECA" w:rsidRDefault="0084636B" w:rsidP="0084636B">
      <w:pPr>
        <w:spacing w:line="360" w:lineRule="auto"/>
        <w:ind w:firstLine="709"/>
        <w:jc w:val="both"/>
        <w:rPr>
          <w:rStyle w:val="shorttext"/>
          <w:sz w:val="28"/>
          <w:szCs w:val="28"/>
          <w:lang w:val="uk-UA"/>
        </w:rPr>
      </w:pPr>
      <w:r w:rsidRPr="002E6ECA">
        <w:rPr>
          <w:rStyle w:val="shorttext"/>
          <w:sz w:val="28"/>
          <w:szCs w:val="28"/>
          <w:lang w:val="uk-UA"/>
        </w:rPr>
        <w:t>Пункти,</w:t>
      </w:r>
      <w:r w:rsidR="00D46B1B" w:rsidRPr="002E6ECA">
        <w:rPr>
          <w:rStyle w:val="shorttext"/>
          <w:sz w:val="28"/>
          <w:szCs w:val="28"/>
          <w:lang w:val="uk-UA"/>
        </w:rPr>
        <w:t xml:space="preserve"> </w:t>
      </w:r>
      <w:r w:rsidRPr="002E6ECA">
        <w:rPr>
          <w:rStyle w:val="shorttext"/>
          <w:sz w:val="28"/>
          <w:szCs w:val="28"/>
          <w:lang w:val="uk-UA"/>
        </w:rPr>
        <w:t>які</w:t>
      </w:r>
      <w:r w:rsidR="00D46B1B" w:rsidRPr="002E6ECA">
        <w:rPr>
          <w:rStyle w:val="shorttext"/>
          <w:sz w:val="28"/>
          <w:szCs w:val="28"/>
          <w:lang w:val="uk-UA"/>
        </w:rPr>
        <w:t xml:space="preserve"> </w:t>
      </w:r>
      <w:r w:rsidRPr="002E6ECA">
        <w:rPr>
          <w:rStyle w:val="shorttext"/>
          <w:sz w:val="28"/>
          <w:szCs w:val="28"/>
          <w:lang w:val="uk-UA"/>
        </w:rPr>
        <w:t>дитина</w:t>
      </w:r>
      <w:r w:rsidR="00D46B1B" w:rsidRPr="002E6ECA">
        <w:rPr>
          <w:rStyle w:val="shorttext"/>
          <w:sz w:val="28"/>
          <w:szCs w:val="28"/>
          <w:lang w:val="uk-UA"/>
        </w:rPr>
        <w:t xml:space="preserve"> </w:t>
      </w:r>
      <w:r w:rsidRPr="002E6ECA">
        <w:rPr>
          <w:rStyle w:val="shorttext"/>
          <w:sz w:val="28"/>
          <w:szCs w:val="28"/>
          <w:lang w:val="uk-UA"/>
        </w:rPr>
        <w:t>залишила</w:t>
      </w:r>
      <w:r w:rsidR="00D46B1B" w:rsidRPr="002E6ECA">
        <w:rPr>
          <w:rStyle w:val="shorttext"/>
          <w:sz w:val="28"/>
          <w:szCs w:val="28"/>
          <w:lang w:val="uk-UA"/>
        </w:rPr>
        <w:t xml:space="preserve"> </w:t>
      </w:r>
      <w:r w:rsidRPr="002E6ECA">
        <w:rPr>
          <w:rStyle w:val="shorttext"/>
          <w:sz w:val="28"/>
          <w:szCs w:val="28"/>
          <w:lang w:val="uk-UA"/>
        </w:rPr>
        <w:t>незаповненими</w:t>
      </w:r>
      <w:r w:rsidR="00D46B1B" w:rsidRPr="002E6ECA">
        <w:rPr>
          <w:rStyle w:val="shorttext"/>
          <w:sz w:val="28"/>
          <w:szCs w:val="28"/>
          <w:lang w:val="uk-UA"/>
        </w:rPr>
        <w:t xml:space="preserve"> </w:t>
      </w:r>
      <w:r w:rsidRPr="002E6ECA">
        <w:rPr>
          <w:rStyle w:val="shorttext"/>
          <w:sz w:val="28"/>
          <w:szCs w:val="28"/>
          <w:lang w:val="uk-UA"/>
        </w:rPr>
        <w:t>не</w:t>
      </w:r>
      <w:r w:rsidR="00D46B1B" w:rsidRPr="002E6ECA">
        <w:rPr>
          <w:rStyle w:val="shorttext"/>
          <w:sz w:val="28"/>
          <w:szCs w:val="28"/>
          <w:lang w:val="uk-UA"/>
        </w:rPr>
        <w:t xml:space="preserve"> </w:t>
      </w:r>
      <w:r w:rsidRPr="002E6ECA">
        <w:rPr>
          <w:rStyle w:val="shorttext"/>
          <w:sz w:val="28"/>
          <w:szCs w:val="28"/>
          <w:lang w:val="uk-UA"/>
        </w:rPr>
        <w:t>підраховуються</w:t>
      </w:r>
      <w:r w:rsidR="00D46B1B" w:rsidRPr="002E6ECA">
        <w:rPr>
          <w:rStyle w:val="shorttext"/>
          <w:sz w:val="28"/>
          <w:szCs w:val="28"/>
          <w:lang w:val="uk-UA"/>
        </w:rPr>
        <w:t xml:space="preserve"> </w:t>
      </w:r>
      <w:r w:rsidRPr="002E6ECA">
        <w:rPr>
          <w:rStyle w:val="shorttext"/>
          <w:sz w:val="28"/>
          <w:szCs w:val="28"/>
          <w:lang w:val="uk-UA"/>
        </w:rPr>
        <w:t>(їм</w:t>
      </w:r>
      <w:r w:rsidR="00D46B1B" w:rsidRPr="002E6ECA">
        <w:rPr>
          <w:rStyle w:val="shorttext"/>
          <w:sz w:val="28"/>
          <w:szCs w:val="28"/>
          <w:lang w:val="uk-UA"/>
        </w:rPr>
        <w:t xml:space="preserve"> </w:t>
      </w:r>
      <w:r w:rsidRPr="002E6ECA">
        <w:rPr>
          <w:rStyle w:val="shorttext"/>
          <w:sz w:val="28"/>
          <w:szCs w:val="28"/>
          <w:lang w:val="uk-UA"/>
        </w:rPr>
        <w:t>присвоюється</w:t>
      </w:r>
      <w:r w:rsidR="00D46B1B" w:rsidRPr="002E6ECA">
        <w:rPr>
          <w:rStyle w:val="shorttext"/>
          <w:sz w:val="28"/>
          <w:szCs w:val="28"/>
          <w:lang w:val="uk-UA"/>
        </w:rPr>
        <w:t xml:space="preserve"> </w:t>
      </w:r>
      <w:r w:rsidRPr="002E6ECA">
        <w:rPr>
          <w:rStyle w:val="shorttext"/>
          <w:sz w:val="28"/>
          <w:szCs w:val="28"/>
          <w:lang w:val="uk-UA"/>
        </w:rPr>
        <w:t>значення</w:t>
      </w:r>
      <w:r w:rsidR="00D46B1B" w:rsidRPr="002E6ECA">
        <w:rPr>
          <w:rStyle w:val="shorttext"/>
          <w:sz w:val="28"/>
          <w:szCs w:val="28"/>
          <w:lang w:val="uk-UA"/>
        </w:rPr>
        <w:t xml:space="preserve"> </w:t>
      </w:r>
      <w:r w:rsidRPr="002E6ECA">
        <w:rPr>
          <w:rStyle w:val="shorttext"/>
          <w:sz w:val="28"/>
          <w:szCs w:val="28"/>
          <w:lang w:val="uk-UA"/>
        </w:rPr>
        <w:t>0</w:t>
      </w:r>
      <w:r w:rsidR="00D46B1B" w:rsidRPr="002E6ECA">
        <w:rPr>
          <w:rStyle w:val="shorttext"/>
          <w:sz w:val="28"/>
          <w:szCs w:val="28"/>
          <w:lang w:val="uk-UA"/>
        </w:rPr>
        <w:t xml:space="preserve"> </w:t>
      </w:r>
      <w:r w:rsidRPr="002E6ECA">
        <w:rPr>
          <w:rStyle w:val="shorttext"/>
          <w:sz w:val="28"/>
          <w:szCs w:val="28"/>
          <w:lang w:val="uk-UA"/>
        </w:rPr>
        <w:t>балів).</w:t>
      </w:r>
      <w:r w:rsidR="00D46B1B" w:rsidRPr="002E6ECA">
        <w:rPr>
          <w:rStyle w:val="shorttext"/>
          <w:sz w:val="28"/>
          <w:szCs w:val="28"/>
          <w:lang w:val="uk-UA"/>
        </w:rPr>
        <w:t xml:space="preserve"> </w:t>
      </w:r>
      <w:r w:rsidRPr="002E6ECA">
        <w:rPr>
          <w:rStyle w:val="shorttext"/>
          <w:sz w:val="28"/>
          <w:szCs w:val="28"/>
          <w:lang w:val="uk-UA"/>
        </w:rPr>
        <w:t>Якщо</w:t>
      </w:r>
      <w:r w:rsidR="00D46B1B" w:rsidRPr="002E6ECA">
        <w:rPr>
          <w:rStyle w:val="shorttext"/>
          <w:sz w:val="28"/>
          <w:szCs w:val="28"/>
          <w:lang w:val="uk-UA"/>
        </w:rPr>
        <w:t xml:space="preserve"> </w:t>
      </w:r>
      <w:r w:rsidRPr="002E6ECA">
        <w:rPr>
          <w:rStyle w:val="shorttext"/>
          <w:sz w:val="28"/>
          <w:szCs w:val="28"/>
          <w:lang w:val="uk-UA"/>
        </w:rPr>
        <w:t>таких</w:t>
      </w:r>
      <w:r w:rsidR="00D46B1B" w:rsidRPr="002E6ECA">
        <w:rPr>
          <w:rStyle w:val="shorttext"/>
          <w:sz w:val="28"/>
          <w:szCs w:val="28"/>
          <w:lang w:val="uk-UA"/>
        </w:rPr>
        <w:t xml:space="preserve"> </w:t>
      </w:r>
      <w:r w:rsidRPr="002E6ECA">
        <w:rPr>
          <w:rStyle w:val="shorttext"/>
          <w:sz w:val="28"/>
          <w:szCs w:val="28"/>
          <w:lang w:val="uk-UA"/>
        </w:rPr>
        <w:t>пунктів</w:t>
      </w:r>
      <w:r w:rsidR="00D46B1B" w:rsidRPr="002E6ECA">
        <w:rPr>
          <w:rStyle w:val="shorttext"/>
          <w:sz w:val="28"/>
          <w:szCs w:val="28"/>
          <w:lang w:val="uk-UA"/>
        </w:rPr>
        <w:t xml:space="preserve"> </w:t>
      </w:r>
      <w:r w:rsidRPr="002E6ECA">
        <w:rPr>
          <w:rStyle w:val="shorttext"/>
          <w:sz w:val="28"/>
          <w:szCs w:val="28"/>
          <w:lang w:val="uk-UA"/>
        </w:rPr>
        <w:t>4</w:t>
      </w:r>
      <w:r w:rsidR="00D46B1B" w:rsidRPr="002E6ECA">
        <w:rPr>
          <w:rStyle w:val="shorttext"/>
          <w:sz w:val="28"/>
          <w:szCs w:val="28"/>
          <w:lang w:val="uk-UA"/>
        </w:rPr>
        <w:t xml:space="preserve"> </w:t>
      </w:r>
      <w:r w:rsidRPr="002E6ECA">
        <w:rPr>
          <w:rStyle w:val="shorttext"/>
          <w:sz w:val="28"/>
          <w:szCs w:val="28"/>
          <w:lang w:val="uk-UA"/>
        </w:rPr>
        <w:t>та</w:t>
      </w:r>
      <w:r w:rsidR="00D46B1B" w:rsidRPr="002E6ECA">
        <w:rPr>
          <w:rStyle w:val="shorttext"/>
          <w:sz w:val="28"/>
          <w:szCs w:val="28"/>
          <w:lang w:val="uk-UA"/>
        </w:rPr>
        <w:t xml:space="preserve"> </w:t>
      </w:r>
      <w:r w:rsidRPr="002E6ECA">
        <w:rPr>
          <w:rStyle w:val="shorttext"/>
          <w:sz w:val="28"/>
          <w:szCs w:val="28"/>
          <w:lang w:val="uk-UA"/>
        </w:rPr>
        <w:t>більше</w:t>
      </w:r>
      <w:r w:rsidR="00D46B1B" w:rsidRPr="002E6ECA">
        <w:rPr>
          <w:rStyle w:val="shorttext"/>
          <w:sz w:val="28"/>
          <w:szCs w:val="28"/>
          <w:lang w:val="uk-UA"/>
        </w:rPr>
        <w:t xml:space="preserve"> </w:t>
      </w:r>
      <w:r w:rsidR="00E26678" w:rsidRPr="002E6ECA">
        <w:rPr>
          <w:rStyle w:val="shorttext"/>
          <w:sz w:val="28"/>
          <w:szCs w:val="28"/>
          <w:lang w:val="uk-UA"/>
        </w:rPr>
        <w:t>-</w:t>
      </w:r>
      <w:r w:rsidRPr="002E6ECA">
        <w:rPr>
          <w:rStyle w:val="shorttext"/>
          <w:sz w:val="28"/>
          <w:szCs w:val="28"/>
          <w:lang w:val="uk-UA"/>
        </w:rPr>
        <w:t>опитувальник</w:t>
      </w:r>
      <w:r w:rsidR="00D46B1B" w:rsidRPr="002E6ECA">
        <w:rPr>
          <w:rStyle w:val="shorttext"/>
          <w:sz w:val="28"/>
          <w:szCs w:val="28"/>
          <w:lang w:val="uk-UA"/>
        </w:rPr>
        <w:t xml:space="preserve"> </w:t>
      </w:r>
      <w:r w:rsidRPr="002E6ECA">
        <w:rPr>
          <w:rStyle w:val="shorttext"/>
          <w:sz w:val="28"/>
          <w:szCs w:val="28"/>
          <w:lang w:val="uk-UA"/>
        </w:rPr>
        <w:t>вважається</w:t>
      </w:r>
      <w:r w:rsidR="00D46B1B" w:rsidRPr="002E6ECA">
        <w:rPr>
          <w:rStyle w:val="shorttext"/>
          <w:sz w:val="28"/>
          <w:szCs w:val="28"/>
          <w:lang w:val="uk-UA"/>
        </w:rPr>
        <w:t xml:space="preserve"> </w:t>
      </w:r>
      <w:r w:rsidRPr="002E6ECA">
        <w:rPr>
          <w:rStyle w:val="shorttext"/>
          <w:sz w:val="28"/>
          <w:szCs w:val="28"/>
          <w:lang w:val="uk-UA"/>
        </w:rPr>
        <w:t>недійсним.</w:t>
      </w:r>
    </w:p>
    <w:p w:rsidR="0084636B" w:rsidRPr="002E6ECA" w:rsidRDefault="0084636B" w:rsidP="0084636B">
      <w:pPr>
        <w:spacing w:line="360" w:lineRule="auto"/>
        <w:ind w:firstLine="709"/>
        <w:jc w:val="both"/>
        <w:rPr>
          <w:rStyle w:val="shorttext"/>
          <w:sz w:val="28"/>
          <w:szCs w:val="28"/>
          <w:lang w:val="uk-UA"/>
        </w:rPr>
      </w:pPr>
      <w:r w:rsidRPr="002E6ECA">
        <w:rPr>
          <w:rStyle w:val="shorttext"/>
          <w:sz w:val="28"/>
          <w:szCs w:val="28"/>
          <w:lang w:val="uk-UA"/>
        </w:rPr>
        <w:t>Щоб</w:t>
      </w:r>
      <w:r w:rsidR="00D46B1B" w:rsidRPr="002E6ECA">
        <w:rPr>
          <w:rStyle w:val="shorttext"/>
          <w:sz w:val="28"/>
          <w:szCs w:val="28"/>
          <w:lang w:val="uk-UA"/>
        </w:rPr>
        <w:t xml:space="preserve"> </w:t>
      </w:r>
      <w:r w:rsidRPr="002E6ECA">
        <w:rPr>
          <w:rStyle w:val="shorttext"/>
          <w:sz w:val="28"/>
          <w:szCs w:val="28"/>
          <w:lang w:val="uk-UA"/>
        </w:rPr>
        <w:t>з’ясувати</w:t>
      </w:r>
      <w:r w:rsidR="00D46B1B" w:rsidRPr="002E6ECA">
        <w:rPr>
          <w:rStyle w:val="shorttext"/>
          <w:sz w:val="28"/>
          <w:szCs w:val="28"/>
          <w:lang w:val="uk-UA"/>
        </w:rPr>
        <w:t xml:space="preserve"> </w:t>
      </w:r>
      <w:r w:rsidRPr="002E6ECA">
        <w:rPr>
          <w:rStyle w:val="shorttext"/>
          <w:sz w:val="28"/>
          <w:szCs w:val="28"/>
          <w:lang w:val="uk-UA"/>
        </w:rPr>
        <w:t>які</w:t>
      </w:r>
      <w:r w:rsidR="00D46B1B" w:rsidRPr="002E6ECA">
        <w:rPr>
          <w:rStyle w:val="shorttext"/>
          <w:sz w:val="28"/>
          <w:szCs w:val="28"/>
          <w:lang w:val="uk-UA"/>
        </w:rPr>
        <w:t xml:space="preserve"> </w:t>
      </w:r>
      <w:r w:rsidRPr="002E6ECA">
        <w:rPr>
          <w:rStyle w:val="shorttext"/>
          <w:sz w:val="28"/>
          <w:szCs w:val="28"/>
          <w:lang w:val="uk-UA"/>
        </w:rPr>
        <w:t>саме</w:t>
      </w:r>
      <w:r w:rsidR="00D46B1B" w:rsidRPr="002E6ECA">
        <w:rPr>
          <w:rStyle w:val="shorttext"/>
          <w:sz w:val="28"/>
          <w:szCs w:val="28"/>
          <w:lang w:val="uk-UA"/>
        </w:rPr>
        <w:t xml:space="preserve"> </w:t>
      </w:r>
      <w:r w:rsidRPr="002E6ECA">
        <w:rPr>
          <w:rStyle w:val="shorttext"/>
          <w:sz w:val="28"/>
          <w:szCs w:val="28"/>
          <w:lang w:val="uk-UA"/>
        </w:rPr>
        <w:t>у</w:t>
      </w:r>
      <w:r w:rsidR="00D46B1B" w:rsidRPr="002E6ECA">
        <w:rPr>
          <w:rStyle w:val="shorttext"/>
          <w:sz w:val="28"/>
          <w:szCs w:val="28"/>
          <w:lang w:val="uk-UA"/>
        </w:rPr>
        <w:t xml:space="preserve"> </w:t>
      </w:r>
      <w:r w:rsidRPr="002E6ECA">
        <w:rPr>
          <w:rStyle w:val="shorttext"/>
          <w:sz w:val="28"/>
          <w:szCs w:val="28"/>
          <w:lang w:val="uk-UA"/>
        </w:rPr>
        <w:t>дитини</w:t>
      </w:r>
      <w:r w:rsidR="00D46B1B" w:rsidRPr="002E6ECA">
        <w:rPr>
          <w:rStyle w:val="shorttext"/>
          <w:sz w:val="28"/>
          <w:szCs w:val="28"/>
          <w:lang w:val="uk-UA"/>
        </w:rPr>
        <w:t xml:space="preserve"> </w:t>
      </w:r>
      <w:r w:rsidRPr="002E6ECA">
        <w:rPr>
          <w:rStyle w:val="shorttext"/>
          <w:sz w:val="28"/>
          <w:szCs w:val="28"/>
          <w:lang w:val="uk-UA"/>
        </w:rPr>
        <w:t>присутні</w:t>
      </w:r>
      <w:r w:rsidR="00D46B1B" w:rsidRPr="002E6ECA">
        <w:rPr>
          <w:rStyle w:val="shorttext"/>
          <w:sz w:val="28"/>
          <w:szCs w:val="28"/>
          <w:lang w:val="uk-UA"/>
        </w:rPr>
        <w:t xml:space="preserve"> </w:t>
      </w:r>
      <w:r w:rsidRPr="002E6ECA">
        <w:rPr>
          <w:rStyle w:val="shorttext"/>
          <w:sz w:val="28"/>
          <w:szCs w:val="28"/>
          <w:lang w:val="uk-UA"/>
        </w:rPr>
        <w:t>психічні</w:t>
      </w:r>
      <w:r w:rsidR="00D46B1B" w:rsidRPr="002E6ECA">
        <w:rPr>
          <w:rStyle w:val="shorttext"/>
          <w:sz w:val="28"/>
          <w:szCs w:val="28"/>
          <w:lang w:val="uk-UA"/>
        </w:rPr>
        <w:t xml:space="preserve"> </w:t>
      </w:r>
      <w:r w:rsidRPr="002E6ECA">
        <w:rPr>
          <w:rStyle w:val="shorttext"/>
          <w:sz w:val="28"/>
          <w:szCs w:val="28"/>
          <w:lang w:val="uk-UA"/>
        </w:rPr>
        <w:t>проблеми</w:t>
      </w:r>
      <w:r w:rsidR="00D46B1B" w:rsidRPr="002E6ECA">
        <w:rPr>
          <w:rStyle w:val="shorttext"/>
          <w:sz w:val="28"/>
          <w:szCs w:val="28"/>
          <w:lang w:val="uk-UA"/>
        </w:rPr>
        <w:t xml:space="preserve"> </w:t>
      </w:r>
      <w:r w:rsidRPr="002E6ECA">
        <w:rPr>
          <w:rStyle w:val="shorttext"/>
          <w:sz w:val="28"/>
          <w:szCs w:val="28"/>
          <w:lang w:val="uk-UA"/>
        </w:rPr>
        <w:t>в</w:t>
      </w:r>
      <w:r w:rsidR="00D46B1B" w:rsidRPr="002E6ECA">
        <w:rPr>
          <w:rStyle w:val="shorttext"/>
          <w:sz w:val="28"/>
          <w:szCs w:val="28"/>
          <w:lang w:val="uk-UA"/>
        </w:rPr>
        <w:t xml:space="preserve"> </w:t>
      </w:r>
      <w:r w:rsidRPr="002E6ECA">
        <w:rPr>
          <w:rStyle w:val="shorttext"/>
          <w:sz w:val="28"/>
          <w:szCs w:val="28"/>
          <w:lang w:val="uk-UA"/>
        </w:rPr>
        <w:t>тесті</w:t>
      </w:r>
      <w:r w:rsidR="00D46B1B" w:rsidRPr="002E6ECA">
        <w:rPr>
          <w:rStyle w:val="shorttext"/>
          <w:sz w:val="28"/>
          <w:szCs w:val="28"/>
          <w:lang w:val="uk-UA"/>
        </w:rPr>
        <w:t xml:space="preserve"> </w:t>
      </w:r>
      <w:r w:rsidRPr="002E6ECA">
        <w:rPr>
          <w:rStyle w:val="shorttext"/>
          <w:sz w:val="28"/>
          <w:szCs w:val="28"/>
          <w:lang w:val="uk-UA"/>
        </w:rPr>
        <w:t>можуть</w:t>
      </w:r>
      <w:r w:rsidR="00D46B1B" w:rsidRPr="002E6ECA">
        <w:rPr>
          <w:rStyle w:val="shorttext"/>
          <w:sz w:val="28"/>
          <w:szCs w:val="28"/>
          <w:lang w:val="uk-UA"/>
        </w:rPr>
        <w:t xml:space="preserve"> </w:t>
      </w:r>
      <w:r w:rsidRPr="002E6ECA">
        <w:rPr>
          <w:rStyle w:val="shorttext"/>
          <w:sz w:val="28"/>
          <w:szCs w:val="28"/>
          <w:lang w:val="uk-UA"/>
        </w:rPr>
        <w:t>бути</w:t>
      </w:r>
      <w:r w:rsidR="00D46B1B" w:rsidRPr="002E6ECA">
        <w:rPr>
          <w:rStyle w:val="shorttext"/>
          <w:sz w:val="28"/>
          <w:szCs w:val="28"/>
          <w:lang w:val="uk-UA"/>
        </w:rPr>
        <w:t xml:space="preserve"> </w:t>
      </w:r>
      <w:r w:rsidRPr="002E6ECA">
        <w:rPr>
          <w:rStyle w:val="shorttext"/>
          <w:sz w:val="28"/>
          <w:szCs w:val="28"/>
          <w:lang w:val="uk-UA"/>
        </w:rPr>
        <w:t>пораховані</w:t>
      </w:r>
      <w:r w:rsidR="00D46B1B" w:rsidRPr="002E6ECA">
        <w:rPr>
          <w:rStyle w:val="shorttext"/>
          <w:sz w:val="28"/>
          <w:szCs w:val="28"/>
          <w:lang w:val="uk-UA"/>
        </w:rPr>
        <w:t xml:space="preserve"> </w:t>
      </w:r>
      <w:r w:rsidRPr="002E6ECA">
        <w:rPr>
          <w:rStyle w:val="shorttext"/>
          <w:sz w:val="28"/>
          <w:szCs w:val="28"/>
          <w:lang w:val="uk-UA"/>
        </w:rPr>
        <w:t>субшкальні</w:t>
      </w:r>
      <w:r w:rsidR="00D46B1B" w:rsidRPr="002E6ECA">
        <w:rPr>
          <w:rStyle w:val="shorttext"/>
          <w:sz w:val="28"/>
          <w:szCs w:val="28"/>
          <w:lang w:val="uk-UA"/>
        </w:rPr>
        <w:t xml:space="preserve"> </w:t>
      </w:r>
      <w:r w:rsidRPr="002E6ECA">
        <w:rPr>
          <w:rStyle w:val="shorttext"/>
          <w:sz w:val="28"/>
          <w:szCs w:val="28"/>
          <w:lang w:val="uk-UA"/>
        </w:rPr>
        <w:t>показники.</w:t>
      </w:r>
    </w:p>
    <w:p w:rsidR="0084636B" w:rsidRPr="002E6ECA" w:rsidRDefault="0084636B" w:rsidP="0084636B">
      <w:pPr>
        <w:spacing w:line="360" w:lineRule="auto"/>
        <w:ind w:firstLine="709"/>
        <w:rPr>
          <w:rStyle w:val="shorttext"/>
          <w:sz w:val="28"/>
          <w:szCs w:val="28"/>
          <w:lang w:val="uk-UA"/>
        </w:rPr>
      </w:pPr>
      <w:r w:rsidRPr="002E6ECA">
        <w:rPr>
          <w:rStyle w:val="shorttext"/>
          <w:sz w:val="28"/>
          <w:szCs w:val="28"/>
          <w:lang w:val="uk-UA"/>
        </w:rPr>
        <w:t>Для</w:t>
      </w:r>
      <w:r w:rsidR="00D46B1B" w:rsidRPr="002E6ECA">
        <w:rPr>
          <w:rStyle w:val="shorttext"/>
          <w:sz w:val="28"/>
          <w:szCs w:val="28"/>
          <w:lang w:val="uk-UA"/>
        </w:rPr>
        <w:t xml:space="preserve"> </w:t>
      </w:r>
      <w:r w:rsidRPr="002E6ECA">
        <w:rPr>
          <w:rStyle w:val="shorttext"/>
          <w:sz w:val="28"/>
          <w:szCs w:val="28"/>
          <w:lang w:val="uk-UA"/>
        </w:rPr>
        <w:t>української</w:t>
      </w:r>
      <w:r w:rsidR="00D46B1B" w:rsidRPr="002E6ECA">
        <w:rPr>
          <w:rStyle w:val="shorttext"/>
          <w:sz w:val="28"/>
          <w:szCs w:val="28"/>
          <w:lang w:val="uk-UA"/>
        </w:rPr>
        <w:t xml:space="preserve"> </w:t>
      </w:r>
      <w:r w:rsidRPr="002E6ECA">
        <w:rPr>
          <w:rStyle w:val="shorttext"/>
          <w:sz w:val="28"/>
          <w:szCs w:val="28"/>
          <w:lang w:val="uk-UA"/>
        </w:rPr>
        <w:t>версії</w:t>
      </w:r>
      <w:r w:rsidR="00D46B1B" w:rsidRPr="002E6ECA">
        <w:rPr>
          <w:rStyle w:val="shorttext"/>
          <w:sz w:val="28"/>
          <w:szCs w:val="28"/>
          <w:lang w:val="uk-UA"/>
        </w:rPr>
        <w:t xml:space="preserve"> </w:t>
      </w:r>
      <w:r w:rsidRPr="002E6ECA">
        <w:rPr>
          <w:rStyle w:val="shorttext"/>
          <w:sz w:val="28"/>
          <w:szCs w:val="28"/>
          <w:lang w:val="uk-UA"/>
        </w:rPr>
        <w:t>тесту</w:t>
      </w:r>
      <w:r w:rsidR="00D46B1B" w:rsidRPr="002E6ECA">
        <w:rPr>
          <w:rStyle w:val="shorttext"/>
          <w:sz w:val="28"/>
          <w:szCs w:val="28"/>
          <w:lang w:val="uk-UA"/>
        </w:rPr>
        <w:t xml:space="preserve"> </w:t>
      </w:r>
      <w:r w:rsidRPr="002E6ECA">
        <w:rPr>
          <w:rStyle w:val="shorttext"/>
          <w:sz w:val="28"/>
          <w:szCs w:val="28"/>
          <w:lang w:val="uk-UA"/>
        </w:rPr>
        <w:t>розраховуються</w:t>
      </w:r>
      <w:r w:rsidR="00D46B1B" w:rsidRPr="002E6ECA">
        <w:rPr>
          <w:rStyle w:val="shorttext"/>
          <w:sz w:val="28"/>
          <w:szCs w:val="28"/>
          <w:lang w:val="uk-UA"/>
        </w:rPr>
        <w:t xml:space="preserve"> </w:t>
      </w:r>
      <w:r w:rsidRPr="002E6ECA">
        <w:rPr>
          <w:rStyle w:val="shorttext"/>
          <w:sz w:val="28"/>
          <w:szCs w:val="28"/>
          <w:lang w:val="uk-UA"/>
        </w:rPr>
        <w:t>2</w:t>
      </w:r>
      <w:r w:rsidR="00D46B1B" w:rsidRPr="002E6ECA">
        <w:rPr>
          <w:rStyle w:val="shorttext"/>
          <w:sz w:val="28"/>
          <w:szCs w:val="28"/>
          <w:lang w:val="uk-UA"/>
        </w:rPr>
        <w:t xml:space="preserve"> </w:t>
      </w:r>
      <w:r w:rsidRPr="002E6ECA">
        <w:rPr>
          <w:rStyle w:val="shorttext"/>
          <w:sz w:val="28"/>
          <w:szCs w:val="28"/>
          <w:lang w:val="uk-UA"/>
        </w:rPr>
        <w:t>субшкальних</w:t>
      </w:r>
      <w:r w:rsidR="00D46B1B" w:rsidRPr="002E6ECA">
        <w:rPr>
          <w:rStyle w:val="shorttext"/>
          <w:sz w:val="28"/>
          <w:szCs w:val="28"/>
          <w:lang w:val="uk-UA"/>
        </w:rPr>
        <w:t xml:space="preserve"> </w:t>
      </w:r>
      <w:r w:rsidRPr="002E6ECA">
        <w:rPr>
          <w:rStyle w:val="shorttext"/>
          <w:sz w:val="28"/>
          <w:szCs w:val="28"/>
          <w:lang w:val="uk-UA"/>
        </w:rPr>
        <w:t>показника:</w:t>
      </w:r>
      <w:r w:rsidR="00D46B1B" w:rsidRPr="002E6ECA">
        <w:rPr>
          <w:rStyle w:val="shorttext"/>
          <w:sz w:val="28"/>
          <w:szCs w:val="28"/>
          <w:lang w:val="uk-UA"/>
        </w:rPr>
        <w:t xml:space="preserve"> </w:t>
      </w:r>
      <w:r w:rsidRPr="002E6ECA">
        <w:rPr>
          <w:rStyle w:val="shorttext"/>
          <w:sz w:val="28"/>
          <w:szCs w:val="28"/>
          <w:lang w:val="uk-UA"/>
        </w:rPr>
        <w:t>інтерналізація</w:t>
      </w:r>
      <w:r w:rsidR="00D46B1B" w:rsidRPr="002E6ECA">
        <w:rPr>
          <w:rStyle w:val="shorttext"/>
          <w:sz w:val="28"/>
          <w:szCs w:val="28"/>
          <w:lang w:val="uk-UA"/>
        </w:rPr>
        <w:t xml:space="preserve"> </w:t>
      </w:r>
      <w:r w:rsidRPr="002E6ECA">
        <w:rPr>
          <w:rStyle w:val="shorttext"/>
          <w:sz w:val="28"/>
          <w:szCs w:val="28"/>
          <w:lang w:val="uk-UA"/>
        </w:rPr>
        <w:t>та</w:t>
      </w:r>
      <w:r w:rsidR="00D46B1B" w:rsidRPr="002E6ECA">
        <w:rPr>
          <w:rStyle w:val="shorttext"/>
          <w:sz w:val="28"/>
          <w:szCs w:val="28"/>
          <w:lang w:val="uk-UA"/>
        </w:rPr>
        <w:t xml:space="preserve"> </w:t>
      </w:r>
      <w:r w:rsidRPr="002E6ECA">
        <w:rPr>
          <w:rStyle w:val="shorttext"/>
          <w:sz w:val="28"/>
          <w:szCs w:val="28"/>
          <w:lang w:val="uk-UA"/>
        </w:rPr>
        <w:t>екстерналізація.</w:t>
      </w:r>
    </w:p>
    <w:p w:rsidR="0084636B" w:rsidRPr="002E6ECA" w:rsidRDefault="0084636B" w:rsidP="0084636B">
      <w:pPr>
        <w:spacing w:line="360" w:lineRule="auto"/>
        <w:ind w:firstLine="709"/>
        <w:rPr>
          <w:rStyle w:val="shorttext"/>
          <w:sz w:val="28"/>
          <w:szCs w:val="28"/>
          <w:lang w:val="uk-UA"/>
        </w:rPr>
      </w:pPr>
      <w:r w:rsidRPr="002E6ECA">
        <w:rPr>
          <w:rStyle w:val="shorttext"/>
          <w:i/>
          <w:sz w:val="28"/>
          <w:szCs w:val="28"/>
          <w:lang w:val="uk-UA"/>
        </w:rPr>
        <w:t>Субшкала</w:t>
      </w:r>
      <w:r w:rsidR="00D46B1B" w:rsidRPr="002E6ECA">
        <w:rPr>
          <w:rStyle w:val="shorttext"/>
          <w:i/>
          <w:sz w:val="28"/>
          <w:szCs w:val="28"/>
          <w:lang w:val="uk-UA"/>
        </w:rPr>
        <w:t xml:space="preserve"> </w:t>
      </w:r>
      <w:r w:rsidRPr="002E6ECA">
        <w:rPr>
          <w:rStyle w:val="shorttext"/>
          <w:i/>
          <w:sz w:val="28"/>
          <w:szCs w:val="28"/>
          <w:lang w:val="uk-UA"/>
        </w:rPr>
        <w:t>інтерналізації</w:t>
      </w:r>
      <w:r w:rsidR="00D46B1B" w:rsidRPr="002E6ECA">
        <w:rPr>
          <w:rStyle w:val="shorttext"/>
          <w:sz w:val="28"/>
          <w:szCs w:val="28"/>
          <w:lang w:val="uk-UA"/>
        </w:rPr>
        <w:t xml:space="preserve"> </w:t>
      </w:r>
      <w:r w:rsidRPr="002E6ECA">
        <w:rPr>
          <w:rStyle w:val="shorttext"/>
          <w:sz w:val="28"/>
          <w:szCs w:val="28"/>
          <w:lang w:val="uk-UA"/>
        </w:rPr>
        <w:t>включає</w:t>
      </w:r>
      <w:r w:rsidR="00D46B1B" w:rsidRPr="002E6ECA">
        <w:rPr>
          <w:rStyle w:val="shorttext"/>
          <w:sz w:val="28"/>
          <w:szCs w:val="28"/>
          <w:lang w:val="uk-UA"/>
        </w:rPr>
        <w:t xml:space="preserve"> </w:t>
      </w:r>
      <w:r w:rsidRPr="002E6ECA">
        <w:rPr>
          <w:rStyle w:val="shorttext"/>
          <w:sz w:val="28"/>
          <w:szCs w:val="28"/>
          <w:lang w:val="uk-UA"/>
        </w:rPr>
        <w:t>15</w:t>
      </w:r>
      <w:r w:rsidR="00D46B1B" w:rsidRPr="002E6ECA">
        <w:rPr>
          <w:rStyle w:val="shorttext"/>
          <w:sz w:val="28"/>
          <w:szCs w:val="28"/>
          <w:lang w:val="uk-UA"/>
        </w:rPr>
        <w:t xml:space="preserve"> </w:t>
      </w:r>
      <w:r w:rsidRPr="002E6ECA">
        <w:rPr>
          <w:rStyle w:val="shorttext"/>
          <w:sz w:val="28"/>
          <w:szCs w:val="28"/>
          <w:lang w:val="uk-UA"/>
        </w:rPr>
        <w:t>пунктів:</w:t>
      </w:r>
      <w:r w:rsidR="00D46B1B" w:rsidRPr="002E6ECA">
        <w:rPr>
          <w:rStyle w:val="shorttext"/>
          <w:sz w:val="28"/>
          <w:szCs w:val="28"/>
          <w:lang w:val="uk-UA"/>
        </w:rPr>
        <w:t xml:space="preserve"> </w:t>
      </w:r>
      <w:r w:rsidRPr="002E6ECA">
        <w:rPr>
          <w:rStyle w:val="shorttext"/>
          <w:sz w:val="28"/>
          <w:szCs w:val="28"/>
          <w:lang w:val="uk-UA"/>
        </w:rPr>
        <w:t>1,</w:t>
      </w:r>
      <w:r w:rsidR="00D46B1B" w:rsidRPr="002E6ECA">
        <w:rPr>
          <w:rStyle w:val="shorttext"/>
          <w:sz w:val="28"/>
          <w:szCs w:val="28"/>
          <w:lang w:val="uk-UA"/>
        </w:rPr>
        <w:t xml:space="preserve"> </w:t>
      </w:r>
      <w:r w:rsidRPr="002E6ECA">
        <w:rPr>
          <w:rStyle w:val="shorttext"/>
          <w:sz w:val="28"/>
          <w:szCs w:val="28"/>
          <w:lang w:val="uk-UA"/>
        </w:rPr>
        <w:t>2,</w:t>
      </w:r>
      <w:r w:rsidR="00D46B1B" w:rsidRPr="002E6ECA">
        <w:rPr>
          <w:rStyle w:val="shorttext"/>
          <w:sz w:val="28"/>
          <w:szCs w:val="28"/>
          <w:lang w:val="uk-UA"/>
        </w:rPr>
        <w:t xml:space="preserve"> </w:t>
      </w:r>
      <w:r w:rsidRPr="002E6ECA">
        <w:rPr>
          <w:rStyle w:val="shorttext"/>
          <w:sz w:val="28"/>
          <w:szCs w:val="28"/>
          <w:lang w:val="uk-UA"/>
        </w:rPr>
        <w:t>3,</w:t>
      </w:r>
      <w:r w:rsidR="00D46B1B" w:rsidRPr="002E6ECA">
        <w:rPr>
          <w:rStyle w:val="shorttext"/>
          <w:sz w:val="28"/>
          <w:szCs w:val="28"/>
          <w:lang w:val="uk-UA"/>
        </w:rPr>
        <w:t xml:space="preserve"> </w:t>
      </w:r>
      <w:r w:rsidRPr="002E6ECA">
        <w:rPr>
          <w:rStyle w:val="shorttext"/>
          <w:sz w:val="28"/>
          <w:szCs w:val="28"/>
          <w:lang w:val="uk-UA"/>
        </w:rPr>
        <w:t>10,</w:t>
      </w:r>
      <w:r w:rsidR="00D46B1B" w:rsidRPr="002E6ECA">
        <w:rPr>
          <w:rStyle w:val="shorttext"/>
          <w:sz w:val="28"/>
          <w:szCs w:val="28"/>
          <w:lang w:val="uk-UA"/>
        </w:rPr>
        <w:t xml:space="preserve"> </w:t>
      </w:r>
      <w:r w:rsidRPr="002E6ECA">
        <w:rPr>
          <w:rStyle w:val="shorttext"/>
          <w:sz w:val="28"/>
          <w:szCs w:val="28"/>
          <w:lang w:val="uk-UA"/>
        </w:rPr>
        <w:t>11,</w:t>
      </w:r>
      <w:r w:rsidR="00D46B1B" w:rsidRPr="002E6ECA">
        <w:rPr>
          <w:rStyle w:val="shorttext"/>
          <w:sz w:val="28"/>
          <w:szCs w:val="28"/>
          <w:lang w:val="uk-UA"/>
        </w:rPr>
        <w:t xml:space="preserve"> </w:t>
      </w:r>
      <w:r w:rsidRPr="002E6ECA">
        <w:rPr>
          <w:rStyle w:val="shorttext"/>
          <w:sz w:val="28"/>
          <w:szCs w:val="28"/>
          <w:lang w:val="uk-UA"/>
        </w:rPr>
        <w:t>13,</w:t>
      </w:r>
      <w:r w:rsidR="00D46B1B" w:rsidRPr="002E6ECA">
        <w:rPr>
          <w:rStyle w:val="shorttext"/>
          <w:sz w:val="28"/>
          <w:szCs w:val="28"/>
          <w:lang w:val="uk-UA"/>
        </w:rPr>
        <w:t xml:space="preserve"> </w:t>
      </w:r>
      <w:r w:rsidRPr="002E6ECA">
        <w:rPr>
          <w:rStyle w:val="shorttext"/>
          <w:sz w:val="28"/>
          <w:szCs w:val="28"/>
          <w:lang w:val="uk-UA"/>
        </w:rPr>
        <w:t>15,</w:t>
      </w:r>
      <w:r w:rsidR="00D46B1B" w:rsidRPr="002E6ECA">
        <w:rPr>
          <w:rStyle w:val="shorttext"/>
          <w:sz w:val="28"/>
          <w:szCs w:val="28"/>
          <w:lang w:val="uk-UA"/>
        </w:rPr>
        <w:t xml:space="preserve"> </w:t>
      </w:r>
      <w:r w:rsidRPr="002E6ECA">
        <w:rPr>
          <w:rStyle w:val="shorttext"/>
          <w:sz w:val="28"/>
          <w:szCs w:val="28"/>
          <w:lang w:val="uk-UA"/>
        </w:rPr>
        <w:t>19,</w:t>
      </w:r>
      <w:r w:rsidR="00D46B1B" w:rsidRPr="002E6ECA">
        <w:rPr>
          <w:rStyle w:val="shorttext"/>
          <w:sz w:val="28"/>
          <w:szCs w:val="28"/>
          <w:lang w:val="uk-UA"/>
        </w:rPr>
        <w:t xml:space="preserve"> </w:t>
      </w:r>
      <w:r w:rsidRPr="002E6ECA">
        <w:rPr>
          <w:rStyle w:val="shorttext"/>
          <w:sz w:val="28"/>
          <w:szCs w:val="28"/>
          <w:lang w:val="uk-UA"/>
        </w:rPr>
        <w:t>20,</w:t>
      </w:r>
      <w:r w:rsidR="00D46B1B" w:rsidRPr="002E6ECA">
        <w:rPr>
          <w:rStyle w:val="shorttext"/>
          <w:sz w:val="28"/>
          <w:szCs w:val="28"/>
          <w:lang w:val="uk-UA"/>
        </w:rPr>
        <w:t xml:space="preserve"> </w:t>
      </w:r>
      <w:r w:rsidRPr="002E6ECA">
        <w:rPr>
          <w:rStyle w:val="shorttext"/>
          <w:sz w:val="28"/>
          <w:szCs w:val="28"/>
          <w:lang w:val="uk-UA"/>
        </w:rPr>
        <w:t>21,</w:t>
      </w:r>
      <w:r w:rsidR="00D46B1B" w:rsidRPr="002E6ECA">
        <w:rPr>
          <w:rStyle w:val="shorttext"/>
          <w:sz w:val="28"/>
          <w:szCs w:val="28"/>
          <w:lang w:val="uk-UA"/>
        </w:rPr>
        <w:t xml:space="preserve"> </w:t>
      </w:r>
      <w:r w:rsidRPr="002E6ECA">
        <w:rPr>
          <w:rStyle w:val="shorttext"/>
          <w:sz w:val="28"/>
          <w:szCs w:val="28"/>
          <w:lang w:val="uk-UA"/>
        </w:rPr>
        <w:t>22,</w:t>
      </w:r>
      <w:r w:rsidR="00D46B1B" w:rsidRPr="002E6ECA">
        <w:rPr>
          <w:rStyle w:val="shorttext"/>
          <w:sz w:val="28"/>
          <w:szCs w:val="28"/>
          <w:lang w:val="uk-UA"/>
        </w:rPr>
        <w:t xml:space="preserve"> </w:t>
      </w:r>
      <w:r w:rsidRPr="002E6ECA">
        <w:rPr>
          <w:rStyle w:val="shorttext"/>
          <w:sz w:val="28"/>
          <w:szCs w:val="28"/>
          <w:lang w:val="uk-UA"/>
        </w:rPr>
        <w:t>23,</w:t>
      </w:r>
      <w:r w:rsidR="00D46B1B" w:rsidRPr="002E6ECA">
        <w:rPr>
          <w:rStyle w:val="shorttext"/>
          <w:sz w:val="28"/>
          <w:szCs w:val="28"/>
          <w:lang w:val="uk-UA"/>
        </w:rPr>
        <w:t xml:space="preserve"> </w:t>
      </w:r>
      <w:r w:rsidRPr="002E6ECA">
        <w:rPr>
          <w:rStyle w:val="shorttext"/>
          <w:sz w:val="28"/>
          <w:szCs w:val="28"/>
          <w:lang w:val="uk-UA"/>
        </w:rPr>
        <w:t>24,</w:t>
      </w:r>
      <w:r w:rsidR="00D46B1B" w:rsidRPr="002E6ECA">
        <w:rPr>
          <w:rStyle w:val="shorttext"/>
          <w:sz w:val="28"/>
          <w:szCs w:val="28"/>
          <w:lang w:val="uk-UA"/>
        </w:rPr>
        <w:t xml:space="preserve"> </w:t>
      </w:r>
      <w:r w:rsidRPr="002E6ECA">
        <w:rPr>
          <w:rStyle w:val="shorttext"/>
          <w:sz w:val="28"/>
          <w:szCs w:val="28"/>
          <w:lang w:val="uk-UA"/>
        </w:rPr>
        <w:t>27,</w:t>
      </w:r>
      <w:r w:rsidR="00D46B1B" w:rsidRPr="002E6ECA">
        <w:rPr>
          <w:rStyle w:val="shorttext"/>
          <w:sz w:val="28"/>
          <w:szCs w:val="28"/>
          <w:lang w:val="uk-UA"/>
        </w:rPr>
        <w:t xml:space="preserve"> </w:t>
      </w:r>
      <w:r w:rsidRPr="002E6ECA">
        <w:rPr>
          <w:rStyle w:val="shorttext"/>
          <w:sz w:val="28"/>
          <w:szCs w:val="28"/>
          <w:lang w:val="uk-UA"/>
        </w:rPr>
        <w:t>30.</w:t>
      </w:r>
    </w:p>
    <w:p w:rsidR="0084636B" w:rsidRPr="002E6ECA" w:rsidRDefault="0084636B" w:rsidP="0084636B">
      <w:pPr>
        <w:spacing w:line="360" w:lineRule="auto"/>
        <w:ind w:firstLine="709"/>
        <w:rPr>
          <w:rStyle w:val="shorttext"/>
          <w:sz w:val="28"/>
          <w:szCs w:val="28"/>
          <w:lang w:val="uk-UA"/>
        </w:rPr>
      </w:pPr>
      <w:r w:rsidRPr="002E6ECA">
        <w:rPr>
          <w:rStyle w:val="shorttext"/>
          <w:i/>
          <w:sz w:val="28"/>
          <w:szCs w:val="28"/>
          <w:lang w:val="uk-UA"/>
        </w:rPr>
        <w:t>Субшкала</w:t>
      </w:r>
      <w:r w:rsidR="00D46B1B" w:rsidRPr="002E6ECA">
        <w:rPr>
          <w:rStyle w:val="shorttext"/>
          <w:i/>
          <w:sz w:val="28"/>
          <w:szCs w:val="28"/>
          <w:lang w:val="uk-UA"/>
        </w:rPr>
        <w:t xml:space="preserve"> </w:t>
      </w:r>
      <w:r w:rsidRPr="002E6ECA">
        <w:rPr>
          <w:rStyle w:val="shorttext"/>
          <w:i/>
          <w:sz w:val="28"/>
          <w:szCs w:val="28"/>
          <w:lang w:val="uk-UA"/>
        </w:rPr>
        <w:t>екстерналізації</w:t>
      </w:r>
      <w:r w:rsidR="00D46B1B" w:rsidRPr="002E6ECA">
        <w:rPr>
          <w:rStyle w:val="shorttext"/>
          <w:sz w:val="28"/>
          <w:szCs w:val="28"/>
          <w:lang w:val="uk-UA"/>
        </w:rPr>
        <w:t xml:space="preserve"> </w:t>
      </w:r>
      <w:r w:rsidRPr="002E6ECA">
        <w:rPr>
          <w:rStyle w:val="shorttext"/>
          <w:sz w:val="28"/>
          <w:szCs w:val="28"/>
          <w:lang w:val="uk-UA"/>
        </w:rPr>
        <w:t>включає</w:t>
      </w:r>
      <w:r w:rsidR="00D46B1B" w:rsidRPr="002E6ECA">
        <w:rPr>
          <w:rStyle w:val="shorttext"/>
          <w:sz w:val="28"/>
          <w:szCs w:val="28"/>
          <w:lang w:val="uk-UA"/>
        </w:rPr>
        <w:t xml:space="preserve"> </w:t>
      </w:r>
      <w:r w:rsidRPr="002E6ECA">
        <w:rPr>
          <w:rStyle w:val="shorttext"/>
          <w:sz w:val="28"/>
          <w:szCs w:val="28"/>
          <w:lang w:val="uk-UA"/>
        </w:rPr>
        <w:t>20</w:t>
      </w:r>
      <w:r w:rsidR="00D46B1B" w:rsidRPr="002E6ECA">
        <w:rPr>
          <w:rStyle w:val="shorttext"/>
          <w:sz w:val="28"/>
          <w:szCs w:val="28"/>
          <w:lang w:val="uk-UA"/>
        </w:rPr>
        <w:t xml:space="preserve"> </w:t>
      </w:r>
      <w:r w:rsidRPr="002E6ECA">
        <w:rPr>
          <w:rStyle w:val="shorttext"/>
          <w:sz w:val="28"/>
          <w:szCs w:val="28"/>
          <w:lang w:val="uk-UA"/>
        </w:rPr>
        <w:t>пунктів:</w:t>
      </w:r>
      <w:r w:rsidR="00D46B1B" w:rsidRPr="002E6ECA">
        <w:rPr>
          <w:rStyle w:val="shorttext"/>
          <w:sz w:val="28"/>
          <w:szCs w:val="28"/>
          <w:lang w:val="uk-UA"/>
        </w:rPr>
        <w:t xml:space="preserve"> </w:t>
      </w:r>
      <w:r w:rsidRPr="002E6ECA">
        <w:rPr>
          <w:rStyle w:val="shorttext"/>
          <w:sz w:val="28"/>
          <w:szCs w:val="28"/>
          <w:lang w:val="uk-UA"/>
        </w:rPr>
        <w:t>4,</w:t>
      </w:r>
      <w:r w:rsidR="00D46B1B" w:rsidRPr="002E6ECA">
        <w:rPr>
          <w:rStyle w:val="shorttext"/>
          <w:sz w:val="28"/>
          <w:szCs w:val="28"/>
          <w:lang w:val="uk-UA"/>
        </w:rPr>
        <w:t xml:space="preserve"> </w:t>
      </w:r>
      <w:r w:rsidRPr="002E6ECA">
        <w:rPr>
          <w:rStyle w:val="shorttext"/>
          <w:sz w:val="28"/>
          <w:szCs w:val="28"/>
          <w:lang w:val="uk-UA"/>
        </w:rPr>
        <w:t>5,</w:t>
      </w:r>
      <w:r w:rsidR="00D46B1B" w:rsidRPr="002E6ECA">
        <w:rPr>
          <w:rStyle w:val="shorttext"/>
          <w:sz w:val="28"/>
          <w:szCs w:val="28"/>
          <w:lang w:val="uk-UA"/>
        </w:rPr>
        <w:t xml:space="preserve"> </w:t>
      </w:r>
      <w:r w:rsidRPr="002E6ECA">
        <w:rPr>
          <w:rStyle w:val="shorttext"/>
          <w:sz w:val="28"/>
          <w:szCs w:val="28"/>
          <w:lang w:val="uk-UA"/>
        </w:rPr>
        <w:t>6,</w:t>
      </w:r>
      <w:r w:rsidR="00D46B1B" w:rsidRPr="002E6ECA">
        <w:rPr>
          <w:rStyle w:val="shorttext"/>
          <w:sz w:val="28"/>
          <w:szCs w:val="28"/>
          <w:lang w:val="uk-UA"/>
        </w:rPr>
        <w:t xml:space="preserve"> </w:t>
      </w:r>
      <w:r w:rsidRPr="002E6ECA">
        <w:rPr>
          <w:rStyle w:val="shorttext"/>
          <w:sz w:val="28"/>
          <w:szCs w:val="28"/>
          <w:lang w:val="uk-UA"/>
        </w:rPr>
        <w:t>7,</w:t>
      </w:r>
      <w:r w:rsidR="00D46B1B" w:rsidRPr="002E6ECA">
        <w:rPr>
          <w:rStyle w:val="shorttext"/>
          <w:sz w:val="28"/>
          <w:szCs w:val="28"/>
          <w:lang w:val="uk-UA"/>
        </w:rPr>
        <w:t xml:space="preserve"> </w:t>
      </w:r>
      <w:r w:rsidRPr="002E6ECA">
        <w:rPr>
          <w:rStyle w:val="shorttext"/>
          <w:sz w:val="28"/>
          <w:szCs w:val="28"/>
          <w:lang w:val="uk-UA"/>
        </w:rPr>
        <w:t>8,</w:t>
      </w:r>
      <w:r w:rsidR="00D46B1B" w:rsidRPr="002E6ECA">
        <w:rPr>
          <w:rStyle w:val="shorttext"/>
          <w:sz w:val="28"/>
          <w:szCs w:val="28"/>
          <w:lang w:val="uk-UA"/>
        </w:rPr>
        <w:t xml:space="preserve"> </w:t>
      </w:r>
      <w:r w:rsidRPr="002E6ECA">
        <w:rPr>
          <w:rStyle w:val="shorttext"/>
          <w:sz w:val="28"/>
          <w:szCs w:val="28"/>
          <w:lang w:val="uk-UA"/>
        </w:rPr>
        <w:t>9,</w:t>
      </w:r>
      <w:r w:rsidR="00D46B1B" w:rsidRPr="002E6ECA">
        <w:rPr>
          <w:rStyle w:val="shorttext"/>
          <w:sz w:val="28"/>
          <w:szCs w:val="28"/>
          <w:lang w:val="uk-UA"/>
        </w:rPr>
        <w:t xml:space="preserve"> </w:t>
      </w:r>
      <w:r w:rsidRPr="002E6ECA">
        <w:rPr>
          <w:rStyle w:val="shorttext"/>
          <w:sz w:val="28"/>
          <w:szCs w:val="28"/>
          <w:lang w:val="uk-UA"/>
        </w:rPr>
        <w:t>12,</w:t>
      </w:r>
      <w:r w:rsidR="00D46B1B" w:rsidRPr="002E6ECA">
        <w:rPr>
          <w:rStyle w:val="shorttext"/>
          <w:sz w:val="28"/>
          <w:szCs w:val="28"/>
          <w:lang w:val="uk-UA"/>
        </w:rPr>
        <w:t xml:space="preserve"> </w:t>
      </w:r>
      <w:r w:rsidRPr="002E6ECA">
        <w:rPr>
          <w:rStyle w:val="shorttext"/>
          <w:sz w:val="28"/>
          <w:szCs w:val="28"/>
          <w:lang w:val="uk-UA"/>
        </w:rPr>
        <w:t>14,</w:t>
      </w:r>
      <w:r w:rsidR="00D46B1B" w:rsidRPr="002E6ECA">
        <w:rPr>
          <w:rStyle w:val="shorttext"/>
          <w:sz w:val="28"/>
          <w:szCs w:val="28"/>
          <w:lang w:val="uk-UA"/>
        </w:rPr>
        <w:t xml:space="preserve"> </w:t>
      </w:r>
      <w:r w:rsidRPr="002E6ECA">
        <w:rPr>
          <w:rStyle w:val="shorttext"/>
          <w:sz w:val="28"/>
          <w:szCs w:val="28"/>
          <w:lang w:val="uk-UA"/>
        </w:rPr>
        <w:t>16,</w:t>
      </w:r>
      <w:r w:rsidR="00D46B1B" w:rsidRPr="002E6ECA">
        <w:rPr>
          <w:rStyle w:val="shorttext"/>
          <w:sz w:val="28"/>
          <w:szCs w:val="28"/>
          <w:lang w:val="uk-UA"/>
        </w:rPr>
        <w:t xml:space="preserve"> </w:t>
      </w:r>
      <w:r w:rsidRPr="002E6ECA">
        <w:rPr>
          <w:rStyle w:val="shorttext"/>
          <w:sz w:val="28"/>
          <w:szCs w:val="28"/>
          <w:lang w:val="uk-UA"/>
        </w:rPr>
        <w:t>17,</w:t>
      </w:r>
      <w:r w:rsidR="00D46B1B" w:rsidRPr="002E6ECA">
        <w:rPr>
          <w:rStyle w:val="shorttext"/>
          <w:sz w:val="28"/>
          <w:szCs w:val="28"/>
          <w:lang w:val="uk-UA"/>
        </w:rPr>
        <w:t xml:space="preserve"> </w:t>
      </w:r>
      <w:r w:rsidRPr="002E6ECA">
        <w:rPr>
          <w:rStyle w:val="shorttext"/>
          <w:sz w:val="28"/>
          <w:szCs w:val="28"/>
          <w:lang w:val="uk-UA"/>
        </w:rPr>
        <w:t>18,</w:t>
      </w:r>
      <w:r w:rsidR="00D46B1B" w:rsidRPr="002E6ECA">
        <w:rPr>
          <w:rStyle w:val="shorttext"/>
          <w:sz w:val="28"/>
          <w:szCs w:val="28"/>
          <w:lang w:val="uk-UA"/>
        </w:rPr>
        <w:t xml:space="preserve"> </w:t>
      </w:r>
      <w:r w:rsidRPr="002E6ECA">
        <w:rPr>
          <w:rStyle w:val="shorttext"/>
          <w:sz w:val="28"/>
          <w:szCs w:val="28"/>
          <w:lang w:val="uk-UA"/>
        </w:rPr>
        <w:t>25,</w:t>
      </w:r>
      <w:r w:rsidR="00D46B1B" w:rsidRPr="002E6ECA">
        <w:rPr>
          <w:rStyle w:val="shorttext"/>
          <w:sz w:val="28"/>
          <w:szCs w:val="28"/>
          <w:lang w:val="uk-UA"/>
        </w:rPr>
        <w:t xml:space="preserve"> </w:t>
      </w:r>
      <w:r w:rsidRPr="002E6ECA">
        <w:rPr>
          <w:rStyle w:val="shorttext"/>
          <w:sz w:val="28"/>
          <w:szCs w:val="28"/>
          <w:lang w:val="uk-UA"/>
        </w:rPr>
        <w:t>26,</w:t>
      </w:r>
      <w:r w:rsidR="00D46B1B" w:rsidRPr="002E6ECA">
        <w:rPr>
          <w:rStyle w:val="shorttext"/>
          <w:sz w:val="28"/>
          <w:szCs w:val="28"/>
          <w:lang w:val="uk-UA"/>
        </w:rPr>
        <w:t xml:space="preserve"> </w:t>
      </w:r>
      <w:r w:rsidRPr="002E6ECA">
        <w:rPr>
          <w:rStyle w:val="shorttext"/>
          <w:sz w:val="28"/>
          <w:szCs w:val="28"/>
          <w:lang w:val="uk-UA"/>
        </w:rPr>
        <w:t>28,</w:t>
      </w:r>
      <w:r w:rsidR="00D46B1B" w:rsidRPr="002E6ECA">
        <w:rPr>
          <w:rStyle w:val="shorttext"/>
          <w:sz w:val="28"/>
          <w:szCs w:val="28"/>
          <w:lang w:val="uk-UA"/>
        </w:rPr>
        <w:t xml:space="preserve"> </w:t>
      </w:r>
      <w:r w:rsidRPr="002E6ECA">
        <w:rPr>
          <w:rStyle w:val="shorttext"/>
          <w:sz w:val="28"/>
          <w:szCs w:val="28"/>
          <w:lang w:val="uk-UA"/>
        </w:rPr>
        <w:t>29,</w:t>
      </w:r>
      <w:r w:rsidR="00D46B1B" w:rsidRPr="002E6ECA">
        <w:rPr>
          <w:rStyle w:val="shorttext"/>
          <w:sz w:val="28"/>
          <w:szCs w:val="28"/>
          <w:lang w:val="uk-UA"/>
        </w:rPr>
        <w:t xml:space="preserve"> </w:t>
      </w:r>
      <w:r w:rsidRPr="002E6ECA">
        <w:rPr>
          <w:rStyle w:val="shorttext"/>
          <w:sz w:val="28"/>
          <w:szCs w:val="28"/>
          <w:lang w:val="uk-UA"/>
        </w:rPr>
        <w:t>31,</w:t>
      </w:r>
      <w:r w:rsidR="00D46B1B" w:rsidRPr="002E6ECA">
        <w:rPr>
          <w:rStyle w:val="shorttext"/>
          <w:sz w:val="28"/>
          <w:szCs w:val="28"/>
          <w:lang w:val="uk-UA"/>
        </w:rPr>
        <w:t xml:space="preserve"> </w:t>
      </w:r>
      <w:r w:rsidRPr="002E6ECA">
        <w:rPr>
          <w:rStyle w:val="shorttext"/>
          <w:sz w:val="28"/>
          <w:szCs w:val="28"/>
          <w:lang w:val="uk-UA"/>
        </w:rPr>
        <w:t>32,</w:t>
      </w:r>
      <w:r w:rsidR="00D46B1B" w:rsidRPr="002E6ECA">
        <w:rPr>
          <w:rStyle w:val="shorttext"/>
          <w:sz w:val="28"/>
          <w:szCs w:val="28"/>
          <w:lang w:val="uk-UA"/>
        </w:rPr>
        <w:t xml:space="preserve"> </w:t>
      </w:r>
      <w:r w:rsidRPr="002E6ECA">
        <w:rPr>
          <w:rStyle w:val="shorttext"/>
          <w:sz w:val="28"/>
          <w:szCs w:val="28"/>
          <w:lang w:val="uk-UA"/>
        </w:rPr>
        <w:t>33,</w:t>
      </w:r>
      <w:r w:rsidR="00D46B1B" w:rsidRPr="002E6ECA">
        <w:rPr>
          <w:rStyle w:val="shorttext"/>
          <w:sz w:val="28"/>
          <w:szCs w:val="28"/>
          <w:lang w:val="uk-UA"/>
        </w:rPr>
        <w:t xml:space="preserve"> </w:t>
      </w:r>
      <w:r w:rsidRPr="002E6ECA">
        <w:rPr>
          <w:rStyle w:val="shorttext"/>
          <w:sz w:val="28"/>
          <w:szCs w:val="28"/>
          <w:lang w:val="uk-UA"/>
        </w:rPr>
        <w:t>34,</w:t>
      </w:r>
      <w:r w:rsidR="00D46B1B" w:rsidRPr="002E6ECA">
        <w:rPr>
          <w:rStyle w:val="shorttext"/>
          <w:sz w:val="28"/>
          <w:szCs w:val="28"/>
          <w:lang w:val="uk-UA"/>
        </w:rPr>
        <w:t xml:space="preserve"> </w:t>
      </w:r>
      <w:r w:rsidRPr="002E6ECA">
        <w:rPr>
          <w:rStyle w:val="shorttext"/>
          <w:sz w:val="28"/>
          <w:szCs w:val="28"/>
          <w:lang w:val="uk-UA"/>
        </w:rPr>
        <w:t>35.</w:t>
      </w:r>
    </w:p>
    <w:p w:rsidR="0084636B" w:rsidRPr="002E6ECA" w:rsidRDefault="0084636B" w:rsidP="0084636B">
      <w:pPr>
        <w:spacing w:line="360" w:lineRule="auto"/>
        <w:ind w:firstLine="709"/>
        <w:rPr>
          <w:rStyle w:val="shorttext"/>
          <w:sz w:val="28"/>
          <w:szCs w:val="28"/>
          <w:lang w:val="uk-UA"/>
        </w:rPr>
      </w:pPr>
      <w:r w:rsidRPr="002E6ECA">
        <w:rPr>
          <w:rStyle w:val="shorttext"/>
          <w:sz w:val="28"/>
          <w:szCs w:val="28"/>
          <w:lang w:val="uk-UA"/>
        </w:rPr>
        <w:t>Для</w:t>
      </w:r>
      <w:r w:rsidR="00D46B1B" w:rsidRPr="002E6ECA">
        <w:rPr>
          <w:rStyle w:val="shorttext"/>
          <w:sz w:val="28"/>
          <w:szCs w:val="28"/>
          <w:lang w:val="uk-UA"/>
        </w:rPr>
        <w:t xml:space="preserve"> </w:t>
      </w:r>
      <w:r w:rsidRPr="002E6ECA">
        <w:rPr>
          <w:rStyle w:val="shorttext"/>
          <w:sz w:val="28"/>
          <w:szCs w:val="28"/>
          <w:lang w:val="uk-UA"/>
        </w:rPr>
        <w:t>їх</w:t>
      </w:r>
      <w:r w:rsidR="00D46B1B" w:rsidRPr="002E6ECA">
        <w:rPr>
          <w:rStyle w:val="shorttext"/>
          <w:sz w:val="28"/>
          <w:szCs w:val="28"/>
          <w:lang w:val="uk-UA"/>
        </w:rPr>
        <w:t xml:space="preserve"> </w:t>
      </w:r>
      <w:r w:rsidRPr="002E6ECA">
        <w:rPr>
          <w:rStyle w:val="shorttext"/>
          <w:sz w:val="28"/>
          <w:szCs w:val="28"/>
          <w:lang w:val="uk-UA"/>
        </w:rPr>
        <w:t>підрахунку</w:t>
      </w:r>
      <w:r w:rsidR="00D46B1B" w:rsidRPr="002E6ECA">
        <w:rPr>
          <w:rStyle w:val="shorttext"/>
          <w:sz w:val="28"/>
          <w:szCs w:val="28"/>
          <w:lang w:val="uk-UA"/>
        </w:rPr>
        <w:t xml:space="preserve"> </w:t>
      </w:r>
      <w:r w:rsidRPr="002E6ECA">
        <w:rPr>
          <w:rStyle w:val="shorttext"/>
          <w:sz w:val="28"/>
          <w:szCs w:val="28"/>
          <w:lang w:val="uk-UA"/>
        </w:rPr>
        <w:t>сумуються</w:t>
      </w:r>
      <w:r w:rsidR="00D46B1B" w:rsidRPr="002E6ECA">
        <w:rPr>
          <w:rStyle w:val="shorttext"/>
          <w:sz w:val="28"/>
          <w:szCs w:val="28"/>
          <w:lang w:val="uk-UA"/>
        </w:rPr>
        <w:t xml:space="preserve"> </w:t>
      </w:r>
      <w:r w:rsidRPr="002E6ECA">
        <w:rPr>
          <w:rStyle w:val="shorttext"/>
          <w:sz w:val="28"/>
          <w:szCs w:val="28"/>
          <w:lang w:val="uk-UA"/>
        </w:rPr>
        <w:t>бали</w:t>
      </w:r>
      <w:r w:rsidR="00D46B1B" w:rsidRPr="002E6ECA">
        <w:rPr>
          <w:rStyle w:val="shorttext"/>
          <w:sz w:val="28"/>
          <w:szCs w:val="28"/>
          <w:lang w:val="uk-UA"/>
        </w:rPr>
        <w:t xml:space="preserve"> </w:t>
      </w:r>
      <w:r w:rsidRPr="002E6ECA">
        <w:rPr>
          <w:rStyle w:val="shorttext"/>
          <w:sz w:val="28"/>
          <w:szCs w:val="28"/>
          <w:lang w:val="uk-UA"/>
        </w:rPr>
        <w:t>за</w:t>
      </w:r>
      <w:r w:rsidR="00D46B1B" w:rsidRPr="002E6ECA">
        <w:rPr>
          <w:rStyle w:val="shorttext"/>
          <w:sz w:val="28"/>
          <w:szCs w:val="28"/>
          <w:lang w:val="uk-UA"/>
        </w:rPr>
        <w:t xml:space="preserve"> </w:t>
      </w:r>
      <w:r w:rsidRPr="002E6ECA">
        <w:rPr>
          <w:rStyle w:val="shorttext"/>
          <w:sz w:val="28"/>
          <w:szCs w:val="28"/>
          <w:lang w:val="uk-UA"/>
        </w:rPr>
        <w:t>пунктами,</w:t>
      </w:r>
      <w:r w:rsidR="00D46B1B" w:rsidRPr="002E6ECA">
        <w:rPr>
          <w:rStyle w:val="shorttext"/>
          <w:sz w:val="28"/>
          <w:szCs w:val="28"/>
          <w:lang w:val="uk-UA"/>
        </w:rPr>
        <w:t xml:space="preserve"> </w:t>
      </w:r>
      <w:r w:rsidRPr="002E6ECA">
        <w:rPr>
          <w:rStyle w:val="shorttext"/>
          <w:sz w:val="28"/>
          <w:szCs w:val="28"/>
          <w:lang w:val="uk-UA"/>
        </w:rPr>
        <w:t>які</w:t>
      </w:r>
      <w:r w:rsidR="00D46B1B" w:rsidRPr="002E6ECA">
        <w:rPr>
          <w:rStyle w:val="shorttext"/>
          <w:sz w:val="28"/>
          <w:szCs w:val="28"/>
          <w:lang w:val="uk-UA"/>
        </w:rPr>
        <w:t xml:space="preserve"> </w:t>
      </w:r>
      <w:r w:rsidRPr="002E6ECA">
        <w:rPr>
          <w:rStyle w:val="shorttext"/>
          <w:sz w:val="28"/>
          <w:szCs w:val="28"/>
          <w:lang w:val="uk-UA"/>
        </w:rPr>
        <w:t>входять</w:t>
      </w:r>
      <w:r w:rsidR="00D46B1B" w:rsidRPr="002E6ECA">
        <w:rPr>
          <w:rStyle w:val="shorttext"/>
          <w:sz w:val="28"/>
          <w:szCs w:val="28"/>
          <w:lang w:val="uk-UA"/>
        </w:rPr>
        <w:t xml:space="preserve"> </w:t>
      </w:r>
      <w:r w:rsidRPr="002E6ECA">
        <w:rPr>
          <w:rStyle w:val="shorttext"/>
          <w:sz w:val="28"/>
          <w:szCs w:val="28"/>
          <w:lang w:val="uk-UA"/>
        </w:rPr>
        <w:t>у</w:t>
      </w:r>
      <w:r w:rsidR="00D46B1B" w:rsidRPr="002E6ECA">
        <w:rPr>
          <w:rStyle w:val="shorttext"/>
          <w:sz w:val="28"/>
          <w:szCs w:val="28"/>
          <w:lang w:val="uk-UA"/>
        </w:rPr>
        <w:t xml:space="preserve"> </w:t>
      </w:r>
      <w:r w:rsidRPr="002E6ECA">
        <w:rPr>
          <w:rStyle w:val="shorttext"/>
          <w:sz w:val="28"/>
          <w:szCs w:val="28"/>
          <w:lang w:val="uk-UA"/>
        </w:rPr>
        <w:t>ці</w:t>
      </w:r>
      <w:r w:rsidR="00D46B1B" w:rsidRPr="002E6ECA">
        <w:rPr>
          <w:rStyle w:val="shorttext"/>
          <w:sz w:val="28"/>
          <w:szCs w:val="28"/>
          <w:lang w:val="uk-UA"/>
        </w:rPr>
        <w:t xml:space="preserve"> </w:t>
      </w:r>
      <w:r w:rsidRPr="002E6ECA">
        <w:rPr>
          <w:rStyle w:val="shorttext"/>
          <w:sz w:val="28"/>
          <w:szCs w:val="28"/>
          <w:lang w:val="uk-UA"/>
        </w:rPr>
        <w:t>субшкали.</w:t>
      </w:r>
    </w:p>
    <w:p w:rsidR="0084636B" w:rsidRPr="002E6ECA" w:rsidRDefault="0084636B" w:rsidP="0084636B">
      <w:pPr>
        <w:shd w:val="clear" w:color="auto" w:fill="FFFFFF"/>
        <w:spacing w:line="360" w:lineRule="auto"/>
        <w:ind w:right="24" w:firstLine="709"/>
        <w:jc w:val="center"/>
        <w:rPr>
          <w:spacing w:val="1"/>
          <w:sz w:val="28"/>
          <w:szCs w:val="28"/>
          <w:lang w:val="uk-UA"/>
        </w:rPr>
      </w:pPr>
    </w:p>
    <w:p w:rsidR="0084636B" w:rsidRPr="002E6ECA" w:rsidRDefault="0084636B" w:rsidP="0084636B">
      <w:pPr>
        <w:shd w:val="clear" w:color="auto" w:fill="FFFFFF"/>
        <w:spacing w:line="360" w:lineRule="auto"/>
        <w:ind w:right="24" w:firstLine="709"/>
        <w:jc w:val="center"/>
        <w:rPr>
          <w:spacing w:val="1"/>
          <w:sz w:val="28"/>
          <w:szCs w:val="28"/>
          <w:lang w:val="uk-UA"/>
        </w:rPr>
      </w:pPr>
    </w:p>
    <w:p w:rsidR="0084636B" w:rsidRPr="002E6ECA" w:rsidRDefault="0084636B" w:rsidP="00023668">
      <w:pPr>
        <w:shd w:val="clear" w:color="auto" w:fill="FFFFFF"/>
        <w:spacing w:line="360" w:lineRule="auto"/>
        <w:ind w:right="24" w:firstLine="709"/>
        <w:jc w:val="right"/>
        <w:rPr>
          <w:b/>
          <w:bCs/>
          <w:sz w:val="28"/>
          <w:szCs w:val="28"/>
          <w:lang w:val="uk-UA"/>
        </w:rPr>
      </w:pPr>
      <w:r w:rsidRPr="002E6ECA">
        <w:rPr>
          <w:spacing w:val="1"/>
          <w:sz w:val="28"/>
          <w:szCs w:val="28"/>
          <w:lang w:val="uk-UA"/>
        </w:rPr>
        <w:br w:type="page"/>
      </w:r>
      <w:r w:rsidR="00023668" w:rsidRPr="002E6ECA">
        <w:rPr>
          <w:b/>
          <w:bCs/>
          <w:sz w:val="28"/>
          <w:szCs w:val="28"/>
          <w:lang w:val="uk-UA"/>
        </w:rPr>
        <w:lastRenderedPageBreak/>
        <w:t>Додаток</w:t>
      </w:r>
      <w:r w:rsidR="00D46B1B" w:rsidRPr="002E6ECA">
        <w:rPr>
          <w:b/>
          <w:bCs/>
          <w:sz w:val="28"/>
          <w:szCs w:val="28"/>
          <w:lang w:val="uk-UA"/>
        </w:rPr>
        <w:t xml:space="preserve"> </w:t>
      </w:r>
      <w:r w:rsidR="00023668" w:rsidRPr="002E6ECA">
        <w:rPr>
          <w:b/>
          <w:bCs/>
          <w:sz w:val="28"/>
          <w:szCs w:val="28"/>
          <w:lang w:val="uk-UA"/>
        </w:rPr>
        <w:t>Е</w:t>
      </w:r>
    </w:p>
    <w:p w:rsidR="0084636B" w:rsidRPr="002E6ECA" w:rsidRDefault="0084636B" w:rsidP="00372EE3">
      <w:pPr>
        <w:shd w:val="clear" w:color="auto" w:fill="FFFFFF"/>
        <w:ind w:right="24"/>
        <w:jc w:val="center"/>
        <w:rPr>
          <w:lang w:val="uk-UA"/>
        </w:rPr>
      </w:pPr>
      <w:r w:rsidRPr="002E6ECA">
        <w:rPr>
          <w:lang w:val="uk-UA"/>
        </w:rPr>
        <w:t>АНКЕТА</w:t>
      </w:r>
      <w:r w:rsidR="00D46B1B" w:rsidRPr="002E6ECA">
        <w:rPr>
          <w:lang w:val="uk-UA"/>
        </w:rPr>
        <w:t xml:space="preserve">  </w:t>
      </w:r>
      <w:r w:rsidRPr="002E6ECA">
        <w:rPr>
          <w:lang w:val="uk-UA"/>
        </w:rPr>
        <w:t>ЯКОСТІ</w:t>
      </w:r>
      <w:r w:rsidR="00D46B1B" w:rsidRPr="002E6ECA">
        <w:rPr>
          <w:lang w:val="uk-UA"/>
        </w:rPr>
        <w:t xml:space="preserve">  </w:t>
      </w:r>
      <w:r w:rsidRPr="002E6ECA">
        <w:rPr>
          <w:lang w:val="uk-UA"/>
        </w:rPr>
        <w:t>ЖИТТЯ</w:t>
      </w:r>
      <w:r w:rsidR="00D46B1B" w:rsidRPr="002E6ECA">
        <w:rPr>
          <w:lang w:val="uk-UA"/>
        </w:rPr>
        <w:t xml:space="preserve"> </w:t>
      </w:r>
      <w:r w:rsidRPr="002E6ECA">
        <w:rPr>
          <w:lang w:val="uk-UA"/>
        </w:rPr>
        <w:t>(для</w:t>
      </w:r>
      <w:r w:rsidR="00D46B1B" w:rsidRPr="002E6ECA">
        <w:rPr>
          <w:lang w:val="uk-UA"/>
        </w:rPr>
        <w:t xml:space="preserve"> </w:t>
      </w:r>
      <w:r w:rsidRPr="002E6ECA">
        <w:rPr>
          <w:lang w:val="uk-UA"/>
        </w:rPr>
        <w:t>учнів</w:t>
      </w:r>
      <w:r w:rsidR="00D46B1B" w:rsidRPr="002E6ECA">
        <w:rPr>
          <w:lang w:val="uk-UA"/>
        </w:rPr>
        <w:t xml:space="preserve"> </w:t>
      </w:r>
      <w:r w:rsidRPr="002E6ECA">
        <w:rPr>
          <w:lang w:val="uk-UA"/>
        </w:rPr>
        <w:t>середнього</w:t>
      </w:r>
      <w:r w:rsidR="00D46B1B" w:rsidRPr="002E6ECA">
        <w:rPr>
          <w:lang w:val="uk-UA"/>
        </w:rPr>
        <w:t xml:space="preserve"> </w:t>
      </w:r>
      <w:r w:rsidRPr="002E6ECA">
        <w:rPr>
          <w:lang w:val="uk-UA"/>
        </w:rPr>
        <w:t>шкільного</w:t>
      </w:r>
      <w:r w:rsidR="00D46B1B" w:rsidRPr="002E6ECA">
        <w:rPr>
          <w:lang w:val="uk-UA"/>
        </w:rPr>
        <w:t xml:space="preserve"> </w:t>
      </w:r>
      <w:r w:rsidRPr="002E6ECA">
        <w:rPr>
          <w:lang w:val="uk-UA"/>
        </w:rPr>
        <w:t>віку)</w:t>
      </w:r>
    </w:p>
    <w:p w:rsidR="0084636B" w:rsidRPr="002E6ECA" w:rsidRDefault="0084636B" w:rsidP="00372EE3">
      <w:pPr>
        <w:shd w:val="clear" w:color="auto" w:fill="FFFFFF"/>
        <w:ind w:right="24"/>
        <w:jc w:val="center"/>
        <w:rPr>
          <w:b/>
          <w:spacing w:val="1"/>
          <w:lang w:val="uk-UA"/>
        </w:rPr>
      </w:pPr>
    </w:p>
    <w:p w:rsidR="0084636B" w:rsidRPr="002E6ECA" w:rsidRDefault="0084636B" w:rsidP="00372EE3">
      <w:pPr>
        <w:shd w:val="clear" w:color="auto" w:fill="FFFFFF"/>
        <w:ind w:right="24"/>
        <w:jc w:val="both"/>
        <w:rPr>
          <w:spacing w:val="1"/>
          <w:lang w:val="uk-UA"/>
        </w:rPr>
      </w:pPr>
      <w:r w:rsidRPr="002E6ECA">
        <w:rPr>
          <w:spacing w:val="1"/>
          <w:lang w:val="uk-UA"/>
        </w:rPr>
        <w:t>Ця</w:t>
      </w:r>
      <w:r w:rsidR="00D46B1B" w:rsidRPr="002E6ECA">
        <w:rPr>
          <w:spacing w:val="1"/>
          <w:lang w:val="uk-UA"/>
        </w:rPr>
        <w:t xml:space="preserve"> </w:t>
      </w:r>
      <w:r w:rsidRPr="002E6ECA">
        <w:rPr>
          <w:spacing w:val="1"/>
          <w:lang w:val="uk-UA"/>
        </w:rPr>
        <w:t>анкета</w:t>
      </w:r>
      <w:r w:rsidR="00D46B1B" w:rsidRPr="002E6ECA">
        <w:rPr>
          <w:spacing w:val="1"/>
          <w:lang w:val="uk-UA"/>
        </w:rPr>
        <w:t xml:space="preserve"> </w:t>
      </w:r>
      <w:r w:rsidRPr="002E6ECA">
        <w:rPr>
          <w:spacing w:val="1"/>
          <w:lang w:val="uk-UA"/>
        </w:rPr>
        <w:t>визначає</w:t>
      </w:r>
      <w:r w:rsidR="00D46B1B" w:rsidRPr="002E6ECA">
        <w:rPr>
          <w:spacing w:val="1"/>
          <w:lang w:val="uk-UA"/>
        </w:rPr>
        <w:t xml:space="preserve"> </w:t>
      </w:r>
      <w:r w:rsidRPr="002E6ECA">
        <w:rPr>
          <w:spacing w:val="1"/>
          <w:lang w:val="uk-UA"/>
        </w:rPr>
        <w:t>Ваше</w:t>
      </w:r>
      <w:r w:rsidR="00D46B1B" w:rsidRPr="002E6ECA">
        <w:rPr>
          <w:spacing w:val="1"/>
          <w:lang w:val="uk-UA"/>
        </w:rPr>
        <w:t xml:space="preserve"> </w:t>
      </w:r>
      <w:r w:rsidRPr="002E6ECA">
        <w:rPr>
          <w:spacing w:val="1"/>
          <w:lang w:val="uk-UA"/>
        </w:rPr>
        <w:t>благополуччя</w:t>
      </w:r>
      <w:r w:rsidR="00D46B1B" w:rsidRPr="002E6ECA">
        <w:rPr>
          <w:spacing w:val="1"/>
          <w:lang w:val="uk-UA"/>
        </w:rPr>
        <w:t xml:space="preserve"> </w:t>
      </w:r>
      <w:r w:rsidRPr="002E6ECA">
        <w:rPr>
          <w:spacing w:val="1"/>
          <w:lang w:val="uk-UA"/>
        </w:rPr>
        <w:t>та</w:t>
      </w:r>
      <w:r w:rsidR="00D46B1B" w:rsidRPr="002E6ECA">
        <w:rPr>
          <w:spacing w:val="1"/>
          <w:lang w:val="uk-UA"/>
        </w:rPr>
        <w:t xml:space="preserve"> </w:t>
      </w:r>
      <w:r w:rsidRPr="002E6ECA">
        <w:rPr>
          <w:spacing w:val="1"/>
          <w:lang w:val="uk-UA"/>
        </w:rPr>
        <w:t>самопочуття.</w:t>
      </w:r>
    </w:p>
    <w:p w:rsidR="0084636B" w:rsidRPr="002E6ECA" w:rsidRDefault="0084636B" w:rsidP="00372EE3">
      <w:pPr>
        <w:shd w:val="clear" w:color="auto" w:fill="FFFFFF"/>
        <w:ind w:right="24"/>
        <w:jc w:val="both"/>
        <w:rPr>
          <w:spacing w:val="1"/>
          <w:lang w:val="uk-UA"/>
        </w:rPr>
      </w:pPr>
      <w:r w:rsidRPr="002E6ECA">
        <w:rPr>
          <w:spacing w:val="1"/>
          <w:lang w:val="uk-UA"/>
        </w:rPr>
        <w:t>Пам’ятайте:</w:t>
      </w:r>
      <w:r w:rsidR="00D46B1B" w:rsidRPr="002E6ECA">
        <w:rPr>
          <w:spacing w:val="1"/>
          <w:lang w:val="uk-UA"/>
        </w:rPr>
        <w:t xml:space="preserve"> </w:t>
      </w:r>
      <w:r w:rsidRPr="002E6ECA">
        <w:rPr>
          <w:spacing w:val="1"/>
          <w:lang w:val="uk-UA"/>
        </w:rPr>
        <w:t>це</w:t>
      </w:r>
      <w:r w:rsidR="00D46B1B" w:rsidRPr="002E6ECA">
        <w:rPr>
          <w:spacing w:val="1"/>
          <w:lang w:val="uk-UA"/>
        </w:rPr>
        <w:t xml:space="preserve"> </w:t>
      </w:r>
      <w:r w:rsidRPr="002E6ECA">
        <w:rPr>
          <w:spacing w:val="1"/>
          <w:lang w:val="uk-UA"/>
        </w:rPr>
        <w:t>не</w:t>
      </w:r>
      <w:r w:rsidR="00D46B1B" w:rsidRPr="002E6ECA">
        <w:rPr>
          <w:spacing w:val="1"/>
          <w:lang w:val="uk-UA"/>
        </w:rPr>
        <w:t xml:space="preserve"> </w:t>
      </w:r>
      <w:r w:rsidRPr="002E6ECA">
        <w:rPr>
          <w:spacing w:val="1"/>
          <w:lang w:val="uk-UA"/>
        </w:rPr>
        <w:t>тест,</w:t>
      </w:r>
      <w:r w:rsidR="00D46B1B" w:rsidRPr="002E6ECA">
        <w:rPr>
          <w:spacing w:val="1"/>
          <w:lang w:val="uk-UA"/>
        </w:rPr>
        <w:t xml:space="preserve"> </w:t>
      </w:r>
      <w:r w:rsidRPr="002E6ECA">
        <w:rPr>
          <w:spacing w:val="1"/>
          <w:lang w:val="uk-UA"/>
        </w:rPr>
        <w:t>тут</w:t>
      </w:r>
      <w:r w:rsidR="00D46B1B" w:rsidRPr="002E6ECA">
        <w:rPr>
          <w:spacing w:val="1"/>
          <w:lang w:val="uk-UA"/>
        </w:rPr>
        <w:t xml:space="preserve"> </w:t>
      </w:r>
      <w:r w:rsidRPr="002E6ECA">
        <w:rPr>
          <w:spacing w:val="1"/>
          <w:lang w:val="uk-UA"/>
        </w:rPr>
        <w:t>не</w:t>
      </w:r>
      <w:r w:rsidR="00D46B1B" w:rsidRPr="002E6ECA">
        <w:rPr>
          <w:spacing w:val="1"/>
          <w:lang w:val="uk-UA"/>
        </w:rPr>
        <w:t xml:space="preserve"> </w:t>
      </w:r>
      <w:r w:rsidRPr="002E6ECA">
        <w:rPr>
          <w:spacing w:val="1"/>
          <w:lang w:val="uk-UA"/>
        </w:rPr>
        <w:t>має</w:t>
      </w:r>
      <w:r w:rsidR="00D46B1B" w:rsidRPr="002E6ECA">
        <w:rPr>
          <w:spacing w:val="1"/>
          <w:lang w:val="uk-UA"/>
        </w:rPr>
        <w:t xml:space="preserve"> </w:t>
      </w:r>
      <w:r w:rsidRPr="002E6ECA">
        <w:rPr>
          <w:spacing w:val="1"/>
          <w:lang w:val="uk-UA"/>
        </w:rPr>
        <w:t>правильних</w:t>
      </w:r>
      <w:r w:rsidR="00D46B1B" w:rsidRPr="002E6ECA">
        <w:rPr>
          <w:spacing w:val="1"/>
          <w:lang w:val="uk-UA"/>
        </w:rPr>
        <w:t xml:space="preserve"> </w:t>
      </w:r>
      <w:r w:rsidRPr="002E6ECA">
        <w:rPr>
          <w:spacing w:val="1"/>
          <w:lang w:val="uk-UA"/>
        </w:rPr>
        <w:t>чи</w:t>
      </w:r>
      <w:r w:rsidR="00D46B1B" w:rsidRPr="002E6ECA">
        <w:rPr>
          <w:spacing w:val="1"/>
          <w:lang w:val="uk-UA"/>
        </w:rPr>
        <w:t xml:space="preserve"> </w:t>
      </w:r>
      <w:r w:rsidRPr="002E6ECA">
        <w:rPr>
          <w:spacing w:val="1"/>
          <w:lang w:val="uk-UA"/>
        </w:rPr>
        <w:t>неправильних</w:t>
      </w:r>
      <w:r w:rsidR="00D46B1B" w:rsidRPr="002E6ECA">
        <w:rPr>
          <w:spacing w:val="1"/>
          <w:lang w:val="uk-UA"/>
        </w:rPr>
        <w:t xml:space="preserve"> </w:t>
      </w:r>
      <w:r w:rsidRPr="002E6ECA">
        <w:rPr>
          <w:spacing w:val="1"/>
          <w:lang w:val="uk-UA"/>
        </w:rPr>
        <w:t>відповідей.</w:t>
      </w:r>
      <w:r w:rsidR="00D46B1B" w:rsidRPr="002E6ECA">
        <w:rPr>
          <w:spacing w:val="1"/>
          <w:lang w:val="uk-UA"/>
        </w:rPr>
        <w:t xml:space="preserve"> </w:t>
      </w:r>
      <w:r w:rsidRPr="002E6ECA">
        <w:rPr>
          <w:spacing w:val="1"/>
          <w:lang w:val="uk-UA"/>
        </w:rPr>
        <w:t>Важливо,</w:t>
      </w:r>
      <w:r w:rsidR="00D46B1B" w:rsidRPr="002E6ECA">
        <w:rPr>
          <w:spacing w:val="1"/>
          <w:lang w:val="uk-UA"/>
        </w:rPr>
        <w:t xml:space="preserve"> </w:t>
      </w:r>
      <w:r w:rsidRPr="002E6ECA">
        <w:rPr>
          <w:spacing w:val="1"/>
          <w:lang w:val="uk-UA"/>
        </w:rPr>
        <w:t>щоб</w:t>
      </w:r>
      <w:r w:rsidR="00D46B1B" w:rsidRPr="002E6ECA">
        <w:rPr>
          <w:spacing w:val="1"/>
          <w:lang w:val="uk-UA"/>
        </w:rPr>
        <w:t xml:space="preserve"> </w:t>
      </w:r>
      <w:r w:rsidRPr="002E6ECA">
        <w:rPr>
          <w:spacing w:val="1"/>
          <w:lang w:val="uk-UA"/>
        </w:rPr>
        <w:t>Ви</w:t>
      </w:r>
      <w:r w:rsidR="00D46B1B" w:rsidRPr="002E6ECA">
        <w:rPr>
          <w:spacing w:val="1"/>
          <w:lang w:val="uk-UA"/>
        </w:rPr>
        <w:t xml:space="preserve"> </w:t>
      </w:r>
      <w:r w:rsidRPr="002E6ECA">
        <w:rPr>
          <w:spacing w:val="1"/>
          <w:lang w:val="uk-UA"/>
        </w:rPr>
        <w:t>відповідали</w:t>
      </w:r>
      <w:r w:rsidR="00D46B1B" w:rsidRPr="002E6ECA">
        <w:rPr>
          <w:spacing w:val="1"/>
          <w:lang w:val="uk-UA"/>
        </w:rPr>
        <w:t xml:space="preserve"> </w:t>
      </w:r>
      <w:r w:rsidRPr="002E6ECA">
        <w:rPr>
          <w:spacing w:val="1"/>
          <w:lang w:val="uk-UA"/>
        </w:rPr>
        <w:t>чесно,</w:t>
      </w:r>
      <w:r w:rsidR="00D46B1B" w:rsidRPr="002E6ECA">
        <w:rPr>
          <w:spacing w:val="1"/>
          <w:lang w:val="uk-UA"/>
        </w:rPr>
        <w:t xml:space="preserve"> </w:t>
      </w:r>
      <w:r w:rsidRPr="002E6ECA">
        <w:rPr>
          <w:spacing w:val="1"/>
          <w:lang w:val="uk-UA"/>
        </w:rPr>
        <w:t>а</w:t>
      </w:r>
      <w:r w:rsidR="00D46B1B" w:rsidRPr="002E6ECA">
        <w:rPr>
          <w:spacing w:val="1"/>
          <w:lang w:val="uk-UA"/>
        </w:rPr>
        <w:t xml:space="preserve"> </w:t>
      </w:r>
      <w:r w:rsidRPr="002E6ECA">
        <w:rPr>
          <w:spacing w:val="1"/>
          <w:lang w:val="uk-UA"/>
        </w:rPr>
        <w:t>позначку</w:t>
      </w:r>
      <w:r w:rsidR="00D46B1B" w:rsidRPr="002E6ECA">
        <w:rPr>
          <w:spacing w:val="1"/>
          <w:lang w:val="uk-UA"/>
        </w:rPr>
        <w:t xml:space="preserve"> </w:t>
      </w:r>
      <w:r w:rsidRPr="002E6ECA">
        <w:rPr>
          <w:b/>
          <w:lang w:val="uk-UA"/>
        </w:rPr>
        <w:t>˅</w:t>
      </w:r>
      <w:r w:rsidR="00D46B1B" w:rsidRPr="002E6ECA">
        <w:rPr>
          <w:spacing w:val="1"/>
          <w:lang w:val="uk-UA"/>
        </w:rPr>
        <w:t xml:space="preserve"> </w:t>
      </w:r>
      <w:r w:rsidRPr="002E6ECA">
        <w:rPr>
          <w:spacing w:val="1"/>
          <w:lang w:val="uk-UA"/>
        </w:rPr>
        <w:t>ставили</w:t>
      </w:r>
      <w:r w:rsidR="00D46B1B" w:rsidRPr="002E6ECA">
        <w:rPr>
          <w:spacing w:val="1"/>
          <w:lang w:val="uk-UA"/>
        </w:rPr>
        <w:t xml:space="preserve"> </w:t>
      </w:r>
      <w:r w:rsidRPr="002E6ECA">
        <w:rPr>
          <w:spacing w:val="1"/>
          <w:lang w:val="uk-UA"/>
        </w:rPr>
        <w:t>чітко</w:t>
      </w:r>
      <w:r w:rsidR="00D46B1B" w:rsidRPr="002E6ECA">
        <w:rPr>
          <w:spacing w:val="1"/>
          <w:lang w:val="uk-UA"/>
        </w:rPr>
        <w:t xml:space="preserve"> </w:t>
      </w:r>
      <w:r w:rsidRPr="002E6ECA">
        <w:rPr>
          <w:spacing w:val="1"/>
          <w:lang w:val="uk-UA"/>
        </w:rPr>
        <w:t>до</w:t>
      </w:r>
      <w:r w:rsidR="00D46B1B" w:rsidRPr="002E6ECA">
        <w:rPr>
          <w:spacing w:val="1"/>
          <w:lang w:val="uk-UA"/>
        </w:rPr>
        <w:t xml:space="preserve"> </w:t>
      </w:r>
      <w:r w:rsidRPr="002E6ECA">
        <w:rPr>
          <w:spacing w:val="1"/>
          <w:lang w:val="uk-UA"/>
        </w:rPr>
        <w:t>кожного</w:t>
      </w:r>
      <w:r w:rsidR="00D46B1B" w:rsidRPr="002E6ECA">
        <w:rPr>
          <w:spacing w:val="1"/>
          <w:lang w:val="uk-UA"/>
        </w:rPr>
        <w:t xml:space="preserve"> </w:t>
      </w:r>
      <w:r w:rsidRPr="002E6ECA">
        <w:rPr>
          <w:spacing w:val="1"/>
          <w:lang w:val="uk-UA"/>
        </w:rPr>
        <w:t>питання</w:t>
      </w:r>
      <w:r w:rsidR="00D46B1B" w:rsidRPr="002E6ECA">
        <w:rPr>
          <w:spacing w:val="1"/>
          <w:lang w:val="uk-UA"/>
        </w:rPr>
        <w:t xml:space="preserve"> </w:t>
      </w:r>
      <w:r w:rsidRPr="002E6ECA">
        <w:rPr>
          <w:spacing w:val="1"/>
          <w:lang w:val="uk-UA"/>
        </w:rPr>
        <w:t>у</w:t>
      </w:r>
      <w:r w:rsidR="00D46B1B" w:rsidRPr="002E6ECA">
        <w:rPr>
          <w:spacing w:val="1"/>
          <w:lang w:val="uk-UA"/>
        </w:rPr>
        <w:t xml:space="preserve"> </w:t>
      </w:r>
      <w:r w:rsidRPr="002E6ECA">
        <w:rPr>
          <w:spacing w:val="1"/>
          <w:lang w:val="uk-UA"/>
        </w:rPr>
        <w:t>бланку.</w:t>
      </w:r>
      <w:r w:rsidR="00D46B1B" w:rsidRPr="002E6ECA">
        <w:rPr>
          <w:spacing w:val="1"/>
          <w:lang w:val="uk-UA"/>
        </w:rPr>
        <w:t xml:space="preserve"> </w:t>
      </w:r>
      <w:r w:rsidRPr="002E6ECA">
        <w:rPr>
          <w:spacing w:val="1"/>
          <w:lang w:val="uk-UA"/>
        </w:rPr>
        <w:t>Обирайте</w:t>
      </w:r>
      <w:r w:rsidR="00D46B1B" w:rsidRPr="002E6ECA">
        <w:rPr>
          <w:spacing w:val="1"/>
          <w:lang w:val="uk-UA"/>
        </w:rPr>
        <w:t xml:space="preserve"> </w:t>
      </w:r>
      <w:r w:rsidRPr="002E6ECA">
        <w:rPr>
          <w:b/>
          <w:bCs/>
          <w:spacing w:val="1"/>
          <w:lang w:val="uk-UA"/>
        </w:rPr>
        <w:t>одне</w:t>
      </w:r>
      <w:r w:rsidR="00D46B1B" w:rsidRPr="002E6ECA">
        <w:rPr>
          <w:b/>
          <w:bCs/>
          <w:spacing w:val="1"/>
          <w:lang w:val="uk-UA"/>
        </w:rPr>
        <w:t xml:space="preserve"> </w:t>
      </w:r>
      <w:r w:rsidRPr="002E6ECA">
        <w:rPr>
          <w:b/>
          <w:bCs/>
          <w:spacing w:val="1"/>
          <w:lang w:val="uk-UA"/>
        </w:rPr>
        <w:t>поле</w:t>
      </w:r>
      <w:r w:rsidR="00D46B1B" w:rsidRPr="002E6ECA">
        <w:rPr>
          <w:spacing w:val="1"/>
          <w:lang w:val="uk-UA"/>
        </w:rPr>
        <w:t xml:space="preserve"> </w:t>
      </w:r>
      <w:r w:rsidRPr="002E6ECA">
        <w:rPr>
          <w:spacing w:val="1"/>
          <w:lang w:val="uk-UA"/>
        </w:rPr>
        <w:t>у</w:t>
      </w:r>
      <w:r w:rsidR="00D46B1B" w:rsidRPr="002E6ECA">
        <w:rPr>
          <w:spacing w:val="1"/>
          <w:lang w:val="uk-UA"/>
        </w:rPr>
        <w:t xml:space="preserve"> </w:t>
      </w:r>
      <w:r w:rsidRPr="002E6ECA">
        <w:rPr>
          <w:spacing w:val="1"/>
          <w:lang w:val="uk-UA"/>
        </w:rPr>
        <w:t>строчці,</w:t>
      </w:r>
      <w:r w:rsidR="00D46B1B" w:rsidRPr="002E6ECA">
        <w:rPr>
          <w:spacing w:val="1"/>
          <w:lang w:val="uk-UA"/>
        </w:rPr>
        <w:t xml:space="preserve"> </w:t>
      </w:r>
      <w:r w:rsidRPr="002E6ECA">
        <w:rPr>
          <w:spacing w:val="1"/>
          <w:lang w:val="uk-UA"/>
        </w:rPr>
        <w:t>що</w:t>
      </w:r>
      <w:r w:rsidR="00D46B1B" w:rsidRPr="002E6ECA">
        <w:rPr>
          <w:spacing w:val="1"/>
          <w:lang w:val="uk-UA"/>
        </w:rPr>
        <w:t xml:space="preserve"> </w:t>
      </w:r>
      <w:r w:rsidRPr="002E6ECA">
        <w:rPr>
          <w:spacing w:val="1"/>
          <w:lang w:val="uk-UA"/>
        </w:rPr>
        <w:t>найбільш</w:t>
      </w:r>
      <w:r w:rsidR="00D46B1B" w:rsidRPr="002E6ECA">
        <w:rPr>
          <w:spacing w:val="1"/>
          <w:lang w:val="uk-UA"/>
        </w:rPr>
        <w:t xml:space="preserve"> </w:t>
      </w:r>
      <w:r w:rsidRPr="002E6ECA">
        <w:rPr>
          <w:spacing w:val="1"/>
          <w:lang w:val="uk-UA"/>
        </w:rPr>
        <w:t>точно</w:t>
      </w:r>
      <w:r w:rsidR="00D46B1B" w:rsidRPr="002E6ECA">
        <w:rPr>
          <w:spacing w:val="1"/>
          <w:lang w:val="uk-UA"/>
        </w:rPr>
        <w:t xml:space="preserve"> </w:t>
      </w:r>
      <w:r w:rsidRPr="002E6ECA">
        <w:rPr>
          <w:spacing w:val="1"/>
          <w:lang w:val="uk-UA"/>
        </w:rPr>
        <w:t>відображує</w:t>
      </w:r>
      <w:r w:rsidR="00D46B1B" w:rsidRPr="002E6ECA">
        <w:rPr>
          <w:spacing w:val="1"/>
          <w:lang w:val="uk-UA"/>
        </w:rPr>
        <w:t xml:space="preserve"> </w:t>
      </w:r>
      <w:r w:rsidRPr="002E6ECA">
        <w:rPr>
          <w:spacing w:val="1"/>
          <w:lang w:val="uk-UA"/>
        </w:rPr>
        <w:t>Ваш</w:t>
      </w:r>
      <w:r w:rsidR="00D46B1B" w:rsidRPr="002E6ECA">
        <w:rPr>
          <w:spacing w:val="1"/>
          <w:lang w:val="uk-UA"/>
        </w:rPr>
        <w:t xml:space="preserve"> </w:t>
      </w:r>
      <w:r w:rsidRPr="002E6ECA">
        <w:rPr>
          <w:spacing w:val="1"/>
          <w:lang w:val="uk-UA"/>
        </w:rPr>
        <w:t>стан</w:t>
      </w:r>
      <w:r w:rsidR="00D46B1B" w:rsidRPr="002E6ECA">
        <w:rPr>
          <w:spacing w:val="1"/>
          <w:lang w:val="uk-UA"/>
        </w:rPr>
        <w:t xml:space="preserve"> </w:t>
      </w:r>
      <w:r w:rsidRPr="002E6ECA">
        <w:rPr>
          <w:spacing w:val="1"/>
          <w:lang w:val="uk-UA"/>
        </w:rPr>
        <w:t>протягом</w:t>
      </w:r>
      <w:r w:rsidR="00D46B1B" w:rsidRPr="002E6ECA">
        <w:rPr>
          <w:spacing w:val="1"/>
          <w:lang w:val="uk-UA"/>
        </w:rPr>
        <w:t xml:space="preserve"> </w:t>
      </w:r>
      <w:r w:rsidRPr="002E6ECA">
        <w:rPr>
          <w:spacing w:val="1"/>
          <w:lang w:val="uk-UA"/>
        </w:rPr>
        <w:t>певного</w:t>
      </w:r>
      <w:r w:rsidR="00D46B1B" w:rsidRPr="002E6ECA">
        <w:rPr>
          <w:spacing w:val="1"/>
          <w:lang w:val="uk-UA"/>
        </w:rPr>
        <w:t xml:space="preserve"> </w:t>
      </w:r>
      <w:r w:rsidRPr="002E6ECA">
        <w:rPr>
          <w:spacing w:val="1"/>
          <w:lang w:val="uk-UA"/>
        </w:rPr>
        <w:t>проміжку</w:t>
      </w:r>
      <w:r w:rsidR="00D46B1B" w:rsidRPr="002E6ECA">
        <w:rPr>
          <w:spacing w:val="1"/>
          <w:lang w:val="uk-UA"/>
        </w:rPr>
        <w:t xml:space="preserve"> </w:t>
      </w:r>
      <w:r w:rsidRPr="002E6ECA">
        <w:rPr>
          <w:spacing w:val="1"/>
          <w:lang w:val="uk-UA"/>
        </w:rPr>
        <w:t>часу.</w:t>
      </w:r>
      <w:r w:rsidR="00D46B1B" w:rsidRPr="002E6ECA">
        <w:rPr>
          <w:spacing w:val="1"/>
          <w:lang w:val="uk-UA"/>
        </w:rPr>
        <w:t xml:space="preserve"> </w:t>
      </w:r>
    </w:p>
    <w:p w:rsidR="0084636B" w:rsidRPr="002E6ECA" w:rsidRDefault="0084636B" w:rsidP="00372EE3">
      <w:pPr>
        <w:shd w:val="clear" w:color="auto" w:fill="FFFFFF"/>
        <w:ind w:right="23"/>
        <w:rPr>
          <w:b/>
          <w:spacing w:val="1"/>
          <w:lang w:val="uk-UA"/>
        </w:rPr>
      </w:pPr>
      <w:r w:rsidRPr="002E6ECA">
        <w:rPr>
          <w:spacing w:val="1"/>
          <w:lang w:val="uk-UA"/>
        </w:rPr>
        <w:t>П.</w:t>
      </w:r>
      <w:r w:rsidR="00D46B1B" w:rsidRPr="002E6ECA">
        <w:rPr>
          <w:spacing w:val="1"/>
          <w:lang w:val="uk-UA"/>
        </w:rPr>
        <w:t xml:space="preserve"> </w:t>
      </w:r>
      <w:r w:rsidRPr="002E6ECA">
        <w:rPr>
          <w:spacing w:val="1"/>
          <w:lang w:val="uk-UA"/>
        </w:rPr>
        <w:t>І.</w:t>
      </w:r>
      <w:r w:rsidR="00D46B1B" w:rsidRPr="002E6ECA">
        <w:rPr>
          <w:spacing w:val="1"/>
          <w:lang w:val="uk-UA"/>
        </w:rPr>
        <w:t xml:space="preserve"> </w:t>
      </w:r>
      <w:r w:rsidRPr="002E6ECA">
        <w:rPr>
          <w:spacing w:val="1"/>
          <w:lang w:val="uk-UA"/>
        </w:rPr>
        <w:t>Б.</w:t>
      </w:r>
      <w:r w:rsidR="00D46B1B" w:rsidRPr="002E6ECA">
        <w:rPr>
          <w:b/>
          <w:spacing w:val="1"/>
          <w:lang w:val="uk-UA"/>
        </w:rPr>
        <w:t xml:space="preserve"> </w:t>
      </w:r>
      <w:r w:rsidRPr="002E6ECA">
        <w:rPr>
          <w:b/>
          <w:spacing w:val="1"/>
          <w:lang w:val="uk-UA"/>
        </w:rPr>
        <w:t>__________________________________________________________</w:t>
      </w:r>
    </w:p>
    <w:p w:rsidR="0084636B" w:rsidRPr="002E6ECA" w:rsidRDefault="0084636B" w:rsidP="00372EE3">
      <w:pPr>
        <w:shd w:val="clear" w:color="auto" w:fill="FFFFFF"/>
        <w:ind w:right="23"/>
        <w:rPr>
          <w:b/>
          <w:spacing w:val="1"/>
          <w:lang w:val="uk-UA"/>
        </w:rPr>
      </w:pPr>
      <w:r w:rsidRPr="002E6ECA">
        <w:rPr>
          <w:spacing w:val="1"/>
          <w:lang w:val="uk-UA"/>
        </w:rPr>
        <w:t>Заклад</w:t>
      </w:r>
      <w:r w:rsidR="00D46B1B" w:rsidRPr="002E6ECA">
        <w:rPr>
          <w:spacing w:val="1"/>
          <w:lang w:val="uk-UA"/>
        </w:rPr>
        <w:t xml:space="preserve"> </w:t>
      </w:r>
      <w:r w:rsidRPr="002E6ECA">
        <w:rPr>
          <w:spacing w:val="1"/>
          <w:lang w:val="uk-UA"/>
        </w:rPr>
        <w:t>освіти</w:t>
      </w:r>
      <w:r w:rsidR="00D46B1B" w:rsidRPr="002E6ECA">
        <w:rPr>
          <w:b/>
          <w:spacing w:val="1"/>
          <w:lang w:val="uk-UA"/>
        </w:rPr>
        <w:t xml:space="preserve"> </w:t>
      </w:r>
      <w:r w:rsidRPr="002E6ECA">
        <w:rPr>
          <w:b/>
          <w:spacing w:val="1"/>
          <w:lang w:val="uk-UA"/>
        </w:rPr>
        <w:t>__________________________________</w:t>
      </w:r>
      <w:r w:rsidR="00D46B1B" w:rsidRPr="002E6ECA">
        <w:rPr>
          <w:b/>
          <w:spacing w:val="1"/>
          <w:lang w:val="uk-UA"/>
        </w:rPr>
        <w:t xml:space="preserve"> </w:t>
      </w:r>
      <w:r w:rsidRPr="002E6ECA">
        <w:rPr>
          <w:spacing w:val="1"/>
          <w:lang w:val="uk-UA"/>
        </w:rPr>
        <w:t>клас</w:t>
      </w:r>
      <w:r w:rsidR="00D46B1B" w:rsidRPr="002E6ECA">
        <w:rPr>
          <w:b/>
          <w:spacing w:val="1"/>
          <w:lang w:val="uk-UA"/>
        </w:rPr>
        <w:t xml:space="preserve"> </w:t>
      </w:r>
      <w:r w:rsidRPr="002E6ECA">
        <w:rPr>
          <w:b/>
          <w:spacing w:val="1"/>
          <w:lang w:val="uk-UA"/>
        </w:rPr>
        <w:t>______________</w:t>
      </w:r>
    </w:p>
    <w:p w:rsidR="0084636B" w:rsidRPr="002E6ECA" w:rsidRDefault="0084636B" w:rsidP="00372EE3">
      <w:pPr>
        <w:shd w:val="clear" w:color="auto" w:fill="FFFFFF"/>
        <w:ind w:right="23"/>
        <w:rPr>
          <w:b/>
          <w:spacing w:val="1"/>
          <w:lang w:val="uk-UA"/>
        </w:rPr>
      </w:pPr>
      <w:r w:rsidRPr="002E6ECA">
        <w:rPr>
          <w:spacing w:val="1"/>
          <w:lang w:val="uk-UA"/>
        </w:rPr>
        <w:t>Дата</w:t>
      </w:r>
      <w:r w:rsidR="00D46B1B" w:rsidRPr="002E6ECA">
        <w:rPr>
          <w:spacing w:val="1"/>
          <w:lang w:val="uk-UA"/>
        </w:rPr>
        <w:t xml:space="preserve"> </w:t>
      </w:r>
      <w:r w:rsidRPr="002E6ECA">
        <w:rPr>
          <w:spacing w:val="1"/>
          <w:lang w:val="uk-UA"/>
        </w:rPr>
        <w:t>народження</w:t>
      </w:r>
      <w:r w:rsidR="00D46B1B" w:rsidRPr="002E6ECA">
        <w:rPr>
          <w:b/>
          <w:spacing w:val="1"/>
          <w:lang w:val="uk-UA"/>
        </w:rPr>
        <w:t xml:space="preserve"> </w:t>
      </w:r>
      <w:r w:rsidRPr="002E6ECA">
        <w:rPr>
          <w:b/>
          <w:spacing w:val="1"/>
          <w:lang w:val="uk-UA"/>
        </w:rPr>
        <w:t>______________</w:t>
      </w:r>
      <w:r w:rsidR="00D46B1B" w:rsidRPr="002E6ECA">
        <w:rPr>
          <w:b/>
          <w:spacing w:val="1"/>
          <w:lang w:val="uk-UA"/>
        </w:rPr>
        <w:t xml:space="preserve"> </w:t>
      </w:r>
      <w:r w:rsidRPr="002E6ECA">
        <w:rPr>
          <w:b/>
          <w:spacing w:val="1"/>
          <w:lang w:val="uk-UA"/>
        </w:rPr>
        <w:tab/>
      </w:r>
      <w:r w:rsidR="00D46B1B" w:rsidRPr="002E6ECA">
        <w:rPr>
          <w:b/>
          <w:spacing w:val="1"/>
          <w:lang w:val="uk-UA"/>
        </w:rPr>
        <w:t xml:space="preserve"> </w:t>
      </w:r>
      <w:r w:rsidRPr="002E6ECA">
        <w:rPr>
          <w:spacing w:val="1"/>
          <w:lang w:val="uk-UA"/>
        </w:rPr>
        <w:t>Дата</w:t>
      </w:r>
      <w:r w:rsidR="00D46B1B" w:rsidRPr="002E6ECA">
        <w:rPr>
          <w:spacing w:val="1"/>
          <w:lang w:val="uk-UA"/>
        </w:rPr>
        <w:t xml:space="preserve"> </w:t>
      </w:r>
      <w:r w:rsidRPr="002E6ECA">
        <w:rPr>
          <w:spacing w:val="1"/>
          <w:lang w:val="uk-UA"/>
        </w:rPr>
        <w:t>заповнення</w:t>
      </w:r>
      <w:r w:rsidRPr="002E6ECA">
        <w:rPr>
          <w:b/>
          <w:spacing w:val="1"/>
          <w:lang w:val="uk-UA"/>
        </w:rPr>
        <w:t>___________</w:t>
      </w:r>
      <w:r w:rsidR="00D46B1B" w:rsidRPr="002E6ECA">
        <w:rPr>
          <w:b/>
          <w:spacing w:val="1"/>
          <w:lang w:val="uk-UA"/>
        </w:rPr>
        <w:t xml:space="preserve"> </w:t>
      </w:r>
      <w:r w:rsidRPr="002E6ECA">
        <w:rPr>
          <w:bCs/>
          <w:spacing w:val="1"/>
          <w:lang w:val="uk-UA"/>
        </w:rPr>
        <w:t>202</w:t>
      </w:r>
      <w:r w:rsidRPr="002E6ECA">
        <w:rPr>
          <w:b/>
          <w:spacing w:val="1"/>
          <w:lang w:val="uk-UA"/>
        </w:rPr>
        <w:t>___</w:t>
      </w:r>
    </w:p>
    <w:p w:rsidR="0084636B" w:rsidRPr="002E6ECA" w:rsidRDefault="0084636B" w:rsidP="00372EE3">
      <w:pPr>
        <w:shd w:val="clear" w:color="auto" w:fill="FFFFFF"/>
        <w:ind w:right="24"/>
        <w:jc w:val="center"/>
        <w:rPr>
          <w:spacing w:val="1"/>
          <w:lang w:val="uk-UA"/>
        </w:rPr>
      </w:pPr>
    </w:p>
    <w:p w:rsidR="0084636B" w:rsidRPr="002E6ECA" w:rsidRDefault="0084636B" w:rsidP="009A2CF7">
      <w:pPr>
        <w:pStyle w:val="a3"/>
        <w:numPr>
          <w:ilvl w:val="0"/>
          <w:numId w:val="28"/>
        </w:numPr>
        <w:shd w:val="clear" w:color="auto" w:fill="FFFFFF"/>
        <w:ind w:right="24"/>
        <w:rPr>
          <w:lang w:val="uk-UA"/>
        </w:rPr>
      </w:pPr>
      <w:r w:rsidRPr="002E6ECA">
        <w:rPr>
          <w:spacing w:val="1"/>
          <w:lang w:val="uk-UA"/>
        </w:rPr>
        <w:t>Як</w:t>
      </w:r>
      <w:r w:rsidR="00D46B1B" w:rsidRPr="002E6ECA">
        <w:rPr>
          <w:spacing w:val="1"/>
          <w:lang w:val="uk-UA"/>
        </w:rPr>
        <w:t xml:space="preserve"> </w:t>
      </w:r>
      <w:r w:rsidRPr="002E6ECA">
        <w:rPr>
          <w:spacing w:val="1"/>
          <w:lang w:val="uk-UA"/>
        </w:rPr>
        <w:t>би</w:t>
      </w:r>
      <w:r w:rsidR="00D46B1B" w:rsidRPr="002E6ECA">
        <w:rPr>
          <w:spacing w:val="1"/>
          <w:lang w:val="uk-UA"/>
        </w:rPr>
        <w:t xml:space="preserve"> </w:t>
      </w:r>
      <w:r w:rsidRPr="002E6ECA">
        <w:rPr>
          <w:spacing w:val="1"/>
          <w:lang w:val="uk-UA"/>
        </w:rPr>
        <w:t>Ви</w:t>
      </w:r>
      <w:r w:rsidR="00D46B1B" w:rsidRPr="002E6ECA">
        <w:rPr>
          <w:spacing w:val="1"/>
          <w:lang w:val="uk-UA"/>
        </w:rPr>
        <w:t xml:space="preserve"> </w:t>
      </w:r>
      <w:r w:rsidRPr="002E6ECA">
        <w:rPr>
          <w:b/>
          <w:bCs/>
          <w:spacing w:val="1"/>
          <w:lang w:val="uk-UA"/>
        </w:rPr>
        <w:t>в</w:t>
      </w:r>
      <w:r w:rsidR="00D46B1B" w:rsidRPr="002E6ECA">
        <w:rPr>
          <w:b/>
          <w:bCs/>
          <w:spacing w:val="1"/>
          <w:lang w:val="uk-UA"/>
        </w:rPr>
        <w:t xml:space="preserve"> </w:t>
      </w:r>
      <w:r w:rsidRPr="002E6ECA">
        <w:rPr>
          <w:b/>
          <w:bCs/>
          <w:spacing w:val="1"/>
          <w:lang w:val="uk-UA"/>
        </w:rPr>
        <w:t>цілому</w:t>
      </w:r>
      <w:r w:rsidR="00D46B1B" w:rsidRPr="002E6ECA">
        <w:rPr>
          <w:spacing w:val="1"/>
          <w:lang w:val="uk-UA"/>
        </w:rPr>
        <w:t xml:space="preserve"> </w:t>
      </w:r>
      <w:r w:rsidRPr="002E6ECA">
        <w:rPr>
          <w:spacing w:val="1"/>
          <w:lang w:val="uk-UA"/>
        </w:rPr>
        <w:t>оцінили</w:t>
      </w:r>
      <w:r w:rsidR="00D46B1B" w:rsidRPr="002E6ECA">
        <w:rPr>
          <w:spacing w:val="1"/>
          <w:lang w:val="uk-UA"/>
        </w:rPr>
        <w:t xml:space="preserve"> </w:t>
      </w:r>
      <w:r w:rsidRPr="002E6ECA">
        <w:rPr>
          <w:spacing w:val="1"/>
          <w:lang w:val="uk-UA"/>
        </w:rPr>
        <w:t>стан</w:t>
      </w:r>
      <w:r w:rsidR="00D46B1B" w:rsidRPr="002E6ECA">
        <w:rPr>
          <w:spacing w:val="1"/>
          <w:lang w:val="uk-UA"/>
        </w:rPr>
        <w:t xml:space="preserve"> </w:t>
      </w:r>
      <w:r w:rsidRPr="002E6ECA">
        <w:rPr>
          <w:spacing w:val="1"/>
          <w:lang w:val="uk-UA"/>
        </w:rPr>
        <w:t>Вашого</w:t>
      </w:r>
      <w:r w:rsidR="00D46B1B" w:rsidRPr="002E6ECA">
        <w:rPr>
          <w:spacing w:val="1"/>
          <w:lang w:val="uk-UA"/>
        </w:rPr>
        <w:t xml:space="preserve"> </w:t>
      </w:r>
      <w:r w:rsidRPr="002E6ECA">
        <w:rPr>
          <w:spacing w:val="1"/>
          <w:lang w:val="uk-UA"/>
        </w:rPr>
        <w:t>здоров’я?</w:t>
      </w:r>
      <w:r w:rsidR="00D46B1B" w:rsidRPr="002E6ECA">
        <w:rPr>
          <w:spacing w:val="1"/>
          <w:lang w:val="uk-UA"/>
        </w:rPr>
        <w:t xml:space="preserve">  </w:t>
      </w:r>
    </w:p>
    <w:tbl>
      <w:tblPr>
        <w:tblW w:w="9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858"/>
        <w:gridCol w:w="1686"/>
        <w:gridCol w:w="1922"/>
        <w:gridCol w:w="1845"/>
      </w:tblGrid>
      <w:tr w:rsidR="0084636B" w:rsidRPr="002E6ECA" w:rsidTr="002C35C3">
        <w:tc>
          <w:tcPr>
            <w:tcW w:w="195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Добре</w:t>
            </w:r>
            <w:r w:rsidR="00D46B1B" w:rsidRPr="002E6ECA">
              <w:rPr>
                <w:spacing w:val="4"/>
                <w:lang w:val="uk-UA"/>
              </w:rPr>
              <w:t xml:space="preserve"> </w:t>
            </w:r>
          </w:p>
        </w:tc>
        <w:tc>
          <w:tcPr>
            <w:tcW w:w="185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Скоріше</w:t>
            </w:r>
            <w:r w:rsidR="00D46B1B" w:rsidRPr="002E6ECA">
              <w:rPr>
                <w:spacing w:val="4"/>
                <w:lang w:val="uk-UA"/>
              </w:rPr>
              <w:t xml:space="preserve"> </w:t>
            </w:r>
            <w:r w:rsidRPr="002E6ECA">
              <w:rPr>
                <w:spacing w:val="4"/>
                <w:lang w:val="uk-UA"/>
              </w:rPr>
              <w:t>добре</w:t>
            </w:r>
          </w:p>
        </w:tc>
        <w:tc>
          <w:tcPr>
            <w:tcW w:w="1686"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Задовільне</w:t>
            </w:r>
          </w:p>
        </w:tc>
        <w:tc>
          <w:tcPr>
            <w:tcW w:w="192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Скоріше</w:t>
            </w:r>
            <w:r w:rsidR="00D46B1B" w:rsidRPr="002E6ECA">
              <w:rPr>
                <w:spacing w:val="4"/>
                <w:lang w:val="uk-UA"/>
              </w:rPr>
              <w:t xml:space="preserve"> </w:t>
            </w:r>
            <w:r w:rsidRPr="002E6ECA">
              <w:rPr>
                <w:spacing w:val="4"/>
                <w:lang w:val="uk-UA"/>
              </w:rPr>
              <w:t>погане</w:t>
            </w:r>
          </w:p>
        </w:tc>
        <w:tc>
          <w:tcPr>
            <w:tcW w:w="1845"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Погане</w:t>
            </w:r>
          </w:p>
        </w:tc>
      </w:tr>
      <w:tr w:rsidR="0084636B" w:rsidRPr="002E6ECA" w:rsidTr="002C35C3">
        <w:tc>
          <w:tcPr>
            <w:tcW w:w="1951" w:type="dxa"/>
            <w:shd w:val="clear" w:color="auto" w:fill="auto"/>
            <w:vAlign w:val="center"/>
          </w:tcPr>
          <w:p w:rsidR="0084636B" w:rsidRPr="002E6ECA" w:rsidRDefault="0084636B" w:rsidP="00372EE3">
            <w:pPr>
              <w:pStyle w:val="a3"/>
              <w:ind w:left="0" w:right="45"/>
              <w:jc w:val="center"/>
              <w:rPr>
                <w:spacing w:val="4"/>
                <w:lang w:val="uk-UA"/>
              </w:rPr>
            </w:pPr>
          </w:p>
        </w:tc>
        <w:tc>
          <w:tcPr>
            <w:tcW w:w="1858" w:type="dxa"/>
            <w:shd w:val="clear" w:color="auto" w:fill="auto"/>
            <w:vAlign w:val="center"/>
          </w:tcPr>
          <w:p w:rsidR="0084636B" w:rsidRPr="002E6ECA" w:rsidRDefault="0084636B" w:rsidP="00372EE3">
            <w:pPr>
              <w:pStyle w:val="a3"/>
              <w:ind w:left="0" w:right="45"/>
              <w:jc w:val="center"/>
              <w:rPr>
                <w:spacing w:val="4"/>
                <w:lang w:val="uk-UA"/>
              </w:rPr>
            </w:pPr>
          </w:p>
        </w:tc>
        <w:tc>
          <w:tcPr>
            <w:tcW w:w="1686" w:type="dxa"/>
            <w:shd w:val="clear" w:color="auto" w:fill="auto"/>
            <w:vAlign w:val="center"/>
          </w:tcPr>
          <w:p w:rsidR="0084636B" w:rsidRPr="002E6ECA" w:rsidRDefault="0084636B" w:rsidP="00372EE3">
            <w:pPr>
              <w:pStyle w:val="a3"/>
              <w:ind w:left="0" w:right="45"/>
              <w:jc w:val="center"/>
              <w:rPr>
                <w:spacing w:val="4"/>
                <w:lang w:val="uk-UA"/>
              </w:rPr>
            </w:pPr>
          </w:p>
        </w:tc>
        <w:tc>
          <w:tcPr>
            <w:tcW w:w="1922" w:type="dxa"/>
            <w:shd w:val="clear" w:color="auto" w:fill="auto"/>
            <w:vAlign w:val="center"/>
          </w:tcPr>
          <w:p w:rsidR="0084636B" w:rsidRPr="002E6ECA" w:rsidRDefault="0084636B" w:rsidP="00372EE3">
            <w:pPr>
              <w:pStyle w:val="a3"/>
              <w:ind w:left="0" w:right="45"/>
              <w:jc w:val="center"/>
              <w:rPr>
                <w:spacing w:val="4"/>
                <w:lang w:val="uk-UA"/>
              </w:rPr>
            </w:pPr>
          </w:p>
        </w:tc>
        <w:tc>
          <w:tcPr>
            <w:tcW w:w="1845"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9A2CF7">
      <w:pPr>
        <w:pStyle w:val="a3"/>
        <w:numPr>
          <w:ilvl w:val="0"/>
          <w:numId w:val="28"/>
        </w:numPr>
        <w:shd w:val="clear" w:color="auto" w:fill="FFFFFF"/>
        <w:ind w:right="24"/>
        <w:rPr>
          <w:i/>
          <w:iCs/>
          <w:spacing w:val="3"/>
          <w:lang w:val="uk-UA"/>
        </w:rPr>
      </w:pPr>
      <w:r w:rsidRPr="002E6ECA">
        <w:rPr>
          <w:spacing w:val="3"/>
          <w:lang w:val="uk-UA"/>
        </w:rPr>
        <w:t>Як</w:t>
      </w:r>
      <w:r w:rsidR="00D46B1B" w:rsidRPr="002E6ECA">
        <w:rPr>
          <w:spacing w:val="3"/>
          <w:lang w:val="uk-UA"/>
        </w:rPr>
        <w:t xml:space="preserve"> </w:t>
      </w:r>
      <w:r w:rsidRPr="002E6ECA">
        <w:rPr>
          <w:spacing w:val="3"/>
          <w:lang w:val="uk-UA"/>
        </w:rPr>
        <w:t>змінилось</w:t>
      </w:r>
      <w:r w:rsidR="00D46B1B" w:rsidRPr="002E6ECA">
        <w:rPr>
          <w:spacing w:val="3"/>
          <w:lang w:val="uk-UA"/>
        </w:rPr>
        <w:t xml:space="preserve"> </w:t>
      </w:r>
      <w:r w:rsidRPr="002E6ECA">
        <w:rPr>
          <w:spacing w:val="3"/>
          <w:lang w:val="uk-UA"/>
        </w:rPr>
        <w:t>Ваше</w:t>
      </w:r>
      <w:r w:rsidR="00D46B1B" w:rsidRPr="002E6ECA">
        <w:rPr>
          <w:spacing w:val="3"/>
          <w:lang w:val="uk-UA"/>
        </w:rPr>
        <w:t xml:space="preserve"> </w:t>
      </w:r>
      <w:r w:rsidRPr="002E6ECA">
        <w:rPr>
          <w:spacing w:val="3"/>
          <w:lang w:val="uk-UA"/>
        </w:rPr>
        <w:t>здоров’я</w:t>
      </w:r>
      <w:r w:rsidR="00D46B1B" w:rsidRPr="002E6ECA">
        <w:rPr>
          <w:spacing w:val="3"/>
          <w:lang w:val="uk-UA"/>
        </w:rPr>
        <w:t xml:space="preserve"> </w:t>
      </w:r>
      <w:r w:rsidRPr="002E6ECA">
        <w:rPr>
          <w:spacing w:val="3"/>
          <w:lang w:val="uk-UA"/>
        </w:rPr>
        <w:t>у</w:t>
      </w:r>
      <w:r w:rsidR="00D46B1B" w:rsidRPr="002E6ECA">
        <w:rPr>
          <w:spacing w:val="3"/>
          <w:lang w:val="uk-UA"/>
        </w:rPr>
        <w:t xml:space="preserve"> </w:t>
      </w:r>
      <w:r w:rsidRPr="002E6ECA">
        <w:rPr>
          <w:spacing w:val="3"/>
          <w:lang w:val="uk-UA"/>
        </w:rPr>
        <w:t>порівнянні</w:t>
      </w:r>
      <w:r w:rsidR="00D46B1B" w:rsidRPr="002E6ECA">
        <w:rPr>
          <w:spacing w:val="3"/>
          <w:lang w:val="uk-UA"/>
        </w:rPr>
        <w:t xml:space="preserve"> </w:t>
      </w:r>
      <w:r w:rsidRPr="002E6ECA">
        <w:rPr>
          <w:spacing w:val="3"/>
          <w:lang w:val="uk-UA"/>
        </w:rPr>
        <w:t>з</w:t>
      </w:r>
      <w:r w:rsidR="00D46B1B" w:rsidRPr="002E6ECA">
        <w:rPr>
          <w:spacing w:val="3"/>
          <w:lang w:val="uk-UA"/>
        </w:rPr>
        <w:t xml:space="preserve"> </w:t>
      </w:r>
      <w:r w:rsidRPr="002E6ECA">
        <w:rPr>
          <w:b/>
          <w:bCs/>
          <w:spacing w:val="3"/>
          <w:lang w:val="uk-UA"/>
        </w:rPr>
        <w:t>минулим</w:t>
      </w:r>
      <w:r w:rsidR="00D46B1B" w:rsidRPr="002E6ECA">
        <w:rPr>
          <w:b/>
          <w:bCs/>
          <w:spacing w:val="3"/>
          <w:lang w:val="uk-UA"/>
        </w:rPr>
        <w:t xml:space="preserve"> </w:t>
      </w:r>
      <w:r w:rsidRPr="002E6ECA">
        <w:rPr>
          <w:b/>
          <w:bCs/>
          <w:spacing w:val="3"/>
          <w:lang w:val="uk-UA"/>
        </w:rPr>
        <w:t>роком</w:t>
      </w:r>
      <w:r w:rsidRPr="002E6ECA">
        <w:rPr>
          <w:spacing w:val="3"/>
          <w:lang w:val="uk-UA"/>
        </w:rPr>
        <w:t>?</w:t>
      </w:r>
      <w:r w:rsidR="00D46B1B" w:rsidRPr="002E6ECA">
        <w:rPr>
          <w:spacing w:val="3"/>
          <w:lang w:val="uk-UA"/>
        </w:rPr>
        <w:t xml:space="preserve"> </w:t>
      </w:r>
    </w:p>
    <w:tbl>
      <w:tblPr>
        <w:tblW w:w="9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858"/>
        <w:gridCol w:w="1888"/>
        <w:gridCol w:w="1782"/>
        <w:gridCol w:w="1987"/>
      </w:tblGrid>
      <w:tr w:rsidR="0084636B" w:rsidRPr="002E6ECA" w:rsidTr="002C35C3">
        <w:tc>
          <w:tcPr>
            <w:tcW w:w="195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Стало</w:t>
            </w:r>
            <w:r w:rsidR="00D46B1B" w:rsidRPr="002E6ECA">
              <w:rPr>
                <w:spacing w:val="4"/>
                <w:lang w:val="uk-UA"/>
              </w:rPr>
              <w:t xml:space="preserve"> </w:t>
            </w:r>
            <w:r w:rsidRPr="002E6ECA">
              <w:rPr>
                <w:spacing w:val="4"/>
                <w:lang w:val="uk-UA"/>
              </w:rPr>
              <w:t>значно</w:t>
            </w:r>
            <w:r w:rsidR="00D46B1B" w:rsidRPr="002E6ECA">
              <w:rPr>
                <w:spacing w:val="4"/>
                <w:lang w:val="uk-UA"/>
              </w:rPr>
              <w:t xml:space="preserve"> </w:t>
            </w:r>
            <w:r w:rsidRPr="002E6ECA">
              <w:rPr>
                <w:spacing w:val="4"/>
                <w:lang w:val="uk-UA"/>
              </w:rPr>
              <w:t>кращим</w:t>
            </w:r>
          </w:p>
        </w:tc>
        <w:tc>
          <w:tcPr>
            <w:tcW w:w="185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Стало</w:t>
            </w:r>
            <w:r w:rsidR="00D46B1B" w:rsidRPr="002E6ECA">
              <w:rPr>
                <w:spacing w:val="4"/>
                <w:lang w:val="uk-UA"/>
              </w:rPr>
              <w:t xml:space="preserve"> </w:t>
            </w:r>
            <w:r w:rsidRPr="002E6ECA">
              <w:rPr>
                <w:spacing w:val="4"/>
                <w:lang w:val="uk-UA"/>
              </w:rPr>
              <w:t>трохи</w:t>
            </w:r>
            <w:r w:rsidR="00D46B1B" w:rsidRPr="002E6ECA">
              <w:rPr>
                <w:spacing w:val="4"/>
                <w:lang w:val="uk-UA"/>
              </w:rPr>
              <w:t xml:space="preserve"> </w:t>
            </w:r>
            <w:r w:rsidRPr="002E6ECA">
              <w:rPr>
                <w:spacing w:val="4"/>
                <w:lang w:val="uk-UA"/>
              </w:rPr>
              <w:t>кращим</w:t>
            </w:r>
          </w:p>
        </w:tc>
        <w:tc>
          <w:tcPr>
            <w:tcW w:w="188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Не</w:t>
            </w:r>
            <w:r w:rsidR="00D46B1B" w:rsidRPr="002E6ECA">
              <w:rPr>
                <w:spacing w:val="4"/>
                <w:lang w:val="uk-UA"/>
              </w:rPr>
              <w:t xml:space="preserve"> </w:t>
            </w:r>
            <w:r w:rsidRPr="002E6ECA">
              <w:rPr>
                <w:spacing w:val="4"/>
                <w:lang w:val="uk-UA"/>
              </w:rPr>
              <w:t>змінилось</w:t>
            </w:r>
          </w:p>
        </w:tc>
        <w:tc>
          <w:tcPr>
            <w:tcW w:w="178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Стало</w:t>
            </w:r>
            <w:r w:rsidR="00D46B1B" w:rsidRPr="002E6ECA">
              <w:rPr>
                <w:spacing w:val="4"/>
                <w:lang w:val="uk-UA"/>
              </w:rPr>
              <w:t xml:space="preserve"> </w:t>
            </w:r>
            <w:r w:rsidRPr="002E6ECA">
              <w:rPr>
                <w:spacing w:val="4"/>
                <w:lang w:val="uk-UA"/>
              </w:rPr>
              <w:t>трохи</w:t>
            </w:r>
            <w:r w:rsidR="00D46B1B" w:rsidRPr="002E6ECA">
              <w:rPr>
                <w:spacing w:val="4"/>
                <w:lang w:val="uk-UA"/>
              </w:rPr>
              <w:t xml:space="preserve"> </w:t>
            </w:r>
            <w:r w:rsidRPr="002E6ECA">
              <w:rPr>
                <w:spacing w:val="4"/>
                <w:lang w:val="uk-UA"/>
              </w:rPr>
              <w:t>гірше</w:t>
            </w:r>
          </w:p>
        </w:tc>
        <w:tc>
          <w:tcPr>
            <w:tcW w:w="1987"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Стало</w:t>
            </w:r>
            <w:r w:rsidR="00D46B1B" w:rsidRPr="002E6ECA">
              <w:rPr>
                <w:spacing w:val="4"/>
                <w:lang w:val="uk-UA"/>
              </w:rPr>
              <w:t xml:space="preserve"> </w:t>
            </w:r>
            <w:r w:rsidRPr="002E6ECA">
              <w:rPr>
                <w:spacing w:val="4"/>
                <w:lang w:val="uk-UA"/>
              </w:rPr>
              <w:t>набагато</w:t>
            </w:r>
            <w:r w:rsidR="00D46B1B" w:rsidRPr="002E6ECA">
              <w:rPr>
                <w:spacing w:val="4"/>
                <w:lang w:val="uk-UA"/>
              </w:rPr>
              <w:t xml:space="preserve"> </w:t>
            </w:r>
            <w:r w:rsidRPr="002E6ECA">
              <w:rPr>
                <w:spacing w:val="4"/>
                <w:lang w:val="uk-UA"/>
              </w:rPr>
              <w:t>гірше</w:t>
            </w:r>
          </w:p>
        </w:tc>
      </w:tr>
      <w:tr w:rsidR="0084636B" w:rsidRPr="002E6ECA" w:rsidTr="002C35C3">
        <w:tc>
          <w:tcPr>
            <w:tcW w:w="1951" w:type="dxa"/>
            <w:shd w:val="clear" w:color="auto" w:fill="auto"/>
            <w:vAlign w:val="center"/>
          </w:tcPr>
          <w:p w:rsidR="0084636B" w:rsidRPr="002E6ECA" w:rsidRDefault="0084636B" w:rsidP="00372EE3">
            <w:pPr>
              <w:pStyle w:val="a3"/>
              <w:ind w:left="0" w:right="45"/>
              <w:jc w:val="center"/>
              <w:rPr>
                <w:spacing w:val="4"/>
                <w:lang w:val="uk-UA"/>
              </w:rPr>
            </w:pPr>
          </w:p>
        </w:tc>
        <w:tc>
          <w:tcPr>
            <w:tcW w:w="1858" w:type="dxa"/>
            <w:shd w:val="clear" w:color="auto" w:fill="auto"/>
            <w:vAlign w:val="center"/>
          </w:tcPr>
          <w:p w:rsidR="0084636B" w:rsidRPr="002E6ECA" w:rsidRDefault="0084636B" w:rsidP="00372EE3">
            <w:pPr>
              <w:pStyle w:val="a3"/>
              <w:ind w:left="0" w:right="45"/>
              <w:jc w:val="center"/>
              <w:rPr>
                <w:spacing w:val="4"/>
                <w:lang w:val="uk-UA"/>
              </w:rPr>
            </w:pPr>
          </w:p>
        </w:tc>
        <w:tc>
          <w:tcPr>
            <w:tcW w:w="1888" w:type="dxa"/>
            <w:shd w:val="clear" w:color="auto" w:fill="auto"/>
            <w:vAlign w:val="center"/>
          </w:tcPr>
          <w:p w:rsidR="0084636B" w:rsidRPr="002E6ECA" w:rsidRDefault="0084636B" w:rsidP="00372EE3">
            <w:pPr>
              <w:pStyle w:val="a3"/>
              <w:ind w:left="0" w:right="45"/>
              <w:jc w:val="center"/>
              <w:rPr>
                <w:spacing w:val="4"/>
                <w:lang w:val="uk-UA"/>
              </w:rPr>
            </w:pPr>
          </w:p>
        </w:tc>
        <w:tc>
          <w:tcPr>
            <w:tcW w:w="1782" w:type="dxa"/>
            <w:shd w:val="clear" w:color="auto" w:fill="auto"/>
            <w:vAlign w:val="center"/>
          </w:tcPr>
          <w:p w:rsidR="0084636B" w:rsidRPr="002E6ECA" w:rsidRDefault="0084636B" w:rsidP="00372EE3">
            <w:pPr>
              <w:pStyle w:val="a3"/>
              <w:ind w:left="0" w:right="45"/>
              <w:jc w:val="center"/>
              <w:rPr>
                <w:spacing w:val="4"/>
                <w:lang w:val="uk-UA"/>
              </w:rPr>
            </w:pPr>
          </w:p>
        </w:tc>
        <w:tc>
          <w:tcPr>
            <w:tcW w:w="1987"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9A2CF7">
      <w:pPr>
        <w:pStyle w:val="a3"/>
        <w:numPr>
          <w:ilvl w:val="0"/>
          <w:numId w:val="28"/>
        </w:numPr>
        <w:shd w:val="clear" w:color="auto" w:fill="FFFFFF"/>
        <w:tabs>
          <w:tab w:val="left" w:leader="dot" w:pos="4469"/>
        </w:tabs>
        <w:rPr>
          <w:spacing w:val="3"/>
          <w:lang w:val="uk-UA"/>
        </w:rPr>
      </w:pPr>
      <w:r w:rsidRPr="002E6ECA">
        <w:rPr>
          <w:spacing w:val="3"/>
          <w:lang w:val="uk-UA"/>
        </w:rPr>
        <w:t>Як</w:t>
      </w:r>
      <w:r w:rsidR="00D46B1B" w:rsidRPr="002E6ECA">
        <w:rPr>
          <w:spacing w:val="3"/>
          <w:lang w:val="uk-UA"/>
        </w:rPr>
        <w:t xml:space="preserve"> </w:t>
      </w:r>
      <w:r w:rsidRPr="002E6ECA">
        <w:rPr>
          <w:spacing w:val="3"/>
          <w:lang w:val="uk-UA"/>
        </w:rPr>
        <w:t>часто</w:t>
      </w:r>
      <w:r w:rsidR="00D46B1B" w:rsidRPr="002E6ECA">
        <w:rPr>
          <w:spacing w:val="3"/>
          <w:lang w:val="uk-UA"/>
        </w:rPr>
        <w:t xml:space="preserve"> </w:t>
      </w:r>
      <w:r w:rsidRPr="002E6ECA">
        <w:rPr>
          <w:spacing w:val="3"/>
          <w:lang w:val="uk-UA"/>
        </w:rPr>
        <w:t>Ви</w:t>
      </w:r>
      <w:r w:rsidR="00D46B1B" w:rsidRPr="002E6ECA">
        <w:rPr>
          <w:spacing w:val="3"/>
          <w:lang w:val="uk-UA"/>
        </w:rPr>
        <w:t xml:space="preserve"> </w:t>
      </w:r>
      <w:r w:rsidRPr="002E6ECA">
        <w:rPr>
          <w:spacing w:val="3"/>
          <w:lang w:val="uk-UA"/>
        </w:rPr>
        <w:t>хворіли</w:t>
      </w:r>
      <w:r w:rsidR="00D46B1B" w:rsidRPr="002E6ECA">
        <w:rPr>
          <w:spacing w:val="3"/>
          <w:lang w:val="uk-UA"/>
        </w:rPr>
        <w:t xml:space="preserve"> </w:t>
      </w:r>
      <w:r w:rsidRPr="002E6ECA">
        <w:rPr>
          <w:b/>
          <w:bCs/>
          <w:spacing w:val="3"/>
          <w:lang w:val="uk-UA"/>
        </w:rPr>
        <w:t>протягом</w:t>
      </w:r>
      <w:r w:rsidR="00D46B1B" w:rsidRPr="002E6ECA">
        <w:rPr>
          <w:b/>
          <w:bCs/>
          <w:spacing w:val="3"/>
          <w:lang w:val="uk-UA"/>
        </w:rPr>
        <w:t xml:space="preserve"> </w:t>
      </w:r>
      <w:r w:rsidRPr="002E6ECA">
        <w:rPr>
          <w:b/>
          <w:bCs/>
          <w:spacing w:val="3"/>
          <w:lang w:val="uk-UA"/>
        </w:rPr>
        <w:t>року</w:t>
      </w:r>
      <w:r w:rsidRPr="002E6ECA">
        <w:rPr>
          <w:spacing w:val="3"/>
          <w:lang w:val="uk-UA"/>
        </w:rPr>
        <w:t>?</w:t>
      </w:r>
      <w:r w:rsidR="00D46B1B" w:rsidRPr="002E6ECA">
        <w:rPr>
          <w:spacing w:val="3"/>
          <w:lang w:val="uk-UA"/>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858"/>
        <w:gridCol w:w="1888"/>
        <w:gridCol w:w="1782"/>
        <w:gridCol w:w="2127"/>
      </w:tblGrid>
      <w:tr w:rsidR="0084636B" w:rsidRPr="002E6ECA" w:rsidTr="002C35C3">
        <w:tc>
          <w:tcPr>
            <w:tcW w:w="195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Не</w:t>
            </w:r>
            <w:r w:rsidR="00D46B1B" w:rsidRPr="002E6ECA">
              <w:rPr>
                <w:spacing w:val="4"/>
                <w:lang w:val="uk-UA"/>
              </w:rPr>
              <w:t xml:space="preserve"> </w:t>
            </w:r>
            <w:r w:rsidRPr="002E6ECA">
              <w:rPr>
                <w:spacing w:val="4"/>
                <w:lang w:val="uk-UA"/>
              </w:rPr>
              <w:t>хворів</w:t>
            </w:r>
          </w:p>
        </w:tc>
        <w:tc>
          <w:tcPr>
            <w:tcW w:w="185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1-2</w:t>
            </w:r>
            <w:r w:rsidR="00D46B1B" w:rsidRPr="002E6ECA">
              <w:rPr>
                <w:spacing w:val="4"/>
                <w:lang w:val="uk-UA"/>
              </w:rPr>
              <w:t xml:space="preserve"> </w:t>
            </w:r>
            <w:r w:rsidRPr="002E6ECA">
              <w:rPr>
                <w:spacing w:val="4"/>
                <w:lang w:val="uk-UA"/>
              </w:rPr>
              <w:t>рази</w:t>
            </w:r>
            <w:r w:rsidR="00D46B1B" w:rsidRPr="002E6ECA">
              <w:rPr>
                <w:spacing w:val="4"/>
                <w:lang w:val="uk-UA"/>
              </w:rPr>
              <w:t xml:space="preserve"> </w:t>
            </w:r>
            <w:r w:rsidRPr="002E6ECA">
              <w:rPr>
                <w:spacing w:val="4"/>
                <w:lang w:val="uk-UA"/>
              </w:rPr>
              <w:t>за</w:t>
            </w:r>
            <w:r w:rsidR="00D46B1B" w:rsidRPr="002E6ECA">
              <w:rPr>
                <w:spacing w:val="4"/>
                <w:lang w:val="uk-UA"/>
              </w:rPr>
              <w:t xml:space="preserve"> </w:t>
            </w:r>
            <w:r w:rsidRPr="002E6ECA">
              <w:rPr>
                <w:spacing w:val="4"/>
                <w:lang w:val="uk-UA"/>
              </w:rPr>
              <w:t>рік</w:t>
            </w:r>
          </w:p>
        </w:tc>
        <w:tc>
          <w:tcPr>
            <w:tcW w:w="188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3</w:t>
            </w:r>
            <w:r w:rsidR="00D46B1B" w:rsidRPr="002E6ECA">
              <w:rPr>
                <w:spacing w:val="4"/>
                <w:lang w:val="uk-UA"/>
              </w:rPr>
              <w:t xml:space="preserve"> </w:t>
            </w:r>
            <w:r w:rsidRPr="002E6ECA">
              <w:rPr>
                <w:spacing w:val="4"/>
                <w:lang w:val="uk-UA"/>
              </w:rPr>
              <w:t>-</w:t>
            </w:r>
            <w:r w:rsidR="00D46B1B" w:rsidRPr="002E6ECA">
              <w:rPr>
                <w:spacing w:val="4"/>
                <w:lang w:val="uk-UA"/>
              </w:rPr>
              <w:t xml:space="preserve"> </w:t>
            </w:r>
            <w:r w:rsidRPr="002E6ECA">
              <w:rPr>
                <w:spacing w:val="4"/>
                <w:lang w:val="uk-UA"/>
              </w:rPr>
              <w:t>4</w:t>
            </w:r>
            <w:r w:rsidR="00D46B1B" w:rsidRPr="002E6ECA">
              <w:rPr>
                <w:spacing w:val="4"/>
                <w:lang w:val="uk-UA"/>
              </w:rPr>
              <w:t xml:space="preserve"> </w:t>
            </w:r>
            <w:r w:rsidRPr="002E6ECA">
              <w:rPr>
                <w:spacing w:val="4"/>
                <w:lang w:val="uk-UA"/>
              </w:rPr>
              <w:t>рази</w:t>
            </w:r>
            <w:r w:rsidR="00D46B1B" w:rsidRPr="002E6ECA">
              <w:rPr>
                <w:spacing w:val="4"/>
                <w:lang w:val="uk-UA"/>
              </w:rPr>
              <w:t xml:space="preserve"> </w:t>
            </w:r>
            <w:r w:rsidRPr="002E6ECA">
              <w:rPr>
                <w:spacing w:val="4"/>
                <w:lang w:val="uk-UA"/>
              </w:rPr>
              <w:t>за</w:t>
            </w:r>
            <w:r w:rsidR="00D46B1B" w:rsidRPr="002E6ECA">
              <w:rPr>
                <w:spacing w:val="4"/>
                <w:lang w:val="uk-UA"/>
              </w:rPr>
              <w:t xml:space="preserve"> </w:t>
            </w:r>
            <w:r w:rsidRPr="002E6ECA">
              <w:rPr>
                <w:spacing w:val="4"/>
                <w:lang w:val="uk-UA"/>
              </w:rPr>
              <w:t>рік</w:t>
            </w:r>
          </w:p>
        </w:tc>
        <w:tc>
          <w:tcPr>
            <w:tcW w:w="178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5</w:t>
            </w:r>
            <w:r w:rsidR="00D46B1B" w:rsidRPr="002E6ECA">
              <w:rPr>
                <w:spacing w:val="4"/>
                <w:lang w:val="uk-UA"/>
              </w:rPr>
              <w:t xml:space="preserve"> </w:t>
            </w:r>
            <w:r w:rsidRPr="002E6ECA">
              <w:rPr>
                <w:spacing w:val="4"/>
                <w:lang w:val="uk-UA"/>
              </w:rPr>
              <w:t>-</w:t>
            </w:r>
            <w:r w:rsidR="00D46B1B" w:rsidRPr="002E6ECA">
              <w:rPr>
                <w:spacing w:val="4"/>
                <w:lang w:val="uk-UA"/>
              </w:rPr>
              <w:t xml:space="preserve"> </w:t>
            </w:r>
            <w:r w:rsidRPr="002E6ECA">
              <w:rPr>
                <w:spacing w:val="4"/>
                <w:lang w:val="uk-UA"/>
              </w:rPr>
              <w:t>6</w:t>
            </w:r>
            <w:r w:rsidR="00D46B1B" w:rsidRPr="002E6ECA">
              <w:rPr>
                <w:spacing w:val="4"/>
                <w:lang w:val="uk-UA"/>
              </w:rPr>
              <w:t xml:space="preserve"> </w:t>
            </w:r>
            <w:r w:rsidRPr="002E6ECA">
              <w:rPr>
                <w:spacing w:val="4"/>
                <w:lang w:val="uk-UA"/>
              </w:rPr>
              <w:t>разів</w:t>
            </w:r>
            <w:r w:rsidR="00D46B1B" w:rsidRPr="002E6ECA">
              <w:rPr>
                <w:spacing w:val="4"/>
                <w:lang w:val="uk-UA"/>
              </w:rPr>
              <w:t xml:space="preserve"> </w:t>
            </w:r>
            <w:r w:rsidRPr="002E6ECA">
              <w:rPr>
                <w:spacing w:val="4"/>
                <w:lang w:val="uk-UA"/>
              </w:rPr>
              <w:t>за</w:t>
            </w:r>
            <w:r w:rsidR="00D46B1B" w:rsidRPr="002E6ECA">
              <w:rPr>
                <w:spacing w:val="4"/>
                <w:lang w:val="uk-UA"/>
              </w:rPr>
              <w:t xml:space="preserve"> </w:t>
            </w:r>
            <w:r w:rsidRPr="002E6ECA">
              <w:rPr>
                <w:spacing w:val="4"/>
                <w:lang w:val="uk-UA"/>
              </w:rPr>
              <w:t>рік</w:t>
            </w:r>
          </w:p>
        </w:tc>
        <w:tc>
          <w:tcPr>
            <w:tcW w:w="2127"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Весь</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r w:rsidRPr="002E6ECA">
              <w:rPr>
                <w:spacing w:val="4"/>
                <w:lang w:val="uk-UA"/>
              </w:rPr>
              <w:t>хворію</w:t>
            </w:r>
          </w:p>
        </w:tc>
      </w:tr>
      <w:tr w:rsidR="0084636B" w:rsidRPr="002E6ECA" w:rsidTr="002C35C3">
        <w:tc>
          <w:tcPr>
            <w:tcW w:w="1951" w:type="dxa"/>
            <w:shd w:val="clear" w:color="auto" w:fill="auto"/>
            <w:vAlign w:val="center"/>
          </w:tcPr>
          <w:p w:rsidR="0084636B" w:rsidRPr="002E6ECA" w:rsidRDefault="0084636B" w:rsidP="00372EE3">
            <w:pPr>
              <w:pStyle w:val="a3"/>
              <w:ind w:left="0" w:right="45"/>
              <w:jc w:val="center"/>
              <w:rPr>
                <w:spacing w:val="4"/>
                <w:lang w:val="uk-UA"/>
              </w:rPr>
            </w:pPr>
          </w:p>
        </w:tc>
        <w:tc>
          <w:tcPr>
            <w:tcW w:w="1858" w:type="dxa"/>
            <w:shd w:val="clear" w:color="auto" w:fill="auto"/>
            <w:vAlign w:val="center"/>
          </w:tcPr>
          <w:p w:rsidR="0084636B" w:rsidRPr="002E6ECA" w:rsidRDefault="0084636B" w:rsidP="00372EE3">
            <w:pPr>
              <w:pStyle w:val="a3"/>
              <w:ind w:left="0" w:right="45"/>
              <w:jc w:val="center"/>
              <w:rPr>
                <w:spacing w:val="4"/>
                <w:lang w:val="uk-UA"/>
              </w:rPr>
            </w:pPr>
          </w:p>
        </w:tc>
        <w:tc>
          <w:tcPr>
            <w:tcW w:w="1888" w:type="dxa"/>
            <w:shd w:val="clear" w:color="auto" w:fill="auto"/>
            <w:vAlign w:val="center"/>
          </w:tcPr>
          <w:p w:rsidR="0084636B" w:rsidRPr="002E6ECA" w:rsidRDefault="0084636B" w:rsidP="00372EE3">
            <w:pPr>
              <w:pStyle w:val="a3"/>
              <w:ind w:left="0" w:right="45"/>
              <w:jc w:val="center"/>
              <w:rPr>
                <w:spacing w:val="4"/>
                <w:lang w:val="uk-UA"/>
              </w:rPr>
            </w:pPr>
          </w:p>
        </w:tc>
        <w:tc>
          <w:tcPr>
            <w:tcW w:w="1782" w:type="dxa"/>
            <w:shd w:val="clear" w:color="auto" w:fill="auto"/>
            <w:vAlign w:val="center"/>
          </w:tcPr>
          <w:p w:rsidR="0084636B" w:rsidRPr="002E6ECA" w:rsidRDefault="0084636B" w:rsidP="00372EE3">
            <w:pPr>
              <w:pStyle w:val="a3"/>
              <w:ind w:left="0" w:right="45"/>
              <w:jc w:val="center"/>
              <w:rPr>
                <w:spacing w:val="4"/>
                <w:lang w:val="uk-UA"/>
              </w:rPr>
            </w:pPr>
          </w:p>
        </w:tc>
        <w:tc>
          <w:tcPr>
            <w:tcW w:w="2127"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9A2CF7">
      <w:pPr>
        <w:pStyle w:val="a3"/>
        <w:numPr>
          <w:ilvl w:val="0"/>
          <w:numId w:val="28"/>
        </w:numPr>
        <w:spacing w:after="200"/>
        <w:rPr>
          <w:lang w:val="uk-UA"/>
        </w:rPr>
      </w:pPr>
      <w:r w:rsidRPr="002E6ECA">
        <w:rPr>
          <w:lang w:val="uk-UA"/>
        </w:rPr>
        <w:t>Наскільки</w:t>
      </w:r>
      <w:r w:rsidR="00D46B1B" w:rsidRPr="002E6ECA">
        <w:rPr>
          <w:lang w:val="uk-UA"/>
        </w:rPr>
        <w:t xml:space="preserve"> </w:t>
      </w:r>
      <w:r w:rsidRPr="002E6ECA">
        <w:rPr>
          <w:lang w:val="uk-UA"/>
        </w:rPr>
        <w:t>стан</w:t>
      </w:r>
      <w:r w:rsidR="00D46B1B" w:rsidRPr="002E6ECA">
        <w:rPr>
          <w:lang w:val="uk-UA"/>
        </w:rPr>
        <w:t xml:space="preserve"> </w:t>
      </w:r>
      <w:r w:rsidRPr="002E6ECA">
        <w:rPr>
          <w:lang w:val="uk-UA"/>
        </w:rPr>
        <w:t>Вашого</w:t>
      </w:r>
      <w:r w:rsidR="00D46B1B" w:rsidRPr="002E6ECA">
        <w:rPr>
          <w:lang w:val="uk-UA"/>
        </w:rPr>
        <w:t xml:space="preserve"> </w:t>
      </w:r>
      <w:r w:rsidRPr="002E6ECA">
        <w:rPr>
          <w:lang w:val="uk-UA"/>
        </w:rPr>
        <w:t>здоров’я</w:t>
      </w:r>
      <w:r w:rsidR="00D46B1B" w:rsidRPr="002E6ECA">
        <w:rPr>
          <w:lang w:val="uk-UA"/>
        </w:rPr>
        <w:t xml:space="preserve"> </w:t>
      </w:r>
      <w:r w:rsidRPr="002E6ECA">
        <w:rPr>
          <w:lang w:val="uk-UA"/>
        </w:rPr>
        <w:t>відрізняється</w:t>
      </w:r>
      <w:r w:rsidR="00D46B1B" w:rsidRPr="002E6ECA">
        <w:rPr>
          <w:lang w:val="uk-UA"/>
        </w:rPr>
        <w:t xml:space="preserve"> </w:t>
      </w:r>
      <w:r w:rsidRPr="002E6ECA">
        <w:rPr>
          <w:lang w:val="uk-UA"/>
        </w:rPr>
        <w:t>від</w:t>
      </w:r>
      <w:r w:rsidR="00D46B1B" w:rsidRPr="002E6ECA">
        <w:rPr>
          <w:lang w:val="uk-UA"/>
        </w:rPr>
        <w:t xml:space="preserve"> </w:t>
      </w:r>
      <w:r w:rsidRPr="002E6ECA">
        <w:rPr>
          <w:lang w:val="uk-UA"/>
        </w:rPr>
        <w:t>здоров’я</w:t>
      </w:r>
      <w:r w:rsidR="00D46B1B" w:rsidRPr="002E6ECA">
        <w:rPr>
          <w:lang w:val="uk-UA"/>
        </w:rPr>
        <w:t xml:space="preserve"> </w:t>
      </w:r>
      <w:r w:rsidRPr="002E6ECA">
        <w:rPr>
          <w:lang w:val="uk-UA"/>
        </w:rPr>
        <w:t>однолітків</w:t>
      </w:r>
      <w:r w:rsidR="00D46B1B" w:rsidRPr="002E6ECA">
        <w:rPr>
          <w:lang w:val="uk-UA"/>
        </w:rPr>
        <w:t xml:space="preserve"> </w:t>
      </w:r>
      <w:r w:rsidRPr="002E6ECA">
        <w:rPr>
          <w:lang w:val="uk-UA"/>
        </w:rPr>
        <w:t>(однокласників)?</w:t>
      </w:r>
      <w:r w:rsidR="00D46B1B" w:rsidRPr="002E6ECA">
        <w:rPr>
          <w:lang w:val="uk-UA"/>
        </w:rPr>
        <w:t xml:space="preserve"> </w:t>
      </w:r>
    </w:p>
    <w:tbl>
      <w:tblPr>
        <w:tblW w:w="9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726"/>
        <w:gridCol w:w="2020"/>
        <w:gridCol w:w="1637"/>
        <w:gridCol w:w="1700"/>
      </w:tblGrid>
      <w:tr w:rsidR="0084636B" w:rsidRPr="002E6ECA" w:rsidTr="002C35C3">
        <w:tc>
          <w:tcPr>
            <w:tcW w:w="2093"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Значно</w:t>
            </w:r>
            <w:r w:rsidR="00D46B1B" w:rsidRPr="002E6ECA">
              <w:rPr>
                <w:spacing w:val="4"/>
                <w:lang w:val="uk-UA"/>
              </w:rPr>
              <w:t xml:space="preserve">  </w:t>
            </w:r>
            <w:r w:rsidRPr="002E6ECA">
              <w:rPr>
                <w:spacing w:val="4"/>
                <w:lang w:val="uk-UA"/>
              </w:rPr>
              <w:t>краще</w:t>
            </w:r>
          </w:p>
        </w:tc>
        <w:tc>
          <w:tcPr>
            <w:tcW w:w="1726"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Трохи</w:t>
            </w:r>
            <w:r w:rsidR="00D46B1B" w:rsidRPr="002E6ECA">
              <w:rPr>
                <w:spacing w:val="4"/>
                <w:lang w:val="uk-UA"/>
              </w:rPr>
              <w:t xml:space="preserve">  </w:t>
            </w:r>
            <w:r w:rsidRPr="002E6ECA">
              <w:rPr>
                <w:spacing w:val="4"/>
                <w:lang w:val="uk-UA"/>
              </w:rPr>
              <w:t>краще</w:t>
            </w:r>
          </w:p>
        </w:tc>
        <w:tc>
          <w:tcPr>
            <w:tcW w:w="2020"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Не</w:t>
            </w:r>
            <w:r w:rsidR="00D46B1B" w:rsidRPr="002E6ECA">
              <w:rPr>
                <w:spacing w:val="4"/>
                <w:lang w:val="uk-UA"/>
              </w:rPr>
              <w:t xml:space="preserve"> </w:t>
            </w:r>
            <w:r w:rsidRPr="002E6ECA">
              <w:rPr>
                <w:spacing w:val="4"/>
                <w:lang w:val="uk-UA"/>
              </w:rPr>
              <w:t>відрізняється</w:t>
            </w:r>
          </w:p>
        </w:tc>
        <w:tc>
          <w:tcPr>
            <w:tcW w:w="1637"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Трохи</w:t>
            </w:r>
            <w:r w:rsidR="00D46B1B" w:rsidRPr="002E6ECA">
              <w:rPr>
                <w:spacing w:val="4"/>
                <w:lang w:val="uk-UA"/>
              </w:rPr>
              <w:t xml:space="preserve"> </w:t>
            </w:r>
            <w:r w:rsidRPr="002E6ECA">
              <w:rPr>
                <w:spacing w:val="4"/>
                <w:lang w:val="uk-UA"/>
              </w:rPr>
              <w:t>гірше</w:t>
            </w:r>
          </w:p>
        </w:tc>
        <w:tc>
          <w:tcPr>
            <w:tcW w:w="1700"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Набагато</w:t>
            </w:r>
            <w:r w:rsidR="00D46B1B" w:rsidRPr="002E6ECA">
              <w:rPr>
                <w:spacing w:val="4"/>
                <w:lang w:val="uk-UA"/>
              </w:rPr>
              <w:t xml:space="preserve"> </w:t>
            </w:r>
            <w:r w:rsidRPr="002E6ECA">
              <w:rPr>
                <w:spacing w:val="4"/>
                <w:lang w:val="uk-UA"/>
              </w:rPr>
              <w:t>гірше</w:t>
            </w:r>
          </w:p>
        </w:tc>
      </w:tr>
      <w:tr w:rsidR="0084636B" w:rsidRPr="002E6ECA" w:rsidTr="002C35C3">
        <w:tc>
          <w:tcPr>
            <w:tcW w:w="2093" w:type="dxa"/>
            <w:shd w:val="clear" w:color="auto" w:fill="auto"/>
            <w:vAlign w:val="center"/>
          </w:tcPr>
          <w:p w:rsidR="0084636B" w:rsidRPr="002E6ECA" w:rsidRDefault="0084636B" w:rsidP="00372EE3">
            <w:pPr>
              <w:pStyle w:val="a3"/>
              <w:ind w:left="0" w:right="45"/>
              <w:jc w:val="center"/>
              <w:rPr>
                <w:spacing w:val="4"/>
                <w:lang w:val="uk-UA"/>
              </w:rPr>
            </w:pPr>
          </w:p>
        </w:tc>
        <w:tc>
          <w:tcPr>
            <w:tcW w:w="1726" w:type="dxa"/>
            <w:shd w:val="clear" w:color="auto" w:fill="auto"/>
            <w:vAlign w:val="center"/>
          </w:tcPr>
          <w:p w:rsidR="0084636B" w:rsidRPr="002E6ECA" w:rsidRDefault="0084636B" w:rsidP="00372EE3">
            <w:pPr>
              <w:pStyle w:val="a3"/>
              <w:ind w:left="0" w:right="45"/>
              <w:jc w:val="center"/>
              <w:rPr>
                <w:spacing w:val="4"/>
                <w:lang w:val="uk-UA"/>
              </w:rPr>
            </w:pPr>
          </w:p>
        </w:tc>
        <w:tc>
          <w:tcPr>
            <w:tcW w:w="2020" w:type="dxa"/>
            <w:shd w:val="clear" w:color="auto" w:fill="auto"/>
            <w:vAlign w:val="center"/>
          </w:tcPr>
          <w:p w:rsidR="0084636B" w:rsidRPr="002E6ECA" w:rsidRDefault="0084636B" w:rsidP="00372EE3">
            <w:pPr>
              <w:pStyle w:val="a3"/>
              <w:ind w:left="0" w:right="45"/>
              <w:jc w:val="center"/>
              <w:rPr>
                <w:spacing w:val="4"/>
                <w:lang w:val="uk-UA"/>
              </w:rPr>
            </w:pPr>
          </w:p>
        </w:tc>
        <w:tc>
          <w:tcPr>
            <w:tcW w:w="1637" w:type="dxa"/>
            <w:shd w:val="clear" w:color="auto" w:fill="auto"/>
            <w:vAlign w:val="center"/>
          </w:tcPr>
          <w:p w:rsidR="0084636B" w:rsidRPr="002E6ECA" w:rsidRDefault="0084636B" w:rsidP="00372EE3">
            <w:pPr>
              <w:pStyle w:val="a3"/>
              <w:ind w:left="0" w:right="45"/>
              <w:jc w:val="center"/>
              <w:rPr>
                <w:spacing w:val="4"/>
                <w:lang w:val="uk-UA"/>
              </w:rPr>
            </w:pPr>
          </w:p>
        </w:tc>
        <w:tc>
          <w:tcPr>
            <w:tcW w:w="1700"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9A2CF7">
      <w:pPr>
        <w:pStyle w:val="a3"/>
        <w:numPr>
          <w:ilvl w:val="0"/>
          <w:numId w:val="28"/>
        </w:numPr>
        <w:spacing w:after="200"/>
        <w:rPr>
          <w:i/>
          <w:iCs/>
          <w:spacing w:val="3"/>
          <w:lang w:val="uk-UA"/>
        </w:rPr>
      </w:pPr>
      <w:r w:rsidRPr="002E6ECA">
        <w:rPr>
          <w:lang w:val="uk-UA"/>
        </w:rPr>
        <w:t>Чи</w:t>
      </w:r>
      <w:r w:rsidR="00D46B1B" w:rsidRPr="002E6ECA">
        <w:rPr>
          <w:lang w:val="uk-UA"/>
        </w:rPr>
        <w:t xml:space="preserve"> </w:t>
      </w:r>
      <w:r w:rsidRPr="002E6ECA">
        <w:rPr>
          <w:lang w:val="uk-UA"/>
        </w:rPr>
        <w:t>відчували</w:t>
      </w:r>
      <w:r w:rsidR="00D46B1B" w:rsidRPr="002E6ECA">
        <w:rPr>
          <w:lang w:val="uk-UA"/>
        </w:rPr>
        <w:t xml:space="preserve"> </w:t>
      </w:r>
      <w:r w:rsidRPr="002E6ECA">
        <w:rPr>
          <w:lang w:val="uk-UA"/>
        </w:rPr>
        <w:t>Ви</w:t>
      </w:r>
      <w:r w:rsidR="00D46B1B" w:rsidRPr="002E6ECA">
        <w:rPr>
          <w:lang w:val="uk-UA"/>
        </w:rPr>
        <w:t xml:space="preserve"> </w:t>
      </w:r>
      <w:r w:rsidRPr="002E6ECA">
        <w:rPr>
          <w:lang w:val="uk-UA"/>
        </w:rPr>
        <w:t>фізичний</w:t>
      </w:r>
      <w:r w:rsidR="00D46B1B" w:rsidRPr="002E6ECA">
        <w:rPr>
          <w:lang w:val="uk-UA"/>
        </w:rPr>
        <w:t xml:space="preserve"> </w:t>
      </w:r>
      <w:r w:rsidRPr="002E6ECA">
        <w:rPr>
          <w:lang w:val="uk-UA"/>
        </w:rPr>
        <w:t>біль</w:t>
      </w:r>
      <w:r w:rsidR="00D46B1B" w:rsidRPr="002E6ECA">
        <w:rPr>
          <w:lang w:val="uk-UA"/>
        </w:rPr>
        <w:t xml:space="preserve"> </w:t>
      </w:r>
      <w:r w:rsidRPr="002E6ECA">
        <w:rPr>
          <w:b/>
          <w:bCs/>
          <w:lang w:val="uk-UA"/>
        </w:rPr>
        <w:t>протягом</w:t>
      </w:r>
      <w:r w:rsidR="00D46B1B" w:rsidRPr="002E6ECA">
        <w:rPr>
          <w:b/>
          <w:bCs/>
          <w:lang w:val="uk-UA"/>
        </w:rPr>
        <w:t xml:space="preserve"> </w:t>
      </w:r>
      <w:r w:rsidRPr="002E6ECA">
        <w:rPr>
          <w:b/>
          <w:bCs/>
          <w:lang w:val="uk-UA"/>
        </w:rPr>
        <w:t>останнього</w:t>
      </w:r>
      <w:r w:rsidR="00D46B1B" w:rsidRPr="002E6ECA">
        <w:rPr>
          <w:b/>
          <w:bCs/>
          <w:lang w:val="uk-UA"/>
        </w:rPr>
        <w:t xml:space="preserve"> </w:t>
      </w:r>
      <w:r w:rsidRPr="002E6ECA">
        <w:rPr>
          <w:b/>
          <w:bCs/>
          <w:lang w:val="uk-UA"/>
        </w:rPr>
        <w:t>місяця</w:t>
      </w:r>
      <w:r w:rsidRPr="002E6ECA">
        <w:rPr>
          <w:lang w:val="uk-UA"/>
        </w:rPr>
        <w:t>?</w:t>
      </w:r>
      <w:r w:rsidR="00D46B1B" w:rsidRPr="002E6ECA">
        <w:rPr>
          <w:lang w:val="uk-UA"/>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858"/>
        <w:gridCol w:w="1888"/>
        <w:gridCol w:w="1922"/>
        <w:gridCol w:w="1703"/>
      </w:tblGrid>
      <w:tr w:rsidR="0084636B" w:rsidRPr="002E6ECA" w:rsidTr="002C35C3">
        <w:tc>
          <w:tcPr>
            <w:tcW w:w="2093"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Зовсім</w:t>
            </w:r>
            <w:r w:rsidR="00D46B1B" w:rsidRPr="002E6ECA">
              <w:rPr>
                <w:spacing w:val="4"/>
                <w:lang w:val="uk-UA"/>
              </w:rPr>
              <w:t xml:space="preserve"> </w:t>
            </w:r>
          </w:p>
          <w:p w:rsidR="0084636B" w:rsidRPr="002E6ECA" w:rsidRDefault="0084636B" w:rsidP="00372EE3">
            <w:pPr>
              <w:pStyle w:val="a3"/>
              <w:ind w:left="0" w:right="45"/>
              <w:jc w:val="center"/>
              <w:rPr>
                <w:spacing w:val="4"/>
                <w:lang w:val="uk-UA"/>
              </w:rPr>
            </w:pPr>
            <w:r w:rsidRPr="002E6ECA">
              <w:rPr>
                <w:spacing w:val="4"/>
                <w:lang w:val="uk-UA"/>
              </w:rPr>
              <w:t>не</w:t>
            </w:r>
            <w:r w:rsidR="00D46B1B" w:rsidRPr="002E6ECA">
              <w:rPr>
                <w:spacing w:val="4"/>
                <w:lang w:val="uk-UA"/>
              </w:rPr>
              <w:t xml:space="preserve"> </w:t>
            </w:r>
            <w:r w:rsidRPr="002E6ECA">
              <w:rPr>
                <w:spacing w:val="4"/>
                <w:lang w:val="uk-UA"/>
              </w:rPr>
              <w:t>відчував</w:t>
            </w:r>
          </w:p>
        </w:tc>
        <w:tc>
          <w:tcPr>
            <w:tcW w:w="185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слабкий</w:t>
            </w:r>
          </w:p>
        </w:tc>
        <w:tc>
          <w:tcPr>
            <w:tcW w:w="188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Слабкий</w:t>
            </w:r>
          </w:p>
        </w:tc>
        <w:tc>
          <w:tcPr>
            <w:tcW w:w="192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Помірний</w:t>
            </w:r>
          </w:p>
        </w:tc>
        <w:tc>
          <w:tcPr>
            <w:tcW w:w="1703"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Сильний</w:t>
            </w:r>
          </w:p>
        </w:tc>
      </w:tr>
      <w:tr w:rsidR="0084636B" w:rsidRPr="002E6ECA" w:rsidTr="002C35C3">
        <w:tc>
          <w:tcPr>
            <w:tcW w:w="2093" w:type="dxa"/>
            <w:shd w:val="clear" w:color="auto" w:fill="auto"/>
            <w:vAlign w:val="center"/>
          </w:tcPr>
          <w:p w:rsidR="0084636B" w:rsidRPr="002E6ECA" w:rsidRDefault="0084636B" w:rsidP="00372EE3">
            <w:pPr>
              <w:pStyle w:val="a3"/>
              <w:ind w:left="0" w:right="45"/>
              <w:jc w:val="center"/>
              <w:rPr>
                <w:spacing w:val="4"/>
                <w:lang w:val="uk-UA"/>
              </w:rPr>
            </w:pPr>
          </w:p>
        </w:tc>
        <w:tc>
          <w:tcPr>
            <w:tcW w:w="1858" w:type="dxa"/>
            <w:shd w:val="clear" w:color="auto" w:fill="auto"/>
            <w:vAlign w:val="center"/>
          </w:tcPr>
          <w:p w:rsidR="0084636B" w:rsidRPr="002E6ECA" w:rsidRDefault="0084636B" w:rsidP="00372EE3">
            <w:pPr>
              <w:pStyle w:val="a3"/>
              <w:ind w:left="0" w:right="45"/>
              <w:jc w:val="center"/>
              <w:rPr>
                <w:spacing w:val="4"/>
                <w:lang w:val="uk-UA"/>
              </w:rPr>
            </w:pPr>
          </w:p>
        </w:tc>
        <w:tc>
          <w:tcPr>
            <w:tcW w:w="1888" w:type="dxa"/>
            <w:shd w:val="clear" w:color="auto" w:fill="auto"/>
            <w:vAlign w:val="center"/>
          </w:tcPr>
          <w:p w:rsidR="0084636B" w:rsidRPr="002E6ECA" w:rsidRDefault="0084636B" w:rsidP="00372EE3">
            <w:pPr>
              <w:pStyle w:val="a3"/>
              <w:ind w:left="0" w:right="45"/>
              <w:jc w:val="center"/>
              <w:rPr>
                <w:spacing w:val="4"/>
                <w:lang w:val="uk-UA"/>
              </w:rPr>
            </w:pPr>
          </w:p>
        </w:tc>
        <w:tc>
          <w:tcPr>
            <w:tcW w:w="1922" w:type="dxa"/>
            <w:shd w:val="clear" w:color="auto" w:fill="auto"/>
            <w:vAlign w:val="center"/>
          </w:tcPr>
          <w:p w:rsidR="0084636B" w:rsidRPr="002E6ECA" w:rsidRDefault="0084636B" w:rsidP="00372EE3">
            <w:pPr>
              <w:pStyle w:val="a3"/>
              <w:ind w:left="0" w:right="45"/>
              <w:jc w:val="center"/>
              <w:rPr>
                <w:spacing w:val="4"/>
                <w:lang w:val="uk-UA"/>
              </w:rPr>
            </w:pPr>
          </w:p>
        </w:tc>
        <w:tc>
          <w:tcPr>
            <w:tcW w:w="1703"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9A2CF7">
      <w:pPr>
        <w:pStyle w:val="a3"/>
        <w:numPr>
          <w:ilvl w:val="0"/>
          <w:numId w:val="28"/>
        </w:numPr>
        <w:shd w:val="clear" w:color="auto" w:fill="FFFFFF"/>
        <w:ind w:right="24"/>
        <w:rPr>
          <w:i/>
          <w:iCs/>
          <w:spacing w:val="3"/>
          <w:lang w:val="uk-UA"/>
        </w:rPr>
      </w:pPr>
      <w:r w:rsidRPr="002E6ECA">
        <w:rPr>
          <w:lang w:val="uk-UA"/>
        </w:rPr>
        <w:t>Як</w:t>
      </w:r>
      <w:r w:rsidR="00D46B1B" w:rsidRPr="002E6ECA">
        <w:rPr>
          <w:lang w:val="uk-UA"/>
        </w:rPr>
        <w:t xml:space="preserve"> </w:t>
      </w:r>
      <w:r w:rsidRPr="002E6ECA">
        <w:rPr>
          <w:lang w:val="uk-UA"/>
        </w:rPr>
        <w:t>часто</w:t>
      </w:r>
      <w:r w:rsidR="00D46B1B" w:rsidRPr="002E6ECA">
        <w:rPr>
          <w:lang w:val="uk-UA"/>
        </w:rPr>
        <w:t xml:space="preserve"> </w:t>
      </w:r>
      <w:r w:rsidRPr="002E6ECA">
        <w:rPr>
          <w:lang w:val="uk-UA"/>
        </w:rPr>
        <w:t>Ви</w:t>
      </w:r>
      <w:r w:rsidR="00D46B1B" w:rsidRPr="002E6ECA">
        <w:rPr>
          <w:lang w:val="uk-UA"/>
        </w:rPr>
        <w:t xml:space="preserve"> </w:t>
      </w:r>
      <w:r w:rsidRPr="002E6ECA">
        <w:rPr>
          <w:lang w:val="uk-UA"/>
        </w:rPr>
        <w:t>відчували</w:t>
      </w:r>
      <w:r w:rsidR="00D46B1B" w:rsidRPr="002E6ECA">
        <w:rPr>
          <w:lang w:val="uk-UA"/>
        </w:rPr>
        <w:t xml:space="preserve"> </w:t>
      </w:r>
      <w:r w:rsidRPr="002E6ECA">
        <w:rPr>
          <w:lang w:val="uk-UA"/>
        </w:rPr>
        <w:t>фізичний</w:t>
      </w:r>
      <w:r w:rsidR="00D46B1B" w:rsidRPr="002E6ECA">
        <w:rPr>
          <w:lang w:val="uk-UA"/>
        </w:rPr>
        <w:t xml:space="preserve"> </w:t>
      </w:r>
      <w:r w:rsidRPr="002E6ECA">
        <w:rPr>
          <w:lang w:val="uk-UA"/>
        </w:rPr>
        <w:t>біль</w:t>
      </w:r>
      <w:r w:rsidR="00D46B1B" w:rsidRPr="002E6ECA">
        <w:rPr>
          <w:lang w:val="uk-UA"/>
        </w:rPr>
        <w:t xml:space="preserve"> </w:t>
      </w:r>
      <w:r w:rsidRPr="002E6ECA">
        <w:rPr>
          <w:b/>
          <w:bCs/>
          <w:lang w:val="uk-UA"/>
        </w:rPr>
        <w:t>протягом</w:t>
      </w:r>
      <w:r w:rsidR="00D46B1B" w:rsidRPr="002E6ECA">
        <w:rPr>
          <w:b/>
          <w:bCs/>
          <w:lang w:val="uk-UA"/>
        </w:rPr>
        <w:t xml:space="preserve"> </w:t>
      </w:r>
      <w:r w:rsidRPr="002E6ECA">
        <w:rPr>
          <w:b/>
          <w:bCs/>
          <w:lang w:val="uk-UA"/>
        </w:rPr>
        <w:t>останнього</w:t>
      </w:r>
      <w:r w:rsidR="00D46B1B" w:rsidRPr="002E6ECA">
        <w:rPr>
          <w:b/>
          <w:bCs/>
          <w:lang w:val="uk-UA"/>
        </w:rPr>
        <w:t xml:space="preserve"> </w:t>
      </w:r>
      <w:r w:rsidRPr="002E6ECA">
        <w:rPr>
          <w:b/>
          <w:bCs/>
          <w:lang w:val="uk-UA"/>
        </w:rPr>
        <w:t>місяця</w:t>
      </w:r>
      <w:r w:rsidRPr="002E6ECA">
        <w:rPr>
          <w:lang w:val="uk-UA"/>
        </w:rPr>
        <w:t>?</w:t>
      </w:r>
      <w:r w:rsidR="00D46B1B" w:rsidRPr="002E6ECA">
        <w:rPr>
          <w:lang w:val="uk-UA"/>
        </w:rPr>
        <w:t xml:space="preserve"> </w:t>
      </w:r>
    </w:p>
    <w:tbl>
      <w:tblPr>
        <w:tblW w:w="9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8"/>
        <w:gridCol w:w="1698"/>
        <w:gridCol w:w="1701"/>
        <w:gridCol w:w="1701"/>
        <w:gridCol w:w="2188"/>
      </w:tblGrid>
      <w:tr w:rsidR="0084636B" w:rsidRPr="002E6ECA" w:rsidTr="002C35C3">
        <w:tc>
          <w:tcPr>
            <w:tcW w:w="2238" w:type="dxa"/>
            <w:shd w:val="clear" w:color="auto" w:fill="auto"/>
            <w:vAlign w:val="center"/>
          </w:tcPr>
          <w:p w:rsidR="0084636B" w:rsidRPr="002E6ECA" w:rsidRDefault="00D46B1B" w:rsidP="00372EE3">
            <w:pPr>
              <w:pStyle w:val="a3"/>
              <w:ind w:left="0" w:right="45"/>
              <w:jc w:val="center"/>
              <w:rPr>
                <w:spacing w:val="4"/>
                <w:lang w:val="uk-UA"/>
              </w:rPr>
            </w:pPr>
            <w:r w:rsidRPr="002E6ECA">
              <w:rPr>
                <w:spacing w:val="4"/>
                <w:lang w:val="uk-UA"/>
              </w:rPr>
              <w:t xml:space="preserve">   </w:t>
            </w:r>
            <w:r w:rsidR="0084636B" w:rsidRPr="002E6ECA">
              <w:rPr>
                <w:spacing w:val="4"/>
                <w:lang w:val="uk-UA"/>
              </w:rPr>
              <w:t>Зовсім</w:t>
            </w:r>
            <w:r w:rsidRPr="002E6ECA">
              <w:rPr>
                <w:spacing w:val="4"/>
                <w:lang w:val="uk-UA"/>
              </w:rPr>
              <w:t xml:space="preserve"> </w:t>
            </w:r>
          </w:p>
          <w:p w:rsidR="0084636B" w:rsidRPr="002E6ECA" w:rsidRDefault="0084636B" w:rsidP="00372EE3">
            <w:pPr>
              <w:pStyle w:val="a3"/>
              <w:ind w:left="0" w:right="45"/>
              <w:jc w:val="center"/>
              <w:rPr>
                <w:spacing w:val="4"/>
                <w:lang w:val="uk-UA"/>
              </w:rPr>
            </w:pPr>
            <w:r w:rsidRPr="002E6ECA">
              <w:rPr>
                <w:spacing w:val="4"/>
                <w:lang w:val="uk-UA"/>
              </w:rPr>
              <w:t>не</w:t>
            </w:r>
            <w:r w:rsidR="00D46B1B" w:rsidRPr="002E6ECA">
              <w:rPr>
                <w:spacing w:val="4"/>
                <w:lang w:val="uk-UA"/>
              </w:rPr>
              <w:t xml:space="preserve"> </w:t>
            </w:r>
            <w:r w:rsidRPr="002E6ECA">
              <w:rPr>
                <w:spacing w:val="4"/>
                <w:lang w:val="uk-UA"/>
              </w:rPr>
              <w:t>відчував</w:t>
            </w:r>
          </w:p>
        </w:tc>
        <w:tc>
          <w:tcPr>
            <w:tcW w:w="169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1-2</w:t>
            </w:r>
            <w:r w:rsidR="00D46B1B" w:rsidRPr="002E6ECA">
              <w:rPr>
                <w:spacing w:val="4"/>
                <w:lang w:val="uk-UA"/>
              </w:rPr>
              <w:t xml:space="preserve"> </w:t>
            </w:r>
            <w:r w:rsidRPr="002E6ECA">
              <w:rPr>
                <w:spacing w:val="4"/>
                <w:lang w:val="uk-UA"/>
              </w:rPr>
              <w:t>рази</w:t>
            </w:r>
          </w:p>
        </w:tc>
        <w:tc>
          <w:tcPr>
            <w:tcW w:w="170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Часто</w:t>
            </w:r>
          </w:p>
        </w:tc>
        <w:tc>
          <w:tcPr>
            <w:tcW w:w="170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218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щодня</w:t>
            </w:r>
          </w:p>
        </w:tc>
      </w:tr>
      <w:tr w:rsidR="0084636B" w:rsidRPr="002E6ECA" w:rsidTr="002C35C3">
        <w:tc>
          <w:tcPr>
            <w:tcW w:w="2238" w:type="dxa"/>
            <w:shd w:val="clear" w:color="auto" w:fill="auto"/>
            <w:vAlign w:val="center"/>
          </w:tcPr>
          <w:p w:rsidR="0084636B" w:rsidRPr="002E6ECA" w:rsidRDefault="0084636B" w:rsidP="00372EE3">
            <w:pPr>
              <w:pStyle w:val="a3"/>
              <w:ind w:left="0" w:right="45"/>
              <w:jc w:val="center"/>
              <w:rPr>
                <w:spacing w:val="4"/>
                <w:lang w:val="uk-UA"/>
              </w:rPr>
            </w:pPr>
          </w:p>
        </w:tc>
        <w:tc>
          <w:tcPr>
            <w:tcW w:w="1698" w:type="dxa"/>
            <w:shd w:val="clear" w:color="auto" w:fill="auto"/>
            <w:vAlign w:val="center"/>
          </w:tcPr>
          <w:p w:rsidR="0084636B" w:rsidRPr="002E6ECA" w:rsidRDefault="0084636B" w:rsidP="00372EE3">
            <w:pPr>
              <w:pStyle w:val="a3"/>
              <w:ind w:left="0" w:right="45"/>
              <w:jc w:val="center"/>
              <w:rPr>
                <w:spacing w:val="4"/>
                <w:lang w:val="uk-UA"/>
              </w:rPr>
            </w:pPr>
          </w:p>
        </w:tc>
        <w:tc>
          <w:tcPr>
            <w:tcW w:w="1701" w:type="dxa"/>
            <w:shd w:val="clear" w:color="auto" w:fill="auto"/>
            <w:vAlign w:val="center"/>
          </w:tcPr>
          <w:p w:rsidR="0084636B" w:rsidRPr="002E6ECA" w:rsidRDefault="0084636B" w:rsidP="00372EE3">
            <w:pPr>
              <w:pStyle w:val="a3"/>
              <w:ind w:left="0" w:right="45"/>
              <w:jc w:val="center"/>
              <w:rPr>
                <w:spacing w:val="4"/>
                <w:lang w:val="uk-UA"/>
              </w:rPr>
            </w:pPr>
          </w:p>
        </w:tc>
        <w:tc>
          <w:tcPr>
            <w:tcW w:w="1701" w:type="dxa"/>
            <w:shd w:val="clear" w:color="auto" w:fill="auto"/>
            <w:vAlign w:val="center"/>
          </w:tcPr>
          <w:p w:rsidR="0084636B" w:rsidRPr="002E6ECA" w:rsidRDefault="0084636B" w:rsidP="00372EE3">
            <w:pPr>
              <w:pStyle w:val="a3"/>
              <w:ind w:left="0" w:right="45"/>
              <w:jc w:val="center"/>
              <w:rPr>
                <w:spacing w:val="4"/>
                <w:lang w:val="uk-UA"/>
              </w:rPr>
            </w:pPr>
          </w:p>
        </w:tc>
        <w:tc>
          <w:tcPr>
            <w:tcW w:w="2188"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9A2CF7">
      <w:pPr>
        <w:pStyle w:val="a3"/>
        <w:numPr>
          <w:ilvl w:val="0"/>
          <w:numId w:val="28"/>
        </w:numPr>
        <w:shd w:val="clear" w:color="auto" w:fill="FFFFFF"/>
        <w:tabs>
          <w:tab w:val="left" w:leader="dot" w:pos="4469"/>
        </w:tabs>
        <w:spacing w:after="240"/>
        <w:ind w:left="357" w:hanging="357"/>
        <w:rPr>
          <w:spacing w:val="3"/>
          <w:lang w:val="uk-UA"/>
        </w:rPr>
      </w:pPr>
      <w:r w:rsidRPr="002E6ECA">
        <w:rPr>
          <w:spacing w:val="-2"/>
          <w:lang w:val="uk-UA"/>
        </w:rPr>
        <w:t>Якою</w:t>
      </w:r>
      <w:r w:rsidR="00D46B1B" w:rsidRPr="002E6ECA">
        <w:rPr>
          <w:spacing w:val="-2"/>
          <w:lang w:val="uk-UA"/>
        </w:rPr>
        <w:t xml:space="preserve"> </w:t>
      </w:r>
      <w:r w:rsidRPr="002E6ECA">
        <w:rPr>
          <w:spacing w:val="-2"/>
          <w:lang w:val="uk-UA"/>
        </w:rPr>
        <w:t>мірою</w:t>
      </w:r>
      <w:r w:rsidR="00D46B1B" w:rsidRPr="002E6ECA">
        <w:rPr>
          <w:lang w:val="uk-UA"/>
        </w:rPr>
        <w:t xml:space="preserve"> </w:t>
      </w:r>
      <w:r w:rsidRPr="002E6ECA">
        <w:rPr>
          <w:spacing w:val="-2"/>
          <w:lang w:val="uk-UA"/>
        </w:rPr>
        <w:t>фізичний</w:t>
      </w:r>
      <w:r w:rsidR="00D46B1B" w:rsidRPr="002E6ECA">
        <w:rPr>
          <w:lang w:val="uk-UA"/>
        </w:rPr>
        <w:t xml:space="preserve"> </w:t>
      </w:r>
      <w:r w:rsidRPr="002E6ECA">
        <w:rPr>
          <w:lang w:val="uk-UA"/>
        </w:rPr>
        <w:t>біль</w:t>
      </w:r>
      <w:r w:rsidR="00D46B1B" w:rsidRPr="002E6ECA">
        <w:rPr>
          <w:lang w:val="uk-UA"/>
        </w:rPr>
        <w:t xml:space="preserve"> </w:t>
      </w:r>
      <w:r w:rsidRPr="002E6ECA">
        <w:rPr>
          <w:b/>
          <w:bCs/>
          <w:lang w:val="uk-UA"/>
        </w:rPr>
        <w:t>протягом</w:t>
      </w:r>
      <w:r w:rsidR="00D46B1B" w:rsidRPr="002E6ECA">
        <w:rPr>
          <w:b/>
          <w:bCs/>
          <w:lang w:val="uk-UA"/>
        </w:rPr>
        <w:t xml:space="preserve"> </w:t>
      </w:r>
      <w:r w:rsidRPr="002E6ECA">
        <w:rPr>
          <w:b/>
          <w:bCs/>
          <w:lang w:val="uk-UA"/>
        </w:rPr>
        <w:t>останнього</w:t>
      </w:r>
      <w:r w:rsidR="00D46B1B" w:rsidRPr="002E6ECA">
        <w:rPr>
          <w:b/>
          <w:bCs/>
          <w:lang w:val="uk-UA"/>
        </w:rPr>
        <w:t xml:space="preserve"> </w:t>
      </w:r>
      <w:r w:rsidRPr="002E6ECA">
        <w:rPr>
          <w:b/>
          <w:bCs/>
          <w:lang w:val="uk-UA"/>
        </w:rPr>
        <w:t>місяця</w:t>
      </w:r>
      <w:r w:rsidR="00D46B1B" w:rsidRPr="002E6ECA">
        <w:rPr>
          <w:lang w:val="uk-UA"/>
        </w:rPr>
        <w:t xml:space="preserve"> </w:t>
      </w:r>
      <w:r w:rsidRPr="002E6ECA">
        <w:rPr>
          <w:lang w:val="uk-UA"/>
        </w:rPr>
        <w:t>заважав</w:t>
      </w:r>
      <w:r w:rsidR="00D46B1B" w:rsidRPr="002E6ECA">
        <w:rPr>
          <w:lang w:val="uk-UA"/>
        </w:rPr>
        <w:t xml:space="preserve"> </w:t>
      </w:r>
      <w:r w:rsidRPr="002E6ECA">
        <w:rPr>
          <w:lang w:val="uk-UA"/>
        </w:rPr>
        <w:t>Вам</w:t>
      </w:r>
      <w:r w:rsidR="00D46B1B" w:rsidRPr="002E6ECA">
        <w:rPr>
          <w:lang w:val="uk-UA"/>
        </w:rPr>
        <w:t xml:space="preserve"> </w:t>
      </w:r>
      <w:r w:rsidRPr="002E6ECA">
        <w:rPr>
          <w:lang w:val="uk-UA"/>
        </w:rPr>
        <w:t>займатися</w:t>
      </w:r>
      <w:r w:rsidR="00D46B1B" w:rsidRPr="002E6ECA">
        <w:rPr>
          <w:lang w:val="uk-UA"/>
        </w:rPr>
        <w:t xml:space="preserve"> </w:t>
      </w:r>
      <w:r w:rsidRPr="002E6ECA">
        <w:rPr>
          <w:lang w:val="uk-UA"/>
        </w:rPr>
        <w:t>звичайними</w:t>
      </w:r>
      <w:r w:rsidR="00D46B1B" w:rsidRPr="002E6ECA">
        <w:rPr>
          <w:lang w:val="uk-UA"/>
        </w:rPr>
        <w:t xml:space="preserve"> </w:t>
      </w:r>
      <w:r w:rsidRPr="002E6ECA">
        <w:rPr>
          <w:lang w:val="uk-UA"/>
        </w:rPr>
        <w:t>справами</w:t>
      </w:r>
      <w:r w:rsidR="00D46B1B" w:rsidRPr="002E6ECA">
        <w:rPr>
          <w:lang w:val="uk-UA"/>
        </w:rPr>
        <w:t xml:space="preserve"> </w:t>
      </w:r>
      <w:r w:rsidRPr="002E6ECA">
        <w:rPr>
          <w:lang w:val="uk-UA"/>
        </w:rPr>
        <w:t>(включаючи</w:t>
      </w:r>
      <w:r w:rsidR="00D46B1B" w:rsidRPr="002E6ECA">
        <w:rPr>
          <w:lang w:val="uk-UA"/>
        </w:rPr>
        <w:t xml:space="preserve"> </w:t>
      </w:r>
      <w:r w:rsidRPr="002E6ECA">
        <w:rPr>
          <w:lang w:val="uk-UA"/>
        </w:rPr>
        <w:t>навчання</w:t>
      </w:r>
      <w:r w:rsidR="00D46B1B" w:rsidRPr="002E6ECA">
        <w:rPr>
          <w:lang w:val="uk-UA"/>
        </w:rPr>
        <w:t xml:space="preserve"> </w:t>
      </w:r>
      <w:r w:rsidRPr="002E6ECA">
        <w:rPr>
          <w:lang w:val="uk-UA"/>
        </w:rPr>
        <w:t>у</w:t>
      </w:r>
      <w:r w:rsidR="00D46B1B" w:rsidRPr="002E6ECA">
        <w:rPr>
          <w:lang w:val="uk-UA"/>
        </w:rPr>
        <w:t xml:space="preserve"> </w:t>
      </w:r>
      <w:r w:rsidRPr="002E6ECA">
        <w:rPr>
          <w:lang w:val="uk-UA"/>
        </w:rPr>
        <w:t>школі,</w:t>
      </w:r>
      <w:r w:rsidR="00D46B1B" w:rsidRPr="002E6ECA">
        <w:rPr>
          <w:lang w:val="uk-UA"/>
        </w:rPr>
        <w:t xml:space="preserve"> </w:t>
      </w:r>
      <w:r w:rsidRPr="002E6ECA">
        <w:rPr>
          <w:lang w:val="uk-UA"/>
        </w:rPr>
        <w:t>відвідування</w:t>
      </w:r>
      <w:r w:rsidR="00D46B1B" w:rsidRPr="002E6ECA">
        <w:rPr>
          <w:lang w:val="uk-UA"/>
        </w:rPr>
        <w:t xml:space="preserve"> </w:t>
      </w:r>
      <w:r w:rsidRPr="002E6ECA">
        <w:rPr>
          <w:lang w:val="uk-UA"/>
        </w:rPr>
        <w:t>гуртків</w:t>
      </w:r>
      <w:r w:rsidR="00D46B1B" w:rsidRPr="002E6ECA">
        <w:rPr>
          <w:lang w:val="uk-UA"/>
        </w:rPr>
        <w:t xml:space="preserve"> </w:t>
      </w:r>
      <w:r w:rsidRPr="002E6ECA">
        <w:rPr>
          <w:lang w:val="uk-UA"/>
        </w:rPr>
        <w:t>або</w:t>
      </w:r>
      <w:r w:rsidR="00D46B1B" w:rsidRPr="002E6ECA">
        <w:rPr>
          <w:lang w:val="uk-UA"/>
        </w:rPr>
        <w:t xml:space="preserve"> </w:t>
      </w:r>
      <w:r w:rsidRPr="002E6ECA">
        <w:rPr>
          <w:lang w:val="uk-UA"/>
        </w:rPr>
        <w:t>роботу</w:t>
      </w:r>
      <w:r w:rsidR="00D46B1B" w:rsidRPr="002E6ECA">
        <w:rPr>
          <w:lang w:val="uk-UA"/>
        </w:rPr>
        <w:t xml:space="preserve"> </w:t>
      </w:r>
      <w:r w:rsidRPr="002E6ECA">
        <w:rPr>
          <w:lang w:val="uk-UA"/>
        </w:rPr>
        <w:t>вдома)?</w:t>
      </w:r>
      <w:r w:rsidR="00D46B1B" w:rsidRPr="002E6ECA">
        <w:rPr>
          <w:lang w:val="uk-UA"/>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8"/>
        <w:gridCol w:w="1698"/>
        <w:gridCol w:w="1701"/>
        <w:gridCol w:w="1701"/>
        <w:gridCol w:w="2126"/>
      </w:tblGrid>
      <w:tr w:rsidR="0084636B" w:rsidRPr="002E6ECA" w:rsidTr="002C35C3">
        <w:tc>
          <w:tcPr>
            <w:tcW w:w="223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Зовсім</w:t>
            </w:r>
            <w:r w:rsidR="00D46B1B" w:rsidRPr="002E6ECA">
              <w:rPr>
                <w:spacing w:val="4"/>
                <w:lang w:val="uk-UA"/>
              </w:rPr>
              <w:t xml:space="preserve"> </w:t>
            </w:r>
            <w:r w:rsidRPr="002E6ECA">
              <w:rPr>
                <w:spacing w:val="4"/>
                <w:lang w:val="uk-UA"/>
              </w:rPr>
              <w:t>не</w:t>
            </w:r>
            <w:r w:rsidR="00D46B1B" w:rsidRPr="002E6ECA">
              <w:rPr>
                <w:spacing w:val="4"/>
                <w:lang w:val="uk-UA"/>
              </w:rPr>
              <w:t xml:space="preserve"> </w:t>
            </w:r>
            <w:r w:rsidRPr="002E6ECA">
              <w:rPr>
                <w:spacing w:val="4"/>
                <w:lang w:val="uk-UA"/>
              </w:rPr>
              <w:t>заважав</w:t>
            </w:r>
          </w:p>
        </w:tc>
        <w:tc>
          <w:tcPr>
            <w:tcW w:w="169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Трохи</w:t>
            </w:r>
            <w:r w:rsidR="00D46B1B" w:rsidRPr="002E6ECA">
              <w:rPr>
                <w:spacing w:val="4"/>
                <w:lang w:val="uk-UA"/>
              </w:rPr>
              <w:t xml:space="preserve"> </w:t>
            </w:r>
            <w:r w:rsidRPr="002E6ECA">
              <w:rPr>
                <w:spacing w:val="4"/>
                <w:lang w:val="uk-UA"/>
              </w:rPr>
              <w:t>заважав</w:t>
            </w:r>
          </w:p>
        </w:tc>
        <w:tc>
          <w:tcPr>
            <w:tcW w:w="170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Помірно</w:t>
            </w:r>
            <w:r w:rsidR="00D46B1B" w:rsidRPr="002E6ECA">
              <w:rPr>
                <w:spacing w:val="4"/>
                <w:lang w:val="uk-UA"/>
              </w:rPr>
              <w:t xml:space="preserve"> </w:t>
            </w:r>
            <w:r w:rsidRPr="002E6ECA">
              <w:rPr>
                <w:spacing w:val="4"/>
                <w:lang w:val="uk-UA"/>
              </w:rPr>
              <w:t>заважав</w:t>
            </w:r>
          </w:p>
        </w:tc>
        <w:tc>
          <w:tcPr>
            <w:tcW w:w="170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Сильно</w:t>
            </w:r>
            <w:r w:rsidR="00D46B1B" w:rsidRPr="002E6ECA">
              <w:rPr>
                <w:spacing w:val="4"/>
                <w:lang w:val="uk-UA"/>
              </w:rPr>
              <w:t xml:space="preserve"> </w:t>
            </w:r>
            <w:r w:rsidRPr="002E6ECA">
              <w:rPr>
                <w:spacing w:val="4"/>
                <w:lang w:val="uk-UA"/>
              </w:rPr>
              <w:t>заважав</w:t>
            </w:r>
          </w:p>
        </w:tc>
        <w:tc>
          <w:tcPr>
            <w:tcW w:w="2126"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сильно</w:t>
            </w:r>
            <w:r w:rsidR="00D46B1B" w:rsidRPr="002E6ECA">
              <w:rPr>
                <w:spacing w:val="4"/>
                <w:lang w:val="uk-UA"/>
              </w:rPr>
              <w:t xml:space="preserve"> </w:t>
            </w:r>
            <w:r w:rsidRPr="002E6ECA">
              <w:rPr>
                <w:spacing w:val="4"/>
                <w:lang w:val="uk-UA"/>
              </w:rPr>
              <w:t>заважав</w:t>
            </w:r>
          </w:p>
        </w:tc>
      </w:tr>
      <w:tr w:rsidR="0084636B" w:rsidRPr="002E6ECA" w:rsidTr="002C35C3">
        <w:tc>
          <w:tcPr>
            <w:tcW w:w="2238" w:type="dxa"/>
            <w:shd w:val="clear" w:color="auto" w:fill="auto"/>
            <w:vAlign w:val="center"/>
          </w:tcPr>
          <w:p w:rsidR="0084636B" w:rsidRPr="002E6ECA" w:rsidRDefault="0084636B" w:rsidP="00372EE3">
            <w:pPr>
              <w:pStyle w:val="a3"/>
              <w:ind w:left="0" w:right="45"/>
              <w:jc w:val="center"/>
              <w:rPr>
                <w:spacing w:val="4"/>
                <w:lang w:val="uk-UA"/>
              </w:rPr>
            </w:pPr>
          </w:p>
        </w:tc>
        <w:tc>
          <w:tcPr>
            <w:tcW w:w="1698" w:type="dxa"/>
            <w:shd w:val="clear" w:color="auto" w:fill="auto"/>
            <w:vAlign w:val="center"/>
          </w:tcPr>
          <w:p w:rsidR="0084636B" w:rsidRPr="002E6ECA" w:rsidRDefault="0084636B" w:rsidP="00372EE3">
            <w:pPr>
              <w:pStyle w:val="a3"/>
              <w:ind w:left="0" w:right="45"/>
              <w:jc w:val="center"/>
              <w:rPr>
                <w:spacing w:val="4"/>
                <w:lang w:val="uk-UA"/>
              </w:rPr>
            </w:pPr>
          </w:p>
        </w:tc>
        <w:tc>
          <w:tcPr>
            <w:tcW w:w="1701" w:type="dxa"/>
            <w:shd w:val="clear" w:color="auto" w:fill="auto"/>
            <w:vAlign w:val="center"/>
          </w:tcPr>
          <w:p w:rsidR="0084636B" w:rsidRPr="002E6ECA" w:rsidRDefault="0084636B" w:rsidP="00372EE3">
            <w:pPr>
              <w:pStyle w:val="a3"/>
              <w:ind w:left="0" w:right="45"/>
              <w:jc w:val="center"/>
              <w:rPr>
                <w:spacing w:val="4"/>
                <w:lang w:val="uk-UA"/>
              </w:rPr>
            </w:pPr>
          </w:p>
        </w:tc>
        <w:tc>
          <w:tcPr>
            <w:tcW w:w="1701" w:type="dxa"/>
            <w:shd w:val="clear" w:color="auto" w:fill="auto"/>
            <w:vAlign w:val="center"/>
          </w:tcPr>
          <w:p w:rsidR="0084636B" w:rsidRPr="002E6ECA" w:rsidRDefault="0084636B" w:rsidP="00372EE3">
            <w:pPr>
              <w:pStyle w:val="a3"/>
              <w:ind w:left="0" w:right="45"/>
              <w:jc w:val="center"/>
              <w:rPr>
                <w:spacing w:val="4"/>
                <w:lang w:val="uk-UA"/>
              </w:rPr>
            </w:pPr>
          </w:p>
        </w:tc>
        <w:tc>
          <w:tcPr>
            <w:tcW w:w="2126"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372EE3">
      <w:pPr>
        <w:spacing w:after="120"/>
        <w:ind w:left="567"/>
        <w:jc w:val="both"/>
        <w:rPr>
          <w:b/>
          <w:lang w:val="uk-UA"/>
        </w:rPr>
      </w:pPr>
    </w:p>
    <w:tbl>
      <w:tblPr>
        <w:tblW w:w="9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6"/>
        <w:gridCol w:w="1013"/>
        <w:gridCol w:w="1014"/>
        <w:gridCol w:w="1014"/>
        <w:gridCol w:w="1014"/>
        <w:gridCol w:w="1014"/>
      </w:tblGrid>
      <w:tr w:rsidR="008C4DB5" w:rsidRPr="002E6ECA" w:rsidTr="00743E22">
        <w:tc>
          <w:tcPr>
            <w:tcW w:w="4361" w:type="dxa"/>
            <w:gridSpan w:val="2"/>
            <w:tcBorders>
              <w:top w:val="nil"/>
              <w:left w:val="nil"/>
              <w:bottom w:val="single" w:sz="4" w:space="0" w:color="auto"/>
              <w:right w:val="single" w:sz="4" w:space="0" w:color="auto"/>
            </w:tcBorders>
            <w:shd w:val="clear" w:color="auto" w:fill="auto"/>
          </w:tcPr>
          <w:p w:rsidR="008C4DB5" w:rsidRPr="002E6ECA" w:rsidRDefault="008C4DB5" w:rsidP="00972A12">
            <w:pPr>
              <w:rPr>
                <w:b/>
                <w:lang w:val="uk-UA"/>
              </w:rPr>
            </w:pPr>
            <w:r w:rsidRPr="002E6ECA">
              <w:rPr>
                <w:spacing w:val="-3"/>
                <w:lang w:val="uk-UA"/>
              </w:rPr>
              <w:t xml:space="preserve">Наступні питання стосуються Вашого фізичного стану. </w:t>
            </w:r>
            <w:r w:rsidRPr="002E6ECA">
              <w:rPr>
                <w:spacing w:val="-1"/>
                <w:lang w:val="uk-UA"/>
              </w:rPr>
              <w:t>Н</w:t>
            </w:r>
            <w:r w:rsidRPr="002E6ECA">
              <w:rPr>
                <w:spacing w:val="-3"/>
                <w:lang w:val="uk-UA"/>
              </w:rPr>
              <w:t xml:space="preserve">аскільки часто протягом </w:t>
            </w:r>
            <w:r w:rsidRPr="002E6ECA">
              <w:rPr>
                <w:b/>
                <w:spacing w:val="4"/>
                <w:lang w:val="uk-UA"/>
              </w:rPr>
              <w:t>останнього тижня</w:t>
            </w:r>
            <w:r w:rsidRPr="002E6ECA">
              <w:rPr>
                <w:spacing w:val="-3"/>
                <w:lang w:val="uk-UA"/>
              </w:rPr>
              <w:t xml:space="preserve"> </w:t>
            </w:r>
            <w:r w:rsidRPr="002E6ECA">
              <w:rPr>
                <w:spacing w:val="4"/>
                <w:lang w:val="uk-UA"/>
              </w:rPr>
              <w:t xml:space="preserve">Вам було </w:t>
            </w:r>
            <w:r w:rsidRPr="002E6ECA">
              <w:rPr>
                <w:b/>
                <w:spacing w:val="4"/>
                <w:lang w:val="uk-UA"/>
              </w:rPr>
              <w:t>важко</w:t>
            </w:r>
            <w:r w:rsidRPr="002E6ECA">
              <w:rPr>
                <w:spacing w:val="4"/>
                <w:lang w:val="uk-UA"/>
              </w:rPr>
              <w:t xml:space="preserve"> </w:t>
            </w:r>
            <w:r w:rsidRPr="002E6ECA">
              <w:rPr>
                <w:spacing w:val="-3"/>
                <w:lang w:val="uk-UA"/>
              </w:rPr>
              <w:t>виконувати такі фізичні дії:</w:t>
            </w:r>
          </w:p>
        </w:tc>
        <w:tc>
          <w:tcPr>
            <w:tcW w:w="1013" w:type="dxa"/>
            <w:tcBorders>
              <w:left w:val="single" w:sz="4" w:space="0" w:color="auto"/>
            </w:tcBorders>
            <w:shd w:val="clear" w:color="auto" w:fill="auto"/>
            <w:vAlign w:val="center"/>
          </w:tcPr>
          <w:p w:rsidR="008C4DB5" w:rsidRPr="002E6ECA" w:rsidRDefault="008C4DB5" w:rsidP="00372EE3">
            <w:pPr>
              <w:pStyle w:val="a3"/>
              <w:ind w:left="0" w:right="45"/>
              <w:jc w:val="center"/>
              <w:rPr>
                <w:spacing w:val="4"/>
                <w:lang w:val="uk-UA"/>
              </w:rPr>
            </w:pPr>
            <w:r w:rsidRPr="002E6ECA">
              <w:rPr>
                <w:spacing w:val="4"/>
                <w:lang w:val="uk-UA"/>
              </w:rPr>
              <w:t>ніколи</w:t>
            </w:r>
          </w:p>
        </w:tc>
        <w:tc>
          <w:tcPr>
            <w:tcW w:w="1014" w:type="dxa"/>
            <w:shd w:val="clear" w:color="auto" w:fill="auto"/>
            <w:vAlign w:val="center"/>
          </w:tcPr>
          <w:p w:rsidR="008C4DB5" w:rsidRPr="002E6ECA" w:rsidRDefault="008C4DB5" w:rsidP="00372EE3">
            <w:pPr>
              <w:pStyle w:val="a3"/>
              <w:ind w:left="0" w:right="45"/>
              <w:jc w:val="center"/>
              <w:rPr>
                <w:spacing w:val="4"/>
                <w:lang w:val="uk-UA"/>
              </w:rPr>
            </w:pPr>
            <w:r w:rsidRPr="002E6ECA">
              <w:rPr>
                <w:spacing w:val="4"/>
                <w:lang w:val="uk-UA"/>
              </w:rPr>
              <w:t>іноді</w:t>
            </w:r>
          </w:p>
        </w:tc>
        <w:tc>
          <w:tcPr>
            <w:tcW w:w="1014" w:type="dxa"/>
            <w:shd w:val="clear" w:color="auto" w:fill="auto"/>
            <w:vAlign w:val="center"/>
          </w:tcPr>
          <w:p w:rsidR="008C4DB5" w:rsidRPr="002E6ECA" w:rsidRDefault="008C4DB5" w:rsidP="00372EE3">
            <w:pPr>
              <w:pStyle w:val="a3"/>
              <w:ind w:left="0" w:right="45"/>
              <w:jc w:val="center"/>
              <w:rPr>
                <w:spacing w:val="4"/>
                <w:lang w:val="uk-UA"/>
              </w:rPr>
            </w:pPr>
            <w:r w:rsidRPr="002E6ECA">
              <w:rPr>
                <w:spacing w:val="4"/>
                <w:lang w:val="uk-UA"/>
              </w:rPr>
              <w:t>часто</w:t>
            </w:r>
          </w:p>
        </w:tc>
        <w:tc>
          <w:tcPr>
            <w:tcW w:w="1014" w:type="dxa"/>
            <w:shd w:val="clear" w:color="auto" w:fill="auto"/>
            <w:vAlign w:val="center"/>
          </w:tcPr>
          <w:p w:rsidR="008C4DB5" w:rsidRPr="002E6ECA" w:rsidRDefault="008C4DB5" w:rsidP="00372EE3">
            <w:pPr>
              <w:pStyle w:val="a3"/>
              <w:ind w:left="0" w:right="45"/>
              <w:jc w:val="center"/>
              <w:rPr>
                <w:spacing w:val="4"/>
                <w:lang w:val="uk-UA"/>
              </w:rPr>
            </w:pPr>
            <w:r w:rsidRPr="002E6ECA">
              <w:rPr>
                <w:spacing w:val="4"/>
                <w:lang w:val="uk-UA"/>
              </w:rPr>
              <w:t>дуже часто</w:t>
            </w:r>
          </w:p>
        </w:tc>
        <w:tc>
          <w:tcPr>
            <w:tcW w:w="1014" w:type="dxa"/>
            <w:shd w:val="clear" w:color="auto" w:fill="auto"/>
            <w:vAlign w:val="center"/>
          </w:tcPr>
          <w:p w:rsidR="008C4DB5" w:rsidRPr="002E6ECA" w:rsidRDefault="008C4DB5" w:rsidP="00372EE3">
            <w:pPr>
              <w:pStyle w:val="a3"/>
              <w:ind w:left="0" w:right="45"/>
              <w:jc w:val="center"/>
              <w:rPr>
                <w:spacing w:val="4"/>
                <w:lang w:val="uk-UA"/>
              </w:rPr>
            </w:pPr>
            <w:r w:rsidRPr="002E6ECA">
              <w:rPr>
                <w:spacing w:val="4"/>
                <w:lang w:val="uk-UA"/>
              </w:rPr>
              <w:t>майже весь час</w:t>
            </w:r>
          </w:p>
        </w:tc>
      </w:tr>
      <w:tr w:rsidR="008C4DB5" w:rsidRPr="002E6ECA" w:rsidTr="00972A12">
        <w:trPr>
          <w:trHeight w:val="1424"/>
        </w:trPr>
        <w:tc>
          <w:tcPr>
            <w:tcW w:w="675" w:type="dxa"/>
            <w:tcBorders>
              <w:top w:val="single" w:sz="4" w:space="0" w:color="auto"/>
            </w:tcBorders>
            <w:shd w:val="clear" w:color="auto" w:fill="auto"/>
            <w:tcFitText/>
          </w:tcPr>
          <w:p w:rsidR="0084636B" w:rsidRPr="002E6ECA" w:rsidRDefault="0084636B" w:rsidP="009A2CF7">
            <w:pPr>
              <w:pStyle w:val="a3"/>
              <w:numPr>
                <w:ilvl w:val="0"/>
                <w:numId w:val="29"/>
              </w:numPr>
              <w:rPr>
                <w:b/>
                <w:lang w:val="uk-UA"/>
              </w:rPr>
            </w:pPr>
          </w:p>
        </w:tc>
        <w:tc>
          <w:tcPr>
            <w:tcW w:w="3686" w:type="dxa"/>
            <w:tcBorders>
              <w:top w:val="single" w:sz="4" w:space="0" w:color="auto"/>
            </w:tcBorders>
            <w:shd w:val="clear" w:color="auto" w:fill="auto"/>
          </w:tcPr>
          <w:p w:rsidR="0084636B" w:rsidRPr="002E6ECA" w:rsidRDefault="0084636B" w:rsidP="00372EE3">
            <w:pPr>
              <w:pStyle w:val="a3"/>
              <w:ind w:left="0" w:right="45"/>
              <w:rPr>
                <w:spacing w:val="4"/>
                <w:lang w:val="uk-UA"/>
              </w:rPr>
            </w:pPr>
            <w:r w:rsidRPr="002E6ECA">
              <w:rPr>
                <w:spacing w:val="4"/>
                <w:lang w:val="uk-UA"/>
              </w:rPr>
              <w:t>Великі</w:t>
            </w:r>
            <w:r w:rsidR="00D46B1B" w:rsidRPr="002E6ECA">
              <w:rPr>
                <w:spacing w:val="4"/>
                <w:lang w:val="uk-UA"/>
              </w:rPr>
              <w:t xml:space="preserve"> </w:t>
            </w:r>
            <w:r w:rsidRPr="002E6ECA">
              <w:rPr>
                <w:spacing w:val="4"/>
                <w:lang w:val="uk-UA"/>
              </w:rPr>
              <w:t>фізичні</w:t>
            </w:r>
            <w:r w:rsidR="00D46B1B" w:rsidRPr="002E6ECA">
              <w:rPr>
                <w:spacing w:val="4"/>
                <w:lang w:val="uk-UA"/>
              </w:rPr>
              <w:t xml:space="preserve"> </w:t>
            </w:r>
            <w:r w:rsidRPr="002E6ECA">
              <w:rPr>
                <w:spacing w:val="4"/>
                <w:lang w:val="uk-UA"/>
              </w:rPr>
              <w:t>навантаження</w:t>
            </w:r>
            <w:r w:rsidR="00D46B1B" w:rsidRPr="002E6ECA">
              <w:rPr>
                <w:spacing w:val="4"/>
                <w:lang w:val="uk-UA"/>
              </w:rPr>
              <w:t xml:space="preserve"> </w:t>
            </w:r>
            <w:r w:rsidRPr="002E6ECA">
              <w:rPr>
                <w:spacing w:val="4"/>
                <w:lang w:val="uk-UA"/>
              </w:rPr>
              <w:t>(біг,</w:t>
            </w:r>
            <w:r w:rsidR="00D46B1B" w:rsidRPr="002E6ECA">
              <w:rPr>
                <w:spacing w:val="4"/>
                <w:lang w:val="uk-UA"/>
              </w:rPr>
              <w:t xml:space="preserve"> </w:t>
            </w:r>
            <w:r w:rsidRPr="002E6ECA">
              <w:rPr>
                <w:spacing w:val="4"/>
                <w:lang w:val="uk-UA"/>
              </w:rPr>
              <w:t>стрибки,</w:t>
            </w:r>
            <w:r w:rsidR="00D46B1B" w:rsidRPr="002E6ECA">
              <w:rPr>
                <w:spacing w:val="4"/>
                <w:lang w:val="uk-UA"/>
              </w:rPr>
              <w:t xml:space="preserve"> </w:t>
            </w:r>
            <w:r w:rsidRPr="002E6ECA">
              <w:rPr>
                <w:spacing w:val="4"/>
                <w:lang w:val="uk-UA"/>
              </w:rPr>
              <w:t>підняття</w:t>
            </w:r>
            <w:r w:rsidR="00D46B1B" w:rsidRPr="002E6ECA">
              <w:rPr>
                <w:spacing w:val="4"/>
                <w:lang w:val="uk-UA"/>
              </w:rPr>
              <w:t xml:space="preserve"> </w:t>
            </w:r>
            <w:r w:rsidRPr="002E6ECA">
              <w:rPr>
                <w:spacing w:val="4"/>
                <w:lang w:val="uk-UA"/>
              </w:rPr>
              <w:t>важких</w:t>
            </w:r>
            <w:r w:rsidR="00D46B1B" w:rsidRPr="002E6ECA">
              <w:rPr>
                <w:spacing w:val="4"/>
                <w:lang w:val="uk-UA"/>
              </w:rPr>
              <w:t xml:space="preserve"> </w:t>
            </w:r>
            <w:r w:rsidRPr="002E6ECA">
              <w:rPr>
                <w:spacing w:val="4"/>
                <w:lang w:val="uk-UA"/>
              </w:rPr>
              <w:t>предметів,</w:t>
            </w:r>
            <w:r w:rsidR="00D46B1B" w:rsidRPr="002E6ECA">
              <w:rPr>
                <w:spacing w:val="4"/>
                <w:lang w:val="uk-UA"/>
              </w:rPr>
              <w:t xml:space="preserve"> </w:t>
            </w:r>
            <w:r w:rsidRPr="002E6ECA">
              <w:rPr>
                <w:spacing w:val="4"/>
                <w:lang w:val="uk-UA"/>
              </w:rPr>
              <w:t>довга</w:t>
            </w:r>
            <w:r w:rsidR="00D46B1B" w:rsidRPr="002E6ECA">
              <w:rPr>
                <w:spacing w:val="4"/>
                <w:lang w:val="uk-UA"/>
              </w:rPr>
              <w:t xml:space="preserve"> </w:t>
            </w:r>
            <w:r w:rsidRPr="002E6ECA">
              <w:rPr>
                <w:spacing w:val="4"/>
                <w:lang w:val="uk-UA"/>
              </w:rPr>
              <w:t>їзда</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велосипеді,</w:t>
            </w:r>
            <w:r w:rsidR="00D46B1B" w:rsidRPr="002E6ECA">
              <w:rPr>
                <w:spacing w:val="4"/>
                <w:lang w:val="uk-UA"/>
              </w:rPr>
              <w:t xml:space="preserve"> </w:t>
            </w:r>
            <w:r w:rsidRPr="002E6ECA">
              <w:rPr>
                <w:spacing w:val="4"/>
                <w:lang w:val="uk-UA"/>
              </w:rPr>
              <w:t>скейтборді,</w:t>
            </w:r>
            <w:r w:rsidR="00D46B1B" w:rsidRPr="002E6ECA">
              <w:rPr>
                <w:spacing w:val="4"/>
                <w:lang w:val="uk-UA"/>
              </w:rPr>
              <w:t xml:space="preserve"> </w:t>
            </w:r>
            <w:r w:rsidRPr="002E6ECA">
              <w:rPr>
                <w:spacing w:val="4"/>
                <w:lang w:val="uk-UA"/>
              </w:rPr>
              <w:t>роликах)?</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r w:rsidR="008C4DB5" w:rsidRPr="002E6ECA" w:rsidTr="00972A12">
        <w:trPr>
          <w:trHeight w:val="1130"/>
        </w:trPr>
        <w:tc>
          <w:tcPr>
            <w:tcW w:w="675" w:type="dxa"/>
            <w:shd w:val="clear" w:color="auto" w:fill="auto"/>
            <w:tcFitText/>
          </w:tcPr>
          <w:p w:rsidR="0084636B" w:rsidRPr="002E6ECA" w:rsidRDefault="0084636B" w:rsidP="009A2CF7">
            <w:pPr>
              <w:pStyle w:val="a3"/>
              <w:numPr>
                <w:ilvl w:val="0"/>
                <w:numId w:val="29"/>
              </w:numPr>
              <w:rPr>
                <w:b/>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Помірні</w:t>
            </w:r>
            <w:r w:rsidR="00D46B1B" w:rsidRPr="002E6ECA">
              <w:rPr>
                <w:spacing w:val="4"/>
                <w:lang w:val="uk-UA"/>
              </w:rPr>
              <w:t xml:space="preserve"> </w:t>
            </w:r>
            <w:r w:rsidRPr="002E6ECA">
              <w:rPr>
                <w:spacing w:val="4"/>
                <w:lang w:val="uk-UA"/>
              </w:rPr>
              <w:t>фізичні</w:t>
            </w:r>
            <w:r w:rsidR="00D46B1B" w:rsidRPr="002E6ECA">
              <w:rPr>
                <w:spacing w:val="4"/>
                <w:lang w:val="uk-UA"/>
              </w:rPr>
              <w:t xml:space="preserve"> </w:t>
            </w:r>
            <w:r w:rsidRPr="002E6ECA">
              <w:rPr>
                <w:spacing w:val="4"/>
                <w:lang w:val="uk-UA"/>
              </w:rPr>
              <w:t>навантаження</w:t>
            </w:r>
            <w:r w:rsidR="00D46B1B" w:rsidRPr="002E6ECA">
              <w:rPr>
                <w:spacing w:val="4"/>
                <w:lang w:val="uk-UA"/>
              </w:rPr>
              <w:t xml:space="preserve"> </w:t>
            </w:r>
            <w:r w:rsidRPr="002E6ECA">
              <w:rPr>
                <w:spacing w:val="4"/>
                <w:lang w:val="uk-UA"/>
              </w:rPr>
              <w:t>(підмести</w:t>
            </w:r>
            <w:r w:rsidR="00D46B1B" w:rsidRPr="002E6ECA">
              <w:rPr>
                <w:spacing w:val="4"/>
                <w:lang w:val="uk-UA"/>
              </w:rPr>
              <w:t xml:space="preserve"> </w:t>
            </w:r>
            <w:r w:rsidRPr="002E6ECA">
              <w:rPr>
                <w:spacing w:val="4"/>
                <w:lang w:val="uk-UA"/>
              </w:rPr>
              <w:t>або</w:t>
            </w:r>
            <w:r w:rsidR="00D46B1B" w:rsidRPr="002E6ECA">
              <w:rPr>
                <w:spacing w:val="4"/>
                <w:lang w:val="uk-UA"/>
              </w:rPr>
              <w:t xml:space="preserve"> </w:t>
            </w:r>
            <w:r w:rsidRPr="002E6ECA">
              <w:rPr>
                <w:spacing w:val="4"/>
                <w:lang w:val="uk-UA"/>
              </w:rPr>
              <w:t>вимити</w:t>
            </w:r>
            <w:r w:rsidR="00D46B1B" w:rsidRPr="002E6ECA">
              <w:rPr>
                <w:spacing w:val="4"/>
                <w:lang w:val="uk-UA"/>
              </w:rPr>
              <w:t xml:space="preserve"> </w:t>
            </w:r>
            <w:r w:rsidRPr="002E6ECA">
              <w:rPr>
                <w:spacing w:val="4"/>
                <w:lang w:val="uk-UA"/>
              </w:rPr>
              <w:t>підлогу,</w:t>
            </w:r>
            <w:r w:rsidR="00D46B1B" w:rsidRPr="002E6ECA">
              <w:rPr>
                <w:spacing w:val="4"/>
                <w:lang w:val="uk-UA"/>
              </w:rPr>
              <w:t xml:space="preserve"> </w:t>
            </w:r>
            <w:r w:rsidRPr="002E6ECA">
              <w:rPr>
                <w:spacing w:val="4"/>
                <w:lang w:val="uk-UA"/>
              </w:rPr>
              <w:t>прибрати</w:t>
            </w:r>
            <w:r w:rsidR="00D46B1B" w:rsidRPr="002E6ECA">
              <w:rPr>
                <w:spacing w:val="4"/>
                <w:lang w:val="uk-UA"/>
              </w:rPr>
              <w:t xml:space="preserve"> </w:t>
            </w:r>
            <w:r w:rsidRPr="002E6ECA">
              <w:rPr>
                <w:spacing w:val="4"/>
                <w:lang w:val="uk-UA"/>
              </w:rPr>
              <w:t>у</w:t>
            </w:r>
            <w:r w:rsidR="00D46B1B" w:rsidRPr="002E6ECA">
              <w:rPr>
                <w:spacing w:val="4"/>
                <w:lang w:val="uk-UA"/>
              </w:rPr>
              <w:t xml:space="preserve"> </w:t>
            </w:r>
            <w:r w:rsidRPr="002E6ECA">
              <w:rPr>
                <w:spacing w:val="4"/>
                <w:lang w:val="uk-UA"/>
              </w:rPr>
              <w:t>кімнаті,</w:t>
            </w:r>
            <w:r w:rsidR="00D46B1B" w:rsidRPr="002E6ECA">
              <w:rPr>
                <w:spacing w:val="4"/>
                <w:lang w:val="uk-UA"/>
              </w:rPr>
              <w:t xml:space="preserve"> </w:t>
            </w:r>
            <w:r w:rsidRPr="002E6ECA">
              <w:rPr>
                <w:spacing w:val="4"/>
                <w:lang w:val="uk-UA"/>
              </w:rPr>
              <w:t>прогулянка</w:t>
            </w:r>
            <w:r w:rsidR="00D46B1B" w:rsidRPr="002E6ECA">
              <w:rPr>
                <w:spacing w:val="4"/>
                <w:lang w:val="uk-UA"/>
              </w:rPr>
              <w:t xml:space="preserve"> </w:t>
            </w:r>
            <w:r w:rsidRPr="002E6ECA">
              <w:rPr>
                <w:spacing w:val="4"/>
                <w:lang w:val="uk-UA"/>
              </w:rPr>
              <w:t>пішки</w:t>
            </w:r>
            <w:r w:rsidR="00D46B1B" w:rsidRPr="002E6ECA">
              <w:rPr>
                <w:spacing w:val="4"/>
                <w:lang w:val="uk-UA"/>
              </w:rPr>
              <w:t xml:space="preserve"> </w:t>
            </w:r>
            <w:r w:rsidRPr="002E6ECA">
              <w:rPr>
                <w:spacing w:val="4"/>
                <w:lang w:val="uk-UA"/>
              </w:rPr>
              <w:t>у</w:t>
            </w:r>
            <w:r w:rsidR="00D46B1B" w:rsidRPr="002E6ECA">
              <w:rPr>
                <w:spacing w:val="4"/>
                <w:lang w:val="uk-UA"/>
              </w:rPr>
              <w:t xml:space="preserve"> </w:t>
            </w:r>
            <w:r w:rsidRPr="002E6ECA">
              <w:rPr>
                <w:spacing w:val="4"/>
                <w:lang w:val="uk-UA"/>
              </w:rPr>
              <w:t>помірному</w:t>
            </w:r>
            <w:r w:rsidR="00D46B1B" w:rsidRPr="002E6ECA">
              <w:rPr>
                <w:spacing w:val="4"/>
                <w:lang w:val="uk-UA"/>
              </w:rPr>
              <w:t xml:space="preserve"> </w:t>
            </w:r>
            <w:r w:rsidRPr="002E6ECA">
              <w:rPr>
                <w:spacing w:val="4"/>
                <w:lang w:val="uk-UA"/>
              </w:rPr>
              <w:t>темпі)</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r w:rsidR="008C4DB5" w:rsidRPr="002E6ECA" w:rsidTr="00972A12">
        <w:trPr>
          <w:trHeight w:val="454"/>
        </w:trPr>
        <w:tc>
          <w:tcPr>
            <w:tcW w:w="675" w:type="dxa"/>
            <w:shd w:val="clear" w:color="auto" w:fill="auto"/>
            <w:tcFitText/>
          </w:tcPr>
          <w:p w:rsidR="0084636B" w:rsidRPr="002E6ECA" w:rsidRDefault="0084636B" w:rsidP="009A2CF7">
            <w:pPr>
              <w:pStyle w:val="a3"/>
              <w:numPr>
                <w:ilvl w:val="0"/>
                <w:numId w:val="29"/>
              </w:numPr>
              <w:rPr>
                <w:b/>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Підніматися</w:t>
            </w:r>
            <w:r w:rsidR="00D46B1B" w:rsidRPr="002E6ECA">
              <w:rPr>
                <w:spacing w:val="4"/>
                <w:lang w:val="uk-UA"/>
              </w:rPr>
              <w:t xml:space="preserve"> </w:t>
            </w:r>
            <w:r w:rsidRPr="002E6ECA">
              <w:rPr>
                <w:spacing w:val="4"/>
                <w:lang w:val="uk-UA"/>
              </w:rPr>
              <w:t>сходами</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один</w:t>
            </w:r>
            <w:r w:rsidR="00D46B1B" w:rsidRPr="002E6ECA">
              <w:rPr>
                <w:spacing w:val="4"/>
                <w:lang w:val="uk-UA"/>
              </w:rPr>
              <w:t xml:space="preserve"> </w:t>
            </w:r>
            <w:r w:rsidRPr="002E6ECA">
              <w:rPr>
                <w:spacing w:val="4"/>
                <w:lang w:val="uk-UA"/>
              </w:rPr>
              <w:t>поверх?</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r w:rsidR="008C4DB5" w:rsidRPr="002E6ECA" w:rsidTr="00972A12">
        <w:trPr>
          <w:trHeight w:val="454"/>
        </w:trPr>
        <w:tc>
          <w:tcPr>
            <w:tcW w:w="675" w:type="dxa"/>
            <w:shd w:val="clear" w:color="auto" w:fill="auto"/>
            <w:tcFitText/>
          </w:tcPr>
          <w:p w:rsidR="0084636B" w:rsidRPr="002E6ECA" w:rsidRDefault="0084636B" w:rsidP="009A2CF7">
            <w:pPr>
              <w:pStyle w:val="a3"/>
              <w:numPr>
                <w:ilvl w:val="0"/>
                <w:numId w:val="29"/>
              </w:numPr>
              <w:rPr>
                <w:b/>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Підніматися</w:t>
            </w:r>
            <w:r w:rsidR="00D46B1B" w:rsidRPr="002E6ECA">
              <w:rPr>
                <w:spacing w:val="4"/>
                <w:lang w:val="uk-UA"/>
              </w:rPr>
              <w:t xml:space="preserve"> </w:t>
            </w:r>
            <w:r w:rsidRPr="002E6ECA">
              <w:rPr>
                <w:spacing w:val="4"/>
                <w:lang w:val="uk-UA"/>
              </w:rPr>
              <w:t>сходами</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декілька</w:t>
            </w:r>
            <w:r w:rsidR="00D46B1B" w:rsidRPr="002E6ECA">
              <w:rPr>
                <w:spacing w:val="4"/>
                <w:lang w:val="uk-UA"/>
              </w:rPr>
              <w:t xml:space="preserve"> </w:t>
            </w:r>
            <w:r w:rsidRPr="002E6ECA">
              <w:rPr>
                <w:spacing w:val="4"/>
                <w:lang w:val="uk-UA"/>
              </w:rPr>
              <w:t>поверхів?</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r w:rsidR="008C4DB5" w:rsidRPr="002E6ECA" w:rsidTr="00C5092B">
        <w:trPr>
          <w:trHeight w:val="283"/>
        </w:trPr>
        <w:tc>
          <w:tcPr>
            <w:tcW w:w="675" w:type="dxa"/>
            <w:shd w:val="clear" w:color="auto" w:fill="auto"/>
            <w:tcFitText/>
          </w:tcPr>
          <w:p w:rsidR="0084636B" w:rsidRPr="002E6ECA" w:rsidRDefault="0084636B" w:rsidP="009A2CF7">
            <w:pPr>
              <w:pStyle w:val="a3"/>
              <w:numPr>
                <w:ilvl w:val="0"/>
                <w:numId w:val="29"/>
              </w:numPr>
              <w:rPr>
                <w:b/>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Виконати</w:t>
            </w:r>
            <w:r w:rsidR="00D46B1B" w:rsidRPr="002E6ECA">
              <w:rPr>
                <w:spacing w:val="4"/>
                <w:lang w:val="uk-UA"/>
              </w:rPr>
              <w:t xml:space="preserve"> </w:t>
            </w:r>
            <w:r w:rsidRPr="002E6ECA">
              <w:rPr>
                <w:spacing w:val="4"/>
                <w:lang w:val="uk-UA"/>
              </w:rPr>
              <w:t>3-5</w:t>
            </w:r>
            <w:r w:rsidR="00D46B1B" w:rsidRPr="002E6ECA">
              <w:rPr>
                <w:spacing w:val="4"/>
                <w:lang w:val="uk-UA"/>
              </w:rPr>
              <w:t xml:space="preserve"> </w:t>
            </w:r>
            <w:r w:rsidRPr="002E6ECA">
              <w:rPr>
                <w:spacing w:val="4"/>
                <w:lang w:val="uk-UA"/>
              </w:rPr>
              <w:t>присідань?</w:t>
            </w:r>
            <w:r w:rsidR="00D46B1B" w:rsidRPr="002E6ECA">
              <w:rPr>
                <w:spacing w:val="4"/>
                <w:lang w:val="uk-UA"/>
              </w:rPr>
              <w:t xml:space="preserve"> </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r w:rsidR="008C4DB5" w:rsidRPr="002E6ECA" w:rsidTr="00972A12">
        <w:trPr>
          <w:trHeight w:val="454"/>
        </w:trPr>
        <w:tc>
          <w:tcPr>
            <w:tcW w:w="675" w:type="dxa"/>
            <w:shd w:val="clear" w:color="auto" w:fill="auto"/>
            <w:tcFitText/>
          </w:tcPr>
          <w:p w:rsidR="0084636B" w:rsidRPr="002E6ECA" w:rsidRDefault="0084636B" w:rsidP="009A2CF7">
            <w:pPr>
              <w:pStyle w:val="a3"/>
              <w:numPr>
                <w:ilvl w:val="0"/>
                <w:numId w:val="29"/>
              </w:numPr>
              <w:rPr>
                <w:b/>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Сходити</w:t>
            </w:r>
            <w:r w:rsidR="00D46B1B" w:rsidRPr="002E6ECA">
              <w:rPr>
                <w:spacing w:val="4"/>
                <w:lang w:val="uk-UA"/>
              </w:rPr>
              <w:t xml:space="preserve"> </w:t>
            </w:r>
            <w:r w:rsidRPr="002E6ECA">
              <w:rPr>
                <w:spacing w:val="4"/>
                <w:lang w:val="uk-UA"/>
              </w:rPr>
              <w:t>до</w:t>
            </w:r>
            <w:r w:rsidR="00D46B1B" w:rsidRPr="002E6ECA">
              <w:rPr>
                <w:spacing w:val="4"/>
                <w:lang w:val="uk-UA"/>
              </w:rPr>
              <w:t xml:space="preserve"> </w:t>
            </w:r>
            <w:r w:rsidRPr="002E6ECA">
              <w:rPr>
                <w:spacing w:val="4"/>
                <w:lang w:val="uk-UA"/>
              </w:rPr>
              <w:t>магазину?</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r w:rsidR="008C4DB5" w:rsidRPr="002E6ECA" w:rsidTr="00972A12">
        <w:trPr>
          <w:trHeight w:val="454"/>
        </w:trPr>
        <w:tc>
          <w:tcPr>
            <w:tcW w:w="675" w:type="dxa"/>
            <w:shd w:val="clear" w:color="auto" w:fill="auto"/>
            <w:tcFitText/>
          </w:tcPr>
          <w:p w:rsidR="0084636B" w:rsidRPr="002E6ECA" w:rsidRDefault="0084636B" w:rsidP="009A2CF7">
            <w:pPr>
              <w:pStyle w:val="a3"/>
              <w:numPr>
                <w:ilvl w:val="0"/>
                <w:numId w:val="29"/>
              </w:numPr>
              <w:rPr>
                <w:b/>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Самостійно</w:t>
            </w:r>
            <w:r w:rsidR="00D46B1B" w:rsidRPr="002E6ECA">
              <w:rPr>
                <w:spacing w:val="4"/>
                <w:lang w:val="uk-UA"/>
              </w:rPr>
              <w:t xml:space="preserve"> </w:t>
            </w:r>
            <w:r w:rsidRPr="002E6ECA">
              <w:rPr>
                <w:spacing w:val="4"/>
                <w:lang w:val="uk-UA"/>
              </w:rPr>
              <w:t>вимитися</w:t>
            </w:r>
            <w:r w:rsidR="00D46B1B" w:rsidRPr="002E6ECA">
              <w:rPr>
                <w:spacing w:val="4"/>
                <w:lang w:val="uk-UA"/>
              </w:rPr>
              <w:t xml:space="preserve"> </w:t>
            </w:r>
            <w:r w:rsidRPr="002E6ECA">
              <w:rPr>
                <w:spacing w:val="4"/>
                <w:lang w:val="uk-UA"/>
              </w:rPr>
              <w:t>та</w:t>
            </w:r>
            <w:r w:rsidR="00D46B1B" w:rsidRPr="002E6ECA">
              <w:rPr>
                <w:spacing w:val="4"/>
                <w:lang w:val="uk-UA"/>
              </w:rPr>
              <w:t xml:space="preserve"> </w:t>
            </w:r>
            <w:r w:rsidRPr="002E6ECA">
              <w:rPr>
                <w:spacing w:val="4"/>
                <w:lang w:val="uk-UA"/>
              </w:rPr>
              <w:t>одягнутися?</w:t>
            </w:r>
          </w:p>
        </w:tc>
        <w:tc>
          <w:tcPr>
            <w:tcW w:w="1013"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c>
          <w:tcPr>
            <w:tcW w:w="1014" w:type="dxa"/>
            <w:shd w:val="clear" w:color="auto" w:fill="auto"/>
          </w:tcPr>
          <w:p w:rsidR="0084636B" w:rsidRPr="002E6ECA" w:rsidRDefault="0084636B" w:rsidP="00372EE3">
            <w:pPr>
              <w:jc w:val="center"/>
              <w:rPr>
                <w:b/>
                <w:lang w:val="uk-UA"/>
              </w:rPr>
            </w:pPr>
          </w:p>
        </w:tc>
      </w:tr>
    </w:tbl>
    <w:p w:rsidR="0084636B" w:rsidRPr="002E6ECA" w:rsidRDefault="0084636B" w:rsidP="00372EE3">
      <w:pPr>
        <w:ind w:left="567"/>
        <w:jc w:val="both"/>
        <w:rPr>
          <w:b/>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3686"/>
        <w:gridCol w:w="992"/>
        <w:gridCol w:w="992"/>
        <w:gridCol w:w="1022"/>
        <w:gridCol w:w="1033"/>
        <w:gridCol w:w="1064"/>
      </w:tblGrid>
      <w:tr w:rsidR="008C4DB5" w:rsidRPr="002E6ECA" w:rsidTr="008C4DB5">
        <w:tc>
          <w:tcPr>
            <w:tcW w:w="675" w:type="dxa"/>
            <w:tcBorders>
              <w:top w:val="nil"/>
              <w:left w:val="nil"/>
              <w:bottom w:val="single" w:sz="4" w:space="0" w:color="auto"/>
              <w:right w:val="nil"/>
            </w:tcBorders>
            <w:shd w:val="clear" w:color="auto" w:fill="auto"/>
          </w:tcPr>
          <w:p w:rsidR="0084636B" w:rsidRPr="002E6ECA" w:rsidRDefault="0084636B" w:rsidP="00372EE3">
            <w:pPr>
              <w:rPr>
                <w:spacing w:val="5"/>
                <w:lang w:val="uk-UA"/>
              </w:rPr>
            </w:pPr>
          </w:p>
        </w:tc>
        <w:tc>
          <w:tcPr>
            <w:tcW w:w="3686" w:type="dxa"/>
            <w:tcBorders>
              <w:top w:val="nil"/>
              <w:left w:val="nil"/>
              <w:bottom w:val="single" w:sz="4" w:space="0" w:color="auto"/>
              <w:right w:val="single" w:sz="4" w:space="0" w:color="auto"/>
            </w:tcBorders>
            <w:shd w:val="clear" w:color="auto" w:fill="auto"/>
          </w:tcPr>
          <w:p w:rsidR="0084636B" w:rsidRPr="002E6ECA" w:rsidRDefault="00972A12" w:rsidP="00372EE3">
            <w:pPr>
              <w:rPr>
                <w:spacing w:val="5"/>
                <w:lang w:val="uk-UA"/>
              </w:rPr>
            </w:pPr>
            <w:r w:rsidRPr="002E6ECA">
              <w:rPr>
                <w:spacing w:val="-1"/>
                <w:lang w:val="uk-UA"/>
              </w:rPr>
              <w:t xml:space="preserve">Наступні питання стосуються Вашого самопочуття і яким воно було протягом </w:t>
            </w:r>
            <w:r w:rsidRPr="002E6ECA">
              <w:rPr>
                <w:b/>
                <w:bCs/>
                <w:spacing w:val="-1"/>
                <w:lang w:val="uk-UA"/>
              </w:rPr>
              <w:t>останнього тижня</w:t>
            </w:r>
            <w:r w:rsidRPr="002E6ECA">
              <w:rPr>
                <w:spacing w:val="-1"/>
                <w:lang w:val="uk-UA"/>
              </w:rPr>
              <w:t>.</w:t>
            </w:r>
          </w:p>
        </w:tc>
        <w:tc>
          <w:tcPr>
            <w:tcW w:w="992" w:type="dxa"/>
            <w:tcBorders>
              <w:left w:val="single" w:sz="4" w:space="0" w:color="auto"/>
            </w:tcBorders>
            <w:shd w:val="clear" w:color="auto" w:fill="auto"/>
          </w:tcPr>
          <w:p w:rsidR="0084636B" w:rsidRPr="002E6ECA" w:rsidRDefault="0084636B" w:rsidP="00372EE3">
            <w:pPr>
              <w:pStyle w:val="a3"/>
              <w:ind w:left="0" w:right="45"/>
              <w:jc w:val="center"/>
              <w:rPr>
                <w:spacing w:val="4"/>
                <w:lang w:val="uk-UA"/>
              </w:rPr>
            </w:pPr>
            <w:r w:rsidRPr="002E6ECA">
              <w:rPr>
                <w:spacing w:val="4"/>
                <w:lang w:val="uk-UA"/>
              </w:rPr>
              <w:t>ніколи</w:t>
            </w:r>
          </w:p>
        </w:tc>
        <w:tc>
          <w:tcPr>
            <w:tcW w:w="992"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іноді</w:t>
            </w:r>
          </w:p>
        </w:tc>
        <w:tc>
          <w:tcPr>
            <w:tcW w:w="1022"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часто</w:t>
            </w:r>
          </w:p>
        </w:tc>
        <w:tc>
          <w:tcPr>
            <w:tcW w:w="1033"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1064"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весь</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p>
        </w:tc>
      </w:tr>
      <w:tr w:rsidR="008C4DB5" w:rsidRPr="002E6ECA" w:rsidTr="008C4DB5">
        <w:trPr>
          <w:trHeight w:val="567"/>
        </w:trPr>
        <w:tc>
          <w:tcPr>
            <w:tcW w:w="675" w:type="dxa"/>
            <w:tcBorders>
              <w:top w:val="single" w:sz="4" w:space="0" w:color="auto"/>
            </w:tcBorders>
            <w:shd w:val="clear" w:color="auto" w:fill="auto"/>
          </w:tcPr>
          <w:p w:rsidR="0084636B" w:rsidRPr="002E6ECA" w:rsidRDefault="0084636B" w:rsidP="009A2CF7">
            <w:pPr>
              <w:pStyle w:val="a3"/>
              <w:numPr>
                <w:ilvl w:val="0"/>
                <w:numId w:val="29"/>
              </w:numPr>
              <w:rPr>
                <w:spacing w:val="5"/>
                <w:lang w:val="uk-UA"/>
              </w:rPr>
            </w:pPr>
          </w:p>
        </w:tc>
        <w:tc>
          <w:tcPr>
            <w:tcW w:w="3686" w:type="dxa"/>
            <w:tcBorders>
              <w:top w:val="single" w:sz="4" w:space="0" w:color="auto"/>
            </w:tcBorders>
            <w:shd w:val="clear" w:color="auto" w:fill="auto"/>
          </w:tcPr>
          <w:p w:rsidR="0084636B" w:rsidRPr="002E6ECA" w:rsidRDefault="0084636B" w:rsidP="00372EE3">
            <w:pPr>
              <w:pStyle w:val="a3"/>
              <w:ind w:left="0" w:right="45"/>
              <w:rPr>
                <w:spacing w:val="4"/>
                <w:lang w:val="uk-UA"/>
              </w:rPr>
            </w:pPr>
            <w:r w:rsidRPr="002E6ECA">
              <w:rPr>
                <w:spacing w:val="4"/>
                <w:lang w:val="uk-UA"/>
              </w:rPr>
              <w:t>Чи</w:t>
            </w:r>
            <w:r w:rsidR="00D46B1B" w:rsidRPr="002E6ECA">
              <w:rPr>
                <w:spacing w:val="4"/>
                <w:lang w:val="uk-UA"/>
              </w:rPr>
              <w:t xml:space="preserve"> </w:t>
            </w:r>
            <w:r w:rsidRPr="002E6ECA">
              <w:rPr>
                <w:spacing w:val="4"/>
                <w:lang w:val="uk-UA"/>
              </w:rPr>
              <w:t>відчували</w:t>
            </w:r>
            <w:r w:rsidR="00D46B1B" w:rsidRPr="002E6ECA">
              <w:rPr>
                <w:spacing w:val="4"/>
                <w:lang w:val="uk-UA"/>
              </w:rPr>
              <w:t xml:space="preserve"> </w:t>
            </w:r>
            <w:r w:rsidRPr="002E6ECA">
              <w:rPr>
                <w:spacing w:val="4"/>
                <w:lang w:val="uk-UA"/>
              </w:rPr>
              <w:t>Ви</w:t>
            </w:r>
            <w:r w:rsidR="00D46B1B" w:rsidRPr="002E6ECA">
              <w:rPr>
                <w:spacing w:val="4"/>
                <w:lang w:val="uk-UA"/>
              </w:rPr>
              <w:t xml:space="preserve"> </w:t>
            </w:r>
            <w:r w:rsidRPr="002E6ECA">
              <w:rPr>
                <w:spacing w:val="4"/>
                <w:lang w:val="uk-UA"/>
              </w:rPr>
              <w:t>себе</w:t>
            </w:r>
            <w:r w:rsidR="00D46B1B" w:rsidRPr="002E6ECA">
              <w:rPr>
                <w:spacing w:val="4"/>
                <w:lang w:val="uk-UA"/>
              </w:rPr>
              <w:t xml:space="preserve"> </w:t>
            </w:r>
            <w:r w:rsidRPr="002E6ECA">
              <w:rPr>
                <w:spacing w:val="4"/>
                <w:lang w:val="uk-UA"/>
              </w:rPr>
              <w:t>бадьорим(ою)?</w:t>
            </w:r>
          </w:p>
        </w:tc>
        <w:tc>
          <w:tcPr>
            <w:tcW w:w="992" w:type="dxa"/>
            <w:shd w:val="clear" w:color="auto" w:fill="auto"/>
          </w:tcPr>
          <w:p w:rsidR="0084636B" w:rsidRPr="002E6ECA" w:rsidRDefault="0084636B" w:rsidP="00372EE3">
            <w:pPr>
              <w:jc w:val="center"/>
              <w:rPr>
                <w:lang w:val="uk-UA"/>
              </w:rPr>
            </w:pPr>
          </w:p>
        </w:tc>
        <w:tc>
          <w:tcPr>
            <w:tcW w:w="992" w:type="dxa"/>
            <w:shd w:val="clear" w:color="auto" w:fill="auto"/>
          </w:tcPr>
          <w:p w:rsidR="0084636B" w:rsidRPr="002E6ECA" w:rsidRDefault="0084636B" w:rsidP="00372EE3">
            <w:pPr>
              <w:jc w:val="center"/>
              <w:rPr>
                <w:lang w:val="uk-UA"/>
              </w:rPr>
            </w:pPr>
          </w:p>
        </w:tc>
        <w:tc>
          <w:tcPr>
            <w:tcW w:w="1022" w:type="dxa"/>
            <w:shd w:val="clear" w:color="auto" w:fill="auto"/>
          </w:tcPr>
          <w:p w:rsidR="0084636B" w:rsidRPr="002E6ECA" w:rsidRDefault="0084636B" w:rsidP="00372EE3">
            <w:pPr>
              <w:jc w:val="center"/>
              <w:rPr>
                <w:lang w:val="uk-UA"/>
              </w:rPr>
            </w:pPr>
          </w:p>
        </w:tc>
        <w:tc>
          <w:tcPr>
            <w:tcW w:w="1033" w:type="dxa"/>
            <w:shd w:val="clear" w:color="auto" w:fill="auto"/>
          </w:tcPr>
          <w:p w:rsidR="0084636B" w:rsidRPr="002E6ECA" w:rsidRDefault="0084636B" w:rsidP="00372EE3">
            <w:pPr>
              <w:jc w:val="center"/>
              <w:rPr>
                <w:lang w:val="uk-UA"/>
              </w:rPr>
            </w:pPr>
          </w:p>
        </w:tc>
        <w:tc>
          <w:tcPr>
            <w:tcW w:w="1064" w:type="dxa"/>
            <w:shd w:val="clear" w:color="auto" w:fill="auto"/>
          </w:tcPr>
          <w:p w:rsidR="0084636B" w:rsidRPr="002E6ECA" w:rsidRDefault="0084636B" w:rsidP="00372EE3">
            <w:pPr>
              <w:jc w:val="center"/>
              <w:rPr>
                <w:lang w:val="uk-UA"/>
              </w:rPr>
            </w:pPr>
          </w:p>
        </w:tc>
      </w:tr>
      <w:tr w:rsidR="008C4DB5" w:rsidRPr="002E6ECA" w:rsidTr="008C4DB5">
        <w:trPr>
          <w:trHeight w:val="567"/>
        </w:trPr>
        <w:tc>
          <w:tcPr>
            <w:tcW w:w="675" w:type="dxa"/>
            <w:shd w:val="clear" w:color="auto" w:fill="auto"/>
          </w:tcPr>
          <w:p w:rsidR="0084636B" w:rsidRPr="002E6ECA" w:rsidRDefault="0084636B" w:rsidP="009A2CF7">
            <w:pPr>
              <w:pStyle w:val="a3"/>
              <w:numPr>
                <w:ilvl w:val="0"/>
                <w:numId w:val="29"/>
              </w:numPr>
              <w:rPr>
                <w:spacing w:val="5"/>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Чи</w:t>
            </w:r>
            <w:r w:rsidR="00D46B1B" w:rsidRPr="002E6ECA">
              <w:rPr>
                <w:spacing w:val="4"/>
                <w:lang w:val="uk-UA"/>
              </w:rPr>
              <w:t xml:space="preserve"> </w:t>
            </w:r>
            <w:r w:rsidRPr="002E6ECA">
              <w:rPr>
                <w:spacing w:val="4"/>
                <w:lang w:val="uk-UA"/>
              </w:rPr>
              <w:t>відчували</w:t>
            </w:r>
            <w:r w:rsidR="00D46B1B" w:rsidRPr="002E6ECA">
              <w:rPr>
                <w:spacing w:val="4"/>
                <w:lang w:val="uk-UA"/>
              </w:rPr>
              <w:t xml:space="preserve"> </w:t>
            </w:r>
            <w:r w:rsidRPr="002E6ECA">
              <w:rPr>
                <w:spacing w:val="4"/>
                <w:lang w:val="uk-UA"/>
              </w:rPr>
              <w:t>Ви</w:t>
            </w:r>
            <w:r w:rsidR="00D46B1B" w:rsidRPr="002E6ECA">
              <w:rPr>
                <w:spacing w:val="4"/>
                <w:lang w:val="uk-UA"/>
              </w:rPr>
              <w:t xml:space="preserve"> </w:t>
            </w:r>
            <w:r w:rsidRPr="002E6ECA">
              <w:rPr>
                <w:spacing w:val="4"/>
                <w:lang w:val="uk-UA"/>
              </w:rPr>
              <w:t>себе</w:t>
            </w:r>
            <w:r w:rsidR="00D46B1B" w:rsidRPr="002E6ECA">
              <w:rPr>
                <w:spacing w:val="4"/>
                <w:lang w:val="uk-UA"/>
              </w:rPr>
              <w:t xml:space="preserve"> </w:t>
            </w:r>
            <w:r w:rsidRPr="002E6ECA">
              <w:rPr>
                <w:spacing w:val="4"/>
                <w:lang w:val="uk-UA"/>
              </w:rPr>
              <w:t>повним(ою)</w:t>
            </w:r>
            <w:r w:rsidR="00D46B1B" w:rsidRPr="002E6ECA">
              <w:rPr>
                <w:spacing w:val="4"/>
                <w:lang w:val="uk-UA"/>
              </w:rPr>
              <w:t xml:space="preserve"> </w:t>
            </w:r>
            <w:r w:rsidRPr="002E6ECA">
              <w:rPr>
                <w:spacing w:val="4"/>
                <w:lang w:val="uk-UA"/>
              </w:rPr>
              <w:t>сил</w:t>
            </w:r>
            <w:r w:rsidR="00D46B1B" w:rsidRPr="002E6ECA">
              <w:rPr>
                <w:spacing w:val="4"/>
                <w:lang w:val="uk-UA"/>
              </w:rPr>
              <w:t xml:space="preserve"> </w:t>
            </w:r>
            <w:r w:rsidRPr="002E6ECA">
              <w:rPr>
                <w:spacing w:val="4"/>
                <w:lang w:val="uk-UA"/>
              </w:rPr>
              <w:t>і</w:t>
            </w:r>
            <w:r w:rsidR="00D46B1B" w:rsidRPr="002E6ECA">
              <w:rPr>
                <w:spacing w:val="4"/>
                <w:lang w:val="uk-UA"/>
              </w:rPr>
              <w:t xml:space="preserve"> </w:t>
            </w:r>
            <w:r w:rsidRPr="002E6ECA">
              <w:rPr>
                <w:spacing w:val="4"/>
                <w:lang w:val="uk-UA"/>
              </w:rPr>
              <w:t>енергії?</w:t>
            </w:r>
          </w:p>
        </w:tc>
        <w:tc>
          <w:tcPr>
            <w:tcW w:w="992" w:type="dxa"/>
            <w:shd w:val="clear" w:color="auto" w:fill="auto"/>
          </w:tcPr>
          <w:p w:rsidR="0084636B" w:rsidRPr="002E6ECA" w:rsidRDefault="0084636B" w:rsidP="00372EE3">
            <w:pPr>
              <w:jc w:val="center"/>
              <w:rPr>
                <w:lang w:val="uk-UA"/>
              </w:rPr>
            </w:pPr>
          </w:p>
        </w:tc>
        <w:tc>
          <w:tcPr>
            <w:tcW w:w="992" w:type="dxa"/>
            <w:shd w:val="clear" w:color="auto" w:fill="auto"/>
          </w:tcPr>
          <w:p w:rsidR="0084636B" w:rsidRPr="002E6ECA" w:rsidRDefault="0084636B" w:rsidP="00372EE3">
            <w:pPr>
              <w:jc w:val="center"/>
              <w:rPr>
                <w:lang w:val="uk-UA"/>
              </w:rPr>
            </w:pPr>
          </w:p>
        </w:tc>
        <w:tc>
          <w:tcPr>
            <w:tcW w:w="1022" w:type="dxa"/>
            <w:shd w:val="clear" w:color="auto" w:fill="auto"/>
          </w:tcPr>
          <w:p w:rsidR="0084636B" w:rsidRPr="002E6ECA" w:rsidRDefault="0084636B" w:rsidP="00372EE3">
            <w:pPr>
              <w:jc w:val="center"/>
              <w:rPr>
                <w:lang w:val="uk-UA"/>
              </w:rPr>
            </w:pPr>
          </w:p>
        </w:tc>
        <w:tc>
          <w:tcPr>
            <w:tcW w:w="1033" w:type="dxa"/>
            <w:shd w:val="clear" w:color="auto" w:fill="auto"/>
          </w:tcPr>
          <w:p w:rsidR="0084636B" w:rsidRPr="002E6ECA" w:rsidRDefault="0084636B" w:rsidP="00372EE3">
            <w:pPr>
              <w:jc w:val="center"/>
              <w:rPr>
                <w:lang w:val="uk-UA"/>
              </w:rPr>
            </w:pPr>
          </w:p>
        </w:tc>
        <w:tc>
          <w:tcPr>
            <w:tcW w:w="1064" w:type="dxa"/>
            <w:shd w:val="clear" w:color="auto" w:fill="auto"/>
          </w:tcPr>
          <w:p w:rsidR="0084636B" w:rsidRPr="002E6ECA" w:rsidRDefault="0084636B" w:rsidP="00372EE3">
            <w:pPr>
              <w:jc w:val="center"/>
              <w:rPr>
                <w:lang w:val="uk-UA"/>
              </w:rPr>
            </w:pPr>
          </w:p>
        </w:tc>
      </w:tr>
      <w:tr w:rsidR="008C4DB5" w:rsidRPr="002E6ECA" w:rsidTr="008C4DB5">
        <w:trPr>
          <w:trHeight w:val="567"/>
        </w:trPr>
        <w:tc>
          <w:tcPr>
            <w:tcW w:w="675" w:type="dxa"/>
            <w:shd w:val="clear" w:color="auto" w:fill="auto"/>
          </w:tcPr>
          <w:p w:rsidR="0084636B" w:rsidRPr="002E6ECA" w:rsidRDefault="0084636B" w:rsidP="009A2CF7">
            <w:pPr>
              <w:pStyle w:val="a3"/>
              <w:numPr>
                <w:ilvl w:val="0"/>
                <w:numId w:val="29"/>
              </w:numPr>
              <w:rPr>
                <w:spacing w:val="6"/>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Чи</w:t>
            </w:r>
            <w:r w:rsidR="00D46B1B" w:rsidRPr="002E6ECA">
              <w:rPr>
                <w:spacing w:val="4"/>
                <w:lang w:val="uk-UA"/>
              </w:rPr>
              <w:t xml:space="preserve"> </w:t>
            </w:r>
            <w:r w:rsidRPr="002E6ECA">
              <w:rPr>
                <w:spacing w:val="4"/>
                <w:lang w:val="uk-UA"/>
              </w:rPr>
              <w:t>відчували</w:t>
            </w:r>
            <w:r w:rsidR="00D46B1B" w:rsidRPr="002E6ECA">
              <w:rPr>
                <w:spacing w:val="4"/>
                <w:lang w:val="uk-UA"/>
              </w:rPr>
              <w:t xml:space="preserve"> </w:t>
            </w:r>
            <w:r w:rsidRPr="002E6ECA">
              <w:rPr>
                <w:spacing w:val="4"/>
                <w:lang w:val="uk-UA"/>
              </w:rPr>
              <w:t>Ви</w:t>
            </w:r>
            <w:r w:rsidR="00D46B1B" w:rsidRPr="002E6ECA">
              <w:rPr>
                <w:spacing w:val="4"/>
                <w:lang w:val="uk-UA"/>
              </w:rPr>
              <w:t xml:space="preserve"> </w:t>
            </w:r>
            <w:r w:rsidRPr="002E6ECA">
              <w:rPr>
                <w:spacing w:val="4"/>
                <w:lang w:val="uk-UA"/>
              </w:rPr>
              <w:t>себе</w:t>
            </w:r>
            <w:r w:rsidR="00D46B1B" w:rsidRPr="002E6ECA">
              <w:rPr>
                <w:spacing w:val="4"/>
                <w:lang w:val="uk-UA"/>
              </w:rPr>
              <w:t xml:space="preserve"> </w:t>
            </w:r>
            <w:r w:rsidRPr="002E6ECA">
              <w:rPr>
                <w:spacing w:val="4"/>
                <w:lang w:val="uk-UA"/>
              </w:rPr>
              <w:t>пригніченим(ою)?</w:t>
            </w:r>
          </w:p>
        </w:tc>
        <w:tc>
          <w:tcPr>
            <w:tcW w:w="992" w:type="dxa"/>
            <w:shd w:val="clear" w:color="auto" w:fill="auto"/>
          </w:tcPr>
          <w:p w:rsidR="0084636B" w:rsidRPr="002E6ECA" w:rsidRDefault="0084636B" w:rsidP="00372EE3">
            <w:pPr>
              <w:jc w:val="center"/>
              <w:rPr>
                <w:lang w:val="uk-UA"/>
              </w:rPr>
            </w:pPr>
          </w:p>
        </w:tc>
        <w:tc>
          <w:tcPr>
            <w:tcW w:w="992" w:type="dxa"/>
            <w:shd w:val="clear" w:color="auto" w:fill="auto"/>
          </w:tcPr>
          <w:p w:rsidR="0084636B" w:rsidRPr="002E6ECA" w:rsidRDefault="0084636B" w:rsidP="00372EE3">
            <w:pPr>
              <w:jc w:val="center"/>
              <w:rPr>
                <w:lang w:val="uk-UA"/>
              </w:rPr>
            </w:pPr>
          </w:p>
        </w:tc>
        <w:tc>
          <w:tcPr>
            <w:tcW w:w="1022" w:type="dxa"/>
            <w:shd w:val="clear" w:color="auto" w:fill="auto"/>
          </w:tcPr>
          <w:p w:rsidR="0084636B" w:rsidRPr="002E6ECA" w:rsidRDefault="0084636B" w:rsidP="00372EE3">
            <w:pPr>
              <w:jc w:val="center"/>
              <w:rPr>
                <w:lang w:val="uk-UA"/>
              </w:rPr>
            </w:pPr>
          </w:p>
        </w:tc>
        <w:tc>
          <w:tcPr>
            <w:tcW w:w="1033" w:type="dxa"/>
            <w:shd w:val="clear" w:color="auto" w:fill="auto"/>
          </w:tcPr>
          <w:p w:rsidR="0084636B" w:rsidRPr="002E6ECA" w:rsidRDefault="0084636B" w:rsidP="00372EE3">
            <w:pPr>
              <w:jc w:val="center"/>
              <w:rPr>
                <w:lang w:val="uk-UA"/>
              </w:rPr>
            </w:pPr>
          </w:p>
        </w:tc>
        <w:tc>
          <w:tcPr>
            <w:tcW w:w="1064" w:type="dxa"/>
            <w:shd w:val="clear" w:color="auto" w:fill="auto"/>
          </w:tcPr>
          <w:p w:rsidR="0084636B" w:rsidRPr="002E6ECA" w:rsidRDefault="0084636B" w:rsidP="00372EE3">
            <w:pPr>
              <w:jc w:val="center"/>
              <w:rPr>
                <w:lang w:val="uk-UA"/>
              </w:rPr>
            </w:pPr>
          </w:p>
        </w:tc>
      </w:tr>
      <w:tr w:rsidR="008C4DB5" w:rsidRPr="002E6ECA" w:rsidTr="008C4DB5">
        <w:trPr>
          <w:trHeight w:val="567"/>
        </w:trPr>
        <w:tc>
          <w:tcPr>
            <w:tcW w:w="675" w:type="dxa"/>
            <w:shd w:val="clear" w:color="auto" w:fill="auto"/>
          </w:tcPr>
          <w:p w:rsidR="0084636B" w:rsidRPr="002E6ECA" w:rsidRDefault="0084636B" w:rsidP="009A2CF7">
            <w:pPr>
              <w:pStyle w:val="a3"/>
              <w:numPr>
                <w:ilvl w:val="0"/>
                <w:numId w:val="29"/>
              </w:numPr>
              <w:rPr>
                <w:spacing w:val="5"/>
                <w:lang w:val="uk-UA"/>
              </w:rPr>
            </w:pPr>
          </w:p>
        </w:tc>
        <w:tc>
          <w:tcPr>
            <w:tcW w:w="3686" w:type="dxa"/>
            <w:shd w:val="clear" w:color="auto" w:fill="auto"/>
          </w:tcPr>
          <w:p w:rsidR="0084636B" w:rsidRPr="002E6ECA" w:rsidRDefault="0084636B" w:rsidP="00372EE3">
            <w:pPr>
              <w:pStyle w:val="a3"/>
              <w:ind w:left="0" w:right="45"/>
              <w:rPr>
                <w:spacing w:val="4"/>
                <w:lang w:val="uk-UA"/>
              </w:rPr>
            </w:pPr>
            <w:r w:rsidRPr="002E6ECA">
              <w:rPr>
                <w:spacing w:val="4"/>
                <w:lang w:val="uk-UA"/>
              </w:rPr>
              <w:t>Чи</w:t>
            </w:r>
            <w:r w:rsidR="00D46B1B" w:rsidRPr="002E6ECA">
              <w:rPr>
                <w:spacing w:val="4"/>
                <w:lang w:val="uk-UA"/>
              </w:rPr>
              <w:t xml:space="preserve"> </w:t>
            </w:r>
            <w:r w:rsidRPr="002E6ECA">
              <w:rPr>
                <w:spacing w:val="4"/>
                <w:lang w:val="uk-UA"/>
              </w:rPr>
              <w:t>відчували</w:t>
            </w:r>
            <w:r w:rsidR="00D46B1B" w:rsidRPr="002E6ECA">
              <w:rPr>
                <w:spacing w:val="4"/>
                <w:lang w:val="uk-UA"/>
              </w:rPr>
              <w:t xml:space="preserve"> </w:t>
            </w:r>
            <w:r w:rsidRPr="002E6ECA">
              <w:rPr>
                <w:spacing w:val="4"/>
                <w:lang w:val="uk-UA"/>
              </w:rPr>
              <w:t>Ви</w:t>
            </w:r>
            <w:r w:rsidR="00D46B1B" w:rsidRPr="002E6ECA">
              <w:rPr>
                <w:spacing w:val="4"/>
                <w:lang w:val="uk-UA"/>
              </w:rPr>
              <w:t xml:space="preserve"> </w:t>
            </w:r>
            <w:r w:rsidRPr="002E6ECA">
              <w:rPr>
                <w:spacing w:val="4"/>
                <w:lang w:val="uk-UA"/>
              </w:rPr>
              <w:t>себе</w:t>
            </w:r>
            <w:r w:rsidR="00D46B1B" w:rsidRPr="002E6ECA">
              <w:rPr>
                <w:spacing w:val="4"/>
                <w:lang w:val="uk-UA"/>
              </w:rPr>
              <w:t xml:space="preserve"> </w:t>
            </w:r>
            <w:r w:rsidRPr="002E6ECA">
              <w:rPr>
                <w:spacing w:val="4"/>
                <w:lang w:val="uk-UA"/>
              </w:rPr>
              <w:t>стомленим(ою)?</w:t>
            </w:r>
          </w:p>
        </w:tc>
        <w:tc>
          <w:tcPr>
            <w:tcW w:w="992" w:type="dxa"/>
            <w:shd w:val="clear" w:color="auto" w:fill="auto"/>
          </w:tcPr>
          <w:p w:rsidR="0084636B" w:rsidRPr="002E6ECA" w:rsidRDefault="0084636B" w:rsidP="00372EE3">
            <w:pPr>
              <w:jc w:val="center"/>
              <w:rPr>
                <w:lang w:val="uk-UA"/>
              </w:rPr>
            </w:pPr>
          </w:p>
        </w:tc>
        <w:tc>
          <w:tcPr>
            <w:tcW w:w="992" w:type="dxa"/>
            <w:shd w:val="clear" w:color="auto" w:fill="auto"/>
          </w:tcPr>
          <w:p w:rsidR="0084636B" w:rsidRPr="002E6ECA" w:rsidRDefault="0084636B" w:rsidP="00372EE3">
            <w:pPr>
              <w:jc w:val="center"/>
              <w:rPr>
                <w:lang w:val="uk-UA"/>
              </w:rPr>
            </w:pPr>
          </w:p>
        </w:tc>
        <w:tc>
          <w:tcPr>
            <w:tcW w:w="1022" w:type="dxa"/>
            <w:shd w:val="clear" w:color="auto" w:fill="auto"/>
          </w:tcPr>
          <w:p w:rsidR="0084636B" w:rsidRPr="002E6ECA" w:rsidRDefault="0084636B" w:rsidP="00372EE3">
            <w:pPr>
              <w:jc w:val="center"/>
              <w:rPr>
                <w:lang w:val="uk-UA"/>
              </w:rPr>
            </w:pPr>
          </w:p>
        </w:tc>
        <w:tc>
          <w:tcPr>
            <w:tcW w:w="1033" w:type="dxa"/>
            <w:shd w:val="clear" w:color="auto" w:fill="auto"/>
          </w:tcPr>
          <w:p w:rsidR="0084636B" w:rsidRPr="002E6ECA" w:rsidRDefault="0084636B" w:rsidP="00372EE3">
            <w:pPr>
              <w:jc w:val="center"/>
              <w:rPr>
                <w:lang w:val="uk-UA"/>
              </w:rPr>
            </w:pPr>
          </w:p>
        </w:tc>
        <w:tc>
          <w:tcPr>
            <w:tcW w:w="1064" w:type="dxa"/>
            <w:shd w:val="clear" w:color="auto" w:fill="auto"/>
          </w:tcPr>
          <w:p w:rsidR="0084636B" w:rsidRPr="002E6ECA" w:rsidRDefault="0084636B" w:rsidP="00372EE3">
            <w:pPr>
              <w:jc w:val="center"/>
              <w:rPr>
                <w:lang w:val="uk-UA"/>
              </w:rPr>
            </w:pPr>
          </w:p>
        </w:tc>
      </w:tr>
    </w:tbl>
    <w:p w:rsidR="0084636B" w:rsidRPr="002E6ECA" w:rsidRDefault="0084636B" w:rsidP="00372EE3">
      <w:pPr>
        <w:shd w:val="clear" w:color="auto" w:fill="FFFFFF"/>
        <w:ind w:right="24"/>
        <w:rPr>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827"/>
        <w:gridCol w:w="992"/>
        <w:gridCol w:w="992"/>
        <w:gridCol w:w="992"/>
        <w:gridCol w:w="1005"/>
        <w:gridCol w:w="1122"/>
      </w:tblGrid>
      <w:tr w:rsidR="008C4DB5" w:rsidRPr="002E6ECA" w:rsidTr="008C4DB5">
        <w:tc>
          <w:tcPr>
            <w:tcW w:w="534" w:type="dxa"/>
            <w:tcBorders>
              <w:top w:val="nil"/>
              <w:left w:val="nil"/>
              <w:bottom w:val="single" w:sz="4" w:space="0" w:color="auto"/>
              <w:right w:val="nil"/>
            </w:tcBorders>
            <w:shd w:val="clear" w:color="auto" w:fill="auto"/>
          </w:tcPr>
          <w:p w:rsidR="0084636B" w:rsidRPr="002E6ECA" w:rsidRDefault="0084636B" w:rsidP="00372EE3">
            <w:pPr>
              <w:jc w:val="center"/>
              <w:rPr>
                <w:b/>
                <w:lang w:val="uk-UA"/>
              </w:rPr>
            </w:pPr>
          </w:p>
        </w:tc>
        <w:tc>
          <w:tcPr>
            <w:tcW w:w="3827" w:type="dxa"/>
            <w:tcBorders>
              <w:top w:val="nil"/>
              <w:left w:val="nil"/>
              <w:bottom w:val="single" w:sz="4" w:space="0" w:color="auto"/>
              <w:right w:val="single" w:sz="4" w:space="0" w:color="auto"/>
            </w:tcBorders>
            <w:shd w:val="clear" w:color="auto" w:fill="auto"/>
          </w:tcPr>
          <w:p w:rsidR="0084636B" w:rsidRPr="002E6ECA" w:rsidRDefault="00972A12" w:rsidP="00972A12">
            <w:pPr>
              <w:jc w:val="both"/>
              <w:rPr>
                <w:b/>
                <w:lang w:val="uk-UA"/>
              </w:rPr>
            </w:pPr>
            <w:r w:rsidRPr="002E6ECA">
              <w:rPr>
                <w:spacing w:val="-1"/>
                <w:lang w:val="uk-UA"/>
              </w:rPr>
              <w:t xml:space="preserve">Наскільки часто </w:t>
            </w:r>
            <w:r w:rsidRPr="002E6ECA">
              <w:rPr>
                <w:b/>
                <w:bCs/>
                <w:spacing w:val="-1"/>
                <w:lang w:val="uk-UA"/>
              </w:rPr>
              <w:t>протягом останнього тижня</w:t>
            </w:r>
            <w:r w:rsidRPr="002E6ECA">
              <w:rPr>
                <w:spacing w:val="-1"/>
                <w:lang w:val="uk-UA"/>
              </w:rPr>
              <w:t xml:space="preserve"> Ваш фізичний стан:</w:t>
            </w:r>
          </w:p>
        </w:tc>
        <w:tc>
          <w:tcPr>
            <w:tcW w:w="992" w:type="dxa"/>
            <w:tcBorders>
              <w:left w:val="single" w:sz="4" w:space="0" w:color="auto"/>
            </w:tcBorders>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ніколи</w:t>
            </w:r>
          </w:p>
        </w:tc>
        <w:tc>
          <w:tcPr>
            <w:tcW w:w="99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іноді</w:t>
            </w:r>
          </w:p>
        </w:tc>
        <w:tc>
          <w:tcPr>
            <w:tcW w:w="99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часто</w:t>
            </w:r>
          </w:p>
        </w:tc>
        <w:tc>
          <w:tcPr>
            <w:tcW w:w="1005"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1122"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весь</w:t>
            </w:r>
            <w:r w:rsidR="00D46B1B" w:rsidRPr="002E6ECA">
              <w:rPr>
                <w:spacing w:val="4"/>
                <w:lang w:val="uk-UA"/>
              </w:rPr>
              <w:t xml:space="preserve"> </w:t>
            </w:r>
            <w:r w:rsidRPr="002E6ECA">
              <w:rPr>
                <w:spacing w:val="4"/>
                <w:lang w:val="uk-UA"/>
              </w:rPr>
              <w:t>час</w:t>
            </w:r>
          </w:p>
        </w:tc>
      </w:tr>
      <w:tr w:rsidR="008C4DB5" w:rsidRPr="002E6ECA" w:rsidTr="008C4DB5">
        <w:trPr>
          <w:trHeight w:val="1131"/>
        </w:trPr>
        <w:tc>
          <w:tcPr>
            <w:tcW w:w="534" w:type="dxa"/>
            <w:tcBorders>
              <w:top w:val="single" w:sz="4" w:space="0" w:color="auto"/>
            </w:tcBorders>
            <w:shd w:val="clear" w:color="auto" w:fill="auto"/>
            <w:tcFitText/>
          </w:tcPr>
          <w:p w:rsidR="0084636B" w:rsidRPr="002E6ECA" w:rsidRDefault="0084636B" w:rsidP="009A2CF7">
            <w:pPr>
              <w:pStyle w:val="a3"/>
              <w:numPr>
                <w:ilvl w:val="0"/>
                <w:numId w:val="29"/>
              </w:numPr>
              <w:rPr>
                <w:b/>
                <w:lang w:val="uk-UA"/>
              </w:rPr>
            </w:pPr>
          </w:p>
        </w:tc>
        <w:tc>
          <w:tcPr>
            <w:tcW w:w="3827" w:type="dxa"/>
            <w:tcBorders>
              <w:top w:val="single" w:sz="4" w:space="0" w:color="auto"/>
            </w:tcBorders>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брати</w:t>
            </w:r>
            <w:r w:rsidR="00D46B1B" w:rsidRPr="002E6ECA">
              <w:rPr>
                <w:spacing w:val="4"/>
                <w:lang w:val="uk-UA"/>
              </w:rPr>
              <w:t xml:space="preserve"> </w:t>
            </w:r>
            <w:r w:rsidRPr="002E6ECA">
              <w:rPr>
                <w:spacing w:val="4"/>
                <w:lang w:val="uk-UA"/>
              </w:rPr>
              <w:t>участь</w:t>
            </w:r>
            <w:r w:rsidR="00D46B1B" w:rsidRPr="002E6ECA">
              <w:rPr>
                <w:spacing w:val="4"/>
                <w:lang w:val="uk-UA"/>
              </w:rPr>
              <w:t xml:space="preserve"> </w:t>
            </w:r>
            <w:r w:rsidRPr="002E6ECA">
              <w:rPr>
                <w:spacing w:val="4"/>
                <w:lang w:val="uk-UA"/>
              </w:rPr>
              <w:t>у</w:t>
            </w:r>
            <w:r w:rsidR="00D46B1B" w:rsidRPr="002E6ECA">
              <w:rPr>
                <w:spacing w:val="4"/>
                <w:lang w:val="uk-UA"/>
              </w:rPr>
              <w:t xml:space="preserve"> </w:t>
            </w:r>
            <w:r w:rsidRPr="002E6ECA">
              <w:rPr>
                <w:spacing w:val="4"/>
                <w:lang w:val="uk-UA"/>
              </w:rPr>
              <w:t>активних</w:t>
            </w:r>
            <w:r w:rsidR="00D46B1B" w:rsidRPr="002E6ECA">
              <w:rPr>
                <w:spacing w:val="4"/>
                <w:lang w:val="uk-UA"/>
              </w:rPr>
              <w:t xml:space="preserve"> </w:t>
            </w:r>
            <w:r w:rsidRPr="002E6ECA">
              <w:rPr>
                <w:spacing w:val="4"/>
                <w:lang w:val="uk-UA"/>
              </w:rPr>
              <w:t>іграх</w:t>
            </w:r>
            <w:r w:rsidR="00D46B1B" w:rsidRPr="002E6ECA">
              <w:rPr>
                <w:spacing w:val="4"/>
                <w:lang w:val="uk-UA"/>
              </w:rPr>
              <w:t xml:space="preserve"> </w:t>
            </w:r>
            <w:r w:rsidRPr="002E6ECA">
              <w:rPr>
                <w:spacing w:val="4"/>
                <w:lang w:val="uk-UA"/>
              </w:rPr>
              <w:t>(бігати,</w:t>
            </w:r>
            <w:r w:rsidR="00D46B1B" w:rsidRPr="002E6ECA">
              <w:rPr>
                <w:spacing w:val="4"/>
                <w:lang w:val="uk-UA"/>
              </w:rPr>
              <w:t xml:space="preserve"> </w:t>
            </w:r>
            <w:r w:rsidRPr="002E6ECA">
              <w:rPr>
                <w:spacing w:val="4"/>
                <w:lang w:val="uk-UA"/>
              </w:rPr>
              <w:t>стрибати,</w:t>
            </w:r>
            <w:r w:rsidR="00D46B1B" w:rsidRPr="002E6ECA">
              <w:rPr>
                <w:spacing w:val="4"/>
                <w:lang w:val="uk-UA"/>
              </w:rPr>
              <w:t xml:space="preserve"> </w:t>
            </w:r>
            <w:r w:rsidRPr="002E6ECA">
              <w:rPr>
                <w:spacing w:val="4"/>
                <w:lang w:val="uk-UA"/>
              </w:rPr>
              <w:t>грати</w:t>
            </w:r>
            <w:r w:rsidR="00D46B1B" w:rsidRPr="002E6ECA">
              <w:rPr>
                <w:spacing w:val="4"/>
                <w:lang w:val="uk-UA"/>
              </w:rPr>
              <w:t xml:space="preserve"> </w:t>
            </w:r>
            <w:r w:rsidRPr="002E6ECA">
              <w:rPr>
                <w:spacing w:val="4"/>
                <w:lang w:val="uk-UA"/>
              </w:rPr>
              <w:t>у</w:t>
            </w:r>
            <w:r w:rsidR="00D46B1B" w:rsidRPr="002E6ECA">
              <w:rPr>
                <w:spacing w:val="4"/>
                <w:lang w:val="uk-UA"/>
              </w:rPr>
              <w:t xml:space="preserve"> </w:t>
            </w:r>
            <w:r w:rsidRPr="002E6ECA">
              <w:rPr>
                <w:spacing w:val="4"/>
                <w:lang w:val="uk-UA"/>
              </w:rPr>
              <w:t>футбол,</w:t>
            </w:r>
            <w:r w:rsidR="00D46B1B" w:rsidRPr="002E6ECA">
              <w:rPr>
                <w:spacing w:val="4"/>
                <w:lang w:val="uk-UA"/>
              </w:rPr>
              <w:t xml:space="preserve"> </w:t>
            </w:r>
            <w:r w:rsidRPr="002E6ECA">
              <w:rPr>
                <w:spacing w:val="4"/>
                <w:lang w:val="uk-UA"/>
              </w:rPr>
              <w:t>танцювати</w:t>
            </w:r>
            <w:r w:rsidR="00D46B1B" w:rsidRPr="002E6ECA">
              <w:rPr>
                <w:spacing w:val="4"/>
                <w:lang w:val="uk-UA"/>
              </w:rPr>
              <w:t xml:space="preserve"> </w:t>
            </w:r>
            <w:r w:rsidRPr="002E6ECA">
              <w:rPr>
                <w:spacing w:val="4"/>
                <w:lang w:val="uk-UA"/>
              </w:rPr>
              <w:t>тощо)?</w:t>
            </w: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1005" w:type="dxa"/>
            <w:shd w:val="clear" w:color="auto" w:fill="auto"/>
          </w:tcPr>
          <w:p w:rsidR="0084636B" w:rsidRPr="002E6ECA" w:rsidRDefault="0084636B" w:rsidP="00372EE3">
            <w:pPr>
              <w:jc w:val="center"/>
              <w:rPr>
                <w:b/>
                <w:lang w:val="uk-UA"/>
              </w:rPr>
            </w:pPr>
          </w:p>
        </w:tc>
        <w:tc>
          <w:tcPr>
            <w:tcW w:w="1122" w:type="dxa"/>
            <w:shd w:val="clear" w:color="auto" w:fill="auto"/>
          </w:tcPr>
          <w:p w:rsidR="0084636B" w:rsidRPr="002E6ECA" w:rsidRDefault="0084636B" w:rsidP="00372EE3">
            <w:pPr>
              <w:jc w:val="center"/>
              <w:rPr>
                <w:b/>
                <w:lang w:val="uk-UA"/>
              </w:rPr>
            </w:pPr>
          </w:p>
        </w:tc>
      </w:tr>
      <w:tr w:rsidR="008C4DB5" w:rsidRPr="002E6ECA" w:rsidTr="008C4DB5">
        <w:trPr>
          <w:trHeight w:val="1119"/>
        </w:trPr>
        <w:tc>
          <w:tcPr>
            <w:tcW w:w="534" w:type="dxa"/>
            <w:shd w:val="clear" w:color="auto" w:fill="auto"/>
            <w:tcFitText/>
          </w:tcPr>
          <w:p w:rsidR="0084636B" w:rsidRPr="002E6ECA" w:rsidRDefault="0084636B" w:rsidP="009A2CF7">
            <w:pPr>
              <w:pStyle w:val="a3"/>
              <w:numPr>
                <w:ilvl w:val="0"/>
                <w:numId w:val="29"/>
              </w:numPr>
              <w:rPr>
                <w:b/>
                <w:lang w:val="uk-UA"/>
              </w:rPr>
            </w:pPr>
          </w:p>
        </w:tc>
        <w:tc>
          <w:tcPr>
            <w:tcW w:w="3827" w:type="dxa"/>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виконувати</w:t>
            </w:r>
            <w:r w:rsidR="00D46B1B" w:rsidRPr="002E6ECA">
              <w:rPr>
                <w:spacing w:val="4"/>
                <w:lang w:val="uk-UA"/>
              </w:rPr>
              <w:t xml:space="preserve"> </w:t>
            </w:r>
            <w:r w:rsidRPr="002E6ECA">
              <w:rPr>
                <w:spacing w:val="4"/>
                <w:lang w:val="uk-UA"/>
              </w:rPr>
              <w:t>легку</w:t>
            </w:r>
            <w:r w:rsidR="00D46B1B" w:rsidRPr="002E6ECA">
              <w:rPr>
                <w:spacing w:val="4"/>
                <w:lang w:val="uk-UA"/>
              </w:rPr>
              <w:t xml:space="preserve"> </w:t>
            </w:r>
            <w:r w:rsidRPr="002E6ECA">
              <w:rPr>
                <w:spacing w:val="4"/>
                <w:lang w:val="uk-UA"/>
              </w:rPr>
              <w:t>домашню</w:t>
            </w:r>
            <w:r w:rsidR="00D46B1B" w:rsidRPr="002E6ECA">
              <w:rPr>
                <w:spacing w:val="4"/>
                <w:lang w:val="uk-UA"/>
              </w:rPr>
              <w:t xml:space="preserve"> </w:t>
            </w:r>
            <w:r w:rsidRPr="002E6ECA">
              <w:rPr>
                <w:spacing w:val="4"/>
                <w:lang w:val="uk-UA"/>
              </w:rPr>
              <w:t>роботу</w:t>
            </w:r>
            <w:r w:rsidR="00D46B1B" w:rsidRPr="002E6ECA">
              <w:rPr>
                <w:spacing w:val="4"/>
                <w:lang w:val="uk-UA"/>
              </w:rPr>
              <w:t xml:space="preserve"> </w:t>
            </w:r>
            <w:r w:rsidRPr="002E6ECA">
              <w:rPr>
                <w:spacing w:val="4"/>
                <w:lang w:val="uk-UA"/>
              </w:rPr>
              <w:t>(прибирати</w:t>
            </w:r>
            <w:r w:rsidR="00D46B1B" w:rsidRPr="002E6ECA">
              <w:rPr>
                <w:spacing w:val="4"/>
                <w:lang w:val="uk-UA"/>
              </w:rPr>
              <w:t xml:space="preserve"> </w:t>
            </w:r>
            <w:r w:rsidRPr="002E6ECA">
              <w:rPr>
                <w:spacing w:val="4"/>
                <w:lang w:val="uk-UA"/>
              </w:rPr>
              <w:t>у</w:t>
            </w:r>
            <w:r w:rsidR="00D46B1B" w:rsidRPr="002E6ECA">
              <w:rPr>
                <w:spacing w:val="4"/>
                <w:lang w:val="uk-UA"/>
              </w:rPr>
              <w:t xml:space="preserve"> </w:t>
            </w:r>
            <w:r w:rsidRPr="002E6ECA">
              <w:rPr>
                <w:spacing w:val="4"/>
                <w:lang w:val="uk-UA"/>
              </w:rPr>
              <w:t>себе</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столі,</w:t>
            </w:r>
            <w:r w:rsidR="00D46B1B" w:rsidRPr="002E6ECA">
              <w:rPr>
                <w:spacing w:val="4"/>
                <w:lang w:val="uk-UA"/>
              </w:rPr>
              <w:t xml:space="preserve"> </w:t>
            </w:r>
            <w:r w:rsidRPr="002E6ECA">
              <w:rPr>
                <w:spacing w:val="4"/>
                <w:lang w:val="uk-UA"/>
              </w:rPr>
              <w:t>вимити</w:t>
            </w:r>
            <w:r w:rsidR="00D46B1B" w:rsidRPr="002E6ECA">
              <w:rPr>
                <w:spacing w:val="4"/>
                <w:lang w:val="uk-UA"/>
              </w:rPr>
              <w:t xml:space="preserve"> </w:t>
            </w:r>
            <w:r w:rsidRPr="002E6ECA">
              <w:rPr>
                <w:spacing w:val="4"/>
                <w:lang w:val="uk-UA"/>
              </w:rPr>
              <w:t>посуд,</w:t>
            </w:r>
            <w:r w:rsidR="00D46B1B" w:rsidRPr="002E6ECA">
              <w:rPr>
                <w:spacing w:val="4"/>
                <w:lang w:val="uk-UA"/>
              </w:rPr>
              <w:t xml:space="preserve"> </w:t>
            </w:r>
            <w:r w:rsidRPr="002E6ECA">
              <w:rPr>
                <w:spacing w:val="4"/>
                <w:lang w:val="uk-UA"/>
              </w:rPr>
              <w:t>тощо)?</w:t>
            </w: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1005" w:type="dxa"/>
            <w:shd w:val="clear" w:color="auto" w:fill="auto"/>
          </w:tcPr>
          <w:p w:rsidR="0084636B" w:rsidRPr="002E6ECA" w:rsidRDefault="0084636B" w:rsidP="00372EE3">
            <w:pPr>
              <w:jc w:val="center"/>
              <w:rPr>
                <w:b/>
                <w:lang w:val="uk-UA"/>
              </w:rPr>
            </w:pPr>
          </w:p>
        </w:tc>
        <w:tc>
          <w:tcPr>
            <w:tcW w:w="1122" w:type="dxa"/>
            <w:shd w:val="clear" w:color="auto" w:fill="auto"/>
          </w:tcPr>
          <w:p w:rsidR="0084636B" w:rsidRPr="002E6ECA" w:rsidRDefault="0084636B" w:rsidP="00372EE3">
            <w:pPr>
              <w:jc w:val="center"/>
              <w:rPr>
                <w:b/>
                <w:lang w:val="uk-UA"/>
              </w:rPr>
            </w:pPr>
          </w:p>
        </w:tc>
      </w:tr>
      <w:tr w:rsidR="008C4DB5" w:rsidRPr="002E6ECA" w:rsidTr="008C4DB5">
        <w:trPr>
          <w:trHeight w:val="571"/>
        </w:trPr>
        <w:tc>
          <w:tcPr>
            <w:tcW w:w="534" w:type="dxa"/>
            <w:shd w:val="clear" w:color="auto" w:fill="auto"/>
            <w:tcFitText/>
          </w:tcPr>
          <w:p w:rsidR="0084636B" w:rsidRPr="002E6ECA" w:rsidRDefault="0084636B" w:rsidP="009A2CF7">
            <w:pPr>
              <w:pStyle w:val="a3"/>
              <w:numPr>
                <w:ilvl w:val="0"/>
                <w:numId w:val="29"/>
              </w:numPr>
              <w:rPr>
                <w:b/>
                <w:lang w:val="uk-UA"/>
              </w:rPr>
            </w:pPr>
          </w:p>
        </w:tc>
        <w:tc>
          <w:tcPr>
            <w:tcW w:w="3827" w:type="dxa"/>
            <w:shd w:val="clear" w:color="auto" w:fill="auto"/>
          </w:tcPr>
          <w:p w:rsidR="0084636B" w:rsidRPr="002E6ECA" w:rsidRDefault="0084636B" w:rsidP="00372EE3">
            <w:pPr>
              <w:pStyle w:val="a3"/>
              <w:ind w:left="0" w:right="45"/>
              <w:rPr>
                <w:spacing w:val="4"/>
                <w:lang w:val="uk-UA"/>
              </w:rPr>
            </w:pPr>
            <w:r w:rsidRPr="002E6ECA">
              <w:rPr>
                <w:spacing w:val="4"/>
                <w:lang w:val="uk-UA"/>
              </w:rPr>
              <w:t>Піднімати</w:t>
            </w:r>
            <w:r w:rsidR="00D46B1B" w:rsidRPr="002E6ECA">
              <w:rPr>
                <w:spacing w:val="4"/>
                <w:lang w:val="uk-UA"/>
              </w:rPr>
              <w:t xml:space="preserve"> </w:t>
            </w:r>
            <w:r w:rsidRPr="002E6ECA">
              <w:rPr>
                <w:spacing w:val="4"/>
                <w:lang w:val="uk-UA"/>
              </w:rPr>
              <w:t>чи</w:t>
            </w:r>
            <w:r w:rsidR="00D46B1B" w:rsidRPr="002E6ECA">
              <w:rPr>
                <w:spacing w:val="4"/>
                <w:lang w:val="uk-UA"/>
              </w:rPr>
              <w:t xml:space="preserve"> </w:t>
            </w:r>
            <w:r w:rsidRPr="002E6ECA">
              <w:rPr>
                <w:spacing w:val="4"/>
                <w:lang w:val="uk-UA"/>
              </w:rPr>
              <w:t>нести</w:t>
            </w:r>
            <w:r w:rsidR="00D46B1B" w:rsidRPr="002E6ECA">
              <w:rPr>
                <w:spacing w:val="4"/>
                <w:lang w:val="uk-UA"/>
              </w:rPr>
              <w:t xml:space="preserve"> </w:t>
            </w:r>
            <w:r w:rsidRPr="002E6ECA">
              <w:rPr>
                <w:spacing w:val="4"/>
                <w:lang w:val="uk-UA"/>
              </w:rPr>
              <w:t>сумку</w:t>
            </w:r>
            <w:r w:rsidR="00D46B1B" w:rsidRPr="002E6ECA">
              <w:rPr>
                <w:spacing w:val="4"/>
                <w:lang w:val="uk-UA"/>
              </w:rPr>
              <w:t xml:space="preserve"> </w:t>
            </w:r>
            <w:r w:rsidRPr="002E6ECA">
              <w:rPr>
                <w:spacing w:val="4"/>
                <w:lang w:val="uk-UA"/>
              </w:rPr>
              <w:t>або</w:t>
            </w:r>
            <w:r w:rsidR="00D46B1B" w:rsidRPr="002E6ECA">
              <w:rPr>
                <w:spacing w:val="4"/>
                <w:lang w:val="uk-UA"/>
              </w:rPr>
              <w:t xml:space="preserve"> </w:t>
            </w:r>
            <w:r w:rsidRPr="002E6ECA">
              <w:rPr>
                <w:spacing w:val="4"/>
                <w:lang w:val="uk-UA"/>
              </w:rPr>
              <w:t>портфель?</w:t>
            </w: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1005" w:type="dxa"/>
            <w:shd w:val="clear" w:color="auto" w:fill="auto"/>
          </w:tcPr>
          <w:p w:rsidR="0084636B" w:rsidRPr="002E6ECA" w:rsidRDefault="0084636B" w:rsidP="00372EE3">
            <w:pPr>
              <w:jc w:val="center"/>
              <w:rPr>
                <w:b/>
                <w:lang w:val="uk-UA"/>
              </w:rPr>
            </w:pPr>
          </w:p>
        </w:tc>
        <w:tc>
          <w:tcPr>
            <w:tcW w:w="1122" w:type="dxa"/>
            <w:shd w:val="clear" w:color="auto" w:fill="auto"/>
          </w:tcPr>
          <w:p w:rsidR="0084636B" w:rsidRPr="002E6ECA" w:rsidRDefault="0084636B" w:rsidP="00372EE3">
            <w:pPr>
              <w:jc w:val="center"/>
              <w:rPr>
                <w:b/>
                <w:lang w:val="uk-UA"/>
              </w:rPr>
            </w:pPr>
          </w:p>
        </w:tc>
      </w:tr>
      <w:tr w:rsidR="008C4DB5" w:rsidRPr="002E6ECA" w:rsidTr="008C4DB5">
        <w:trPr>
          <w:trHeight w:val="783"/>
        </w:trPr>
        <w:tc>
          <w:tcPr>
            <w:tcW w:w="534" w:type="dxa"/>
            <w:shd w:val="clear" w:color="auto" w:fill="auto"/>
            <w:tcFitText/>
          </w:tcPr>
          <w:p w:rsidR="0084636B" w:rsidRPr="002E6ECA" w:rsidRDefault="0084636B" w:rsidP="009A2CF7">
            <w:pPr>
              <w:pStyle w:val="a3"/>
              <w:numPr>
                <w:ilvl w:val="0"/>
                <w:numId w:val="29"/>
              </w:numPr>
              <w:rPr>
                <w:b/>
                <w:lang w:val="uk-UA"/>
              </w:rPr>
            </w:pPr>
          </w:p>
        </w:tc>
        <w:tc>
          <w:tcPr>
            <w:tcW w:w="3827" w:type="dxa"/>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виконувати</w:t>
            </w:r>
            <w:r w:rsidR="00D46B1B" w:rsidRPr="002E6ECA">
              <w:rPr>
                <w:spacing w:val="4"/>
                <w:lang w:val="uk-UA"/>
              </w:rPr>
              <w:t xml:space="preserve"> </w:t>
            </w:r>
            <w:r w:rsidRPr="002E6ECA">
              <w:rPr>
                <w:spacing w:val="4"/>
                <w:lang w:val="uk-UA"/>
              </w:rPr>
              <w:t>завдання</w:t>
            </w:r>
            <w:r w:rsidR="00D46B1B" w:rsidRPr="002E6ECA">
              <w:rPr>
                <w:spacing w:val="4"/>
                <w:lang w:val="uk-UA"/>
              </w:rPr>
              <w:t xml:space="preserve"> </w:t>
            </w:r>
            <w:r w:rsidRPr="002E6ECA">
              <w:rPr>
                <w:spacing w:val="4"/>
                <w:lang w:val="uk-UA"/>
              </w:rPr>
              <w:t>вчителя</w:t>
            </w:r>
            <w:r w:rsidR="00D46B1B" w:rsidRPr="002E6ECA">
              <w:rPr>
                <w:spacing w:val="4"/>
                <w:lang w:val="uk-UA"/>
              </w:rPr>
              <w:t xml:space="preserve"> </w:t>
            </w:r>
            <w:r w:rsidRPr="002E6ECA">
              <w:rPr>
                <w:spacing w:val="4"/>
                <w:lang w:val="uk-UA"/>
              </w:rPr>
              <w:t>під</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r w:rsidRPr="002E6ECA">
              <w:rPr>
                <w:spacing w:val="4"/>
                <w:lang w:val="uk-UA"/>
              </w:rPr>
              <w:t>уроків</w:t>
            </w:r>
            <w:r w:rsidR="00D46B1B" w:rsidRPr="002E6ECA">
              <w:rPr>
                <w:spacing w:val="4"/>
                <w:lang w:val="uk-UA"/>
              </w:rPr>
              <w:t xml:space="preserve"> </w:t>
            </w:r>
            <w:r w:rsidRPr="002E6ECA">
              <w:rPr>
                <w:spacing w:val="4"/>
                <w:lang w:val="uk-UA"/>
              </w:rPr>
              <w:t>в</w:t>
            </w:r>
            <w:r w:rsidR="00D46B1B" w:rsidRPr="002E6ECA">
              <w:rPr>
                <w:spacing w:val="4"/>
                <w:lang w:val="uk-UA"/>
              </w:rPr>
              <w:t xml:space="preserve"> </w:t>
            </w:r>
            <w:r w:rsidRPr="002E6ECA">
              <w:rPr>
                <w:spacing w:val="4"/>
                <w:lang w:val="uk-UA"/>
              </w:rPr>
              <w:t>школі?</w:t>
            </w: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1005" w:type="dxa"/>
            <w:shd w:val="clear" w:color="auto" w:fill="auto"/>
          </w:tcPr>
          <w:p w:rsidR="0084636B" w:rsidRPr="002E6ECA" w:rsidRDefault="0084636B" w:rsidP="00372EE3">
            <w:pPr>
              <w:jc w:val="center"/>
              <w:rPr>
                <w:b/>
                <w:lang w:val="uk-UA"/>
              </w:rPr>
            </w:pPr>
          </w:p>
        </w:tc>
        <w:tc>
          <w:tcPr>
            <w:tcW w:w="1122" w:type="dxa"/>
            <w:shd w:val="clear" w:color="auto" w:fill="auto"/>
          </w:tcPr>
          <w:p w:rsidR="0084636B" w:rsidRPr="002E6ECA" w:rsidRDefault="0084636B" w:rsidP="00372EE3">
            <w:pPr>
              <w:jc w:val="center"/>
              <w:rPr>
                <w:b/>
                <w:lang w:val="uk-UA"/>
              </w:rPr>
            </w:pPr>
          </w:p>
        </w:tc>
      </w:tr>
      <w:tr w:rsidR="008C4DB5" w:rsidRPr="002E6ECA" w:rsidTr="008C4DB5">
        <w:trPr>
          <w:trHeight w:val="637"/>
        </w:trPr>
        <w:tc>
          <w:tcPr>
            <w:tcW w:w="534" w:type="dxa"/>
            <w:shd w:val="clear" w:color="auto" w:fill="auto"/>
            <w:tcFitText/>
          </w:tcPr>
          <w:p w:rsidR="0084636B" w:rsidRPr="002E6ECA" w:rsidRDefault="0084636B" w:rsidP="009A2CF7">
            <w:pPr>
              <w:pStyle w:val="a3"/>
              <w:numPr>
                <w:ilvl w:val="0"/>
                <w:numId w:val="29"/>
              </w:numPr>
              <w:rPr>
                <w:b/>
                <w:lang w:val="uk-UA"/>
              </w:rPr>
            </w:pPr>
          </w:p>
        </w:tc>
        <w:tc>
          <w:tcPr>
            <w:tcW w:w="3827" w:type="dxa"/>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бути</w:t>
            </w:r>
            <w:r w:rsidR="00D46B1B" w:rsidRPr="002E6ECA">
              <w:rPr>
                <w:spacing w:val="4"/>
                <w:lang w:val="uk-UA"/>
              </w:rPr>
              <w:t xml:space="preserve"> </w:t>
            </w:r>
            <w:r w:rsidRPr="002E6ECA">
              <w:rPr>
                <w:spacing w:val="4"/>
                <w:lang w:val="uk-UA"/>
              </w:rPr>
              <w:t>активним</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перервах?</w:t>
            </w: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1005" w:type="dxa"/>
            <w:shd w:val="clear" w:color="auto" w:fill="auto"/>
          </w:tcPr>
          <w:p w:rsidR="0084636B" w:rsidRPr="002E6ECA" w:rsidRDefault="0084636B" w:rsidP="00372EE3">
            <w:pPr>
              <w:jc w:val="center"/>
              <w:rPr>
                <w:b/>
                <w:lang w:val="uk-UA"/>
              </w:rPr>
            </w:pPr>
          </w:p>
        </w:tc>
        <w:tc>
          <w:tcPr>
            <w:tcW w:w="1122" w:type="dxa"/>
            <w:shd w:val="clear" w:color="auto" w:fill="auto"/>
          </w:tcPr>
          <w:p w:rsidR="0084636B" w:rsidRPr="002E6ECA" w:rsidRDefault="0084636B" w:rsidP="00372EE3">
            <w:pPr>
              <w:jc w:val="center"/>
              <w:rPr>
                <w:b/>
                <w:lang w:val="uk-UA"/>
              </w:rPr>
            </w:pPr>
          </w:p>
        </w:tc>
      </w:tr>
      <w:tr w:rsidR="008C4DB5" w:rsidRPr="002E6ECA" w:rsidTr="008C4DB5">
        <w:trPr>
          <w:trHeight w:val="783"/>
        </w:trPr>
        <w:tc>
          <w:tcPr>
            <w:tcW w:w="534" w:type="dxa"/>
            <w:shd w:val="clear" w:color="auto" w:fill="auto"/>
            <w:tcFitText/>
          </w:tcPr>
          <w:p w:rsidR="0084636B" w:rsidRPr="002E6ECA" w:rsidRDefault="0084636B" w:rsidP="009A2CF7">
            <w:pPr>
              <w:pStyle w:val="a3"/>
              <w:numPr>
                <w:ilvl w:val="0"/>
                <w:numId w:val="29"/>
              </w:numPr>
              <w:rPr>
                <w:b/>
                <w:lang w:val="uk-UA"/>
              </w:rPr>
            </w:pPr>
          </w:p>
        </w:tc>
        <w:tc>
          <w:tcPr>
            <w:tcW w:w="3827" w:type="dxa"/>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виконувати</w:t>
            </w:r>
            <w:r w:rsidR="00D46B1B" w:rsidRPr="002E6ECA">
              <w:rPr>
                <w:spacing w:val="4"/>
                <w:lang w:val="uk-UA"/>
              </w:rPr>
              <w:t xml:space="preserve"> </w:t>
            </w:r>
            <w:r w:rsidRPr="002E6ECA">
              <w:rPr>
                <w:spacing w:val="4"/>
                <w:lang w:val="uk-UA"/>
              </w:rPr>
              <w:t>запланований</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тиждень</w:t>
            </w:r>
            <w:r w:rsidR="00D46B1B" w:rsidRPr="002E6ECA">
              <w:rPr>
                <w:spacing w:val="4"/>
                <w:lang w:val="uk-UA"/>
              </w:rPr>
              <w:t xml:space="preserve"> </w:t>
            </w:r>
            <w:r w:rsidRPr="002E6ECA">
              <w:rPr>
                <w:spacing w:val="4"/>
                <w:lang w:val="uk-UA"/>
              </w:rPr>
              <w:t>обсяг</w:t>
            </w:r>
            <w:r w:rsidR="00D46B1B" w:rsidRPr="002E6ECA">
              <w:rPr>
                <w:spacing w:val="4"/>
                <w:lang w:val="uk-UA"/>
              </w:rPr>
              <w:t xml:space="preserve"> </w:t>
            </w:r>
            <w:r w:rsidRPr="002E6ECA">
              <w:rPr>
                <w:spacing w:val="4"/>
                <w:lang w:val="uk-UA"/>
              </w:rPr>
              <w:t>завдань?</w:t>
            </w: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992" w:type="dxa"/>
            <w:shd w:val="clear" w:color="auto" w:fill="auto"/>
          </w:tcPr>
          <w:p w:rsidR="0084636B" w:rsidRPr="002E6ECA" w:rsidRDefault="0084636B" w:rsidP="00372EE3">
            <w:pPr>
              <w:jc w:val="center"/>
              <w:rPr>
                <w:b/>
                <w:lang w:val="uk-UA"/>
              </w:rPr>
            </w:pPr>
          </w:p>
        </w:tc>
        <w:tc>
          <w:tcPr>
            <w:tcW w:w="1005" w:type="dxa"/>
            <w:shd w:val="clear" w:color="auto" w:fill="auto"/>
          </w:tcPr>
          <w:p w:rsidR="0084636B" w:rsidRPr="002E6ECA" w:rsidRDefault="0084636B" w:rsidP="00372EE3">
            <w:pPr>
              <w:jc w:val="center"/>
              <w:rPr>
                <w:b/>
                <w:lang w:val="uk-UA"/>
              </w:rPr>
            </w:pPr>
          </w:p>
        </w:tc>
        <w:tc>
          <w:tcPr>
            <w:tcW w:w="1122" w:type="dxa"/>
            <w:shd w:val="clear" w:color="auto" w:fill="auto"/>
          </w:tcPr>
          <w:p w:rsidR="0084636B" w:rsidRPr="002E6ECA" w:rsidRDefault="0084636B" w:rsidP="00372EE3">
            <w:pPr>
              <w:jc w:val="center"/>
              <w:rPr>
                <w:b/>
                <w:lang w:val="uk-UA"/>
              </w:rPr>
            </w:pPr>
          </w:p>
        </w:tc>
      </w:tr>
    </w:tbl>
    <w:p w:rsidR="008C4DB5" w:rsidRPr="002E6ECA" w:rsidRDefault="008C4DB5" w:rsidP="008C4DB5">
      <w:pPr>
        <w:pStyle w:val="a3"/>
        <w:shd w:val="clear" w:color="auto" w:fill="FFFFFF"/>
        <w:ind w:left="375" w:right="23"/>
        <w:rPr>
          <w:lang w:val="uk-UA"/>
        </w:rPr>
      </w:pPr>
    </w:p>
    <w:p w:rsidR="0084636B" w:rsidRPr="002E6ECA" w:rsidRDefault="0084636B" w:rsidP="009A2CF7">
      <w:pPr>
        <w:pStyle w:val="a3"/>
        <w:numPr>
          <w:ilvl w:val="0"/>
          <w:numId w:val="29"/>
        </w:numPr>
        <w:shd w:val="clear" w:color="auto" w:fill="FFFFFF"/>
        <w:ind w:right="23"/>
        <w:rPr>
          <w:lang w:val="uk-UA"/>
        </w:rPr>
      </w:pPr>
      <w:r w:rsidRPr="002E6ECA">
        <w:rPr>
          <w:spacing w:val="-1"/>
          <w:lang w:val="uk-UA"/>
        </w:rPr>
        <w:t>Наскільки</w:t>
      </w:r>
      <w:r w:rsidR="00D46B1B" w:rsidRPr="002E6ECA">
        <w:rPr>
          <w:spacing w:val="-1"/>
          <w:lang w:val="uk-UA"/>
        </w:rPr>
        <w:t xml:space="preserve"> </w:t>
      </w:r>
      <w:r w:rsidRPr="002E6ECA">
        <w:rPr>
          <w:spacing w:val="-1"/>
          <w:lang w:val="uk-UA"/>
        </w:rPr>
        <w:t>Ваш</w:t>
      </w:r>
      <w:r w:rsidR="00D46B1B" w:rsidRPr="002E6ECA">
        <w:rPr>
          <w:spacing w:val="-1"/>
          <w:lang w:val="uk-UA"/>
        </w:rPr>
        <w:t xml:space="preserve"> </w:t>
      </w:r>
      <w:r w:rsidRPr="002E6ECA">
        <w:rPr>
          <w:spacing w:val="-1"/>
          <w:lang w:val="uk-UA"/>
        </w:rPr>
        <w:t>емоційний</w:t>
      </w:r>
      <w:r w:rsidR="00D46B1B" w:rsidRPr="002E6ECA">
        <w:rPr>
          <w:spacing w:val="-1"/>
          <w:lang w:val="uk-UA"/>
        </w:rPr>
        <w:t xml:space="preserve"> </w:t>
      </w:r>
      <w:r w:rsidRPr="002E6ECA">
        <w:rPr>
          <w:spacing w:val="-1"/>
          <w:lang w:val="uk-UA"/>
        </w:rPr>
        <w:t>стан</w:t>
      </w:r>
      <w:r w:rsidR="00D46B1B" w:rsidRPr="002E6ECA">
        <w:rPr>
          <w:spacing w:val="-1"/>
          <w:lang w:val="uk-UA"/>
        </w:rPr>
        <w:t xml:space="preserve"> </w:t>
      </w:r>
      <w:r w:rsidRPr="002E6ECA">
        <w:rPr>
          <w:b/>
          <w:bCs/>
          <w:spacing w:val="-1"/>
          <w:lang w:val="uk-UA"/>
        </w:rPr>
        <w:t>протягом</w:t>
      </w:r>
      <w:r w:rsidR="00D46B1B" w:rsidRPr="002E6ECA">
        <w:rPr>
          <w:b/>
          <w:bCs/>
          <w:spacing w:val="-1"/>
          <w:lang w:val="uk-UA"/>
        </w:rPr>
        <w:t xml:space="preserve"> </w:t>
      </w:r>
      <w:r w:rsidRPr="002E6ECA">
        <w:rPr>
          <w:b/>
          <w:bCs/>
          <w:spacing w:val="-1"/>
          <w:lang w:val="uk-UA"/>
        </w:rPr>
        <w:t>останнього</w:t>
      </w:r>
      <w:r w:rsidR="00D46B1B" w:rsidRPr="002E6ECA">
        <w:rPr>
          <w:b/>
          <w:bCs/>
          <w:spacing w:val="-1"/>
          <w:lang w:val="uk-UA"/>
        </w:rPr>
        <w:t xml:space="preserve"> </w:t>
      </w:r>
      <w:r w:rsidRPr="002E6ECA">
        <w:rPr>
          <w:b/>
          <w:bCs/>
          <w:spacing w:val="-1"/>
          <w:lang w:val="uk-UA"/>
        </w:rPr>
        <w:t>тижня</w:t>
      </w:r>
      <w:r w:rsidR="00D46B1B" w:rsidRPr="002E6ECA">
        <w:rPr>
          <w:spacing w:val="-1"/>
          <w:lang w:val="uk-UA"/>
        </w:rPr>
        <w:t xml:space="preserve"> </w:t>
      </w:r>
      <w:r w:rsidRPr="002E6ECA">
        <w:rPr>
          <w:spacing w:val="-1"/>
          <w:lang w:val="uk-UA"/>
        </w:rPr>
        <w:t>заважав</w:t>
      </w:r>
      <w:r w:rsidR="00D46B1B" w:rsidRPr="002E6ECA">
        <w:rPr>
          <w:spacing w:val="-1"/>
          <w:lang w:val="uk-UA"/>
        </w:rPr>
        <w:t xml:space="preserve">  </w:t>
      </w:r>
      <w:r w:rsidRPr="002E6ECA">
        <w:rPr>
          <w:spacing w:val="-1"/>
          <w:lang w:val="uk-UA"/>
        </w:rPr>
        <w:t>навчатися?</w:t>
      </w:r>
      <w:r w:rsidR="00D46B1B" w:rsidRPr="002E6ECA">
        <w:rPr>
          <w:spacing w:val="-1"/>
          <w:lang w:val="uk-UA"/>
        </w:rPr>
        <w:t xml:space="preserve"> </w:t>
      </w:r>
    </w:p>
    <w:tbl>
      <w:tblPr>
        <w:tblW w:w="9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8"/>
        <w:gridCol w:w="1556"/>
        <w:gridCol w:w="1701"/>
        <w:gridCol w:w="1701"/>
        <w:gridCol w:w="2331"/>
      </w:tblGrid>
      <w:tr w:rsidR="0084636B" w:rsidRPr="002E6ECA" w:rsidTr="002C35C3">
        <w:tc>
          <w:tcPr>
            <w:tcW w:w="2238"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Зовсім</w:t>
            </w:r>
            <w:r w:rsidR="00D46B1B" w:rsidRPr="002E6ECA">
              <w:rPr>
                <w:spacing w:val="4"/>
                <w:lang w:val="uk-UA"/>
              </w:rPr>
              <w:t xml:space="preserve"> </w:t>
            </w:r>
          </w:p>
          <w:p w:rsidR="0084636B" w:rsidRPr="002E6ECA" w:rsidRDefault="0084636B" w:rsidP="00372EE3">
            <w:pPr>
              <w:pStyle w:val="a3"/>
              <w:ind w:left="0" w:right="45"/>
              <w:jc w:val="center"/>
              <w:rPr>
                <w:spacing w:val="4"/>
                <w:lang w:val="uk-UA"/>
              </w:rPr>
            </w:pPr>
            <w:r w:rsidRPr="002E6ECA">
              <w:rPr>
                <w:spacing w:val="4"/>
                <w:lang w:val="uk-UA"/>
              </w:rPr>
              <w:t>не</w:t>
            </w:r>
            <w:r w:rsidR="00D46B1B" w:rsidRPr="002E6ECA">
              <w:rPr>
                <w:spacing w:val="4"/>
                <w:lang w:val="uk-UA"/>
              </w:rPr>
              <w:t xml:space="preserve"> </w:t>
            </w:r>
            <w:r w:rsidRPr="002E6ECA">
              <w:rPr>
                <w:spacing w:val="4"/>
                <w:lang w:val="uk-UA"/>
              </w:rPr>
              <w:t>заважав</w:t>
            </w:r>
          </w:p>
        </w:tc>
        <w:tc>
          <w:tcPr>
            <w:tcW w:w="1556"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Трохи</w:t>
            </w:r>
          </w:p>
        </w:tc>
        <w:tc>
          <w:tcPr>
            <w:tcW w:w="170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Помірно</w:t>
            </w:r>
          </w:p>
        </w:tc>
        <w:tc>
          <w:tcPr>
            <w:tcW w:w="170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Сильно</w:t>
            </w:r>
          </w:p>
        </w:tc>
        <w:tc>
          <w:tcPr>
            <w:tcW w:w="2331" w:type="dxa"/>
            <w:shd w:val="clear" w:color="auto" w:fill="auto"/>
            <w:vAlign w:val="center"/>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сильно</w:t>
            </w:r>
          </w:p>
        </w:tc>
      </w:tr>
      <w:tr w:rsidR="0084636B" w:rsidRPr="002E6ECA" w:rsidTr="002C35C3">
        <w:tc>
          <w:tcPr>
            <w:tcW w:w="2238" w:type="dxa"/>
            <w:shd w:val="clear" w:color="auto" w:fill="auto"/>
            <w:vAlign w:val="center"/>
          </w:tcPr>
          <w:p w:rsidR="0084636B" w:rsidRPr="002E6ECA" w:rsidRDefault="0084636B" w:rsidP="00372EE3">
            <w:pPr>
              <w:pStyle w:val="a3"/>
              <w:ind w:left="0" w:right="45"/>
              <w:jc w:val="center"/>
              <w:rPr>
                <w:spacing w:val="4"/>
                <w:lang w:val="uk-UA"/>
              </w:rPr>
            </w:pPr>
          </w:p>
        </w:tc>
        <w:tc>
          <w:tcPr>
            <w:tcW w:w="1556" w:type="dxa"/>
            <w:shd w:val="clear" w:color="auto" w:fill="auto"/>
            <w:vAlign w:val="center"/>
          </w:tcPr>
          <w:p w:rsidR="0084636B" w:rsidRPr="002E6ECA" w:rsidRDefault="0084636B" w:rsidP="00372EE3">
            <w:pPr>
              <w:pStyle w:val="a3"/>
              <w:ind w:left="0" w:right="45"/>
              <w:jc w:val="center"/>
              <w:rPr>
                <w:spacing w:val="4"/>
                <w:lang w:val="uk-UA"/>
              </w:rPr>
            </w:pPr>
          </w:p>
        </w:tc>
        <w:tc>
          <w:tcPr>
            <w:tcW w:w="1701" w:type="dxa"/>
            <w:shd w:val="clear" w:color="auto" w:fill="auto"/>
            <w:vAlign w:val="center"/>
          </w:tcPr>
          <w:p w:rsidR="0084636B" w:rsidRPr="002E6ECA" w:rsidRDefault="0084636B" w:rsidP="00372EE3">
            <w:pPr>
              <w:pStyle w:val="a3"/>
              <w:ind w:left="0" w:right="45"/>
              <w:jc w:val="center"/>
              <w:rPr>
                <w:spacing w:val="4"/>
                <w:lang w:val="uk-UA"/>
              </w:rPr>
            </w:pPr>
          </w:p>
        </w:tc>
        <w:tc>
          <w:tcPr>
            <w:tcW w:w="1701" w:type="dxa"/>
            <w:shd w:val="clear" w:color="auto" w:fill="auto"/>
            <w:vAlign w:val="center"/>
          </w:tcPr>
          <w:p w:rsidR="0084636B" w:rsidRPr="002E6ECA" w:rsidRDefault="0084636B" w:rsidP="00372EE3">
            <w:pPr>
              <w:pStyle w:val="a3"/>
              <w:ind w:left="0" w:right="45"/>
              <w:jc w:val="center"/>
              <w:rPr>
                <w:spacing w:val="4"/>
                <w:lang w:val="uk-UA"/>
              </w:rPr>
            </w:pPr>
          </w:p>
        </w:tc>
        <w:tc>
          <w:tcPr>
            <w:tcW w:w="2331" w:type="dxa"/>
            <w:shd w:val="clear" w:color="auto" w:fill="auto"/>
            <w:vAlign w:val="center"/>
          </w:tcPr>
          <w:p w:rsidR="0084636B" w:rsidRPr="002E6ECA" w:rsidRDefault="0084636B" w:rsidP="00372EE3">
            <w:pPr>
              <w:pStyle w:val="a3"/>
              <w:ind w:left="0" w:right="45"/>
              <w:jc w:val="center"/>
              <w:rPr>
                <w:spacing w:val="4"/>
                <w:lang w:val="uk-UA"/>
              </w:rPr>
            </w:pPr>
          </w:p>
        </w:tc>
      </w:tr>
    </w:tbl>
    <w:p w:rsidR="0084636B" w:rsidRPr="002E6ECA" w:rsidRDefault="0084636B" w:rsidP="00372EE3">
      <w:pPr>
        <w:pStyle w:val="a3"/>
        <w:shd w:val="clear" w:color="auto" w:fill="FFFFFF"/>
        <w:ind w:left="360" w:right="24"/>
        <w:rPr>
          <w:lang w:val="uk-UA"/>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3794"/>
        <w:gridCol w:w="1123"/>
        <w:gridCol w:w="976"/>
        <w:gridCol w:w="878"/>
        <w:gridCol w:w="992"/>
        <w:gridCol w:w="1134"/>
      </w:tblGrid>
      <w:tr w:rsidR="008C4DB5" w:rsidRPr="002E6ECA" w:rsidTr="008C4DB5">
        <w:tc>
          <w:tcPr>
            <w:tcW w:w="601" w:type="dxa"/>
            <w:tcBorders>
              <w:top w:val="nil"/>
              <w:left w:val="nil"/>
              <w:bottom w:val="single" w:sz="4" w:space="0" w:color="auto"/>
              <w:right w:val="nil"/>
            </w:tcBorders>
            <w:shd w:val="clear" w:color="auto" w:fill="auto"/>
          </w:tcPr>
          <w:p w:rsidR="0084636B" w:rsidRPr="002E6ECA" w:rsidRDefault="0084636B" w:rsidP="00372EE3">
            <w:pPr>
              <w:pStyle w:val="a3"/>
              <w:tabs>
                <w:tab w:val="left" w:pos="802"/>
              </w:tabs>
              <w:ind w:left="0"/>
              <w:jc w:val="both"/>
              <w:rPr>
                <w:spacing w:val="7"/>
                <w:lang w:val="uk-UA"/>
              </w:rPr>
            </w:pPr>
          </w:p>
        </w:tc>
        <w:tc>
          <w:tcPr>
            <w:tcW w:w="3794" w:type="dxa"/>
            <w:tcBorders>
              <w:top w:val="nil"/>
              <w:left w:val="nil"/>
              <w:bottom w:val="single" w:sz="4" w:space="0" w:color="auto"/>
              <w:right w:val="single" w:sz="4" w:space="0" w:color="auto"/>
            </w:tcBorders>
            <w:shd w:val="clear" w:color="auto" w:fill="auto"/>
          </w:tcPr>
          <w:p w:rsidR="0084636B" w:rsidRPr="002E6ECA" w:rsidRDefault="00972A12" w:rsidP="00372EE3">
            <w:pPr>
              <w:pStyle w:val="a3"/>
              <w:tabs>
                <w:tab w:val="left" w:pos="802"/>
              </w:tabs>
              <w:ind w:left="0"/>
              <w:jc w:val="both"/>
              <w:rPr>
                <w:spacing w:val="7"/>
                <w:lang w:val="uk-UA"/>
              </w:rPr>
            </w:pPr>
            <w:r w:rsidRPr="002E6ECA">
              <w:rPr>
                <w:spacing w:val="-1"/>
                <w:lang w:val="uk-UA"/>
              </w:rPr>
              <w:t xml:space="preserve">Як часто </w:t>
            </w:r>
            <w:r w:rsidRPr="002E6ECA">
              <w:rPr>
                <w:b/>
                <w:bCs/>
                <w:spacing w:val="-1"/>
                <w:lang w:val="uk-UA"/>
              </w:rPr>
              <w:t>протягом останнього тижня</w:t>
            </w:r>
            <w:r w:rsidRPr="002E6ECA">
              <w:rPr>
                <w:spacing w:val="-1"/>
                <w:lang w:val="uk-UA"/>
              </w:rPr>
              <w:t xml:space="preserve"> Ваш емоційний стан заважав  активно спілкуватися з:                                </w:t>
            </w:r>
          </w:p>
        </w:tc>
        <w:tc>
          <w:tcPr>
            <w:tcW w:w="1123" w:type="dxa"/>
            <w:tcBorders>
              <w:left w:val="single" w:sz="4" w:space="0" w:color="auto"/>
            </w:tcBorders>
            <w:shd w:val="clear" w:color="auto" w:fill="auto"/>
          </w:tcPr>
          <w:p w:rsidR="0084636B" w:rsidRPr="002E6ECA" w:rsidRDefault="0084636B" w:rsidP="00372EE3">
            <w:pPr>
              <w:pStyle w:val="a3"/>
              <w:ind w:left="0" w:right="45"/>
              <w:jc w:val="center"/>
              <w:rPr>
                <w:spacing w:val="4"/>
                <w:lang w:val="uk-UA"/>
              </w:rPr>
            </w:pPr>
            <w:r w:rsidRPr="002E6ECA">
              <w:rPr>
                <w:spacing w:val="4"/>
                <w:lang w:val="uk-UA"/>
              </w:rPr>
              <w:t>ніколи</w:t>
            </w:r>
          </w:p>
        </w:tc>
        <w:tc>
          <w:tcPr>
            <w:tcW w:w="976"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іноді</w:t>
            </w:r>
          </w:p>
        </w:tc>
        <w:tc>
          <w:tcPr>
            <w:tcW w:w="878"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часто</w:t>
            </w:r>
          </w:p>
        </w:tc>
        <w:tc>
          <w:tcPr>
            <w:tcW w:w="992"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1134"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весь</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p>
        </w:tc>
      </w:tr>
      <w:tr w:rsidR="008C4DB5" w:rsidRPr="002E6ECA" w:rsidTr="008C4DB5">
        <w:trPr>
          <w:trHeight w:val="397"/>
        </w:trPr>
        <w:tc>
          <w:tcPr>
            <w:tcW w:w="601" w:type="dxa"/>
            <w:tcBorders>
              <w:top w:val="single" w:sz="4" w:space="0" w:color="auto"/>
            </w:tcBorders>
            <w:shd w:val="clear" w:color="auto" w:fill="auto"/>
          </w:tcPr>
          <w:p w:rsidR="0084636B" w:rsidRPr="002E6ECA" w:rsidRDefault="0084636B" w:rsidP="009A2CF7">
            <w:pPr>
              <w:pStyle w:val="a3"/>
              <w:numPr>
                <w:ilvl w:val="0"/>
                <w:numId w:val="29"/>
              </w:numPr>
              <w:rPr>
                <w:b/>
                <w:lang w:val="uk-UA"/>
              </w:rPr>
            </w:pPr>
          </w:p>
        </w:tc>
        <w:tc>
          <w:tcPr>
            <w:tcW w:w="3794" w:type="dxa"/>
            <w:tcBorders>
              <w:top w:val="single" w:sz="4" w:space="0" w:color="auto"/>
            </w:tcBorders>
            <w:shd w:val="clear" w:color="auto" w:fill="auto"/>
          </w:tcPr>
          <w:p w:rsidR="0084636B" w:rsidRPr="002E6ECA" w:rsidRDefault="00D46B1B" w:rsidP="00372EE3">
            <w:pPr>
              <w:pStyle w:val="a3"/>
              <w:ind w:left="0" w:right="45"/>
              <w:rPr>
                <w:spacing w:val="4"/>
                <w:lang w:val="uk-UA"/>
              </w:rPr>
            </w:pPr>
            <w:r w:rsidRPr="002E6ECA">
              <w:rPr>
                <w:spacing w:val="4"/>
                <w:lang w:val="uk-UA"/>
              </w:rPr>
              <w:t xml:space="preserve">  </w:t>
            </w:r>
            <w:r w:rsidR="0084636B" w:rsidRPr="002E6ECA">
              <w:rPr>
                <w:spacing w:val="4"/>
                <w:lang w:val="uk-UA"/>
              </w:rPr>
              <w:t>друзями</w:t>
            </w:r>
          </w:p>
        </w:tc>
        <w:tc>
          <w:tcPr>
            <w:tcW w:w="1123" w:type="dxa"/>
            <w:shd w:val="clear" w:color="auto" w:fill="auto"/>
          </w:tcPr>
          <w:p w:rsidR="0084636B" w:rsidRPr="002E6ECA" w:rsidRDefault="0084636B" w:rsidP="00372EE3">
            <w:pPr>
              <w:pStyle w:val="a3"/>
              <w:ind w:left="0" w:right="45"/>
              <w:jc w:val="center"/>
              <w:rPr>
                <w:spacing w:val="4"/>
                <w:lang w:val="uk-UA"/>
              </w:rPr>
            </w:pPr>
          </w:p>
        </w:tc>
        <w:tc>
          <w:tcPr>
            <w:tcW w:w="976" w:type="dxa"/>
            <w:shd w:val="clear" w:color="auto" w:fill="auto"/>
          </w:tcPr>
          <w:p w:rsidR="0084636B" w:rsidRPr="002E6ECA" w:rsidRDefault="0084636B" w:rsidP="00372EE3">
            <w:pPr>
              <w:pStyle w:val="a3"/>
              <w:ind w:left="0" w:right="45"/>
              <w:jc w:val="center"/>
              <w:rPr>
                <w:spacing w:val="4"/>
                <w:lang w:val="uk-UA"/>
              </w:rPr>
            </w:pPr>
          </w:p>
        </w:tc>
        <w:tc>
          <w:tcPr>
            <w:tcW w:w="878" w:type="dxa"/>
            <w:shd w:val="clear" w:color="auto" w:fill="auto"/>
          </w:tcPr>
          <w:p w:rsidR="0084636B" w:rsidRPr="002E6ECA" w:rsidRDefault="0084636B" w:rsidP="00372EE3">
            <w:pPr>
              <w:pStyle w:val="a3"/>
              <w:ind w:left="0" w:right="45"/>
              <w:jc w:val="center"/>
              <w:rPr>
                <w:spacing w:val="4"/>
                <w:lang w:val="uk-UA"/>
              </w:rPr>
            </w:pPr>
          </w:p>
        </w:tc>
        <w:tc>
          <w:tcPr>
            <w:tcW w:w="992" w:type="dxa"/>
            <w:shd w:val="clear" w:color="auto" w:fill="auto"/>
          </w:tcPr>
          <w:p w:rsidR="0084636B" w:rsidRPr="002E6ECA" w:rsidRDefault="0084636B" w:rsidP="00372EE3">
            <w:pPr>
              <w:pStyle w:val="a3"/>
              <w:ind w:left="0" w:right="45"/>
              <w:jc w:val="center"/>
              <w:rPr>
                <w:spacing w:val="4"/>
                <w:lang w:val="uk-UA"/>
              </w:rPr>
            </w:pPr>
          </w:p>
        </w:tc>
        <w:tc>
          <w:tcPr>
            <w:tcW w:w="1134" w:type="dxa"/>
            <w:shd w:val="clear" w:color="auto" w:fill="auto"/>
          </w:tcPr>
          <w:p w:rsidR="0084636B" w:rsidRPr="002E6ECA" w:rsidRDefault="0084636B" w:rsidP="00372EE3">
            <w:pPr>
              <w:pStyle w:val="a3"/>
              <w:ind w:left="0" w:right="45"/>
              <w:jc w:val="center"/>
              <w:rPr>
                <w:spacing w:val="4"/>
                <w:lang w:val="uk-UA"/>
              </w:rPr>
            </w:pPr>
          </w:p>
        </w:tc>
      </w:tr>
      <w:tr w:rsidR="008C4DB5" w:rsidRPr="002E6ECA" w:rsidTr="008C4DB5">
        <w:trPr>
          <w:trHeight w:val="397"/>
        </w:trPr>
        <w:tc>
          <w:tcPr>
            <w:tcW w:w="601" w:type="dxa"/>
            <w:shd w:val="clear" w:color="auto" w:fill="auto"/>
          </w:tcPr>
          <w:p w:rsidR="0084636B" w:rsidRPr="002E6ECA" w:rsidRDefault="0084636B" w:rsidP="009A2CF7">
            <w:pPr>
              <w:pStyle w:val="a3"/>
              <w:numPr>
                <w:ilvl w:val="0"/>
                <w:numId w:val="29"/>
              </w:numPr>
              <w:rPr>
                <w:b/>
                <w:lang w:val="uk-UA"/>
              </w:rPr>
            </w:pPr>
          </w:p>
        </w:tc>
        <w:tc>
          <w:tcPr>
            <w:tcW w:w="3794" w:type="dxa"/>
            <w:shd w:val="clear" w:color="auto" w:fill="auto"/>
          </w:tcPr>
          <w:p w:rsidR="0084636B" w:rsidRPr="002E6ECA" w:rsidRDefault="00D46B1B" w:rsidP="00372EE3">
            <w:pPr>
              <w:pStyle w:val="a3"/>
              <w:ind w:left="0" w:right="45"/>
              <w:rPr>
                <w:spacing w:val="4"/>
                <w:lang w:val="uk-UA"/>
              </w:rPr>
            </w:pPr>
            <w:r w:rsidRPr="002E6ECA">
              <w:rPr>
                <w:spacing w:val="4"/>
                <w:lang w:val="uk-UA"/>
              </w:rPr>
              <w:t xml:space="preserve">  </w:t>
            </w:r>
            <w:r w:rsidR="0084636B" w:rsidRPr="002E6ECA">
              <w:rPr>
                <w:spacing w:val="4"/>
                <w:lang w:val="uk-UA"/>
              </w:rPr>
              <w:t>батьками</w:t>
            </w:r>
          </w:p>
        </w:tc>
        <w:tc>
          <w:tcPr>
            <w:tcW w:w="1123" w:type="dxa"/>
            <w:shd w:val="clear" w:color="auto" w:fill="auto"/>
          </w:tcPr>
          <w:p w:rsidR="0084636B" w:rsidRPr="002E6ECA" w:rsidRDefault="0084636B" w:rsidP="00372EE3">
            <w:pPr>
              <w:pStyle w:val="a3"/>
              <w:ind w:left="0" w:right="45"/>
              <w:jc w:val="center"/>
              <w:rPr>
                <w:spacing w:val="4"/>
                <w:lang w:val="uk-UA"/>
              </w:rPr>
            </w:pPr>
          </w:p>
        </w:tc>
        <w:tc>
          <w:tcPr>
            <w:tcW w:w="976" w:type="dxa"/>
            <w:shd w:val="clear" w:color="auto" w:fill="auto"/>
          </w:tcPr>
          <w:p w:rsidR="0084636B" w:rsidRPr="002E6ECA" w:rsidRDefault="0084636B" w:rsidP="00372EE3">
            <w:pPr>
              <w:pStyle w:val="a3"/>
              <w:ind w:left="0" w:right="45"/>
              <w:jc w:val="center"/>
              <w:rPr>
                <w:spacing w:val="4"/>
                <w:lang w:val="uk-UA"/>
              </w:rPr>
            </w:pPr>
          </w:p>
        </w:tc>
        <w:tc>
          <w:tcPr>
            <w:tcW w:w="878" w:type="dxa"/>
            <w:shd w:val="clear" w:color="auto" w:fill="auto"/>
          </w:tcPr>
          <w:p w:rsidR="0084636B" w:rsidRPr="002E6ECA" w:rsidRDefault="0084636B" w:rsidP="00372EE3">
            <w:pPr>
              <w:pStyle w:val="a3"/>
              <w:ind w:left="0" w:right="45"/>
              <w:jc w:val="center"/>
              <w:rPr>
                <w:spacing w:val="4"/>
                <w:lang w:val="uk-UA"/>
              </w:rPr>
            </w:pPr>
          </w:p>
        </w:tc>
        <w:tc>
          <w:tcPr>
            <w:tcW w:w="992" w:type="dxa"/>
            <w:shd w:val="clear" w:color="auto" w:fill="auto"/>
          </w:tcPr>
          <w:p w:rsidR="0084636B" w:rsidRPr="002E6ECA" w:rsidRDefault="0084636B" w:rsidP="00372EE3">
            <w:pPr>
              <w:pStyle w:val="a3"/>
              <w:ind w:left="0" w:right="45"/>
              <w:jc w:val="center"/>
              <w:rPr>
                <w:spacing w:val="4"/>
                <w:lang w:val="uk-UA"/>
              </w:rPr>
            </w:pPr>
          </w:p>
        </w:tc>
        <w:tc>
          <w:tcPr>
            <w:tcW w:w="1134" w:type="dxa"/>
            <w:shd w:val="clear" w:color="auto" w:fill="auto"/>
          </w:tcPr>
          <w:p w:rsidR="0084636B" w:rsidRPr="002E6ECA" w:rsidRDefault="0084636B" w:rsidP="00372EE3">
            <w:pPr>
              <w:pStyle w:val="a3"/>
              <w:ind w:left="0" w:right="45"/>
              <w:jc w:val="center"/>
              <w:rPr>
                <w:spacing w:val="4"/>
                <w:lang w:val="uk-UA"/>
              </w:rPr>
            </w:pPr>
          </w:p>
        </w:tc>
      </w:tr>
      <w:tr w:rsidR="008C4DB5" w:rsidRPr="002E6ECA" w:rsidTr="008C4DB5">
        <w:trPr>
          <w:trHeight w:val="397"/>
        </w:trPr>
        <w:tc>
          <w:tcPr>
            <w:tcW w:w="601" w:type="dxa"/>
            <w:shd w:val="clear" w:color="auto" w:fill="auto"/>
          </w:tcPr>
          <w:p w:rsidR="0084636B" w:rsidRPr="002E6ECA" w:rsidRDefault="0084636B" w:rsidP="009A2CF7">
            <w:pPr>
              <w:pStyle w:val="a3"/>
              <w:numPr>
                <w:ilvl w:val="0"/>
                <w:numId w:val="29"/>
              </w:numPr>
              <w:rPr>
                <w:b/>
                <w:lang w:val="uk-UA"/>
              </w:rPr>
            </w:pPr>
          </w:p>
        </w:tc>
        <w:tc>
          <w:tcPr>
            <w:tcW w:w="3794" w:type="dxa"/>
            <w:shd w:val="clear" w:color="auto" w:fill="auto"/>
          </w:tcPr>
          <w:p w:rsidR="0084636B" w:rsidRPr="002E6ECA" w:rsidRDefault="00D46B1B" w:rsidP="00372EE3">
            <w:pPr>
              <w:pStyle w:val="a3"/>
              <w:ind w:left="0" w:right="45"/>
              <w:rPr>
                <w:spacing w:val="4"/>
                <w:lang w:val="uk-UA"/>
              </w:rPr>
            </w:pPr>
            <w:r w:rsidRPr="002E6ECA">
              <w:rPr>
                <w:spacing w:val="4"/>
                <w:lang w:val="uk-UA"/>
              </w:rPr>
              <w:t xml:space="preserve">  </w:t>
            </w:r>
            <w:r w:rsidR="0084636B" w:rsidRPr="002E6ECA">
              <w:rPr>
                <w:spacing w:val="4"/>
                <w:lang w:val="uk-UA"/>
              </w:rPr>
              <w:t>вчителями</w:t>
            </w:r>
          </w:p>
        </w:tc>
        <w:tc>
          <w:tcPr>
            <w:tcW w:w="1123" w:type="dxa"/>
            <w:shd w:val="clear" w:color="auto" w:fill="auto"/>
          </w:tcPr>
          <w:p w:rsidR="0084636B" w:rsidRPr="002E6ECA" w:rsidRDefault="0084636B" w:rsidP="00372EE3">
            <w:pPr>
              <w:pStyle w:val="a3"/>
              <w:ind w:left="0" w:right="45"/>
              <w:jc w:val="center"/>
              <w:rPr>
                <w:spacing w:val="4"/>
                <w:lang w:val="uk-UA"/>
              </w:rPr>
            </w:pPr>
          </w:p>
        </w:tc>
        <w:tc>
          <w:tcPr>
            <w:tcW w:w="976" w:type="dxa"/>
            <w:shd w:val="clear" w:color="auto" w:fill="auto"/>
          </w:tcPr>
          <w:p w:rsidR="0084636B" w:rsidRPr="002E6ECA" w:rsidRDefault="0084636B" w:rsidP="00372EE3">
            <w:pPr>
              <w:pStyle w:val="a3"/>
              <w:ind w:left="0" w:right="45"/>
              <w:jc w:val="center"/>
              <w:rPr>
                <w:spacing w:val="4"/>
                <w:lang w:val="uk-UA"/>
              </w:rPr>
            </w:pPr>
          </w:p>
        </w:tc>
        <w:tc>
          <w:tcPr>
            <w:tcW w:w="878" w:type="dxa"/>
            <w:shd w:val="clear" w:color="auto" w:fill="auto"/>
          </w:tcPr>
          <w:p w:rsidR="0084636B" w:rsidRPr="002E6ECA" w:rsidRDefault="0084636B" w:rsidP="00372EE3">
            <w:pPr>
              <w:pStyle w:val="a3"/>
              <w:ind w:left="0" w:right="45"/>
              <w:jc w:val="center"/>
              <w:rPr>
                <w:spacing w:val="4"/>
                <w:lang w:val="uk-UA"/>
              </w:rPr>
            </w:pPr>
          </w:p>
        </w:tc>
        <w:tc>
          <w:tcPr>
            <w:tcW w:w="992" w:type="dxa"/>
            <w:shd w:val="clear" w:color="auto" w:fill="auto"/>
          </w:tcPr>
          <w:p w:rsidR="0084636B" w:rsidRPr="002E6ECA" w:rsidRDefault="0084636B" w:rsidP="00372EE3">
            <w:pPr>
              <w:pStyle w:val="a3"/>
              <w:ind w:left="0" w:right="45"/>
              <w:jc w:val="center"/>
              <w:rPr>
                <w:spacing w:val="4"/>
                <w:lang w:val="uk-UA"/>
              </w:rPr>
            </w:pPr>
          </w:p>
        </w:tc>
        <w:tc>
          <w:tcPr>
            <w:tcW w:w="1134" w:type="dxa"/>
            <w:shd w:val="clear" w:color="auto" w:fill="auto"/>
          </w:tcPr>
          <w:p w:rsidR="0084636B" w:rsidRPr="002E6ECA" w:rsidRDefault="0084636B" w:rsidP="00372EE3">
            <w:pPr>
              <w:pStyle w:val="a3"/>
              <w:ind w:left="0" w:right="45"/>
              <w:jc w:val="center"/>
              <w:rPr>
                <w:spacing w:val="4"/>
                <w:lang w:val="uk-UA"/>
              </w:rPr>
            </w:pPr>
          </w:p>
        </w:tc>
      </w:tr>
    </w:tbl>
    <w:p w:rsidR="0084636B" w:rsidRPr="002E6ECA" w:rsidRDefault="00D46B1B" w:rsidP="00372EE3">
      <w:pPr>
        <w:pStyle w:val="a3"/>
        <w:shd w:val="clear" w:color="auto" w:fill="FFFFFF"/>
        <w:tabs>
          <w:tab w:val="left" w:pos="802"/>
        </w:tabs>
        <w:jc w:val="both"/>
        <w:rPr>
          <w:spacing w:val="7"/>
          <w:lang w:val="uk-UA"/>
        </w:rPr>
      </w:pPr>
      <w:r w:rsidRPr="002E6ECA">
        <w:rPr>
          <w:spacing w:val="-1"/>
          <w:lang w:val="uk-UA"/>
        </w:rPr>
        <w:t xml:space="preserve">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3731"/>
        <w:gridCol w:w="997"/>
        <w:gridCol w:w="968"/>
        <w:gridCol w:w="947"/>
        <w:gridCol w:w="992"/>
        <w:gridCol w:w="1199"/>
      </w:tblGrid>
      <w:tr w:rsidR="008C4DB5" w:rsidRPr="002E6ECA" w:rsidTr="008C4DB5">
        <w:tc>
          <w:tcPr>
            <w:tcW w:w="664" w:type="dxa"/>
            <w:tcBorders>
              <w:top w:val="nil"/>
              <w:left w:val="nil"/>
              <w:bottom w:val="single" w:sz="4" w:space="0" w:color="auto"/>
              <w:right w:val="nil"/>
            </w:tcBorders>
            <w:shd w:val="clear" w:color="auto" w:fill="auto"/>
          </w:tcPr>
          <w:p w:rsidR="0084636B" w:rsidRPr="002E6ECA" w:rsidRDefault="0084636B" w:rsidP="00372EE3">
            <w:pPr>
              <w:pStyle w:val="a3"/>
              <w:tabs>
                <w:tab w:val="left" w:pos="802"/>
              </w:tabs>
              <w:ind w:left="0"/>
              <w:jc w:val="both"/>
              <w:rPr>
                <w:spacing w:val="7"/>
                <w:lang w:val="uk-UA"/>
              </w:rPr>
            </w:pPr>
          </w:p>
          <w:p w:rsidR="0084636B" w:rsidRPr="002E6ECA" w:rsidRDefault="0084636B" w:rsidP="00372EE3">
            <w:pPr>
              <w:pStyle w:val="a3"/>
              <w:tabs>
                <w:tab w:val="left" w:pos="802"/>
              </w:tabs>
              <w:ind w:left="0"/>
              <w:jc w:val="both"/>
              <w:rPr>
                <w:spacing w:val="7"/>
                <w:lang w:val="uk-UA"/>
              </w:rPr>
            </w:pPr>
          </w:p>
        </w:tc>
        <w:tc>
          <w:tcPr>
            <w:tcW w:w="3731" w:type="dxa"/>
            <w:tcBorders>
              <w:top w:val="nil"/>
              <w:left w:val="nil"/>
              <w:bottom w:val="single" w:sz="4" w:space="0" w:color="auto"/>
              <w:right w:val="single" w:sz="4" w:space="0" w:color="auto"/>
            </w:tcBorders>
            <w:shd w:val="clear" w:color="auto" w:fill="auto"/>
          </w:tcPr>
          <w:p w:rsidR="0084636B" w:rsidRPr="002E6ECA" w:rsidRDefault="00972A12" w:rsidP="00972A12">
            <w:pPr>
              <w:pStyle w:val="a3"/>
              <w:shd w:val="clear" w:color="auto" w:fill="FFFFFF"/>
              <w:tabs>
                <w:tab w:val="left" w:pos="802"/>
              </w:tabs>
              <w:jc w:val="both"/>
              <w:rPr>
                <w:spacing w:val="7"/>
                <w:lang w:val="uk-UA"/>
              </w:rPr>
            </w:pPr>
            <w:r w:rsidRPr="002E6ECA">
              <w:rPr>
                <w:spacing w:val="-1"/>
                <w:lang w:val="uk-UA"/>
              </w:rPr>
              <w:t xml:space="preserve">Ваші стосунки з друзями </w:t>
            </w:r>
            <w:r w:rsidRPr="002E6ECA">
              <w:rPr>
                <w:b/>
                <w:spacing w:val="-1"/>
                <w:lang w:val="uk-UA"/>
              </w:rPr>
              <w:t>протягом останнього тижня</w:t>
            </w:r>
          </w:p>
        </w:tc>
        <w:tc>
          <w:tcPr>
            <w:tcW w:w="997" w:type="dxa"/>
            <w:tcBorders>
              <w:left w:val="single" w:sz="4" w:space="0" w:color="auto"/>
            </w:tcBorders>
            <w:shd w:val="clear" w:color="auto" w:fill="auto"/>
          </w:tcPr>
          <w:p w:rsidR="0084636B" w:rsidRPr="002E6ECA" w:rsidRDefault="0084636B" w:rsidP="00372EE3">
            <w:pPr>
              <w:jc w:val="center"/>
              <w:rPr>
                <w:spacing w:val="4"/>
                <w:lang w:val="uk-UA"/>
              </w:rPr>
            </w:pPr>
            <w:r w:rsidRPr="002E6ECA">
              <w:rPr>
                <w:spacing w:val="4"/>
                <w:lang w:val="uk-UA"/>
              </w:rPr>
              <w:t>ніколи</w:t>
            </w:r>
          </w:p>
        </w:tc>
        <w:tc>
          <w:tcPr>
            <w:tcW w:w="968" w:type="dxa"/>
            <w:shd w:val="clear" w:color="auto" w:fill="auto"/>
          </w:tcPr>
          <w:p w:rsidR="0084636B" w:rsidRPr="002E6ECA" w:rsidRDefault="0084636B" w:rsidP="00372EE3">
            <w:pPr>
              <w:jc w:val="center"/>
              <w:rPr>
                <w:spacing w:val="4"/>
                <w:lang w:val="uk-UA"/>
              </w:rPr>
            </w:pPr>
            <w:r w:rsidRPr="002E6ECA">
              <w:rPr>
                <w:spacing w:val="4"/>
                <w:lang w:val="uk-UA"/>
              </w:rPr>
              <w:t>іноді</w:t>
            </w:r>
          </w:p>
        </w:tc>
        <w:tc>
          <w:tcPr>
            <w:tcW w:w="947" w:type="dxa"/>
            <w:shd w:val="clear" w:color="auto" w:fill="auto"/>
          </w:tcPr>
          <w:p w:rsidR="0084636B" w:rsidRPr="002E6ECA" w:rsidRDefault="0084636B" w:rsidP="00372EE3">
            <w:pPr>
              <w:jc w:val="center"/>
              <w:rPr>
                <w:spacing w:val="4"/>
                <w:lang w:val="uk-UA"/>
              </w:rPr>
            </w:pPr>
            <w:r w:rsidRPr="002E6ECA">
              <w:rPr>
                <w:spacing w:val="4"/>
                <w:lang w:val="uk-UA"/>
              </w:rPr>
              <w:t>часто</w:t>
            </w:r>
          </w:p>
        </w:tc>
        <w:tc>
          <w:tcPr>
            <w:tcW w:w="992" w:type="dxa"/>
            <w:shd w:val="clear" w:color="auto" w:fill="auto"/>
          </w:tcPr>
          <w:p w:rsidR="0084636B" w:rsidRPr="002E6ECA" w:rsidRDefault="0084636B" w:rsidP="00372EE3">
            <w:pPr>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1199" w:type="dxa"/>
            <w:shd w:val="clear" w:color="auto" w:fill="auto"/>
          </w:tcPr>
          <w:p w:rsidR="0084636B" w:rsidRPr="002E6ECA" w:rsidRDefault="0084636B" w:rsidP="00372EE3">
            <w:pPr>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весь</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p>
        </w:tc>
      </w:tr>
      <w:tr w:rsidR="008C4DB5" w:rsidRPr="002E6ECA" w:rsidTr="008C4DB5">
        <w:trPr>
          <w:trHeight w:val="454"/>
        </w:trPr>
        <w:tc>
          <w:tcPr>
            <w:tcW w:w="664" w:type="dxa"/>
            <w:tcBorders>
              <w:top w:val="single" w:sz="4" w:space="0" w:color="auto"/>
            </w:tcBorders>
            <w:shd w:val="clear" w:color="auto" w:fill="auto"/>
          </w:tcPr>
          <w:p w:rsidR="0084636B" w:rsidRPr="002E6ECA" w:rsidRDefault="0084636B" w:rsidP="009A2CF7">
            <w:pPr>
              <w:pStyle w:val="a3"/>
              <w:numPr>
                <w:ilvl w:val="0"/>
                <w:numId w:val="29"/>
              </w:numPr>
              <w:tabs>
                <w:tab w:val="left" w:pos="802"/>
              </w:tabs>
              <w:jc w:val="both"/>
              <w:rPr>
                <w:spacing w:val="7"/>
                <w:lang w:val="uk-UA"/>
              </w:rPr>
            </w:pPr>
          </w:p>
        </w:tc>
        <w:tc>
          <w:tcPr>
            <w:tcW w:w="3731" w:type="dxa"/>
            <w:tcBorders>
              <w:top w:val="single" w:sz="4" w:space="0" w:color="auto"/>
            </w:tcBorders>
            <w:shd w:val="clear" w:color="auto" w:fill="auto"/>
          </w:tcPr>
          <w:p w:rsidR="0084636B" w:rsidRPr="002E6ECA" w:rsidRDefault="0084636B" w:rsidP="00372EE3">
            <w:pPr>
              <w:pStyle w:val="a3"/>
              <w:ind w:left="0" w:right="45"/>
              <w:jc w:val="center"/>
              <w:rPr>
                <w:spacing w:val="4"/>
                <w:lang w:val="uk-UA"/>
              </w:rPr>
            </w:pPr>
            <w:r w:rsidRPr="002E6ECA">
              <w:rPr>
                <w:spacing w:val="4"/>
                <w:lang w:val="uk-UA"/>
              </w:rPr>
              <w:t>Як</w:t>
            </w:r>
            <w:r w:rsidR="00D46B1B" w:rsidRPr="002E6ECA">
              <w:rPr>
                <w:spacing w:val="4"/>
                <w:lang w:val="uk-UA"/>
              </w:rPr>
              <w:t xml:space="preserve"> </w:t>
            </w:r>
            <w:r w:rsidRPr="002E6ECA">
              <w:rPr>
                <w:spacing w:val="4"/>
                <w:lang w:val="uk-UA"/>
              </w:rPr>
              <w:t>часто</w:t>
            </w:r>
            <w:r w:rsidR="00D46B1B" w:rsidRPr="002E6ECA">
              <w:rPr>
                <w:spacing w:val="4"/>
                <w:lang w:val="uk-UA"/>
              </w:rPr>
              <w:t xml:space="preserve"> </w:t>
            </w:r>
            <w:r w:rsidRPr="002E6ECA">
              <w:rPr>
                <w:spacing w:val="4"/>
                <w:lang w:val="uk-UA"/>
              </w:rPr>
              <w:t>Ви</w:t>
            </w:r>
            <w:r w:rsidR="00D46B1B" w:rsidRPr="002E6ECA">
              <w:rPr>
                <w:spacing w:val="4"/>
                <w:lang w:val="uk-UA"/>
              </w:rPr>
              <w:t xml:space="preserve"> </w:t>
            </w:r>
            <w:r w:rsidRPr="002E6ECA">
              <w:rPr>
                <w:spacing w:val="4"/>
                <w:lang w:val="uk-UA"/>
              </w:rPr>
              <w:t>допомагали</w:t>
            </w:r>
            <w:r w:rsidR="00D46B1B" w:rsidRPr="002E6ECA">
              <w:rPr>
                <w:spacing w:val="4"/>
                <w:lang w:val="uk-UA"/>
              </w:rPr>
              <w:t xml:space="preserve"> </w:t>
            </w:r>
            <w:r w:rsidRPr="002E6ECA">
              <w:rPr>
                <w:spacing w:val="4"/>
                <w:lang w:val="uk-UA"/>
              </w:rPr>
              <w:t>друзям?</w:t>
            </w:r>
          </w:p>
        </w:tc>
        <w:tc>
          <w:tcPr>
            <w:tcW w:w="997" w:type="dxa"/>
            <w:shd w:val="clear" w:color="auto" w:fill="auto"/>
          </w:tcPr>
          <w:p w:rsidR="0084636B" w:rsidRPr="002E6ECA" w:rsidRDefault="0084636B" w:rsidP="00372EE3">
            <w:pPr>
              <w:pStyle w:val="a3"/>
              <w:tabs>
                <w:tab w:val="left" w:pos="802"/>
              </w:tabs>
              <w:ind w:left="0"/>
              <w:jc w:val="both"/>
              <w:rPr>
                <w:spacing w:val="7"/>
                <w:lang w:val="uk-UA"/>
              </w:rPr>
            </w:pPr>
          </w:p>
        </w:tc>
        <w:tc>
          <w:tcPr>
            <w:tcW w:w="968" w:type="dxa"/>
            <w:shd w:val="clear" w:color="auto" w:fill="auto"/>
          </w:tcPr>
          <w:p w:rsidR="0084636B" w:rsidRPr="002E6ECA" w:rsidRDefault="0084636B" w:rsidP="00372EE3">
            <w:pPr>
              <w:pStyle w:val="a3"/>
              <w:tabs>
                <w:tab w:val="left" w:pos="802"/>
              </w:tabs>
              <w:ind w:left="0"/>
              <w:jc w:val="both"/>
              <w:rPr>
                <w:spacing w:val="7"/>
                <w:lang w:val="uk-UA"/>
              </w:rPr>
            </w:pPr>
          </w:p>
        </w:tc>
        <w:tc>
          <w:tcPr>
            <w:tcW w:w="947" w:type="dxa"/>
            <w:shd w:val="clear" w:color="auto" w:fill="auto"/>
          </w:tcPr>
          <w:p w:rsidR="0084636B" w:rsidRPr="002E6ECA" w:rsidRDefault="0084636B" w:rsidP="00372EE3">
            <w:pPr>
              <w:pStyle w:val="a3"/>
              <w:tabs>
                <w:tab w:val="left" w:pos="802"/>
              </w:tabs>
              <w:ind w:left="0"/>
              <w:jc w:val="both"/>
              <w:rPr>
                <w:spacing w:val="7"/>
                <w:lang w:val="uk-UA"/>
              </w:rPr>
            </w:pPr>
          </w:p>
        </w:tc>
        <w:tc>
          <w:tcPr>
            <w:tcW w:w="992" w:type="dxa"/>
            <w:shd w:val="clear" w:color="auto" w:fill="auto"/>
          </w:tcPr>
          <w:p w:rsidR="0084636B" w:rsidRPr="002E6ECA" w:rsidRDefault="0084636B" w:rsidP="00372EE3">
            <w:pPr>
              <w:pStyle w:val="a3"/>
              <w:tabs>
                <w:tab w:val="left" w:pos="802"/>
              </w:tabs>
              <w:ind w:left="0"/>
              <w:jc w:val="both"/>
              <w:rPr>
                <w:spacing w:val="7"/>
                <w:lang w:val="uk-UA"/>
              </w:rPr>
            </w:pPr>
          </w:p>
        </w:tc>
        <w:tc>
          <w:tcPr>
            <w:tcW w:w="1199" w:type="dxa"/>
            <w:shd w:val="clear" w:color="auto" w:fill="auto"/>
          </w:tcPr>
          <w:p w:rsidR="0084636B" w:rsidRPr="002E6ECA" w:rsidRDefault="0084636B" w:rsidP="00372EE3">
            <w:pPr>
              <w:pStyle w:val="a3"/>
              <w:tabs>
                <w:tab w:val="left" w:pos="802"/>
              </w:tabs>
              <w:ind w:left="0"/>
              <w:jc w:val="both"/>
              <w:rPr>
                <w:spacing w:val="7"/>
                <w:lang w:val="uk-UA"/>
              </w:rPr>
            </w:pPr>
          </w:p>
        </w:tc>
      </w:tr>
      <w:tr w:rsidR="008C4DB5" w:rsidRPr="002E6ECA" w:rsidTr="008C4DB5">
        <w:trPr>
          <w:trHeight w:val="454"/>
        </w:trPr>
        <w:tc>
          <w:tcPr>
            <w:tcW w:w="664" w:type="dxa"/>
            <w:shd w:val="clear" w:color="auto" w:fill="auto"/>
          </w:tcPr>
          <w:p w:rsidR="0084636B" w:rsidRPr="002E6ECA" w:rsidRDefault="0084636B" w:rsidP="009A2CF7">
            <w:pPr>
              <w:pStyle w:val="a3"/>
              <w:numPr>
                <w:ilvl w:val="0"/>
                <w:numId w:val="29"/>
              </w:numPr>
              <w:tabs>
                <w:tab w:val="left" w:pos="802"/>
              </w:tabs>
              <w:jc w:val="both"/>
              <w:rPr>
                <w:spacing w:val="7"/>
                <w:lang w:val="uk-UA"/>
              </w:rPr>
            </w:pPr>
          </w:p>
        </w:tc>
        <w:tc>
          <w:tcPr>
            <w:tcW w:w="3731" w:type="dxa"/>
            <w:shd w:val="clear" w:color="auto" w:fill="auto"/>
          </w:tcPr>
          <w:p w:rsidR="0084636B" w:rsidRPr="002E6ECA" w:rsidRDefault="0084636B" w:rsidP="00372EE3">
            <w:pPr>
              <w:pStyle w:val="a3"/>
              <w:ind w:left="0" w:right="45"/>
              <w:jc w:val="center"/>
              <w:rPr>
                <w:spacing w:val="4"/>
                <w:lang w:val="uk-UA"/>
              </w:rPr>
            </w:pPr>
            <w:r w:rsidRPr="002E6ECA">
              <w:rPr>
                <w:spacing w:val="4"/>
                <w:lang w:val="uk-UA"/>
              </w:rPr>
              <w:t>Як</w:t>
            </w:r>
            <w:r w:rsidR="00D46B1B" w:rsidRPr="002E6ECA">
              <w:rPr>
                <w:spacing w:val="4"/>
                <w:lang w:val="uk-UA"/>
              </w:rPr>
              <w:t xml:space="preserve"> </w:t>
            </w:r>
            <w:r w:rsidRPr="002E6ECA">
              <w:rPr>
                <w:spacing w:val="4"/>
                <w:lang w:val="uk-UA"/>
              </w:rPr>
              <w:t>часто</w:t>
            </w:r>
            <w:r w:rsidR="00D46B1B" w:rsidRPr="002E6ECA">
              <w:rPr>
                <w:spacing w:val="4"/>
                <w:lang w:val="uk-UA"/>
              </w:rPr>
              <w:t xml:space="preserve"> </w:t>
            </w:r>
            <w:r w:rsidRPr="002E6ECA">
              <w:rPr>
                <w:spacing w:val="4"/>
                <w:lang w:val="uk-UA"/>
              </w:rPr>
              <w:t>друзі</w:t>
            </w:r>
            <w:r w:rsidR="00D46B1B" w:rsidRPr="002E6ECA">
              <w:rPr>
                <w:spacing w:val="4"/>
                <w:lang w:val="uk-UA"/>
              </w:rPr>
              <w:t xml:space="preserve"> </w:t>
            </w:r>
            <w:r w:rsidRPr="002E6ECA">
              <w:rPr>
                <w:spacing w:val="4"/>
                <w:lang w:val="uk-UA"/>
              </w:rPr>
              <w:t>підтримували</w:t>
            </w:r>
            <w:r w:rsidR="00D46B1B" w:rsidRPr="002E6ECA">
              <w:rPr>
                <w:spacing w:val="4"/>
                <w:lang w:val="uk-UA"/>
              </w:rPr>
              <w:t xml:space="preserve"> </w:t>
            </w:r>
            <w:r w:rsidRPr="002E6ECA">
              <w:rPr>
                <w:spacing w:val="4"/>
                <w:lang w:val="uk-UA"/>
              </w:rPr>
              <w:t>Вас?</w:t>
            </w:r>
          </w:p>
        </w:tc>
        <w:tc>
          <w:tcPr>
            <w:tcW w:w="997" w:type="dxa"/>
            <w:shd w:val="clear" w:color="auto" w:fill="auto"/>
          </w:tcPr>
          <w:p w:rsidR="0084636B" w:rsidRPr="002E6ECA" w:rsidRDefault="0084636B" w:rsidP="00372EE3">
            <w:pPr>
              <w:pStyle w:val="a3"/>
              <w:tabs>
                <w:tab w:val="left" w:pos="802"/>
              </w:tabs>
              <w:ind w:left="0"/>
              <w:jc w:val="both"/>
              <w:rPr>
                <w:spacing w:val="7"/>
                <w:lang w:val="uk-UA"/>
              </w:rPr>
            </w:pPr>
          </w:p>
        </w:tc>
        <w:tc>
          <w:tcPr>
            <w:tcW w:w="968" w:type="dxa"/>
            <w:shd w:val="clear" w:color="auto" w:fill="auto"/>
          </w:tcPr>
          <w:p w:rsidR="0084636B" w:rsidRPr="002E6ECA" w:rsidRDefault="0084636B" w:rsidP="00372EE3">
            <w:pPr>
              <w:pStyle w:val="a3"/>
              <w:tabs>
                <w:tab w:val="left" w:pos="802"/>
              </w:tabs>
              <w:ind w:left="0"/>
              <w:jc w:val="both"/>
              <w:rPr>
                <w:spacing w:val="7"/>
                <w:lang w:val="uk-UA"/>
              </w:rPr>
            </w:pPr>
          </w:p>
        </w:tc>
        <w:tc>
          <w:tcPr>
            <w:tcW w:w="947" w:type="dxa"/>
            <w:shd w:val="clear" w:color="auto" w:fill="auto"/>
          </w:tcPr>
          <w:p w:rsidR="0084636B" w:rsidRPr="002E6ECA" w:rsidRDefault="0084636B" w:rsidP="00372EE3">
            <w:pPr>
              <w:pStyle w:val="a3"/>
              <w:tabs>
                <w:tab w:val="left" w:pos="802"/>
              </w:tabs>
              <w:ind w:left="0"/>
              <w:jc w:val="both"/>
              <w:rPr>
                <w:spacing w:val="7"/>
                <w:lang w:val="uk-UA"/>
              </w:rPr>
            </w:pPr>
          </w:p>
        </w:tc>
        <w:tc>
          <w:tcPr>
            <w:tcW w:w="992" w:type="dxa"/>
            <w:shd w:val="clear" w:color="auto" w:fill="auto"/>
          </w:tcPr>
          <w:p w:rsidR="0084636B" w:rsidRPr="002E6ECA" w:rsidRDefault="0084636B" w:rsidP="00372EE3">
            <w:pPr>
              <w:pStyle w:val="a3"/>
              <w:tabs>
                <w:tab w:val="left" w:pos="802"/>
              </w:tabs>
              <w:ind w:left="0"/>
              <w:jc w:val="both"/>
              <w:rPr>
                <w:spacing w:val="7"/>
                <w:lang w:val="uk-UA"/>
              </w:rPr>
            </w:pPr>
          </w:p>
        </w:tc>
        <w:tc>
          <w:tcPr>
            <w:tcW w:w="1199" w:type="dxa"/>
            <w:shd w:val="clear" w:color="auto" w:fill="auto"/>
          </w:tcPr>
          <w:p w:rsidR="0084636B" w:rsidRPr="002E6ECA" w:rsidRDefault="0084636B" w:rsidP="00372EE3">
            <w:pPr>
              <w:pStyle w:val="a3"/>
              <w:tabs>
                <w:tab w:val="left" w:pos="802"/>
              </w:tabs>
              <w:ind w:left="0"/>
              <w:jc w:val="both"/>
              <w:rPr>
                <w:spacing w:val="7"/>
                <w:lang w:val="uk-UA"/>
              </w:rPr>
            </w:pPr>
          </w:p>
        </w:tc>
      </w:tr>
    </w:tbl>
    <w:p w:rsidR="0084636B" w:rsidRPr="002E6ECA" w:rsidRDefault="0084636B" w:rsidP="00372EE3">
      <w:pPr>
        <w:pStyle w:val="a3"/>
        <w:shd w:val="clear" w:color="auto" w:fill="FFFFFF"/>
        <w:tabs>
          <w:tab w:val="left" w:pos="802"/>
        </w:tabs>
        <w:jc w:val="both"/>
        <w:rPr>
          <w:spacing w:val="-1"/>
          <w:lang w:val="uk-UA"/>
        </w:rPr>
      </w:pPr>
    </w:p>
    <w:tbl>
      <w:tblPr>
        <w:tblW w:w="48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
        <w:gridCol w:w="3782"/>
        <w:gridCol w:w="1064"/>
        <w:gridCol w:w="929"/>
        <w:gridCol w:w="964"/>
        <w:gridCol w:w="895"/>
        <w:gridCol w:w="1251"/>
      </w:tblGrid>
      <w:tr w:rsidR="008C4DB5" w:rsidRPr="002E6ECA" w:rsidTr="008C4DB5">
        <w:tc>
          <w:tcPr>
            <w:tcW w:w="306" w:type="pct"/>
            <w:tcBorders>
              <w:top w:val="nil"/>
              <w:left w:val="nil"/>
              <w:bottom w:val="single" w:sz="4" w:space="0" w:color="auto"/>
              <w:right w:val="nil"/>
            </w:tcBorders>
            <w:shd w:val="clear" w:color="auto" w:fill="auto"/>
          </w:tcPr>
          <w:p w:rsidR="0084636B" w:rsidRPr="002E6ECA" w:rsidRDefault="0084636B" w:rsidP="00372EE3">
            <w:pPr>
              <w:jc w:val="center"/>
              <w:rPr>
                <w:b/>
                <w:lang w:val="uk-UA"/>
              </w:rPr>
            </w:pPr>
          </w:p>
        </w:tc>
        <w:tc>
          <w:tcPr>
            <w:tcW w:w="1998" w:type="pct"/>
            <w:tcBorders>
              <w:top w:val="nil"/>
              <w:left w:val="nil"/>
              <w:bottom w:val="single" w:sz="4" w:space="0" w:color="auto"/>
              <w:right w:val="single" w:sz="4" w:space="0" w:color="auto"/>
            </w:tcBorders>
            <w:shd w:val="clear" w:color="auto" w:fill="auto"/>
          </w:tcPr>
          <w:p w:rsidR="0084636B" w:rsidRPr="002E6ECA" w:rsidRDefault="00972A12" w:rsidP="00372EE3">
            <w:pPr>
              <w:jc w:val="center"/>
              <w:rPr>
                <w:b/>
                <w:lang w:val="uk-UA"/>
              </w:rPr>
            </w:pPr>
            <w:r w:rsidRPr="002E6ECA">
              <w:rPr>
                <w:spacing w:val="-1"/>
                <w:lang w:val="uk-UA"/>
              </w:rPr>
              <w:t xml:space="preserve">Наскільки часто </w:t>
            </w:r>
            <w:r w:rsidRPr="002E6ECA">
              <w:rPr>
                <w:b/>
                <w:spacing w:val="-1"/>
                <w:lang w:val="uk-UA"/>
              </w:rPr>
              <w:t>протягом останнього тижня</w:t>
            </w:r>
            <w:r w:rsidRPr="002E6ECA">
              <w:rPr>
                <w:spacing w:val="-1"/>
                <w:lang w:val="uk-UA"/>
              </w:rPr>
              <w:t xml:space="preserve"> Ваш емоційний стан:</w:t>
            </w:r>
          </w:p>
        </w:tc>
        <w:tc>
          <w:tcPr>
            <w:tcW w:w="562" w:type="pct"/>
            <w:tcBorders>
              <w:left w:val="single" w:sz="4" w:space="0" w:color="auto"/>
            </w:tcBorders>
            <w:shd w:val="clear" w:color="auto" w:fill="auto"/>
          </w:tcPr>
          <w:p w:rsidR="0084636B" w:rsidRPr="002E6ECA" w:rsidRDefault="0084636B" w:rsidP="00372EE3">
            <w:pPr>
              <w:pStyle w:val="a3"/>
              <w:ind w:left="0" w:right="45"/>
              <w:jc w:val="center"/>
              <w:rPr>
                <w:spacing w:val="4"/>
                <w:lang w:val="uk-UA"/>
              </w:rPr>
            </w:pPr>
            <w:r w:rsidRPr="002E6ECA">
              <w:rPr>
                <w:spacing w:val="4"/>
                <w:lang w:val="uk-UA"/>
              </w:rPr>
              <w:t>ніколи</w:t>
            </w:r>
          </w:p>
        </w:tc>
        <w:tc>
          <w:tcPr>
            <w:tcW w:w="491" w:type="pct"/>
            <w:shd w:val="clear" w:color="auto" w:fill="auto"/>
          </w:tcPr>
          <w:p w:rsidR="0084636B" w:rsidRPr="002E6ECA" w:rsidRDefault="0084636B" w:rsidP="00372EE3">
            <w:pPr>
              <w:pStyle w:val="a3"/>
              <w:ind w:left="0" w:right="45"/>
              <w:jc w:val="center"/>
              <w:rPr>
                <w:spacing w:val="4"/>
                <w:lang w:val="uk-UA"/>
              </w:rPr>
            </w:pPr>
            <w:r w:rsidRPr="002E6ECA">
              <w:rPr>
                <w:spacing w:val="4"/>
                <w:lang w:val="uk-UA"/>
              </w:rPr>
              <w:t>іноді</w:t>
            </w:r>
          </w:p>
        </w:tc>
        <w:tc>
          <w:tcPr>
            <w:tcW w:w="509" w:type="pct"/>
            <w:shd w:val="clear" w:color="auto" w:fill="auto"/>
          </w:tcPr>
          <w:p w:rsidR="0084636B" w:rsidRPr="002E6ECA" w:rsidRDefault="0084636B" w:rsidP="00372EE3">
            <w:pPr>
              <w:pStyle w:val="a3"/>
              <w:ind w:left="0" w:right="45"/>
              <w:jc w:val="center"/>
              <w:rPr>
                <w:spacing w:val="4"/>
                <w:lang w:val="uk-UA"/>
              </w:rPr>
            </w:pPr>
            <w:r w:rsidRPr="002E6ECA">
              <w:rPr>
                <w:spacing w:val="4"/>
                <w:lang w:val="uk-UA"/>
              </w:rPr>
              <w:t>часто</w:t>
            </w:r>
          </w:p>
        </w:tc>
        <w:tc>
          <w:tcPr>
            <w:tcW w:w="473" w:type="pct"/>
            <w:shd w:val="clear" w:color="auto" w:fill="auto"/>
          </w:tcPr>
          <w:p w:rsidR="0084636B" w:rsidRPr="002E6ECA" w:rsidRDefault="0084636B" w:rsidP="00372EE3">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661" w:type="pct"/>
            <w:shd w:val="clear" w:color="auto" w:fill="auto"/>
          </w:tcPr>
          <w:p w:rsidR="0084636B" w:rsidRPr="002E6ECA" w:rsidRDefault="0084636B" w:rsidP="00372EE3">
            <w:pPr>
              <w:pStyle w:val="a3"/>
              <w:ind w:left="0" w:right="45"/>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весь</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p>
        </w:tc>
      </w:tr>
      <w:tr w:rsidR="008C4DB5" w:rsidRPr="002E6ECA" w:rsidTr="008C4DB5">
        <w:trPr>
          <w:trHeight w:val="340"/>
        </w:trPr>
        <w:tc>
          <w:tcPr>
            <w:tcW w:w="306" w:type="pct"/>
            <w:tcBorders>
              <w:top w:val="single" w:sz="4" w:space="0" w:color="auto"/>
            </w:tcBorders>
            <w:shd w:val="clear" w:color="auto" w:fill="auto"/>
            <w:tcFitText/>
          </w:tcPr>
          <w:p w:rsidR="0084636B" w:rsidRPr="002E6ECA" w:rsidRDefault="0084636B" w:rsidP="009A2CF7">
            <w:pPr>
              <w:pStyle w:val="a3"/>
              <w:numPr>
                <w:ilvl w:val="0"/>
                <w:numId w:val="29"/>
              </w:numPr>
              <w:tabs>
                <w:tab w:val="left" w:pos="802"/>
              </w:tabs>
              <w:jc w:val="both"/>
              <w:rPr>
                <w:spacing w:val="7"/>
                <w:lang w:val="uk-UA"/>
              </w:rPr>
            </w:pPr>
          </w:p>
        </w:tc>
        <w:tc>
          <w:tcPr>
            <w:tcW w:w="1998" w:type="pct"/>
            <w:tcBorders>
              <w:top w:val="single" w:sz="4" w:space="0" w:color="auto"/>
            </w:tcBorders>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виконувати</w:t>
            </w:r>
            <w:r w:rsidR="00D46B1B" w:rsidRPr="002E6ECA">
              <w:rPr>
                <w:spacing w:val="4"/>
                <w:lang w:val="uk-UA"/>
              </w:rPr>
              <w:t xml:space="preserve"> </w:t>
            </w:r>
            <w:r w:rsidRPr="002E6ECA">
              <w:rPr>
                <w:spacing w:val="4"/>
                <w:lang w:val="uk-UA"/>
              </w:rPr>
              <w:t>завдання</w:t>
            </w:r>
            <w:r w:rsidR="00D46B1B" w:rsidRPr="002E6ECA">
              <w:rPr>
                <w:spacing w:val="4"/>
                <w:lang w:val="uk-UA"/>
              </w:rPr>
              <w:t xml:space="preserve"> </w:t>
            </w:r>
            <w:r w:rsidRPr="002E6ECA">
              <w:rPr>
                <w:spacing w:val="4"/>
                <w:lang w:val="uk-UA"/>
              </w:rPr>
              <w:t>вчителя</w:t>
            </w:r>
            <w:r w:rsidR="00D46B1B" w:rsidRPr="002E6ECA">
              <w:rPr>
                <w:spacing w:val="4"/>
                <w:lang w:val="uk-UA"/>
              </w:rPr>
              <w:t xml:space="preserve"> </w:t>
            </w:r>
            <w:r w:rsidRPr="002E6ECA">
              <w:rPr>
                <w:spacing w:val="4"/>
                <w:lang w:val="uk-UA"/>
              </w:rPr>
              <w:t>під</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r w:rsidRPr="002E6ECA">
              <w:rPr>
                <w:spacing w:val="4"/>
                <w:lang w:val="uk-UA"/>
              </w:rPr>
              <w:t>уроків</w:t>
            </w:r>
            <w:r w:rsidR="00D46B1B" w:rsidRPr="002E6ECA">
              <w:rPr>
                <w:spacing w:val="4"/>
                <w:lang w:val="uk-UA"/>
              </w:rPr>
              <w:t xml:space="preserve"> </w:t>
            </w:r>
            <w:r w:rsidRPr="002E6ECA">
              <w:rPr>
                <w:spacing w:val="4"/>
                <w:lang w:val="uk-UA"/>
              </w:rPr>
              <w:t>в</w:t>
            </w:r>
            <w:r w:rsidR="00D46B1B" w:rsidRPr="002E6ECA">
              <w:rPr>
                <w:spacing w:val="4"/>
                <w:lang w:val="uk-UA"/>
              </w:rPr>
              <w:t xml:space="preserve"> </w:t>
            </w:r>
            <w:r w:rsidRPr="002E6ECA">
              <w:rPr>
                <w:spacing w:val="4"/>
                <w:lang w:val="uk-UA"/>
              </w:rPr>
              <w:t>школі?</w:t>
            </w:r>
          </w:p>
        </w:tc>
        <w:tc>
          <w:tcPr>
            <w:tcW w:w="562" w:type="pct"/>
            <w:shd w:val="clear" w:color="auto" w:fill="auto"/>
          </w:tcPr>
          <w:p w:rsidR="0084636B" w:rsidRPr="002E6ECA" w:rsidRDefault="0084636B" w:rsidP="00372EE3">
            <w:pPr>
              <w:jc w:val="center"/>
              <w:rPr>
                <w:b/>
                <w:lang w:val="uk-UA"/>
              </w:rPr>
            </w:pPr>
          </w:p>
        </w:tc>
        <w:tc>
          <w:tcPr>
            <w:tcW w:w="491" w:type="pct"/>
            <w:shd w:val="clear" w:color="auto" w:fill="auto"/>
          </w:tcPr>
          <w:p w:rsidR="0084636B" w:rsidRPr="002E6ECA" w:rsidRDefault="0084636B" w:rsidP="00372EE3">
            <w:pPr>
              <w:jc w:val="center"/>
              <w:rPr>
                <w:b/>
                <w:lang w:val="uk-UA"/>
              </w:rPr>
            </w:pPr>
          </w:p>
        </w:tc>
        <w:tc>
          <w:tcPr>
            <w:tcW w:w="509" w:type="pct"/>
            <w:shd w:val="clear" w:color="auto" w:fill="auto"/>
          </w:tcPr>
          <w:p w:rsidR="0084636B" w:rsidRPr="002E6ECA" w:rsidRDefault="0084636B" w:rsidP="00372EE3">
            <w:pPr>
              <w:jc w:val="center"/>
              <w:rPr>
                <w:b/>
                <w:lang w:val="uk-UA"/>
              </w:rPr>
            </w:pPr>
          </w:p>
        </w:tc>
        <w:tc>
          <w:tcPr>
            <w:tcW w:w="473" w:type="pct"/>
            <w:shd w:val="clear" w:color="auto" w:fill="auto"/>
          </w:tcPr>
          <w:p w:rsidR="0084636B" w:rsidRPr="002E6ECA" w:rsidRDefault="0084636B" w:rsidP="00372EE3">
            <w:pPr>
              <w:jc w:val="center"/>
              <w:rPr>
                <w:b/>
                <w:lang w:val="uk-UA"/>
              </w:rPr>
            </w:pPr>
          </w:p>
        </w:tc>
        <w:tc>
          <w:tcPr>
            <w:tcW w:w="661" w:type="pct"/>
            <w:shd w:val="clear" w:color="auto" w:fill="auto"/>
          </w:tcPr>
          <w:p w:rsidR="0084636B" w:rsidRPr="002E6ECA" w:rsidRDefault="0084636B" w:rsidP="00372EE3">
            <w:pPr>
              <w:jc w:val="center"/>
              <w:rPr>
                <w:b/>
                <w:lang w:val="uk-UA"/>
              </w:rPr>
            </w:pPr>
          </w:p>
        </w:tc>
      </w:tr>
      <w:tr w:rsidR="008C4DB5" w:rsidRPr="002E6ECA" w:rsidTr="008C4DB5">
        <w:trPr>
          <w:trHeight w:val="340"/>
        </w:trPr>
        <w:tc>
          <w:tcPr>
            <w:tcW w:w="306" w:type="pct"/>
            <w:shd w:val="clear" w:color="auto" w:fill="auto"/>
            <w:tcFitText/>
          </w:tcPr>
          <w:p w:rsidR="0084636B" w:rsidRPr="002E6ECA" w:rsidRDefault="0084636B" w:rsidP="009A2CF7">
            <w:pPr>
              <w:pStyle w:val="a3"/>
              <w:numPr>
                <w:ilvl w:val="0"/>
                <w:numId w:val="29"/>
              </w:numPr>
              <w:tabs>
                <w:tab w:val="left" w:pos="802"/>
              </w:tabs>
              <w:jc w:val="both"/>
              <w:rPr>
                <w:spacing w:val="7"/>
                <w:lang w:val="uk-UA"/>
              </w:rPr>
            </w:pPr>
          </w:p>
        </w:tc>
        <w:tc>
          <w:tcPr>
            <w:tcW w:w="1998" w:type="pct"/>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бути</w:t>
            </w:r>
            <w:r w:rsidR="00D46B1B" w:rsidRPr="002E6ECA">
              <w:rPr>
                <w:spacing w:val="4"/>
                <w:lang w:val="uk-UA"/>
              </w:rPr>
              <w:t xml:space="preserve"> </w:t>
            </w:r>
            <w:r w:rsidRPr="002E6ECA">
              <w:rPr>
                <w:spacing w:val="4"/>
                <w:lang w:val="uk-UA"/>
              </w:rPr>
              <w:t>уважним</w:t>
            </w:r>
            <w:r w:rsidR="00D46B1B" w:rsidRPr="002E6ECA">
              <w:rPr>
                <w:spacing w:val="4"/>
                <w:lang w:val="uk-UA"/>
              </w:rPr>
              <w:t xml:space="preserve"> </w:t>
            </w:r>
            <w:r w:rsidRPr="002E6ECA">
              <w:rPr>
                <w:spacing w:val="4"/>
                <w:lang w:val="uk-UA"/>
              </w:rPr>
              <w:t>на</w:t>
            </w:r>
            <w:r w:rsidR="00D46B1B" w:rsidRPr="002E6ECA">
              <w:rPr>
                <w:spacing w:val="4"/>
                <w:lang w:val="uk-UA"/>
              </w:rPr>
              <w:t xml:space="preserve"> </w:t>
            </w:r>
            <w:r w:rsidRPr="002E6ECA">
              <w:rPr>
                <w:spacing w:val="4"/>
                <w:lang w:val="uk-UA"/>
              </w:rPr>
              <w:t>уроках?</w:t>
            </w:r>
          </w:p>
        </w:tc>
        <w:tc>
          <w:tcPr>
            <w:tcW w:w="562" w:type="pct"/>
            <w:shd w:val="clear" w:color="auto" w:fill="auto"/>
          </w:tcPr>
          <w:p w:rsidR="0084636B" w:rsidRPr="002E6ECA" w:rsidRDefault="0084636B" w:rsidP="00372EE3">
            <w:pPr>
              <w:jc w:val="center"/>
              <w:rPr>
                <w:b/>
                <w:lang w:val="uk-UA"/>
              </w:rPr>
            </w:pPr>
          </w:p>
        </w:tc>
        <w:tc>
          <w:tcPr>
            <w:tcW w:w="491" w:type="pct"/>
            <w:shd w:val="clear" w:color="auto" w:fill="auto"/>
          </w:tcPr>
          <w:p w:rsidR="0084636B" w:rsidRPr="002E6ECA" w:rsidRDefault="0084636B" w:rsidP="00372EE3">
            <w:pPr>
              <w:jc w:val="center"/>
              <w:rPr>
                <w:b/>
                <w:lang w:val="uk-UA"/>
              </w:rPr>
            </w:pPr>
          </w:p>
        </w:tc>
        <w:tc>
          <w:tcPr>
            <w:tcW w:w="509" w:type="pct"/>
            <w:shd w:val="clear" w:color="auto" w:fill="auto"/>
          </w:tcPr>
          <w:p w:rsidR="0084636B" w:rsidRPr="002E6ECA" w:rsidRDefault="0084636B" w:rsidP="00372EE3">
            <w:pPr>
              <w:jc w:val="center"/>
              <w:rPr>
                <w:b/>
                <w:lang w:val="uk-UA"/>
              </w:rPr>
            </w:pPr>
          </w:p>
        </w:tc>
        <w:tc>
          <w:tcPr>
            <w:tcW w:w="473" w:type="pct"/>
            <w:shd w:val="clear" w:color="auto" w:fill="auto"/>
          </w:tcPr>
          <w:p w:rsidR="0084636B" w:rsidRPr="002E6ECA" w:rsidRDefault="0084636B" w:rsidP="00372EE3">
            <w:pPr>
              <w:jc w:val="center"/>
              <w:rPr>
                <w:b/>
                <w:lang w:val="uk-UA"/>
              </w:rPr>
            </w:pPr>
          </w:p>
        </w:tc>
        <w:tc>
          <w:tcPr>
            <w:tcW w:w="661" w:type="pct"/>
            <w:shd w:val="clear" w:color="auto" w:fill="auto"/>
          </w:tcPr>
          <w:p w:rsidR="0084636B" w:rsidRPr="002E6ECA" w:rsidRDefault="0084636B" w:rsidP="00372EE3">
            <w:pPr>
              <w:jc w:val="center"/>
              <w:rPr>
                <w:b/>
                <w:lang w:val="uk-UA"/>
              </w:rPr>
            </w:pPr>
          </w:p>
        </w:tc>
      </w:tr>
      <w:tr w:rsidR="008C4DB5" w:rsidRPr="002E6ECA" w:rsidTr="008C4DB5">
        <w:trPr>
          <w:trHeight w:val="340"/>
        </w:trPr>
        <w:tc>
          <w:tcPr>
            <w:tcW w:w="306" w:type="pct"/>
            <w:shd w:val="clear" w:color="auto" w:fill="auto"/>
            <w:tcFitText/>
          </w:tcPr>
          <w:p w:rsidR="0084636B" w:rsidRPr="002E6ECA" w:rsidRDefault="0084636B" w:rsidP="009A2CF7">
            <w:pPr>
              <w:pStyle w:val="a3"/>
              <w:numPr>
                <w:ilvl w:val="0"/>
                <w:numId w:val="29"/>
              </w:numPr>
              <w:tabs>
                <w:tab w:val="left" w:pos="802"/>
              </w:tabs>
              <w:jc w:val="both"/>
              <w:rPr>
                <w:spacing w:val="7"/>
                <w:lang w:val="uk-UA"/>
              </w:rPr>
            </w:pPr>
          </w:p>
        </w:tc>
        <w:tc>
          <w:tcPr>
            <w:tcW w:w="1998" w:type="pct"/>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виконувати</w:t>
            </w:r>
            <w:r w:rsidR="00D46B1B" w:rsidRPr="002E6ECA">
              <w:rPr>
                <w:spacing w:val="4"/>
                <w:lang w:val="uk-UA"/>
              </w:rPr>
              <w:t xml:space="preserve"> </w:t>
            </w:r>
            <w:r w:rsidRPr="002E6ECA">
              <w:rPr>
                <w:spacing w:val="4"/>
                <w:lang w:val="uk-UA"/>
              </w:rPr>
              <w:t>запланований</w:t>
            </w:r>
            <w:r w:rsidR="00D46B1B" w:rsidRPr="002E6ECA">
              <w:rPr>
                <w:spacing w:val="4"/>
                <w:lang w:val="uk-UA"/>
              </w:rPr>
              <w:t xml:space="preserve"> </w:t>
            </w:r>
            <w:r w:rsidRPr="002E6ECA">
              <w:rPr>
                <w:spacing w:val="4"/>
                <w:lang w:val="uk-UA"/>
              </w:rPr>
              <w:t>обсяг</w:t>
            </w:r>
            <w:r w:rsidR="00D46B1B" w:rsidRPr="002E6ECA">
              <w:rPr>
                <w:spacing w:val="4"/>
                <w:lang w:val="uk-UA"/>
              </w:rPr>
              <w:t xml:space="preserve"> </w:t>
            </w:r>
            <w:r w:rsidRPr="002E6ECA">
              <w:rPr>
                <w:spacing w:val="4"/>
                <w:lang w:val="uk-UA"/>
              </w:rPr>
              <w:t>роботи?</w:t>
            </w:r>
          </w:p>
        </w:tc>
        <w:tc>
          <w:tcPr>
            <w:tcW w:w="562" w:type="pct"/>
            <w:shd w:val="clear" w:color="auto" w:fill="auto"/>
          </w:tcPr>
          <w:p w:rsidR="0084636B" w:rsidRPr="002E6ECA" w:rsidRDefault="0084636B" w:rsidP="00372EE3">
            <w:pPr>
              <w:jc w:val="center"/>
              <w:rPr>
                <w:b/>
                <w:lang w:val="uk-UA"/>
              </w:rPr>
            </w:pPr>
          </w:p>
        </w:tc>
        <w:tc>
          <w:tcPr>
            <w:tcW w:w="491" w:type="pct"/>
            <w:shd w:val="clear" w:color="auto" w:fill="auto"/>
          </w:tcPr>
          <w:p w:rsidR="0084636B" w:rsidRPr="002E6ECA" w:rsidRDefault="0084636B" w:rsidP="00372EE3">
            <w:pPr>
              <w:jc w:val="center"/>
              <w:rPr>
                <w:b/>
                <w:lang w:val="uk-UA"/>
              </w:rPr>
            </w:pPr>
          </w:p>
        </w:tc>
        <w:tc>
          <w:tcPr>
            <w:tcW w:w="509" w:type="pct"/>
            <w:shd w:val="clear" w:color="auto" w:fill="auto"/>
          </w:tcPr>
          <w:p w:rsidR="0084636B" w:rsidRPr="002E6ECA" w:rsidRDefault="0084636B" w:rsidP="00372EE3">
            <w:pPr>
              <w:jc w:val="center"/>
              <w:rPr>
                <w:b/>
                <w:lang w:val="uk-UA"/>
              </w:rPr>
            </w:pPr>
          </w:p>
        </w:tc>
        <w:tc>
          <w:tcPr>
            <w:tcW w:w="473" w:type="pct"/>
            <w:shd w:val="clear" w:color="auto" w:fill="auto"/>
          </w:tcPr>
          <w:p w:rsidR="0084636B" w:rsidRPr="002E6ECA" w:rsidRDefault="0084636B" w:rsidP="00372EE3">
            <w:pPr>
              <w:jc w:val="center"/>
              <w:rPr>
                <w:b/>
                <w:lang w:val="uk-UA"/>
              </w:rPr>
            </w:pPr>
          </w:p>
        </w:tc>
        <w:tc>
          <w:tcPr>
            <w:tcW w:w="661" w:type="pct"/>
            <w:shd w:val="clear" w:color="auto" w:fill="auto"/>
          </w:tcPr>
          <w:p w:rsidR="0084636B" w:rsidRPr="002E6ECA" w:rsidRDefault="0084636B" w:rsidP="00372EE3">
            <w:pPr>
              <w:jc w:val="center"/>
              <w:rPr>
                <w:b/>
                <w:lang w:val="uk-UA"/>
              </w:rPr>
            </w:pPr>
          </w:p>
        </w:tc>
      </w:tr>
      <w:tr w:rsidR="008C4DB5" w:rsidRPr="002E6ECA" w:rsidTr="008C4DB5">
        <w:trPr>
          <w:trHeight w:val="340"/>
        </w:trPr>
        <w:tc>
          <w:tcPr>
            <w:tcW w:w="306" w:type="pct"/>
            <w:shd w:val="clear" w:color="auto" w:fill="auto"/>
            <w:tcFitText/>
          </w:tcPr>
          <w:p w:rsidR="0084636B" w:rsidRPr="002E6ECA" w:rsidRDefault="0084636B" w:rsidP="009A2CF7">
            <w:pPr>
              <w:pStyle w:val="a3"/>
              <w:numPr>
                <w:ilvl w:val="0"/>
                <w:numId w:val="29"/>
              </w:numPr>
              <w:tabs>
                <w:tab w:val="left" w:pos="802"/>
              </w:tabs>
              <w:jc w:val="both"/>
              <w:rPr>
                <w:spacing w:val="7"/>
                <w:lang w:val="uk-UA"/>
              </w:rPr>
            </w:pPr>
          </w:p>
        </w:tc>
        <w:tc>
          <w:tcPr>
            <w:tcW w:w="1998" w:type="pct"/>
            <w:shd w:val="clear" w:color="auto" w:fill="auto"/>
          </w:tcPr>
          <w:p w:rsidR="0084636B" w:rsidRPr="002E6ECA" w:rsidRDefault="0084636B" w:rsidP="00372EE3">
            <w:pPr>
              <w:pStyle w:val="a3"/>
              <w:ind w:left="0" w:right="45"/>
              <w:rPr>
                <w:spacing w:val="4"/>
                <w:lang w:val="uk-UA"/>
              </w:rPr>
            </w:pPr>
            <w:r w:rsidRPr="002E6ECA">
              <w:rPr>
                <w:spacing w:val="4"/>
                <w:lang w:val="uk-UA"/>
              </w:rPr>
              <w:t>Змушував</w:t>
            </w:r>
            <w:r w:rsidR="00D46B1B" w:rsidRPr="002E6ECA">
              <w:rPr>
                <w:spacing w:val="4"/>
                <w:lang w:val="uk-UA"/>
              </w:rPr>
              <w:t xml:space="preserve"> </w:t>
            </w:r>
            <w:r w:rsidRPr="002E6ECA">
              <w:rPr>
                <w:spacing w:val="4"/>
                <w:lang w:val="uk-UA"/>
              </w:rPr>
              <w:t>виконувати</w:t>
            </w:r>
            <w:r w:rsidR="00D46B1B" w:rsidRPr="002E6ECA">
              <w:rPr>
                <w:spacing w:val="4"/>
                <w:lang w:val="uk-UA"/>
              </w:rPr>
              <w:t xml:space="preserve"> </w:t>
            </w:r>
            <w:r w:rsidRPr="002E6ECA">
              <w:rPr>
                <w:spacing w:val="4"/>
                <w:lang w:val="uk-UA"/>
              </w:rPr>
              <w:t>домашні</w:t>
            </w:r>
            <w:r w:rsidR="00D46B1B" w:rsidRPr="002E6ECA">
              <w:rPr>
                <w:spacing w:val="4"/>
                <w:lang w:val="uk-UA"/>
              </w:rPr>
              <w:t xml:space="preserve"> </w:t>
            </w:r>
            <w:r w:rsidRPr="002E6ECA">
              <w:rPr>
                <w:spacing w:val="4"/>
                <w:lang w:val="uk-UA"/>
              </w:rPr>
              <w:t>завдання</w:t>
            </w:r>
            <w:r w:rsidR="00D46B1B" w:rsidRPr="002E6ECA">
              <w:rPr>
                <w:spacing w:val="4"/>
                <w:lang w:val="uk-UA"/>
              </w:rPr>
              <w:t xml:space="preserve"> </w:t>
            </w:r>
            <w:r w:rsidRPr="002E6ECA">
              <w:rPr>
                <w:spacing w:val="4"/>
                <w:lang w:val="uk-UA"/>
              </w:rPr>
              <w:t>менш</w:t>
            </w:r>
            <w:r w:rsidR="00D46B1B" w:rsidRPr="002E6ECA">
              <w:rPr>
                <w:spacing w:val="4"/>
                <w:lang w:val="uk-UA"/>
              </w:rPr>
              <w:t xml:space="preserve"> </w:t>
            </w:r>
            <w:r w:rsidRPr="002E6ECA">
              <w:rPr>
                <w:spacing w:val="4"/>
                <w:lang w:val="uk-UA"/>
              </w:rPr>
              <w:t>акуратно,</w:t>
            </w:r>
            <w:r w:rsidR="00D46B1B" w:rsidRPr="002E6ECA">
              <w:rPr>
                <w:spacing w:val="4"/>
                <w:lang w:val="uk-UA"/>
              </w:rPr>
              <w:t xml:space="preserve"> </w:t>
            </w:r>
            <w:r w:rsidRPr="002E6ECA">
              <w:rPr>
                <w:spacing w:val="4"/>
                <w:lang w:val="uk-UA"/>
              </w:rPr>
              <w:t>ніж</w:t>
            </w:r>
            <w:r w:rsidR="00D46B1B" w:rsidRPr="002E6ECA">
              <w:rPr>
                <w:spacing w:val="4"/>
                <w:lang w:val="uk-UA"/>
              </w:rPr>
              <w:t xml:space="preserve"> </w:t>
            </w:r>
            <w:r w:rsidRPr="002E6ECA">
              <w:rPr>
                <w:spacing w:val="4"/>
                <w:lang w:val="uk-UA"/>
              </w:rPr>
              <w:t>зазвичай?</w:t>
            </w:r>
          </w:p>
        </w:tc>
        <w:tc>
          <w:tcPr>
            <w:tcW w:w="562" w:type="pct"/>
            <w:shd w:val="clear" w:color="auto" w:fill="auto"/>
          </w:tcPr>
          <w:p w:rsidR="0084636B" w:rsidRPr="002E6ECA" w:rsidRDefault="0084636B" w:rsidP="00372EE3">
            <w:pPr>
              <w:jc w:val="center"/>
              <w:rPr>
                <w:lang w:val="uk-UA"/>
              </w:rPr>
            </w:pPr>
          </w:p>
        </w:tc>
        <w:tc>
          <w:tcPr>
            <w:tcW w:w="491" w:type="pct"/>
            <w:shd w:val="clear" w:color="auto" w:fill="auto"/>
          </w:tcPr>
          <w:p w:rsidR="0084636B" w:rsidRPr="002E6ECA" w:rsidRDefault="0084636B" w:rsidP="00372EE3">
            <w:pPr>
              <w:jc w:val="center"/>
              <w:rPr>
                <w:lang w:val="uk-UA"/>
              </w:rPr>
            </w:pPr>
          </w:p>
        </w:tc>
        <w:tc>
          <w:tcPr>
            <w:tcW w:w="509" w:type="pct"/>
            <w:shd w:val="clear" w:color="auto" w:fill="auto"/>
          </w:tcPr>
          <w:p w:rsidR="0084636B" w:rsidRPr="002E6ECA" w:rsidRDefault="0084636B" w:rsidP="00372EE3">
            <w:pPr>
              <w:jc w:val="center"/>
              <w:rPr>
                <w:lang w:val="uk-UA"/>
              </w:rPr>
            </w:pPr>
          </w:p>
        </w:tc>
        <w:tc>
          <w:tcPr>
            <w:tcW w:w="473" w:type="pct"/>
            <w:shd w:val="clear" w:color="auto" w:fill="auto"/>
          </w:tcPr>
          <w:p w:rsidR="0084636B" w:rsidRPr="002E6ECA" w:rsidRDefault="0084636B" w:rsidP="00372EE3">
            <w:pPr>
              <w:jc w:val="center"/>
              <w:rPr>
                <w:lang w:val="uk-UA"/>
              </w:rPr>
            </w:pPr>
          </w:p>
        </w:tc>
        <w:tc>
          <w:tcPr>
            <w:tcW w:w="661" w:type="pct"/>
            <w:shd w:val="clear" w:color="auto" w:fill="auto"/>
          </w:tcPr>
          <w:p w:rsidR="0084636B" w:rsidRPr="002E6ECA" w:rsidRDefault="0084636B" w:rsidP="00372EE3">
            <w:pPr>
              <w:jc w:val="center"/>
              <w:rPr>
                <w:lang w:val="uk-UA"/>
              </w:rPr>
            </w:pPr>
          </w:p>
        </w:tc>
      </w:tr>
      <w:tr w:rsidR="008C4DB5" w:rsidRPr="002E6ECA" w:rsidTr="008C4DB5">
        <w:trPr>
          <w:trHeight w:val="340"/>
        </w:trPr>
        <w:tc>
          <w:tcPr>
            <w:tcW w:w="306" w:type="pct"/>
            <w:shd w:val="clear" w:color="auto" w:fill="auto"/>
            <w:tcFitText/>
          </w:tcPr>
          <w:p w:rsidR="0084636B" w:rsidRPr="002E6ECA" w:rsidRDefault="0084636B" w:rsidP="009A2CF7">
            <w:pPr>
              <w:pStyle w:val="a3"/>
              <w:numPr>
                <w:ilvl w:val="0"/>
                <w:numId w:val="29"/>
              </w:numPr>
              <w:tabs>
                <w:tab w:val="left" w:pos="802"/>
              </w:tabs>
              <w:jc w:val="both"/>
              <w:rPr>
                <w:spacing w:val="7"/>
                <w:lang w:val="uk-UA"/>
              </w:rPr>
            </w:pPr>
          </w:p>
        </w:tc>
        <w:tc>
          <w:tcPr>
            <w:tcW w:w="1998" w:type="pct"/>
            <w:shd w:val="clear" w:color="auto" w:fill="auto"/>
          </w:tcPr>
          <w:p w:rsidR="0084636B" w:rsidRPr="002E6ECA" w:rsidRDefault="0084636B" w:rsidP="00372EE3">
            <w:pPr>
              <w:pStyle w:val="a3"/>
              <w:ind w:left="0" w:right="45"/>
              <w:rPr>
                <w:spacing w:val="4"/>
                <w:lang w:val="uk-UA"/>
              </w:rPr>
            </w:pPr>
            <w:r w:rsidRPr="002E6ECA">
              <w:rPr>
                <w:spacing w:val="4"/>
                <w:lang w:val="uk-UA"/>
              </w:rPr>
              <w:t>Заважав</w:t>
            </w:r>
            <w:r w:rsidR="00D46B1B" w:rsidRPr="002E6ECA">
              <w:rPr>
                <w:spacing w:val="4"/>
                <w:lang w:val="uk-UA"/>
              </w:rPr>
              <w:t xml:space="preserve"> </w:t>
            </w:r>
            <w:r w:rsidRPr="002E6ECA">
              <w:rPr>
                <w:spacing w:val="4"/>
                <w:lang w:val="uk-UA"/>
              </w:rPr>
              <w:t>розважатися</w:t>
            </w:r>
            <w:r w:rsidR="00D46B1B" w:rsidRPr="002E6ECA">
              <w:rPr>
                <w:spacing w:val="4"/>
                <w:lang w:val="uk-UA"/>
              </w:rPr>
              <w:t xml:space="preserve"> </w:t>
            </w:r>
            <w:r w:rsidRPr="002E6ECA">
              <w:rPr>
                <w:spacing w:val="4"/>
                <w:lang w:val="uk-UA"/>
              </w:rPr>
              <w:t>з</w:t>
            </w:r>
            <w:r w:rsidR="00D46B1B" w:rsidRPr="002E6ECA">
              <w:rPr>
                <w:spacing w:val="4"/>
                <w:lang w:val="uk-UA"/>
              </w:rPr>
              <w:t xml:space="preserve"> </w:t>
            </w:r>
            <w:r w:rsidRPr="002E6ECA">
              <w:rPr>
                <w:spacing w:val="4"/>
                <w:lang w:val="uk-UA"/>
              </w:rPr>
              <w:t>друзями?</w:t>
            </w:r>
          </w:p>
        </w:tc>
        <w:tc>
          <w:tcPr>
            <w:tcW w:w="562" w:type="pct"/>
            <w:shd w:val="clear" w:color="auto" w:fill="auto"/>
          </w:tcPr>
          <w:p w:rsidR="0084636B" w:rsidRPr="002E6ECA" w:rsidRDefault="0084636B" w:rsidP="00372EE3">
            <w:pPr>
              <w:jc w:val="center"/>
              <w:rPr>
                <w:lang w:val="uk-UA"/>
              </w:rPr>
            </w:pPr>
          </w:p>
        </w:tc>
        <w:tc>
          <w:tcPr>
            <w:tcW w:w="491" w:type="pct"/>
            <w:shd w:val="clear" w:color="auto" w:fill="auto"/>
          </w:tcPr>
          <w:p w:rsidR="0084636B" w:rsidRPr="002E6ECA" w:rsidRDefault="0084636B" w:rsidP="00372EE3">
            <w:pPr>
              <w:jc w:val="center"/>
              <w:rPr>
                <w:lang w:val="uk-UA"/>
              </w:rPr>
            </w:pPr>
          </w:p>
        </w:tc>
        <w:tc>
          <w:tcPr>
            <w:tcW w:w="509" w:type="pct"/>
            <w:shd w:val="clear" w:color="auto" w:fill="auto"/>
          </w:tcPr>
          <w:p w:rsidR="0084636B" w:rsidRPr="002E6ECA" w:rsidRDefault="0084636B" w:rsidP="00372EE3">
            <w:pPr>
              <w:jc w:val="center"/>
              <w:rPr>
                <w:lang w:val="uk-UA"/>
              </w:rPr>
            </w:pPr>
          </w:p>
        </w:tc>
        <w:tc>
          <w:tcPr>
            <w:tcW w:w="473" w:type="pct"/>
            <w:shd w:val="clear" w:color="auto" w:fill="auto"/>
          </w:tcPr>
          <w:p w:rsidR="0084636B" w:rsidRPr="002E6ECA" w:rsidRDefault="0084636B" w:rsidP="00372EE3">
            <w:pPr>
              <w:jc w:val="center"/>
              <w:rPr>
                <w:lang w:val="uk-UA"/>
              </w:rPr>
            </w:pPr>
          </w:p>
        </w:tc>
        <w:tc>
          <w:tcPr>
            <w:tcW w:w="661" w:type="pct"/>
            <w:shd w:val="clear" w:color="auto" w:fill="auto"/>
          </w:tcPr>
          <w:p w:rsidR="0084636B" w:rsidRPr="002E6ECA" w:rsidRDefault="0084636B" w:rsidP="00372EE3">
            <w:pPr>
              <w:jc w:val="center"/>
              <w:rPr>
                <w:lang w:val="uk-UA"/>
              </w:rPr>
            </w:pPr>
          </w:p>
        </w:tc>
      </w:tr>
    </w:tbl>
    <w:p w:rsidR="0084636B" w:rsidRPr="002E6ECA" w:rsidRDefault="0084636B" w:rsidP="00372EE3">
      <w:pPr>
        <w:ind w:left="900"/>
        <w:rPr>
          <w:spacing w:val="-1"/>
          <w:lang w:val="uk-UA"/>
        </w:rPr>
      </w:pPr>
    </w:p>
    <w:tbl>
      <w:tblPr>
        <w:tblW w:w="48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0"/>
        <w:gridCol w:w="3863"/>
        <w:gridCol w:w="1074"/>
        <w:gridCol w:w="937"/>
        <w:gridCol w:w="937"/>
        <w:gridCol w:w="935"/>
        <w:gridCol w:w="1280"/>
      </w:tblGrid>
      <w:tr w:rsidR="008C4DB5" w:rsidRPr="002E6ECA" w:rsidTr="008C4DB5">
        <w:tc>
          <w:tcPr>
            <w:tcW w:w="262" w:type="pct"/>
            <w:tcBorders>
              <w:top w:val="nil"/>
              <w:left w:val="nil"/>
              <w:bottom w:val="single" w:sz="4" w:space="0" w:color="auto"/>
              <w:right w:val="nil"/>
            </w:tcBorders>
            <w:shd w:val="clear" w:color="auto" w:fill="auto"/>
          </w:tcPr>
          <w:p w:rsidR="0084636B" w:rsidRPr="002E6ECA" w:rsidRDefault="0084636B" w:rsidP="008C4DB5">
            <w:pPr>
              <w:jc w:val="both"/>
              <w:rPr>
                <w:lang w:val="uk-UA"/>
              </w:rPr>
            </w:pPr>
          </w:p>
        </w:tc>
        <w:tc>
          <w:tcPr>
            <w:tcW w:w="2027" w:type="pct"/>
            <w:tcBorders>
              <w:top w:val="nil"/>
              <w:left w:val="nil"/>
              <w:bottom w:val="single" w:sz="4" w:space="0" w:color="auto"/>
              <w:right w:val="single" w:sz="4" w:space="0" w:color="auto"/>
            </w:tcBorders>
            <w:shd w:val="clear" w:color="auto" w:fill="auto"/>
          </w:tcPr>
          <w:p w:rsidR="0084636B" w:rsidRPr="002E6ECA" w:rsidRDefault="00972A12" w:rsidP="008C4DB5">
            <w:pPr>
              <w:jc w:val="both"/>
              <w:rPr>
                <w:lang w:val="uk-UA"/>
              </w:rPr>
            </w:pPr>
            <w:r w:rsidRPr="002E6ECA">
              <w:rPr>
                <w:spacing w:val="-1"/>
                <w:lang w:val="uk-UA"/>
              </w:rPr>
              <w:t xml:space="preserve">Ваші відчуття та настрій </w:t>
            </w:r>
            <w:r w:rsidRPr="002E6ECA">
              <w:rPr>
                <w:b/>
                <w:spacing w:val="-1"/>
                <w:lang w:val="uk-UA"/>
              </w:rPr>
              <w:t>протягом останнього тижня</w:t>
            </w:r>
          </w:p>
        </w:tc>
        <w:tc>
          <w:tcPr>
            <w:tcW w:w="563" w:type="pct"/>
            <w:tcBorders>
              <w:left w:val="single" w:sz="4" w:space="0" w:color="auto"/>
            </w:tcBorders>
            <w:shd w:val="clear" w:color="auto" w:fill="auto"/>
          </w:tcPr>
          <w:p w:rsidR="0084636B" w:rsidRPr="002E6ECA" w:rsidRDefault="0084636B" w:rsidP="008C4DB5">
            <w:pPr>
              <w:pStyle w:val="a3"/>
              <w:ind w:left="0" w:right="45"/>
              <w:jc w:val="center"/>
              <w:rPr>
                <w:spacing w:val="4"/>
                <w:lang w:val="uk-UA"/>
              </w:rPr>
            </w:pPr>
            <w:r w:rsidRPr="002E6ECA">
              <w:rPr>
                <w:spacing w:val="4"/>
                <w:lang w:val="uk-UA"/>
              </w:rPr>
              <w:t>ніколи</w:t>
            </w:r>
          </w:p>
        </w:tc>
        <w:tc>
          <w:tcPr>
            <w:tcW w:w="492" w:type="pct"/>
            <w:shd w:val="clear" w:color="auto" w:fill="auto"/>
          </w:tcPr>
          <w:p w:rsidR="0084636B" w:rsidRPr="002E6ECA" w:rsidRDefault="0084636B" w:rsidP="008C4DB5">
            <w:pPr>
              <w:pStyle w:val="a3"/>
              <w:ind w:left="0" w:right="45"/>
              <w:jc w:val="center"/>
              <w:rPr>
                <w:spacing w:val="4"/>
                <w:lang w:val="uk-UA"/>
              </w:rPr>
            </w:pPr>
            <w:r w:rsidRPr="002E6ECA">
              <w:rPr>
                <w:spacing w:val="4"/>
                <w:lang w:val="uk-UA"/>
              </w:rPr>
              <w:t>іноді</w:t>
            </w:r>
          </w:p>
        </w:tc>
        <w:tc>
          <w:tcPr>
            <w:tcW w:w="492" w:type="pct"/>
            <w:shd w:val="clear" w:color="auto" w:fill="auto"/>
          </w:tcPr>
          <w:p w:rsidR="0084636B" w:rsidRPr="002E6ECA" w:rsidRDefault="0084636B" w:rsidP="008C4DB5">
            <w:pPr>
              <w:pStyle w:val="a3"/>
              <w:ind w:left="0" w:right="45"/>
              <w:jc w:val="center"/>
              <w:rPr>
                <w:spacing w:val="4"/>
                <w:lang w:val="uk-UA"/>
              </w:rPr>
            </w:pPr>
            <w:r w:rsidRPr="002E6ECA">
              <w:rPr>
                <w:spacing w:val="4"/>
                <w:lang w:val="uk-UA"/>
              </w:rPr>
              <w:t>часто</w:t>
            </w:r>
          </w:p>
        </w:tc>
        <w:tc>
          <w:tcPr>
            <w:tcW w:w="491" w:type="pct"/>
            <w:shd w:val="clear" w:color="auto" w:fill="auto"/>
          </w:tcPr>
          <w:p w:rsidR="0084636B" w:rsidRPr="002E6ECA" w:rsidRDefault="0084636B" w:rsidP="008C4DB5">
            <w:pPr>
              <w:pStyle w:val="a3"/>
              <w:ind w:left="0" w:right="45"/>
              <w:jc w:val="center"/>
              <w:rPr>
                <w:spacing w:val="4"/>
                <w:lang w:val="uk-UA"/>
              </w:rPr>
            </w:pPr>
            <w:r w:rsidRPr="002E6ECA">
              <w:rPr>
                <w:spacing w:val="4"/>
                <w:lang w:val="uk-UA"/>
              </w:rPr>
              <w:t>дуже</w:t>
            </w:r>
            <w:r w:rsidR="00D46B1B" w:rsidRPr="002E6ECA">
              <w:rPr>
                <w:spacing w:val="4"/>
                <w:lang w:val="uk-UA"/>
              </w:rPr>
              <w:t xml:space="preserve"> </w:t>
            </w:r>
            <w:r w:rsidRPr="002E6ECA">
              <w:rPr>
                <w:spacing w:val="4"/>
                <w:lang w:val="uk-UA"/>
              </w:rPr>
              <w:t>часто</w:t>
            </w:r>
          </w:p>
        </w:tc>
        <w:tc>
          <w:tcPr>
            <w:tcW w:w="672" w:type="pct"/>
            <w:shd w:val="clear" w:color="auto" w:fill="auto"/>
          </w:tcPr>
          <w:p w:rsidR="0084636B" w:rsidRPr="002E6ECA" w:rsidRDefault="0084636B" w:rsidP="008C4DB5">
            <w:pPr>
              <w:pStyle w:val="a3"/>
              <w:ind w:left="0" w:right="45"/>
              <w:jc w:val="center"/>
              <w:rPr>
                <w:spacing w:val="4"/>
                <w:lang w:val="uk-UA"/>
              </w:rPr>
            </w:pPr>
            <w:r w:rsidRPr="002E6ECA">
              <w:rPr>
                <w:spacing w:val="4"/>
                <w:lang w:val="uk-UA"/>
              </w:rPr>
              <w:t>майже</w:t>
            </w:r>
            <w:r w:rsidR="00D46B1B" w:rsidRPr="002E6ECA">
              <w:rPr>
                <w:spacing w:val="4"/>
                <w:lang w:val="uk-UA"/>
              </w:rPr>
              <w:t xml:space="preserve"> </w:t>
            </w:r>
            <w:r w:rsidRPr="002E6ECA">
              <w:rPr>
                <w:spacing w:val="4"/>
                <w:lang w:val="uk-UA"/>
              </w:rPr>
              <w:t>весь</w:t>
            </w:r>
            <w:r w:rsidR="00D46B1B" w:rsidRPr="002E6ECA">
              <w:rPr>
                <w:spacing w:val="4"/>
                <w:lang w:val="uk-UA"/>
              </w:rPr>
              <w:t xml:space="preserve"> </w:t>
            </w:r>
            <w:r w:rsidRPr="002E6ECA">
              <w:rPr>
                <w:spacing w:val="4"/>
                <w:lang w:val="uk-UA"/>
              </w:rPr>
              <w:t>час</w:t>
            </w:r>
            <w:r w:rsidR="00D46B1B" w:rsidRPr="002E6ECA">
              <w:rPr>
                <w:spacing w:val="4"/>
                <w:lang w:val="uk-UA"/>
              </w:rPr>
              <w:t xml:space="preserve"> </w:t>
            </w:r>
          </w:p>
        </w:tc>
      </w:tr>
      <w:tr w:rsidR="008C4DB5" w:rsidRPr="002E6ECA" w:rsidTr="008C4DB5">
        <w:trPr>
          <w:trHeight w:val="340"/>
        </w:trPr>
        <w:tc>
          <w:tcPr>
            <w:tcW w:w="262" w:type="pct"/>
            <w:tcBorders>
              <w:top w:val="single" w:sz="4" w:space="0" w:color="auto"/>
            </w:tcBorders>
            <w:shd w:val="clear" w:color="auto" w:fill="auto"/>
          </w:tcPr>
          <w:p w:rsidR="0084636B" w:rsidRPr="002E6ECA" w:rsidRDefault="0084636B" w:rsidP="008C4DB5">
            <w:pPr>
              <w:pStyle w:val="a3"/>
              <w:numPr>
                <w:ilvl w:val="0"/>
                <w:numId w:val="27"/>
              </w:numPr>
              <w:tabs>
                <w:tab w:val="left" w:pos="81"/>
              </w:tabs>
              <w:jc w:val="both"/>
              <w:rPr>
                <w:b/>
                <w:lang w:val="uk-UA"/>
              </w:rPr>
            </w:pPr>
          </w:p>
        </w:tc>
        <w:tc>
          <w:tcPr>
            <w:tcW w:w="2027" w:type="pct"/>
            <w:tcBorders>
              <w:top w:val="single" w:sz="4" w:space="0" w:color="auto"/>
            </w:tcBorders>
            <w:shd w:val="clear" w:color="auto" w:fill="auto"/>
          </w:tcPr>
          <w:p w:rsidR="0084636B" w:rsidRPr="002E6ECA" w:rsidRDefault="0084636B" w:rsidP="008C4DB5">
            <w:pPr>
              <w:pStyle w:val="a3"/>
              <w:ind w:left="0" w:right="45"/>
              <w:rPr>
                <w:spacing w:val="4"/>
                <w:lang w:val="uk-UA"/>
              </w:rPr>
            </w:pPr>
            <w:r w:rsidRPr="002E6ECA">
              <w:rPr>
                <w:spacing w:val="4"/>
                <w:lang w:val="uk-UA"/>
              </w:rPr>
              <w:t>Гарний</w:t>
            </w:r>
            <w:r w:rsidR="00D46B1B" w:rsidRPr="002E6ECA">
              <w:rPr>
                <w:spacing w:val="4"/>
                <w:lang w:val="uk-UA"/>
              </w:rPr>
              <w:t xml:space="preserve"> </w:t>
            </w:r>
            <w:r w:rsidRPr="002E6ECA">
              <w:rPr>
                <w:spacing w:val="4"/>
                <w:lang w:val="uk-UA"/>
              </w:rPr>
              <w:t>настрій</w:t>
            </w:r>
          </w:p>
        </w:tc>
        <w:tc>
          <w:tcPr>
            <w:tcW w:w="563"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1" w:type="pct"/>
            <w:shd w:val="clear" w:color="auto" w:fill="auto"/>
          </w:tcPr>
          <w:p w:rsidR="0084636B" w:rsidRPr="002E6ECA" w:rsidRDefault="0084636B" w:rsidP="008C4DB5">
            <w:pPr>
              <w:jc w:val="center"/>
              <w:rPr>
                <w:lang w:val="uk-UA"/>
              </w:rPr>
            </w:pPr>
          </w:p>
        </w:tc>
        <w:tc>
          <w:tcPr>
            <w:tcW w:w="672" w:type="pct"/>
            <w:shd w:val="clear" w:color="auto" w:fill="auto"/>
          </w:tcPr>
          <w:p w:rsidR="0084636B" w:rsidRPr="002E6ECA" w:rsidRDefault="0084636B" w:rsidP="008C4DB5">
            <w:pPr>
              <w:jc w:val="center"/>
              <w:rPr>
                <w:lang w:val="uk-UA"/>
              </w:rPr>
            </w:pPr>
          </w:p>
        </w:tc>
      </w:tr>
      <w:tr w:rsidR="008C4DB5" w:rsidRPr="002E6ECA" w:rsidTr="008C4DB5">
        <w:trPr>
          <w:trHeight w:val="340"/>
        </w:trPr>
        <w:tc>
          <w:tcPr>
            <w:tcW w:w="262" w:type="pct"/>
            <w:shd w:val="clear" w:color="auto" w:fill="auto"/>
          </w:tcPr>
          <w:p w:rsidR="0084636B" w:rsidRPr="002E6ECA" w:rsidRDefault="0084636B" w:rsidP="008C4DB5">
            <w:pPr>
              <w:pStyle w:val="a3"/>
              <w:numPr>
                <w:ilvl w:val="0"/>
                <w:numId w:val="27"/>
              </w:numPr>
              <w:tabs>
                <w:tab w:val="left" w:pos="81"/>
              </w:tabs>
              <w:jc w:val="both"/>
              <w:rPr>
                <w:b/>
                <w:lang w:val="uk-UA"/>
              </w:rPr>
            </w:pPr>
          </w:p>
        </w:tc>
        <w:tc>
          <w:tcPr>
            <w:tcW w:w="2027" w:type="pct"/>
            <w:shd w:val="clear" w:color="auto" w:fill="auto"/>
          </w:tcPr>
          <w:p w:rsidR="0084636B" w:rsidRPr="002E6ECA" w:rsidRDefault="0084636B" w:rsidP="008C4DB5">
            <w:pPr>
              <w:pStyle w:val="a3"/>
              <w:ind w:left="0" w:right="45"/>
              <w:rPr>
                <w:spacing w:val="4"/>
                <w:lang w:val="uk-UA"/>
              </w:rPr>
            </w:pPr>
            <w:r w:rsidRPr="002E6ECA">
              <w:rPr>
                <w:spacing w:val="4"/>
                <w:lang w:val="uk-UA"/>
              </w:rPr>
              <w:t>Роздратований(а)</w:t>
            </w:r>
            <w:r w:rsidR="00D46B1B" w:rsidRPr="002E6ECA">
              <w:rPr>
                <w:spacing w:val="4"/>
                <w:lang w:val="uk-UA"/>
              </w:rPr>
              <w:t xml:space="preserve">  </w:t>
            </w:r>
          </w:p>
          <w:p w:rsidR="0084636B" w:rsidRPr="002E6ECA" w:rsidRDefault="00D46B1B" w:rsidP="008C4DB5">
            <w:pPr>
              <w:pStyle w:val="a3"/>
              <w:ind w:left="0" w:right="45"/>
              <w:rPr>
                <w:spacing w:val="4"/>
                <w:lang w:val="uk-UA"/>
              </w:rPr>
            </w:pPr>
            <w:r w:rsidRPr="002E6ECA">
              <w:rPr>
                <w:spacing w:val="4"/>
                <w:lang w:val="uk-UA"/>
              </w:rPr>
              <w:t xml:space="preserve">         </w:t>
            </w:r>
            <w:r w:rsidR="0084636B" w:rsidRPr="002E6ECA">
              <w:rPr>
                <w:spacing w:val="4"/>
                <w:lang w:val="uk-UA"/>
              </w:rPr>
              <w:t>чи</w:t>
            </w:r>
            <w:r w:rsidRPr="002E6ECA">
              <w:rPr>
                <w:spacing w:val="4"/>
                <w:lang w:val="uk-UA"/>
              </w:rPr>
              <w:t xml:space="preserve"> </w:t>
            </w:r>
            <w:r w:rsidR="0084636B" w:rsidRPr="002E6ECA">
              <w:rPr>
                <w:spacing w:val="4"/>
                <w:lang w:val="uk-UA"/>
              </w:rPr>
              <w:t>знервований(а)</w:t>
            </w:r>
          </w:p>
        </w:tc>
        <w:tc>
          <w:tcPr>
            <w:tcW w:w="563"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1" w:type="pct"/>
            <w:shd w:val="clear" w:color="auto" w:fill="auto"/>
          </w:tcPr>
          <w:p w:rsidR="0084636B" w:rsidRPr="002E6ECA" w:rsidRDefault="0084636B" w:rsidP="008C4DB5">
            <w:pPr>
              <w:jc w:val="center"/>
              <w:rPr>
                <w:lang w:val="uk-UA"/>
              </w:rPr>
            </w:pPr>
          </w:p>
        </w:tc>
        <w:tc>
          <w:tcPr>
            <w:tcW w:w="672" w:type="pct"/>
            <w:shd w:val="clear" w:color="auto" w:fill="auto"/>
          </w:tcPr>
          <w:p w:rsidR="0084636B" w:rsidRPr="002E6ECA" w:rsidRDefault="0084636B" w:rsidP="008C4DB5">
            <w:pPr>
              <w:jc w:val="center"/>
              <w:rPr>
                <w:lang w:val="uk-UA"/>
              </w:rPr>
            </w:pPr>
          </w:p>
        </w:tc>
      </w:tr>
      <w:tr w:rsidR="008C4DB5" w:rsidRPr="002E6ECA" w:rsidTr="008C4DB5">
        <w:trPr>
          <w:trHeight w:val="340"/>
        </w:trPr>
        <w:tc>
          <w:tcPr>
            <w:tcW w:w="262" w:type="pct"/>
            <w:shd w:val="clear" w:color="auto" w:fill="auto"/>
          </w:tcPr>
          <w:p w:rsidR="0084636B" w:rsidRPr="002E6ECA" w:rsidRDefault="0084636B" w:rsidP="008C4DB5">
            <w:pPr>
              <w:pStyle w:val="a3"/>
              <w:numPr>
                <w:ilvl w:val="0"/>
                <w:numId w:val="27"/>
              </w:numPr>
              <w:tabs>
                <w:tab w:val="left" w:pos="81"/>
              </w:tabs>
              <w:jc w:val="both"/>
              <w:rPr>
                <w:b/>
                <w:lang w:val="uk-UA"/>
              </w:rPr>
            </w:pPr>
          </w:p>
        </w:tc>
        <w:tc>
          <w:tcPr>
            <w:tcW w:w="2027" w:type="pct"/>
            <w:shd w:val="clear" w:color="auto" w:fill="auto"/>
          </w:tcPr>
          <w:p w:rsidR="0084636B" w:rsidRPr="002E6ECA" w:rsidRDefault="0084636B" w:rsidP="008C4DB5">
            <w:pPr>
              <w:pStyle w:val="a3"/>
              <w:ind w:left="0" w:right="45"/>
              <w:rPr>
                <w:spacing w:val="4"/>
                <w:lang w:val="uk-UA"/>
              </w:rPr>
            </w:pPr>
            <w:r w:rsidRPr="002E6ECA">
              <w:rPr>
                <w:spacing w:val="4"/>
                <w:lang w:val="uk-UA"/>
              </w:rPr>
              <w:t>Сумно</w:t>
            </w:r>
          </w:p>
        </w:tc>
        <w:tc>
          <w:tcPr>
            <w:tcW w:w="563"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1" w:type="pct"/>
            <w:shd w:val="clear" w:color="auto" w:fill="auto"/>
          </w:tcPr>
          <w:p w:rsidR="0084636B" w:rsidRPr="002E6ECA" w:rsidRDefault="0084636B" w:rsidP="008C4DB5">
            <w:pPr>
              <w:jc w:val="center"/>
              <w:rPr>
                <w:lang w:val="uk-UA"/>
              </w:rPr>
            </w:pPr>
          </w:p>
        </w:tc>
        <w:tc>
          <w:tcPr>
            <w:tcW w:w="672" w:type="pct"/>
            <w:shd w:val="clear" w:color="auto" w:fill="auto"/>
          </w:tcPr>
          <w:p w:rsidR="0084636B" w:rsidRPr="002E6ECA" w:rsidRDefault="0084636B" w:rsidP="008C4DB5">
            <w:pPr>
              <w:jc w:val="center"/>
              <w:rPr>
                <w:lang w:val="uk-UA"/>
              </w:rPr>
            </w:pPr>
          </w:p>
        </w:tc>
      </w:tr>
      <w:tr w:rsidR="008C4DB5" w:rsidRPr="002E6ECA" w:rsidTr="008C4DB5">
        <w:trPr>
          <w:trHeight w:val="340"/>
        </w:trPr>
        <w:tc>
          <w:tcPr>
            <w:tcW w:w="262" w:type="pct"/>
            <w:shd w:val="clear" w:color="auto" w:fill="auto"/>
          </w:tcPr>
          <w:p w:rsidR="0084636B" w:rsidRPr="002E6ECA" w:rsidRDefault="0084636B" w:rsidP="008C4DB5">
            <w:pPr>
              <w:pStyle w:val="a3"/>
              <w:numPr>
                <w:ilvl w:val="0"/>
                <w:numId w:val="27"/>
              </w:numPr>
              <w:tabs>
                <w:tab w:val="left" w:pos="81"/>
              </w:tabs>
              <w:jc w:val="both"/>
              <w:rPr>
                <w:b/>
                <w:lang w:val="uk-UA"/>
              </w:rPr>
            </w:pPr>
          </w:p>
        </w:tc>
        <w:tc>
          <w:tcPr>
            <w:tcW w:w="2027" w:type="pct"/>
            <w:shd w:val="clear" w:color="auto" w:fill="auto"/>
          </w:tcPr>
          <w:p w:rsidR="0084636B" w:rsidRPr="002E6ECA" w:rsidRDefault="0084636B" w:rsidP="008C4DB5">
            <w:pPr>
              <w:pStyle w:val="a3"/>
              <w:ind w:left="0" w:right="45"/>
              <w:rPr>
                <w:spacing w:val="4"/>
                <w:lang w:val="uk-UA"/>
              </w:rPr>
            </w:pPr>
            <w:r w:rsidRPr="002E6ECA">
              <w:rPr>
                <w:spacing w:val="4"/>
                <w:lang w:val="uk-UA"/>
              </w:rPr>
              <w:t>Відчуття</w:t>
            </w:r>
            <w:r w:rsidR="00D46B1B" w:rsidRPr="002E6ECA">
              <w:rPr>
                <w:spacing w:val="4"/>
                <w:lang w:val="uk-UA"/>
              </w:rPr>
              <w:t xml:space="preserve"> </w:t>
            </w:r>
            <w:r w:rsidRPr="002E6ECA">
              <w:rPr>
                <w:spacing w:val="4"/>
                <w:lang w:val="uk-UA"/>
              </w:rPr>
              <w:t>самотності</w:t>
            </w:r>
          </w:p>
        </w:tc>
        <w:tc>
          <w:tcPr>
            <w:tcW w:w="563"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1" w:type="pct"/>
            <w:shd w:val="clear" w:color="auto" w:fill="auto"/>
          </w:tcPr>
          <w:p w:rsidR="0084636B" w:rsidRPr="002E6ECA" w:rsidRDefault="0084636B" w:rsidP="008C4DB5">
            <w:pPr>
              <w:jc w:val="center"/>
              <w:rPr>
                <w:lang w:val="uk-UA"/>
              </w:rPr>
            </w:pPr>
          </w:p>
        </w:tc>
        <w:tc>
          <w:tcPr>
            <w:tcW w:w="672" w:type="pct"/>
            <w:shd w:val="clear" w:color="auto" w:fill="auto"/>
          </w:tcPr>
          <w:p w:rsidR="0084636B" w:rsidRPr="002E6ECA" w:rsidRDefault="0084636B" w:rsidP="008C4DB5">
            <w:pPr>
              <w:jc w:val="center"/>
              <w:rPr>
                <w:lang w:val="uk-UA"/>
              </w:rPr>
            </w:pPr>
          </w:p>
        </w:tc>
      </w:tr>
      <w:tr w:rsidR="008C4DB5" w:rsidRPr="002E6ECA" w:rsidTr="008C4DB5">
        <w:trPr>
          <w:trHeight w:val="340"/>
        </w:trPr>
        <w:tc>
          <w:tcPr>
            <w:tcW w:w="262" w:type="pct"/>
            <w:shd w:val="clear" w:color="auto" w:fill="auto"/>
          </w:tcPr>
          <w:p w:rsidR="0084636B" w:rsidRPr="002E6ECA" w:rsidRDefault="0084636B" w:rsidP="008C4DB5">
            <w:pPr>
              <w:pStyle w:val="a3"/>
              <w:numPr>
                <w:ilvl w:val="0"/>
                <w:numId w:val="27"/>
              </w:numPr>
              <w:tabs>
                <w:tab w:val="left" w:pos="81"/>
              </w:tabs>
              <w:jc w:val="both"/>
              <w:rPr>
                <w:b/>
                <w:lang w:val="uk-UA"/>
              </w:rPr>
            </w:pPr>
          </w:p>
        </w:tc>
        <w:tc>
          <w:tcPr>
            <w:tcW w:w="2027" w:type="pct"/>
            <w:shd w:val="clear" w:color="auto" w:fill="auto"/>
          </w:tcPr>
          <w:p w:rsidR="0084636B" w:rsidRPr="002E6ECA" w:rsidRDefault="0084636B" w:rsidP="008C4DB5">
            <w:pPr>
              <w:pStyle w:val="a3"/>
              <w:ind w:left="0" w:right="45"/>
              <w:rPr>
                <w:spacing w:val="4"/>
                <w:lang w:val="uk-UA"/>
              </w:rPr>
            </w:pPr>
            <w:r w:rsidRPr="002E6ECA">
              <w:rPr>
                <w:spacing w:val="4"/>
                <w:lang w:val="uk-UA"/>
              </w:rPr>
              <w:t>Задоволений(а)</w:t>
            </w:r>
            <w:r w:rsidR="00D46B1B" w:rsidRPr="002E6ECA">
              <w:rPr>
                <w:spacing w:val="4"/>
                <w:lang w:val="uk-UA"/>
              </w:rPr>
              <w:t xml:space="preserve">  </w:t>
            </w:r>
            <w:r w:rsidRPr="002E6ECA">
              <w:rPr>
                <w:spacing w:val="4"/>
                <w:lang w:val="uk-UA"/>
              </w:rPr>
              <w:t>собою</w:t>
            </w:r>
          </w:p>
        </w:tc>
        <w:tc>
          <w:tcPr>
            <w:tcW w:w="563"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1" w:type="pct"/>
            <w:shd w:val="clear" w:color="auto" w:fill="auto"/>
          </w:tcPr>
          <w:p w:rsidR="0084636B" w:rsidRPr="002E6ECA" w:rsidRDefault="0084636B" w:rsidP="008C4DB5">
            <w:pPr>
              <w:jc w:val="center"/>
              <w:rPr>
                <w:lang w:val="uk-UA"/>
              </w:rPr>
            </w:pPr>
          </w:p>
        </w:tc>
        <w:tc>
          <w:tcPr>
            <w:tcW w:w="672" w:type="pct"/>
            <w:shd w:val="clear" w:color="auto" w:fill="auto"/>
          </w:tcPr>
          <w:p w:rsidR="0084636B" w:rsidRPr="002E6ECA" w:rsidRDefault="0084636B" w:rsidP="008C4DB5">
            <w:pPr>
              <w:jc w:val="center"/>
              <w:rPr>
                <w:lang w:val="uk-UA"/>
              </w:rPr>
            </w:pPr>
          </w:p>
        </w:tc>
      </w:tr>
      <w:tr w:rsidR="008C4DB5" w:rsidRPr="002E6ECA" w:rsidTr="008C4DB5">
        <w:trPr>
          <w:trHeight w:val="340"/>
        </w:trPr>
        <w:tc>
          <w:tcPr>
            <w:tcW w:w="262" w:type="pct"/>
            <w:shd w:val="clear" w:color="auto" w:fill="auto"/>
          </w:tcPr>
          <w:p w:rsidR="0084636B" w:rsidRPr="002E6ECA" w:rsidRDefault="0084636B" w:rsidP="008C4DB5">
            <w:pPr>
              <w:pStyle w:val="a3"/>
              <w:numPr>
                <w:ilvl w:val="0"/>
                <w:numId w:val="27"/>
              </w:numPr>
              <w:tabs>
                <w:tab w:val="left" w:pos="81"/>
              </w:tabs>
              <w:jc w:val="both"/>
              <w:rPr>
                <w:b/>
                <w:lang w:val="uk-UA"/>
              </w:rPr>
            </w:pPr>
          </w:p>
        </w:tc>
        <w:tc>
          <w:tcPr>
            <w:tcW w:w="2027" w:type="pct"/>
            <w:shd w:val="clear" w:color="auto" w:fill="auto"/>
          </w:tcPr>
          <w:p w:rsidR="0084636B" w:rsidRPr="002E6ECA" w:rsidRDefault="0084636B" w:rsidP="008C4DB5">
            <w:pPr>
              <w:pStyle w:val="a3"/>
              <w:ind w:left="0" w:right="45"/>
              <w:rPr>
                <w:spacing w:val="4"/>
                <w:lang w:val="uk-UA"/>
              </w:rPr>
            </w:pPr>
            <w:r w:rsidRPr="002E6ECA">
              <w:rPr>
                <w:spacing w:val="4"/>
                <w:lang w:val="uk-UA"/>
              </w:rPr>
              <w:t>Щасливий(а)</w:t>
            </w:r>
          </w:p>
        </w:tc>
        <w:tc>
          <w:tcPr>
            <w:tcW w:w="563"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2" w:type="pct"/>
            <w:shd w:val="clear" w:color="auto" w:fill="auto"/>
          </w:tcPr>
          <w:p w:rsidR="0084636B" w:rsidRPr="002E6ECA" w:rsidRDefault="0084636B" w:rsidP="008C4DB5">
            <w:pPr>
              <w:jc w:val="center"/>
              <w:rPr>
                <w:lang w:val="uk-UA"/>
              </w:rPr>
            </w:pPr>
          </w:p>
        </w:tc>
        <w:tc>
          <w:tcPr>
            <w:tcW w:w="491" w:type="pct"/>
            <w:shd w:val="clear" w:color="auto" w:fill="auto"/>
          </w:tcPr>
          <w:p w:rsidR="0084636B" w:rsidRPr="002E6ECA" w:rsidRDefault="0084636B" w:rsidP="008C4DB5">
            <w:pPr>
              <w:jc w:val="center"/>
              <w:rPr>
                <w:lang w:val="uk-UA"/>
              </w:rPr>
            </w:pPr>
          </w:p>
        </w:tc>
        <w:tc>
          <w:tcPr>
            <w:tcW w:w="672" w:type="pct"/>
            <w:shd w:val="clear" w:color="auto" w:fill="auto"/>
          </w:tcPr>
          <w:p w:rsidR="0084636B" w:rsidRPr="002E6ECA" w:rsidRDefault="0084636B" w:rsidP="008C4DB5">
            <w:pPr>
              <w:jc w:val="center"/>
              <w:rPr>
                <w:lang w:val="uk-UA"/>
              </w:rPr>
            </w:pPr>
          </w:p>
        </w:tc>
      </w:tr>
    </w:tbl>
    <w:p w:rsidR="00C47BB0" w:rsidRPr="002E6ECA" w:rsidRDefault="00C47BB0">
      <w:pPr>
        <w:rPr>
          <w:sz w:val="28"/>
          <w:szCs w:val="28"/>
          <w:lang w:val="uk-UA"/>
        </w:rPr>
      </w:pPr>
      <w:r w:rsidRPr="002E6ECA">
        <w:rPr>
          <w:sz w:val="28"/>
          <w:szCs w:val="28"/>
          <w:lang w:val="uk-UA"/>
        </w:rPr>
        <w:br w:type="page"/>
      </w:r>
    </w:p>
    <w:p w:rsidR="00A66290" w:rsidRPr="002E6ECA" w:rsidRDefault="00A66290" w:rsidP="00A66290">
      <w:pPr>
        <w:spacing w:line="360" w:lineRule="auto"/>
        <w:ind w:firstLine="709"/>
        <w:jc w:val="right"/>
        <w:rPr>
          <w:b/>
          <w:bCs/>
          <w:sz w:val="28"/>
          <w:szCs w:val="28"/>
        </w:rPr>
      </w:pPr>
      <w:r w:rsidRPr="002E6ECA">
        <w:rPr>
          <w:b/>
          <w:bCs/>
          <w:sz w:val="28"/>
          <w:szCs w:val="28"/>
          <w:lang w:val="uk-UA"/>
        </w:rPr>
        <w:lastRenderedPageBreak/>
        <w:t>Додаток Ж</w:t>
      </w:r>
    </w:p>
    <w:p w:rsidR="00A66290" w:rsidRPr="002E6ECA" w:rsidRDefault="00A66290" w:rsidP="00A66290">
      <w:pPr>
        <w:spacing w:line="360" w:lineRule="auto"/>
        <w:ind w:firstLine="709"/>
        <w:jc w:val="center"/>
        <w:rPr>
          <w:b/>
          <w:bCs/>
          <w:sz w:val="28"/>
          <w:szCs w:val="28"/>
        </w:rPr>
      </w:pPr>
      <w:r w:rsidRPr="002E6ECA">
        <w:rPr>
          <w:b/>
          <w:bCs/>
          <w:sz w:val="28"/>
          <w:szCs w:val="28"/>
          <w:lang w:val="uk-UA"/>
        </w:rPr>
        <w:t>Акти впроваджень результатів дисертаційної роботи</w:t>
      </w:r>
    </w:p>
    <w:p w:rsidR="00A66290" w:rsidRPr="002E6ECA" w:rsidRDefault="00A66290" w:rsidP="00A66290">
      <w:pPr>
        <w:rPr>
          <w:lang w:val="en-US"/>
        </w:rPr>
      </w:pPr>
      <w:r w:rsidRPr="002E6ECA">
        <w:rPr>
          <w:noProof/>
          <w:lang w:val="uk-UA" w:eastAsia="uk-UA"/>
        </w:rPr>
        <w:drawing>
          <wp:inline distT="0" distB="0" distL="0" distR="0" wp14:anchorId="43E827EF" wp14:editId="3C50C721">
            <wp:extent cx="5936227" cy="7902054"/>
            <wp:effectExtent l="0" t="0" r="7620" b="3810"/>
            <wp:docPr id="15" name="Рисунок 15" descr="F:\акт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акти\1.jpg"/>
                    <pic:cNvPicPr>
                      <a:picLocks noChangeAspect="1" noChangeArrowheads="1"/>
                    </pic:cNvPicPr>
                  </pic:nvPicPr>
                  <pic:blipFill rotWithShape="1">
                    <a:blip r:embed="rId558" cstate="print">
                      <a:extLst>
                        <a:ext uri="{28A0092B-C50C-407E-A947-70E740481C1C}">
                          <a14:useLocalDpi xmlns:a14="http://schemas.microsoft.com/office/drawing/2010/main" val="0"/>
                        </a:ext>
                      </a:extLst>
                    </a:blip>
                    <a:srcRect t="3206" b="4006"/>
                    <a:stretch/>
                  </pic:blipFill>
                  <pic:spPr bwMode="auto">
                    <a:xfrm>
                      <a:off x="0" y="0"/>
                      <a:ext cx="5940425" cy="7907642"/>
                    </a:xfrm>
                    <a:prstGeom prst="rect">
                      <a:avLst/>
                    </a:prstGeom>
                    <a:noFill/>
                    <a:ln>
                      <a:noFill/>
                    </a:ln>
                    <a:extLst>
                      <a:ext uri="{53640926-AAD7-44D8-BBD7-CCE9431645EC}">
                        <a14:shadowObscured xmlns:a14="http://schemas.microsoft.com/office/drawing/2010/main"/>
                      </a:ext>
                    </a:extLst>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01F40586" wp14:editId="09849291">
            <wp:extent cx="5940425" cy="8385167"/>
            <wp:effectExtent l="0" t="0" r="3175" b="0"/>
            <wp:docPr id="24" name="Рисунок 24" descr="F:\акти\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акти\2.jpg"/>
                    <pic:cNvPicPr>
                      <a:picLocks noChangeAspect="1" noChangeArrowheads="1"/>
                    </pic:cNvPicPr>
                  </pic:nvPicPr>
                  <pic:blipFill>
                    <a:blip r:embed="rId559" cstate="print">
                      <a:extLst>
                        <a:ext uri="{28A0092B-C50C-407E-A947-70E740481C1C}">
                          <a14:useLocalDpi xmlns:a14="http://schemas.microsoft.com/office/drawing/2010/main" val="0"/>
                        </a:ext>
                      </a:extLst>
                    </a:blip>
                    <a:srcRect/>
                    <a:stretch>
                      <a:fillRect/>
                    </a:stretch>
                  </pic:blipFill>
                  <pic:spPr bwMode="auto">
                    <a:xfrm>
                      <a:off x="0" y="0"/>
                      <a:ext cx="5940425" cy="8385167"/>
                    </a:xfrm>
                    <a:prstGeom prst="rect">
                      <a:avLst/>
                    </a:prstGeom>
                    <a:noFill/>
                    <a:ln>
                      <a:noFill/>
                    </a:ln>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p>
    <w:p w:rsidR="00A66290" w:rsidRPr="002E6ECA" w:rsidRDefault="00A66290" w:rsidP="00A66290">
      <w:pPr>
        <w:rPr>
          <w:lang w:val="en-US"/>
        </w:rPr>
      </w:pPr>
      <w:r w:rsidRPr="002E6ECA">
        <w:rPr>
          <w:noProof/>
          <w:lang w:val="uk-UA" w:eastAsia="uk-UA"/>
        </w:rPr>
        <w:lastRenderedPageBreak/>
        <w:drawing>
          <wp:inline distT="0" distB="0" distL="0" distR="0" wp14:anchorId="3DF77096" wp14:editId="58A705E5">
            <wp:extent cx="5940425" cy="8388238"/>
            <wp:effectExtent l="0" t="0" r="3175" b="0"/>
            <wp:docPr id="25" name="Рисунок 25" descr="F:\акти\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акти\3.jpg"/>
                    <pic:cNvPicPr>
                      <a:picLocks noChangeAspect="1" noChangeArrowheads="1"/>
                    </pic:cNvPicPr>
                  </pic:nvPicPr>
                  <pic:blipFill>
                    <a:blip r:embed="rId560">
                      <a:extLst>
                        <a:ext uri="{28A0092B-C50C-407E-A947-70E740481C1C}">
                          <a14:useLocalDpi xmlns:a14="http://schemas.microsoft.com/office/drawing/2010/main" val="0"/>
                        </a:ext>
                      </a:extLst>
                    </a:blip>
                    <a:srcRect/>
                    <a:stretch>
                      <a:fillRect/>
                    </a:stretch>
                  </pic:blipFill>
                  <pic:spPr bwMode="auto">
                    <a:xfrm>
                      <a:off x="0" y="0"/>
                      <a:ext cx="5940425" cy="8388238"/>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1A9A03D3" wp14:editId="21918321">
            <wp:extent cx="5940425" cy="8450782"/>
            <wp:effectExtent l="0" t="0" r="3175" b="7620"/>
            <wp:docPr id="26" name="Рисунок 26" descr="F:\акти\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акти\4.jpg"/>
                    <pic:cNvPicPr>
                      <a:picLocks noChangeAspect="1" noChangeArrowheads="1"/>
                    </pic:cNvPicPr>
                  </pic:nvPicPr>
                  <pic:blipFill>
                    <a:blip r:embed="rId561">
                      <a:extLst>
                        <a:ext uri="{28A0092B-C50C-407E-A947-70E740481C1C}">
                          <a14:useLocalDpi xmlns:a14="http://schemas.microsoft.com/office/drawing/2010/main" val="0"/>
                        </a:ext>
                      </a:extLst>
                    </a:blip>
                    <a:srcRect/>
                    <a:stretch>
                      <a:fillRect/>
                    </a:stretch>
                  </pic:blipFill>
                  <pic:spPr bwMode="auto">
                    <a:xfrm>
                      <a:off x="0" y="0"/>
                      <a:ext cx="5940425" cy="8450782"/>
                    </a:xfrm>
                    <a:prstGeom prst="rect">
                      <a:avLst/>
                    </a:prstGeom>
                    <a:noFill/>
                    <a:ln>
                      <a:noFill/>
                    </a:ln>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r w:rsidRPr="002E6ECA">
        <w:rPr>
          <w:noProof/>
          <w:lang w:val="uk-UA" w:eastAsia="uk-UA"/>
        </w:rPr>
        <w:lastRenderedPageBreak/>
        <w:drawing>
          <wp:inline distT="0" distB="0" distL="0" distR="0" wp14:anchorId="66605BC8" wp14:editId="19ADFCD9">
            <wp:extent cx="5940425" cy="9200696"/>
            <wp:effectExtent l="0" t="0" r="3175" b="635"/>
            <wp:docPr id="28" name="Рисунок 28" descr="F:\акти\Сидоренко5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акти\Сидоренко5_page-0001.jpg"/>
                    <pic:cNvPicPr>
                      <a:picLocks noChangeAspect="1" noChangeArrowheads="1"/>
                    </pic:cNvPicPr>
                  </pic:nvPicPr>
                  <pic:blipFill>
                    <a:blip r:embed="rId562">
                      <a:extLst>
                        <a:ext uri="{28A0092B-C50C-407E-A947-70E740481C1C}">
                          <a14:useLocalDpi xmlns:a14="http://schemas.microsoft.com/office/drawing/2010/main" val="0"/>
                        </a:ext>
                      </a:extLst>
                    </a:blip>
                    <a:srcRect/>
                    <a:stretch>
                      <a:fillRect/>
                    </a:stretch>
                  </pic:blipFill>
                  <pic:spPr bwMode="auto">
                    <a:xfrm>
                      <a:off x="0" y="0"/>
                      <a:ext cx="5940425" cy="9200696"/>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42C9C79B" wp14:editId="51FB56AE">
            <wp:extent cx="5940425" cy="9179915"/>
            <wp:effectExtent l="0" t="0" r="3175" b="2540"/>
            <wp:docPr id="29" name="Рисунок 29" descr="F:\акти\Сидоренко5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акти\Сидоренко5_page-0002.jpg"/>
                    <pic:cNvPicPr>
                      <a:picLocks noChangeAspect="1" noChangeArrowheads="1"/>
                    </pic:cNvPicPr>
                  </pic:nvPicPr>
                  <pic:blipFill>
                    <a:blip r:embed="rId563">
                      <a:extLst>
                        <a:ext uri="{28A0092B-C50C-407E-A947-70E740481C1C}">
                          <a14:useLocalDpi xmlns:a14="http://schemas.microsoft.com/office/drawing/2010/main" val="0"/>
                        </a:ext>
                      </a:extLst>
                    </a:blip>
                    <a:srcRect/>
                    <a:stretch>
                      <a:fillRect/>
                    </a:stretch>
                  </pic:blipFill>
                  <pic:spPr bwMode="auto">
                    <a:xfrm>
                      <a:off x="0" y="0"/>
                      <a:ext cx="5940425" cy="9179915"/>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32393517" wp14:editId="57B69210">
            <wp:extent cx="5940425" cy="8388238"/>
            <wp:effectExtent l="0" t="0" r="3175" b="0"/>
            <wp:docPr id="12" name="Рисунок 12" descr="F:\акти\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акти\6.jpg"/>
                    <pic:cNvPicPr>
                      <a:picLocks noChangeAspect="1" noChangeArrowheads="1"/>
                    </pic:cNvPicPr>
                  </pic:nvPicPr>
                  <pic:blipFill>
                    <a:blip r:embed="rId564">
                      <a:extLst>
                        <a:ext uri="{28A0092B-C50C-407E-A947-70E740481C1C}">
                          <a14:useLocalDpi xmlns:a14="http://schemas.microsoft.com/office/drawing/2010/main" val="0"/>
                        </a:ext>
                      </a:extLst>
                    </a:blip>
                    <a:srcRect/>
                    <a:stretch>
                      <a:fillRect/>
                    </a:stretch>
                  </pic:blipFill>
                  <pic:spPr bwMode="auto">
                    <a:xfrm>
                      <a:off x="0" y="0"/>
                      <a:ext cx="5940425" cy="8388238"/>
                    </a:xfrm>
                    <a:prstGeom prst="rect">
                      <a:avLst/>
                    </a:prstGeom>
                    <a:noFill/>
                    <a:ln>
                      <a:noFill/>
                    </a:ln>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p>
    <w:p w:rsidR="00A66290" w:rsidRPr="002E6ECA" w:rsidRDefault="00A66290" w:rsidP="00A66290">
      <w:pPr>
        <w:rPr>
          <w:lang w:val="en-US"/>
        </w:rPr>
      </w:pPr>
      <w:r w:rsidRPr="002E6ECA">
        <w:rPr>
          <w:noProof/>
          <w:lang w:val="uk-UA" w:eastAsia="uk-UA"/>
        </w:rPr>
        <w:lastRenderedPageBreak/>
        <w:drawing>
          <wp:inline distT="0" distB="0" distL="0" distR="0" wp14:anchorId="120E606F" wp14:editId="4C963606">
            <wp:extent cx="5940425" cy="8588289"/>
            <wp:effectExtent l="0" t="0" r="3175" b="3810"/>
            <wp:docPr id="13" name="Рисунок 13" descr="F:\акти\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акти\7.jpg"/>
                    <pic:cNvPicPr>
                      <a:picLocks noChangeAspect="1" noChangeArrowheads="1"/>
                    </pic:cNvPicPr>
                  </pic:nvPicPr>
                  <pic:blipFill>
                    <a:blip r:embed="rId565">
                      <a:extLst>
                        <a:ext uri="{28A0092B-C50C-407E-A947-70E740481C1C}">
                          <a14:useLocalDpi xmlns:a14="http://schemas.microsoft.com/office/drawing/2010/main" val="0"/>
                        </a:ext>
                      </a:extLst>
                    </a:blip>
                    <a:srcRect/>
                    <a:stretch>
                      <a:fillRect/>
                    </a:stretch>
                  </pic:blipFill>
                  <pic:spPr bwMode="auto">
                    <a:xfrm>
                      <a:off x="0" y="0"/>
                      <a:ext cx="5940425" cy="8588289"/>
                    </a:xfrm>
                    <a:prstGeom prst="rect">
                      <a:avLst/>
                    </a:prstGeom>
                    <a:noFill/>
                    <a:ln>
                      <a:noFill/>
                    </a:ln>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p>
    <w:p w:rsidR="00A66290" w:rsidRPr="002E6ECA" w:rsidRDefault="00A66290" w:rsidP="00A66290">
      <w:pPr>
        <w:rPr>
          <w:lang w:val="en-US"/>
        </w:rPr>
      </w:pPr>
    </w:p>
    <w:p w:rsidR="00A66290" w:rsidRPr="002E6ECA" w:rsidRDefault="00A66290" w:rsidP="00A66290">
      <w:pPr>
        <w:rPr>
          <w:lang w:val="en-US"/>
        </w:rPr>
      </w:pPr>
      <w:r w:rsidRPr="002E6ECA">
        <w:rPr>
          <w:noProof/>
          <w:lang w:val="uk-UA" w:eastAsia="uk-UA"/>
        </w:rPr>
        <w:lastRenderedPageBreak/>
        <w:drawing>
          <wp:inline distT="0" distB="0" distL="0" distR="0" wp14:anchorId="39A36AC2" wp14:editId="4D436181">
            <wp:extent cx="5940425" cy="8401886"/>
            <wp:effectExtent l="0" t="0" r="3175" b="0"/>
            <wp:docPr id="30" name="Рисунок 30" descr="F:\акти\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акти\8.jpg"/>
                    <pic:cNvPicPr>
                      <a:picLocks noChangeAspect="1" noChangeArrowheads="1"/>
                    </pic:cNvPicPr>
                  </pic:nvPicPr>
                  <pic:blipFill>
                    <a:blip r:embed="rId566">
                      <a:extLst>
                        <a:ext uri="{28A0092B-C50C-407E-A947-70E740481C1C}">
                          <a14:useLocalDpi xmlns:a14="http://schemas.microsoft.com/office/drawing/2010/main" val="0"/>
                        </a:ext>
                      </a:extLst>
                    </a:blip>
                    <a:srcRect/>
                    <a:stretch>
                      <a:fillRect/>
                    </a:stretch>
                  </pic:blipFill>
                  <pic:spPr bwMode="auto">
                    <a:xfrm>
                      <a:off x="0" y="0"/>
                      <a:ext cx="5940425" cy="8401886"/>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2D006137" wp14:editId="029E3C2C">
            <wp:extent cx="5940425" cy="8800630"/>
            <wp:effectExtent l="0" t="0" r="3175" b="635"/>
            <wp:docPr id="32" name="Рисунок 32" descr="F:\акти\9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акти\9jpg.jpg"/>
                    <pic:cNvPicPr>
                      <a:picLocks noChangeAspect="1" noChangeArrowheads="1"/>
                    </pic:cNvPicPr>
                  </pic:nvPicPr>
                  <pic:blipFill>
                    <a:blip r:embed="rId567">
                      <a:extLst>
                        <a:ext uri="{28A0092B-C50C-407E-A947-70E740481C1C}">
                          <a14:useLocalDpi xmlns:a14="http://schemas.microsoft.com/office/drawing/2010/main" val="0"/>
                        </a:ext>
                      </a:extLst>
                    </a:blip>
                    <a:srcRect/>
                    <a:stretch>
                      <a:fillRect/>
                    </a:stretch>
                  </pic:blipFill>
                  <pic:spPr bwMode="auto">
                    <a:xfrm>
                      <a:off x="0" y="0"/>
                      <a:ext cx="5940425" cy="8800630"/>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0B771883" wp14:editId="72F419BA">
            <wp:extent cx="5940425" cy="8385167"/>
            <wp:effectExtent l="0" t="0" r="3175" b="0"/>
            <wp:docPr id="44" name="Рисунок 44" descr="F:\акти\10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акти\10jpg.jpg"/>
                    <pic:cNvPicPr>
                      <a:picLocks noChangeAspect="1" noChangeArrowheads="1"/>
                    </pic:cNvPicPr>
                  </pic:nvPicPr>
                  <pic:blipFill>
                    <a:blip r:embed="rId568">
                      <a:extLst>
                        <a:ext uri="{28A0092B-C50C-407E-A947-70E740481C1C}">
                          <a14:useLocalDpi xmlns:a14="http://schemas.microsoft.com/office/drawing/2010/main" val="0"/>
                        </a:ext>
                      </a:extLst>
                    </a:blip>
                    <a:srcRect/>
                    <a:stretch>
                      <a:fillRect/>
                    </a:stretch>
                  </pic:blipFill>
                  <pic:spPr bwMode="auto">
                    <a:xfrm>
                      <a:off x="0" y="0"/>
                      <a:ext cx="5940425" cy="8385167"/>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198BF7FD" wp14:editId="29B5602E">
            <wp:extent cx="5940425" cy="8662474"/>
            <wp:effectExtent l="0" t="0" r="3175" b="5715"/>
            <wp:docPr id="46" name="Рисунок 46" descr="F:\акти\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акти\11.jpg"/>
                    <pic:cNvPicPr>
                      <a:picLocks noChangeAspect="1" noChangeArrowheads="1"/>
                    </pic:cNvPicPr>
                  </pic:nvPicPr>
                  <pic:blipFill>
                    <a:blip r:embed="rId569">
                      <a:extLst>
                        <a:ext uri="{28A0092B-C50C-407E-A947-70E740481C1C}">
                          <a14:useLocalDpi xmlns:a14="http://schemas.microsoft.com/office/drawing/2010/main" val="0"/>
                        </a:ext>
                      </a:extLst>
                    </a:blip>
                    <a:srcRect/>
                    <a:stretch>
                      <a:fillRect/>
                    </a:stretch>
                  </pic:blipFill>
                  <pic:spPr bwMode="auto">
                    <a:xfrm>
                      <a:off x="0" y="0"/>
                      <a:ext cx="5940425" cy="8662474"/>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2E379230" wp14:editId="24F00E3C">
            <wp:extent cx="5940425" cy="8375999"/>
            <wp:effectExtent l="0" t="0" r="3175" b="6350"/>
            <wp:docPr id="50" name="Рисунок 50" descr="F:\акти\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акти\12.jpg"/>
                    <pic:cNvPicPr>
                      <a:picLocks noChangeAspect="1" noChangeArrowheads="1"/>
                    </pic:cNvPicPr>
                  </pic:nvPicPr>
                  <pic:blipFill>
                    <a:blip r:embed="rId570">
                      <a:extLst>
                        <a:ext uri="{28A0092B-C50C-407E-A947-70E740481C1C}">
                          <a14:useLocalDpi xmlns:a14="http://schemas.microsoft.com/office/drawing/2010/main" val="0"/>
                        </a:ext>
                      </a:extLst>
                    </a:blip>
                    <a:srcRect/>
                    <a:stretch>
                      <a:fillRect/>
                    </a:stretch>
                  </pic:blipFill>
                  <pic:spPr bwMode="auto">
                    <a:xfrm>
                      <a:off x="0" y="0"/>
                      <a:ext cx="5940425" cy="8375999"/>
                    </a:xfrm>
                    <a:prstGeom prst="rect">
                      <a:avLst/>
                    </a:prstGeom>
                    <a:noFill/>
                    <a:ln>
                      <a:noFill/>
                    </a:ln>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p>
    <w:p w:rsidR="00A66290" w:rsidRPr="002E6ECA" w:rsidRDefault="00FD79D6" w:rsidP="00A66290">
      <w:pPr>
        <w:rPr>
          <w:lang w:val="en-US"/>
        </w:rPr>
      </w:pPr>
      <w:r w:rsidRPr="002E6ECA">
        <w:rPr>
          <w:noProof/>
          <w:lang w:val="uk-UA" w:eastAsia="uk-UA"/>
        </w:rPr>
        <w:lastRenderedPageBreak/>
        <w:drawing>
          <wp:inline distT="0" distB="0" distL="0" distR="0" wp14:anchorId="285EE2A0" wp14:editId="5B28CAE5">
            <wp:extent cx="6119495" cy="8650007"/>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1"/>
                    <a:stretch>
                      <a:fillRect/>
                    </a:stretch>
                  </pic:blipFill>
                  <pic:spPr>
                    <a:xfrm>
                      <a:off x="0" y="0"/>
                      <a:ext cx="6119495" cy="8650007"/>
                    </a:xfrm>
                    <a:prstGeom prst="rect">
                      <a:avLst/>
                    </a:prstGeom>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r w:rsidRPr="002E6ECA">
        <w:rPr>
          <w:noProof/>
          <w:lang w:val="uk-UA" w:eastAsia="uk-UA"/>
        </w:rPr>
        <w:lastRenderedPageBreak/>
        <w:drawing>
          <wp:inline distT="0" distB="0" distL="0" distR="0" wp14:anchorId="46FCAAED" wp14:editId="663629FA">
            <wp:extent cx="5940425" cy="8677984"/>
            <wp:effectExtent l="0" t="0" r="3175" b="8890"/>
            <wp:docPr id="60" name="Рисунок 60" descr="F:\акти\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акти\14.jpg"/>
                    <pic:cNvPicPr>
                      <a:picLocks noChangeAspect="1" noChangeArrowheads="1"/>
                    </pic:cNvPicPr>
                  </pic:nvPicPr>
                  <pic:blipFill>
                    <a:blip r:embed="rId572">
                      <a:extLst>
                        <a:ext uri="{28A0092B-C50C-407E-A947-70E740481C1C}">
                          <a14:useLocalDpi xmlns:a14="http://schemas.microsoft.com/office/drawing/2010/main" val="0"/>
                        </a:ext>
                      </a:extLst>
                    </a:blip>
                    <a:srcRect/>
                    <a:stretch>
                      <a:fillRect/>
                    </a:stretch>
                  </pic:blipFill>
                  <pic:spPr bwMode="auto">
                    <a:xfrm>
                      <a:off x="0" y="0"/>
                      <a:ext cx="5940425" cy="8677984"/>
                    </a:xfrm>
                    <a:prstGeom prst="rect">
                      <a:avLst/>
                    </a:prstGeom>
                    <a:noFill/>
                    <a:ln>
                      <a:noFill/>
                    </a:ln>
                  </pic:spPr>
                </pic:pic>
              </a:graphicData>
            </a:graphic>
          </wp:inline>
        </w:drawing>
      </w:r>
    </w:p>
    <w:p w:rsidR="00A66290" w:rsidRPr="002E6ECA" w:rsidRDefault="00A66290" w:rsidP="00A66290">
      <w:pPr>
        <w:rPr>
          <w:lang w:val="en-US"/>
        </w:rPr>
      </w:pPr>
      <w:r w:rsidRPr="002E6ECA">
        <w:rPr>
          <w:noProof/>
          <w:lang w:val="uk-UA" w:eastAsia="uk-UA"/>
        </w:rPr>
        <w:lastRenderedPageBreak/>
        <w:drawing>
          <wp:inline distT="0" distB="0" distL="0" distR="0" wp14:anchorId="46F53A88" wp14:editId="48D33DA9">
            <wp:extent cx="5940425" cy="8401886"/>
            <wp:effectExtent l="0" t="0" r="3175" b="0"/>
            <wp:docPr id="61" name="Рисунок 61" descr="F:\акти\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акти\15.jpg"/>
                    <pic:cNvPicPr>
                      <a:picLocks noChangeAspect="1" noChangeArrowheads="1"/>
                    </pic:cNvPicPr>
                  </pic:nvPicPr>
                  <pic:blipFill>
                    <a:blip r:embed="rId573">
                      <a:extLst>
                        <a:ext uri="{28A0092B-C50C-407E-A947-70E740481C1C}">
                          <a14:useLocalDpi xmlns:a14="http://schemas.microsoft.com/office/drawing/2010/main" val="0"/>
                        </a:ext>
                      </a:extLst>
                    </a:blip>
                    <a:srcRect/>
                    <a:stretch>
                      <a:fillRect/>
                    </a:stretch>
                  </pic:blipFill>
                  <pic:spPr bwMode="auto">
                    <a:xfrm>
                      <a:off x="0" y="0"/>
                      <a:ext cx="5940425" cy="8401886"/>
                    </a:xfrm>
                    <a:prstGeom prst="rect">
                      <a:avLst/>
                    </a:prstGeom>
                    <a:noFill/>
                    <a:ln>
                      <a:noFill/>
                    </a:ln>
                  </pic:spPr>
                </pic:pic>
              </a:graphicData>
            </a:graphic>
          </wp:inline>
        </w:drawing>
      </w:r>
    </w:p>
    <w:p w:rsidR="00A66290" w:rsidRPr="002E6ECA" w:rsidRDefault="00A66290" w:rsidP="00A66290">
      <w:pPr>
        <w:rPr>
          <w:lang w:val="en-US"/>
        </w:rPr>
      </w:pPr>
    </w:p>
    <w:p w:rsidR="00A66290" w:rsidRPr="002E6ECA" w:rsidRDefault="00A66290" w:rsidP="00A66290">
      <w:pPr>
        <w:rPr>
          <w:lang w:val="en-US"/>
        </w:rPr>
      </w:pPr>
    </w:p>
    <w:p w:rsidR="00A66290" w:rsidRPr="002E6ECA" w:rsidRDefault="00A66290" w:rsidP="00A66290">
      <w:pPr>
        <w:rPr>
          <w:lang w:val="en-US"/>
        </w:rPr>
      </w:pPr>
      <w:r w:rsidRPr="002E6ECA">
        <w:rPr>
          <w:noProof/>
          <w:lang w:val="uk-UA" w:eastAsia="uk-UA"/>
        </w:rPr>
        <w:lastRenderedPageBreak/>
        <w:drawing>
          <wp:inline distT="0" distB="0" distL="0" distR="0" wp14:anchorId="6AF15675" wp14:editId="478EAD15">
            <wp:extent cx="5940425" cy="8388238"/>
            <wp:effectExtent l="0" t="0" r="3175" b="0"/>
            <wp:docPr id="62" name="Рисунок 62" descr="F:\акти\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акти\16.jpg"/>
                    <pic:cNvPicPr>
                      <a:picLocks noChangeAspect="1" noChangeArrowheads="1"/>
                    </pic:cNvPicPr>
                  </pic:nvPicPr>
                  <pic:blipFill>
                    <a:blip r:embed="rId574">
                      <a:extLst>
                        <a:ext uri="{28A0092B-C50C-407E-A947-70E740481C1C}">
                          <a14:useLocalDpi xmlns:a14="http://schemas.microsoft.com/office/drawing/2010/main" val="0"/>
                        </a:ext>
                      </a:extLst>
                    </a:blip>
                    <a:srcRect/>
                    <a:stretch>
                      <a:fillRect/>
                    </a:stretch>
                  </pic:blipFill>
                  <pic:spPr bwMode="auto">
                    <a:xfrm>
                      <a:off x="0" y="0"/>
                      <a:ext cx="5940425" cy="8388238"/>
                    </a:xfrm>
                    <a:prstGeom prst="rect">
                      <a:avLst/>
                    </a:prstGeom>
                    <a:noFill/>
                    <a:ln>
                      <a:noFill/>
                    </a:ln>
                  </pic:spPr>
                </pic:pic>
              </a:graphicData>
            </a:graphic>
          </wp:inline>
        </w:drawing>
      </w:r>
    </w:p>
    <w:p w:rsidR="00220E47" w:rsidRPr="00D17D00" w:rsidRDefault="00220E47" w:rsidP="00220E47">
      <w:pPr>
        <w:rPr>
          <w:lang w:val="en-US"/>
        </w:rPr>
      </w:pPr>
      <w:r w:rsidRPr="002E6ECA">
        <w:rPr>
          <w:noProof/>
          <w:lang w:val="uk-UA" w:eastAsia="uk-UA"/>
        </w:rPr>
        <w:lastRenderedPageBreak/>
        <w:drawing>
          <wp:inline distT="0" distB="0" distL="0" distR="0" wp14:anchorId="4792CBBB" wp14:editId="659E9B40">
            <wp:extent cx="5940425" cy="8703776"/>
            <wp:effectExtent l="0" t="0" r="3175" b="2540"/>
            <wp:docPr id="31" name="Рисунок 31" descr="F:\акти\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акти\17.jpg"/>
                    <pic:cNvPicPr>
                      <a:picLocks noChangeAspect="1" noChangeArrowheads="1"/>
                    </pic:cNvPicPr>
                  </pic:nvPicPr>
                  <pic:blipFill>
                    <a:blip r:embed="rId575">
                      <a:extLst>
                        <a:ext uri="{28A0092B-C50C-407E-A947-70E740481C1C}">
                          <a14:useLocalDpi xmlns:a14="http://schemas.microsoft.com/office/drawing/2010/main" val="0"/>
                        </a:ext>
                      </a:extLst>
                    </a:blip>
                    <a:srcRect/>
                    <a:stretch>
                      <a:fillRect/>
                    </a:stretch>
                  </pic:blipFill>
                  <pic:spPr bwMode="auto">
                    <a:xfrm>
                      <a:off x="0" y="0"/>
                      <a:ext cx="5940425" cy="8703776"/>
                    </a:xfrm>
                    <a:prstGeom prst="rect">
                      <a:avLst/>
                    </a:prstGeom>
                    <a:noFill/>
                    <a:ln>
                      <a:noFill/>
                    </a:ln>
                  </pic:spPr>
                </pic:pic>
              </a:graphicData>
            </a:graphic>
          </wp:inline>
        </w:drawing>
      </w:r>
    </w:p>
    <w:sectPr w:rsidR="00220E47" w:rsidRPr="00D17D00" w:rsidSect="00F60BF8">
      <w:headerReference w:type="default" r:id="rId576"/>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7283" w:rsidRDefault="004F7283">
      <w:r>
        <w:separator/>
      </w:r>
    </w:p>
  </w:endnote>
  <w:endnote w:type="continuationSeparator" w:id="0">
    <w:p w:rsidR="004F7283" w:rsidRDefault="004F7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
    <w:altName w:val="MS Mincho"/>
    <w:panose1 w:val="00000000000000000000"/>
    <w:charset w:val="80"/>
    <w:family w:val="auto"/>
    <w:notTrueType/>
    <w:pitch w:val="default"/>
    <w:sig w:usb0="00000000" w:usb1="08070000" w:usb2="00000010" w:usb3="00000000" w:csb0="00020004" w:csb1="00000000"/>
  </w:font>
  <w:font w:name="Bold">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imesNewRomanPSMT">
    <w:altName w:val="MS Mincho"/>
    <w:panose1 w:val="00000000000000000000"/>
    <w:charset w:val="80"/>
    <w:family w:val="auto"/>
    <w:notTrueType/>
    <w:pitch w:val="default"/>
    <w:sig w:usb0="00000001" w:usb1="080F0000" w:usb2="00000010" w:usb3="00000000" w:csb0="00120000" w:csb1="00000000"/>
  </w:font>
  <w:font w:name="ArialMT">
    <w:panose1 w:val="00000000000000000000"/>
    <w:charset w:val="CC"/>
    <w:family w:val="auto"/>
    <w:notTrueType/>
    <w:pitch w:val="default"/>
    <w:sig w:usb0="00000201" w:usb1="00000000" w:usb2="00000000" w:usb3="00000000" w:csb0="00000004" w:csb1="00000000"/>
  </w:font>
  <w:font w:name="MyriadPro-Cond">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MingLiU">
    <w:altName w:val="細明體"/>
    <w:panose1 w:val="02020509000000000000"/>
    <w:charset w:val="88"/>
    <w:family w:val="modern"/>
    <w:pitch w:val="fixed"/>
    <w:sig w:usb0="A00002FF" w:usb1="28CFFCFA" w:usb2="00000016" w:usb3="00000000" w:csb0="00100001" w:csb1="00000000"/>
  </w:font>
  <w:font w:name="CIDFont+F7">
    <w:altName w:val="MS Mincho"/>
    <w:panose1 w:val="00000000000000000000"/>
    <w:charset w:val="80"/>
    <w:family w:val="auto"/>
    <w:notTrueType/>
    <w:pitch w:val="default"/>
    <w:sig w:usb0="00000001" w:usb1="08070000" w:usb2="00000010" w:usb3="00000000" w:csb0="00020000" w:csb1="00000000"/>
  </w:font>
  <w:font w:name="TimesNewRomanPS-Italic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7283" w:rsidRDefault="004F7283">
      <w:r>
        <w:separator/>
      </w:r>
    </w:p>
  </w:footnote>
  <w:footnote w:type="continuationSeparator" w:id="0">
    <w:p w:rsidR="004F7283" w:rsidRDefault="004F72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4FD" w:rsidRPr="005E656A" w:rsidRDefault="009A04FD">
    <w:pPr>
      <w:pStyle w:val="ab"/>
      <w:jc w:val="right"/>
      <w:rPr>
        <w:rFonts w:ascii="Times New Roman" w:hAnsi="Times New Roman"/>
        <w:sz w:val="24"/>
        <w:szCs w:val="24"/>
      </w:rPr>
    </w:pPr>
    <w:r w:rsidRPr="005E656A">
      <w:rPr>
        <w:rFonts w:ascii="Times New Roman" w:hAnsi="Times New Roman"/>
        <w:sz w:val="24"/>
        <w:szCs w:val="24"/>
      </w:rPr>
      <w:fldChar w:fldCharType="begin"/>
    </w:r>
    <w:r w:rsidRPr="005E656A">
      <w:rPr>
        <w:rFonts w:ascii="Times New Roman" w:hAnsi="Times New Roman"/>
        <w:sz w:val="24"/>
        <w:szCs w:val="24"/>
      </w:rPr>
      <w:instrText>PAGE   \* MERGEFORMAT</w:instrText>
    </w:r>
    <w:r w:rsidRPr="005E656A">
      <w:rPr>
        <w:rFonts w:ascii="Times New Roman" w:hAnsi="Times New Roman"/>
        <w:sz w:val="24"/>
        <w:szCs w:val="24"/>
      </w:rPr>
      <w:fldChar w:fldCharType="separate"/>
    </w:r>
    <w:r w:rsidR="00604C3F">
      <w:rPr>
        <w:rFonts w:ascii="Times New Roman" w:hAnsi="Times New Roman"/>
        <w:noProof/>
        <w:sz w:val="24"/>
        <w:szCs w:val="24"/>
      </w:rPr>
      <w:t>2</w:t>
    </w:r>
    <w:r w:rsidRPr="005E656A">
      <w:rPr>
        <w:rFonts w:ascii="Times New Roman" w:hAnsi="Times New Roman"/>
        <w:sz w:val="24"/>
        <w:szCs w:val="24"/>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4FD" w:rsidRDefault="009A04FD" w:rsidP="00361A73">
    <w:pPr>
      <w:pStyle w:val="ab"/>
      <w:spacing w:after="0" w:line="240" w:lineRule="auto"/>
      <w:jc w:val="right"/>
      <w:rPr>
        <w:rFonts w:ascii="Times New Roman" w:hAnsi="Times New Roman"/>
        <w:sz w:val="24"/>
        <w:szCs w:val="24"/>
      </w:rPr>
    </w:pPr>
    <w:r w:rsidRPr="00361A73">
      <w:rPr>
        <w:rFonts w:ascii="Times New Roman" w:hAnsi="Times New Roman"/>
        <w:sz w:val="24"/>
        <w:szCs w:val="24"/>
      </w:rPr>
      <w:fldChar w:fldCharType="begin"/>
    </w:r>
    <w:r w:rsidRPr="00361A73">
      <w:rPr>
        <w:rFonts w:ascii="Times New Roman" w:hAnsi="Times New Roman"/>
        <w:sz w:val="24"/>
        <w:szCs w:val="24"/>
      </w:rPr>
      <w:instrText>PAGE   \* MERGEFORMAT</w:instrText>
    </w:r>
    <w:r w:rsidRPr="00361A73">
      <w:rPr>
        <w:rFonts w:ascii="Times New Roman" w:hAnsi="Times New Roman"/>
        <w:sz w:val="24"/>
        <w:szCs w:val="24"/>
      </w:rPr>
      <w:fldChar w:fldCharType="separate"/>
    </w:r>
    <w:r w:rsidR="00604C3F">
      <w:rPr>
        <w:rFonts w:ascii="Times New Roman" w:hAnsi="Times New Roman"/>
        <w:noProof/>
        <w:sz w:val="24"/>
        <w:szCs w:val="24"/>
      </w:rPr>
      <w:t>389</w:t>
    </w:r>
    <w:r w:rsidRPr="00361A73">
      <w:rPr>
        <w:rFonts w:ascii="Times New Roman" w:hAnsi="Times New Roman"/>
        <w:sz w:val="24"/>
        <w:szCs w:val="24"/>
      </w:rPr>
      <w:fldChar w:fldCharType="end"/>
    </w:r>
  </w:p>
  <w:p w:rsidR="009A04FD" w:rsidRPr="00361A73" w:rsidRDefault="009A04FD" w:rsidP="00361A73">
    <w:pPr>
      <w:pStyle w:val="ab"/>
      <w:spacing w:after="0" w:line="240" w:lineRule="auto"/>
      <w:jc w:val="right"/>
      <w:rPr>
        <w:rFonts w:ascii="Times New Roman"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373.95pt;height:318.75pt;visibility:visible;mso-wrap-style:square" o:bullet="t">
        <v:imagedata r:id="rId1" o:title="" croptop="57717f" cropbottom="4214f" cropleft="42708f" cropright="16507f"/>
      </v:shape>
    </w:pict>
  </w:numPicBullet>
  <w:abstractNum w:abstractNumId="0">
    <w:nsid w:val="00000003"/>
    <w:multiLevelType w:val="hybridMultilevel"/>
    <w:tmpl w:val="29888D6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004D4B5A"/>
    <w:multiLevelType w:val="hybridMultilevel"/>
    <w:tmpl w:val="F6F007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0D228DC"/>
    <w:multiLevelType w:val="hybridMultilevel"/>
    <w:tmpl w:val="8350FCB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nsid w:val="02076CA9"/>
    <w:multiLevelType w:val="hybridMultilevel"/>
    <w:tmpl w:val="B1B851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32432A3"/>
    <w:multiLevelType w:val="hybridMultilevel"/>
    <w:tmpl w:val="05A83E64"/>
    <w:lvl w:ilvl="0" w:tplc="9E98B616">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3307219"/>
    <w:multiLevelType w:val="hybridMultilevel"/>
    <w:tmpl w:val="FA5E83C8"/>
    <w:lvl w:ilvl="0" w:tplc="8DE2975A">
      <w:start w:val="3"/>
      <w:numFmt w:val="bullet"/>
      <w:lvlText w:val=""/>
      <w:lvlJc w:val="left"/>
      <w:pPr>
        <w:ind w:left="1778" w:hanging="360"/>
      </w:pPr>
      <w:rPr>
        <w:rFonts w:ascii="Symbol" w:eastAsia="Times New Roman"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3DC48D2"/>
    <w:multiLevelType w:val="hybridMultilevel"/>
    <w:tmpl w:val="B6BCD5B0"/>
    <w:lvl w:ilvl="0" w:tplc="04220001">
      <w:start w:val="1"/>
      <w:numFmt w:val="bullet"/>
      <w:lvlText w:val=""/>
      <w:lvlJc w:val="left"/>
      <w:pPr>
        <w:ind w:left="1509" w:hanging="360"/>
      </w:pPr>
      <w:rPr>
        <w:rFonts w:ascii="Symbol" w:hAnsi="Symbol" w:hint="default"/>
      </w:rPr>
    </w:lvl>
    <w:lvl w:ilvl="1" w:tplc="04220003" w:tentative="1">
      <w:start w:val="1"/>
      <w:numFmt w:val="bullet"/>
      <w:lvlText w:val="o"/>
      <w:lvlJc w:val="left"/>
      <w:pPr>
        <w:ind w:left="2229" w:hanging="360"/>
      </w:pPr>
      <w:rPr>
        <w:rFonts w:ascii="Courier New" w:hAnsi="Courier New" w:cs="Courier New" w:hint="default"/>
      </w:rPr>
    </w:lvl>
    <w:lvl w:ilvl="2" w:tplc="04220005" w:tentative="1">
      <w:start w:val="1"/>
      <w:numFmt w:val="bullet"/>
      <w:lvlText w:val=""/>
      <w:lvlJc w:val="left"/>
      <w:pPr>
        <w:ind w:left="2949" w:hanging="360"/>
      </w:pPr>
      <w:rPr>
        <w:rFonts w:ascii="Wingdings" w:hAnsi="Wingdings" w:hint="default"/>
      </w:rPr>
    </w:lvl>
    <w:lvl w:ilvl="3" w:tplc="04220001" w:tentative="1">
      <w:start w:val="1"/>
      <w:numFmt w:val="bullet"/>
      <w:lvlText w:val=""/>
      <w:lvlJc w:val="left"/>
      <w:pPr>
        <w:ind w:left="3669" w:hanging="360"/>
      </w:pPr>
      <w:rPr>
        <w:rFonts w:ascii="Symbol" w:hAnsi="Symbol" w:hint="default"/>
      </w:rPr>
    </w:lvl>
    <w:lvl w:ilvl="4" w:tplc="04220003" w:tentative="1">
      <w:start w:val="1"/>
      <w:numFmt w:val="bullet"/>
      <w:lvlText w:val="o"/>
      <w:lvlJc w:val="left"/>
      <w:pPr>
        <w:ind w:left="4389" w:hanging="360"/>
      </w:pPr>
      <w:rPr>
        <w:rFonts w:ascii="Courier New" w:hAnsi="Courier New" w:cs="Courier New" w:hint="default"/>
      </w:rPr>
    </w:lvl>
    <w:lvl w:ilvl="5" w:tplc="04220005" w:tentative="1">
      <w:start w:val="1"/>
      <w:numFmt w:val="bullet"/>
      <w:lvlText w:val=""/>
      <w:lvlJc w:val="left"/>
      <w:pPr>
        <w:ind w:left="5109" w:hanging="360"/>
      </w:pPr>
      <w:rPr>
        <w:rFonts w:ascii="Wingdings" w:hAnsi="Wingdings" w:hint="default"/>
      </w:rPr>
    </w:lvl>
    <w:lvl w:ilvl="6" w:tplc="04220001" w:tentative="1">
      <w:start w:val="1"/>
      <w:numFmt w:val="bullet"/>
      <w:lvlText w:val=""/>
      <w:lvlJc w:val="left"/>
      <w:pPr>
        <w:ind w:left="5829" w:hanging="360"/>
      </w:pPr>
      <w:rPr>
        <w:rFonts w:ascii="Symbol" w:hAnsi="Symbol" w:hint="default"/>
      </w:rPr>
    </w:lvl>
    <w:lvl w:ilvl="7" w:tplc="04220003" w:tentative="1">
      <w:start w:val="1"/>
      <w:numFmt w:val="bullet"/>
      <w:lvlText w:val="o"/>
      <w:lvlJc w:val="left"/>
      <w:pPr>
        <w:ind w:left="6549" w:hanging="360"/>
      </w:pPr>
      <w:rPr>
        <w:rFonts w:ascii="Courier New" w:hAnsi="Courier New" w:cs="Courier New" w:hint="default"/>
      </w:rPr>
    </w:lvl>
    <w:lvl w:ilvl="8" w:tplc="04220005" w:tentative="1">
      <w:start w:val="1"/>
      <w:numFmt w:val="bullet"/>
      <w:lvlText w:val=""/>
      <w:lvlJc w:val="left"/>
      <w:pPr>
        <w:ind w:left="7269" w:hanging="360"/>
      </w:pPr>
      <w:rPr>
        <w:rFonts w:ascii="Wingdings" w:hAnsi="Wingdings" w:hint="default"/>
      </w:rPr>
    </w:lvl>
  </w:abstractNum>
  <w:abstractNum w:abstractNumId="7">
    <w:nsid w:val="05AF346C"/>
    <w:multiLevelType w:val="hybridMultilevel"/>
    <w:tmpl w:val="1FEE2E52"/>
    <w:lvl w:ilvl="0" w:tplc="D0803372">
      <w:start w:val="1"/>
      <w:numFmt w:val="decimal"/>
      <w:lvlText w:val="%1."/>
      <w:lvlJc w:val="left"/>
      <w:pPr>
        <w:ind w:left="720" w:hanging="360"/>
      </w:pPr>
      <w:rPr>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9496015"/>
    <w:multiLevelType w:val="hybridMultilevel"/>
    <w:tmpl w:val="C6AC326E"/>
    <w:lvl w:ilvl="0" w:tplc="33606A42">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09A06F0D"/>
    <w:multiLevelType w:val="hybridMultilevel"/>
    <w:tmpl w:val="1E08670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nsid w:val="0C31720C"/>
    <w:multiLevelType w:val="hybridMultilevel"/>
    <w:tmpl w:val="001209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0C9D1306"/>
    <w:multiLevelType w:val="hybridMultilevel"/>
    <w:tmpl w:val="E24C2170"/>
    <w:lvl w:ilvl="0" w:tplc="F288052C">
      <w:start w:val="1"/>
      <w:numFmt w:val="decimal"/>
      <w:lvlText w:val="%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102177E1"/>
    <w:multiLevelType w:val="hybridMultilevel"/>
    <w:tmpl w:val="ACCA6374"/>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3">
    <w:nsid w:val="109C6FB7"/>
    <w:multiLevelType w:val="hybridMultilevel"/>
    <w:tmpl w:val="98A685D6"/>
    <w:lvl w:ilvl="0" w:tplc="163A18F6">
      <w:numFmt w:val="bullet"/>
      <w:lvlText w:val="–"/>
      <w:lvlJc w:val="left"/>
      <w:pPr>
        <w:ind w:left="1429" w:hanging="360"/>
      </w:pPr>
      <w:rPr>
        <w:rFonts w:ascii="Times New Roman" w:eastAsia="Times New Roman"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112E431E"/>
    <w:multiLevelType w:val="hybridMultilevel"/>
    <w:tmpl w:val="1062EA9A"/>
    <w:lvl w:ilvl="0" w:tplc="163A18F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11B329E8"/>
    <w:multiLevelType w:val="hybridMultilevel"/>
    <w:tmpl w:val="BD3AE0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26C699D"/>
    <w:multiLevelType w:val="hybridMultilevel"/>
    <w:tmpl w:val="7A86E218"/>
    <w:lvl w:ilvl="0" w:tplc="9CDE720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15C14692"/>
    <w:multiLevelType w:val="hybridMultilevel"/>
    <w:tmpl w:val="E24C2170"/>
    <w:lvl w:ilvl="0" w:tplc="F288052C">
      <w:start w:val="1"/>
      <w:numFmt w:val="decimal"/>
      <w:lvlText w:val="%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165B62CE"/>
    <w:multiLevelType w:val="hybridMultilevel"/>
    <w:tmpl w:val="84CC03FC"/>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166D10FC"/>
    <w:multiLevelType w:val="hybridMultilevel"/>
    <w:tmpl w:val="DBB8D462"/>
    <w:lvl w:ilvl="0" w:tplc="55C4C53A">
      <w:start w:val="1"/>
      <w:numFmt w:val="decimal"/>
      <w:lvlText w:val="%1."/>
      <w:lvlJc w:val="left"/>
      <w:pPr>
        <w:tabs>
          <w:tab w:val="num" w:pos="360"/>
        </w:tabs>
        <w:ind w:left="360" w:hanging="360"/>
      </w:pPr>
      <w:rPr>
        <w:rFonts w:hint="default"/>
        <w:b/>
        <w:i w:val="0"/>
        <w:iCs w:val="0"/>
      </w:rPr>
    </w:lvl>
    <w:lvl w:ilvl="1" w:tplc="04220019" w:tentative="1">
      <w:start w:val="1"/>
      <w:numFmt w:val="lowerLetter"/>
      <w:lvlText w:val="%2."/>
      <w:lvlJc w:val="left"/>
      <w:pPr>
        <w:ind w:left="900" w:hanging="360"/>
      </w:pPr>
    </w:lvl>
    <w:lvl w:ilvl="2" w:tplc="0422001B" w:tentative="1">
      <w:start w:val="1"/>
      <w:numFmt w:val="lowerRoman"/>
      <w:lvlText w:val="%3."/>
      <w:lvlJc w:val="right"/>
      <w:pPr>
        <w:ind w:left="1620" w:hanging="180"/>
      </w:pPr>
    </w:lvl>
    <w:lvl w:ilvl="3" w:tplc="0422000F" w:tentative="1">
      <w:start w:val="1"/>
      <w:numFmt w:val="decimal"/>
      <w:lvlText w:val="%4."/>
      <w:lvlJc w:val="left"/>
      <w:pPr>
        <w:ind w:left="2340" w:hanging="360"/>
      </w:pPr>
    </w:lvl>
    <w:lvl w:ilvl="4" w:tplc="04220019" w:tentative="1">
      <w:start w:val="1"/>
      <w:numFmt w:val="lowerLetter"/>
      <w:lvlText w:val="%5."/>
      <w:lvlJc w:val="left"/>
      <w:pPr>
        <w:ind w:left="3060" w:hanging="360"/>
      </w:pPr>
    </w:lvl>
    <w:lvl w:ilvl="5" w:tplc="0422001B" w:tentative="1">
      <w:start w:val="1"/>
      <w:numFmt w:val="lowerRoman"/>
      <w:lvlText w:val="%6."/>
      <w:lvlJc w:val="right"/>
      <w:pPr>
        <w:ind w:left="3780" w:hanging="180"/>
      </w:pPr>
    </w:lvl>
    <w:lvl w:ilvl="6" w:tplc="0422000F" w:tentative="1">
      <w:start w:val="1"/>
      <w:numFmt w:val="decimal"/>
      <w:lvlText w:val="%7."/>
      <w:lvlJc w:val="left"/>
      <w:pPr>
        <w:ind w:left="4500" w:hanging="360"/>
      </w:pPr>
    </w:lvl>
    <w:lvl w:ilvl="7" w:tplc="04220019" w:tentative="1">
      <w:start w:val="1"/>
      <w:numFmt w:val="lowerLetter"/>
      <w:lvlText w:val="%8."/>
      <w:lvlJc w:val="left"/>
      <w:pPr>
        <w:ind w:left="5220" w:hanging="360"/>
      </w:pPr>
    </w:lvl>
    <w:lvl w:ilvl="8" w:tplc="0422001B" w:tentative="1">
      <w:start w:val="1"/>
      <w:numFmt w:val="lowerRoman"/>
      <w:lvlText w:val="%9."/>
      <w:lvlJc w:val="right"/>
      <w:pPr>
        <w:ind w:left="5940" w:hanging="180"/>
      </w:pPr>
    </w:lvl>
  </w:abstractNum>
  <w:abstractNum w:abstractNumId="20">
    <w:nsid w:val="19D36398"/>
    <w:multiLevelType w:val="hybridMultilevel"/>
    <w:tmpl w:val="5C42E8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1BA367AE"/>
    <w:multiLevelType w:val="hybridMultilevel"/>
    <w:tmpl w:val="B2E2293E"/>
    <w:lvl w:ilvl="0" w:tplc="DDAEF0AC">
      <w:start w:val="1"/>
      <w:numFmt w:val="decimal"/>
      <w:lvlText w:val="%1."/>
      <w:lvlJc w:val="left"/>
      <w:pPr>
        <w:tabs>
          <w:tab w:val="num" w:pos="1718"/>
        </w:tabs>
        <w:ind w:left="1718" w:hanging="101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22">
    <w:nsid w:val="21834D0A"/>
    <w:multiLevelType w:val="hybridMultilevel"/>
    <w:tmpl w:val="6C9AD3BA"/>
    <w:lvl w:ilvl="0" w:tplc="04220001">
      <w:start w:val="1"/>
      <w:numFmt w:val="bullet"/>
      <w:lvlText w:val=""/>
      <w:lvlJc w:val="left"/>
      <w:pPr>
        <w:ind w:left="1500" w:hanging="360"/>
      </w:pPr>
      <w:rPr>
        <w:rFonts w:ascii="Symbol" w:hAnsi="Symbol" w:hint="default"/>
      </w:rPr>
    </w:lvl>
    <w:lvl w:ilvl="1" w:tplc="04220003">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3">
    <w:nsid w:val="21FE40DE"/>
    <w:multiLevelType w:val="hybridMultilevel"/>
    <w:tmpl w:val="AA14338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236A4C59"/>
    <w:multiLevelType w:val="hybridMultilevel"/>
    <w:tmpl w:val="66ECEB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24AF0795"/>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6">
    <w:nsid w:val="273F61BE"/>
    <w:multiLevelType w:val="hybridMultilevel"/>
    <w:tmpl w:val="4E243ABC"/>
    <w:lvl w:ilvl="0" w:tplc="054698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2889516E"/>
    <w:multiLevelType w:val="hybridMultilevel"/>
    <w:tmpl w:val="205E13EE"/>
    <w:lvl w:ilvl="0" w:tplc="F65232B8">
      <w:start w:val="1"/>
      <w:numFmt w:val="decimal"/>
      <w:lvlText w:val="%1."/>
      <w:lvlJc w:val="left"/>
      <w:pPr>
        <w:ind w:left="720" w:hanging="360"/>
      </w:pPr>
      <w:rPr>
        <w:rFonts w:hint="default"/>
        <w:b w:val="0"/>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2A814A00"/>
    <w:multiLevelType w:val="hybridMultilevel"/>
    <w:tmpl w:val="BD32C93E"/>
    <w:lvl w:ilvl="0" w:tplc="645C7BC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2AA065F1"/>
    <w:multiLevelType w:val="hybridMultilevel"/>
    <w:tmpl w:val="2FC049D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nsid w:val="2B161BAE"/>
    <w:multiLevelType w:val="hybridMultilevel"/>
    <w:tmpl w:val="A63264EA"/>
    <w:lvl w:ilvl="0" w:tplc="0E647AC0">
      <w:start w:val="1"/>
      <w:numFmt w:val="decimal"/>
      <w:lvlText w:val="%1."/>
      <w:lvlJc w:val="left"/>
      <w:pPr>
        <w:ind w:left="720" w:hanging="360"/>
      </w:pPr>
      <w:rPr>
        <w:rFonts w:hint="default"/>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2B981695"/>
    <w:multiLevelType w:val="hybridMultilevel"/>
    <w:tmpl w:val="5262DE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2F935225"/>
    <w:multiLevelType w:val="hybridMultilevel"/>
    <w:tmpl w:val="6AB64C98"/>
    <w:lvl w:ilvl="0" w:tplc="13B0CBB4">
      <w:start w:val="14"/>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300E3E7C"/>
    <w:multiLevelType w:val="hybridMultilevel"/>
    <w:tmpl w:val="BD3AE0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31C10495"/>
    <w:multiLevelType w:val="hybridMultilevel"/>
    <w:tmpl w:val="E6502F0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nsid w:val="32C43C31"/>
    <w:multiLevelType w:val="hybridMultilevel"/>
    <w:tmpl w:val="E24C2170"/>
    <w:lvl w:ilvl="0" w:tplc="F288052C">
      <w:start w:val="1"/>
      <w:numFmt w:val="decimal"/>
      <w:lvlText w:val="%1."/>
      <w:lvlJc w:val="left"/>
      <w:pPr>
        <w:ind w:left="6739" w:hanging="360"/>
      </w:pPr>
      <w:rPr>
        <w:rFonts w:hint="default"/>
        <w:b w:val="0"/>
        <w:i w:val="0"/>
        <w:sz w:val="28"/>
        <w:szCs w:val="28"/>
      </w:rPr>
    </w:lvl>
    <w:lvl w:ilvl="1" w:tplc="04220019" w:tentative="1">
      <w:start w:val="1"/>
      <w:numFmt w:val="lowerLetter"/>
      <w:lvlText w:val="%2."/>
      <w:lvlJc w:val="left"/>
      <w:pPr>
        <w:ind w:left="7459" w:hanging="360"/>
      </w:pPr>
    </w:lvl>
    <w:lvl w:ilvl="2" w:tplc="0422001B" w:tentative="1">
      <w:start w:val="1"/>
      <w:numFmt w:val="lowerRoman"/>
      <w:lvlText w:val="%3."/>
      <w:lvlJc w:val="right"/>
      <w:pPr>
        <w:ind w:left="8179" w:hanging="180"/>
      </w:pPr>
    </w:lvl>
    <w:lvl w:ilvl="3" w:tplc="0422000F" w:tentative="1">
      <w:start w:val="1"/>
      <w:numFmt w:val="decimal"/>
      <w:lvlText w:val="%4."/>
      <w:lvlJc w:val="left"/>
      <w:pPr>
        <w:ind w:left="8899" w:hanging="360"/>
      </w:pPr>
    </w:lvl>
    <w:lvl w:ilvl="4" w:tplc="04220019" w:tentative="1">
      <w:start w:val="1"/>
      <w:numFmt w:val="lowerLetter"/>
      <w:lvlText w:val="%5."/>
      <w:lvlJc w:val="left"/>
      <w:pPr>
        <w:ind w:left="9619" w:hanging="360"/>
      </w:pPr>
    </w:lvl>
    <w:lvl w:ilvl="5" w:tplc="0422001B" w:tentative="1">
      <w:start w:val="1"/>
      <w:numFmt w:val="lowerRoman"/>
      <w:lvlText w:val="%6."/>
      <w:lvlJc w:val="right"/>
      <w:pPr>
        <w:ind w:left="10339" w:hanging="180"/>
      </w:pPr>
    </w:lvl>
    <w:lvl w:ilvl="6" w:tplc="0422000F" w:tentative="1">
      <w:start w:val="1"/>
      <w:numFmt w:val="decimal"/>
      <w:lvlText w:val="%7."/>
      <w:lvlJc w:val="left"/>
      <w:pPr>
        <w:ind w:left="11059" w:hanging="360"/>
      </w:pPr>
    </w:lvl>
    <w:lvl w:ilvl="7" w:tplc="04220019" w:tentative="1">
      <w:start w:val="1"/>
      <w:numFmt w:val="lowerLetter"/>
      <w:lvlText w:val="%8."/>
      <w:lvlJc w:val="left"/>
      <w:pPr>
        <w:ind w:left="11779" w:hanging="360"/>
      </w:pPr>
    </w:lvl>
    <w:lvl w:ilvl="8" w:tplc="0422001B" w:tentative="1">
      <w:start w:val="1"/>
      <w:numFmt w:val="lowerRoman"/>
      <w:lvlText w:val="%9."/>
      <w:lvlJc w:val="right"/>
      <w:pPr>
        <w:ind w:left="12499" w:hanging="180"/>
      </w:pPr>
    </w:lvl>
  </w:abstractNum>
  <w:abstractNum w:abstractNumId="36">
    <w:nsid w:val="32F17FA2"/>
    <w:multiLevelType w:val="hybridMultilevel"/>
    <w:tmpl w:val="71368F9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nsid w:val="343C2EBB"/>
    <w:multiLevelType w:val="hybridMultilevel"/>
    <w:tmpl w:val="9C74863C"/>
    <w:lvl w:ilvl="0" w:tplc="F91E9EDA">
      <w:start w:val="4"/>
      <w:numFmt w:val="bullet"/>
      <w:lvlText w:val="-"/>
      <w:lvlJc w:val="left"/>
      <w:pPr>
        <w:tabs>
          <w:tab w:val="num" w:pos="1020"/>
        </w:tabs>
        <w:ind w:left="1020" w:hanging="360"/>
      </w:pPr>
      <w:rPr>
        <w:rFonts w:ascii="Times New Roman" w:eastAsia="Times New Roman" w:hAnsi="Times New Roman" w:hint="default"/>
      </w:rPr>
    </w:lvl>
    <w:lvl w:ilvl="1" w:tplc="04190003" w:tentative="1">
      <w:start w:val="1"/>
      <w:numFmt w:val="bullet"/>
      <w:lvlText w:val="o"/>
      <w:lvlJc w:val="left"/>
      <w:pPr>
        <w:tabs>
          <w:tab w:val="num" w:pos="1740"/>
        </w:tabs>
        <w:ind w:left="1740" w:hanging="360"/>
      </w:pPr>
      <w:rPr>
        <w:rFonts w:ascii="Courier New" w:hAnsi="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38">
    <w:nsid w:val="34A00FA9"/>
    <w:multiLevelType w:val="hybridMultilevel"/>
    <w:tmpl w:val="FEFEFF3E"/>
    <w:lvl w:ilvl="0" w:tplc="1A92AF22">
      <w:start w:val="1"/>
      <w:numFmt w:val="decimal"/>
      <w:lvlText w:val="%1."/>
      <w:lvlJc w:val="left"/>
      <w:pPr>
        <w:ind w:left="7448" w:hanging="360"/>
      </w:pPr>
      <w:rPr>
        <w:rFonts w:hint="default"/>
      </w:rPr>
    </w:lvl>
    <w:lvl w:ilvl="1" w:tplc="04220019" w:tentative="1">
      <w:start w:val="1"/>
      <w:numFmt w:val="lowerLetter"/>
      <w:lvlText w:val="%2."/>
      <w:lvlJc w:val="left"/>
      <w:pPr>
        <w:ind w:left="8168" w:hanging="360"/>
      </w:pPr>
    </w:lvl>
    <w:lvl w:ilvl="2" w:tplc="0422001B" w:tentative="1">
      <w:start w:val="1"/>
      <w:numFmt w:val="lowerRoman"/>
      <w:lvlText w:val="%3."/>
      <w:lvlJc w:val="right"/>
      <w:pPr>
        <w:ind w:left="8888" w:hanging="180"/>
      </w:pPr>
    </w:lvl>
    <w:lvl w:ilvl="3" w:tplc="0422000F" w:tentative="1">
      <w:start w:val="1"/>
      <w:numFmt w:val="decimal"/>
      <w:lvlText w:val="%4."/>
      <w:lvlJc w:val="left"/>
      <w:pPr>
        <w:ind w:left="9608" w:hanging="360"/>
      </w:pPr>
    </w:lvl>
    <w:lvl w:ilvl="4" w:tplc="04220019" w:tentative="1">
      <w:start w:val="1"/>
      <w:numFmt w:val="lowerLetter"/>
      <w:lvlText w:val="%5."/>
      <w:lvlJc w:val="left"/>
      <w:pPr>
        <w:ind w:left="10328" w:hanging="360"/>
      </w:pPr>
    </w:lvl>
    <w:lvl w:ilvl="5" w:tplc="0422001B" w:tentative="1">
      <w:start w:val="1"/>
      <w:numFmt w:val="lowerRoman"/>
      <w:lvlText w:val="%6."/>
      <w:lvlJc w:val="right"/>
      <w:pPr>
        <w:ind w:left="11048" w:hanging="180"/>
      </w:pPr>
    </w:lvl>
    <w:lvl w:ilvl="6" w:tplc="0422000F" w:tentative="1">
      <w:start w:val="1"/>
      <w:numFmt w:val="decimal"/>
      <w:lvlText w:val="%7."/>
      <w:lvlJc w:val="left"/>
      <w:pPr>
        <w:ind w:left="11768" w:hanging="360"/>
      </w:pPr>
    </w:lvl>
    <w:lvl w:ilvl="7" w:tplc="04220019" w:tentative="1">
      <w:start w:val="1"/>
      <w:numFmt w:val="lowerLetter"/>
      <w:lvlText w:val="%8."/>
      <w:lvlJc w:val="left"/>
      <w:pPr>
        <w:ind w:left="12488" w:hanging="360"/>
      </w:pPr>
    </w:lvl>
    <w:lvl w:ilvl="8" w:tplc="0422001B" w:tentative="1">
      <w:start w:val="1"/>
      <w:numFmt w:val="lowerRoman"/>
      <w:lvlText w:val="%9."/>
      <w:lvlJc w:val="right"/>
      <w:pPr>
        <w:ind w:left="13208" w:hanging="180"/>
      </w:pPr>
    </w:lvl>
  </w:abstractNum>
  <w:abstractNum w:abstractNumId="39">
    <w:nsid w:val="35BF2C0F"/>
    <w:multiLevelType w:val="hybridMultilevel"/>
    <w:tmpl w:val="205E13EE"/>
    <w:lvl w:ilvl="0" w:tplc="F65232B8">
      <w:start w:val="1"/>
      <w:numFmt w:val="decimal"/>
      <w:lvlText w:val="%1."/>
      <w:lvlJc w:val="left"/>
      <w:pPr>
        <w:ind w:left="720" w:hanging="360"/>
      </w:pPr>
      <w:rPr>
        <w:rFonts w:hint="default"/>
        <w:b w:val="0"/>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3600587D"/>
    <w:multiLevelType w:val="hybridMultilevel"/>
    <w:tmpl w:val="2E2CA6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364001E1"/>
    <w:multiLevelType w:val="hybridMultilevel"/>
    <w:tmpl w:val="F83EE338"/>
    <w:lvl w:ilvl="0" w:tplc="F10CE59A">
      <w:start w:val="1"/>
      <w:numFmt w:val="decimal"/>
      <w:lvlText w:val="%1."/>
      <w:lvlJc w:val="left"/>
      <w:pPr>
        <w:ind w:left="722" w:hanging="360"/>
      </w:pPr>
      <w:rPr>
        <w:rFonts w:hint="default"/>
      </w:rPr>
    </w:lvl>
    <w:lvl w:ilvl="1" w:tplc="04220019" w:tentative="1">
      <w:start w:val="1"/>
      <w:numFmt w:val="lowerLetter"/>
      <w:lvlText w:val="%2."/>
      <w:lvlJc w:val="left"/>
      <w:pPr>
        <w:ind w:left="1442" w:hanging="360"/>
      </w:pPr>
    </w:lvl>
    <w:lvl w:ilvl="2" w:tplc="0422001B" w:tentative="1">
      <w:start w:val="1"/>
      <w:numFmt w:val="lowerRoman"/>
      <w:lvlText w:val="%3."/>
      <w:lvlJc w:val="right"/>
      <w:pPr>
        <w:ind w:left="2162" w:hanging="180"/>
      </w:pPr>
    </w:lvl>
    <w:lvl w:ilvl="3" w:tplc="0422000F" w:tentative="1">
      <w:start w:val="1"/>
      <w:numFmt w:val="decimal"/>
      <w:lvlText w:val="%4."/>
      <w:lvlJc w:val="left"/>
      <w:pPr>
        <w:ind w:left="2882" w:hanging="360"/>
      </w:pPr>
    </w:lvl>
    <w:lvl w:ilvl="4" w:tplc="04220019" w:tentative="1">
      <w:start w:val="1"/>
      <w:numFmt w:val="lowerLetter"/>
      <w:lvlText w:val="%5."/>
      <w:lvlJc w:val="left"/>
      <w:pPr>
        <w:ind w:left="3602" w:hanging="360"/>
      </w:pPr>
    </w:lvl>
    <w:lvl w:ilvl="5" w:tplc="0422001B" w:tentative="1">
      <w:start w:val="1"/>
      <w:numFmt w:val="lowerRoman"/>
      <w:lvlText w:val="%6."/>
      <w:lvlJc w:val="right"/>
      <w:pPr>
        <w:ind w:left="4322" w:hanging="180"/>
      </w:pPr>
    </w:lvl>
    <w:lvl w:ilvl="6" w:tplc="0422000F" w:tentative="1">
      <w:start w:val="1"/>
      <w:numFmt w:val="decimal"/>
      <w:lvlText w:val="%7."/>
      <w:lvlJc w:val="left"/>
      <w:pPr>
        <w:ind w:left="5042" w:hanging="360"/>
      </w:pPr>
    </w:lvl>
    <w:lvl w:ilvl="7" w:tplc="04220019" w:tentative="1">
      <w:start w:val="1"/>
      <w:numFmt w:val="lowerLetter"/>
      <w:lvlText w:val="%8."/>
      <w:lvlJc w:val="left"/>
      <w:pPr>
        <w:ind w:left="5762" w:hanging="360"/>
      </w:pPr>
    </w:lvl>
    <w:lvl w:ilvl="8" w:tplc="0422001B" w:tentative="1">
      <w:start w:val="1"/>
      <w:numFmt w:val="lowerRoman"/>
      <w:lvlText w:val="%9."/>
      <w:lvlJc w:val="right"/>
      <w:pPr>
        <w:ind w:left="6482" w:hanging="180"/>
      </w:pPr>
    </w:lvl>
  </w:abstractNum>
  <w:abstractNum w:abstractNumId="42">
    <w:nsid w:val="3744718C"/>
    <w:multiLevelType w:val="hybridMultilevel"/>
    <w:tmpl w:val="71403242"/>
    <w:lvl w:ilvl="0" w:tplc="5C7EDD30">
      <w:start w:val="1"/>
      <w:numFmt w:val="decimal"/>
      <w:lvlText w:val="%1)"/>
      <w:lvlJc w:val="left"/>
      <w:pPr>
        <w:ind w:left="900" w:hanging="360"/>
      </w:pPr>
      <w:rPr>
        <w:rFonts w:cs="Times New Roman" w:hint="default"/>
        <w:i/>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3">
    <w:nsid w:val="383057A6"/>
    <w:multiLevelType w:val="hybridMultilevel"/>
    <w:tmpl w:val="7A1C11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3F9A4088"/>
    <w:multiLevelType w:val="hybridMultilevel"/>
    <w:tmpl w:val="1BCE26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43CF296C"/>
    <w:multiLevelType w:val="hybridMultilevel"/>
    <w:tmpl w:val="76086DD2"/>
    <w:lvl w:ilvl="0" w:tplc="93BE4808">
      <w:start w:val="1"/>
      <w:numFmt w:val="decimal"/>
      <w:lvlText w:val="%1."/>
      <w:lvlJc w:val="left"/>
      <w:pPr>
        <w:ind w:left="360" w:hanging="360"/>
      </w:pPr>
      <w:rPr>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6">
    <w:nsid w:val="4436061F"/>
    <w:multiLevelType w:val="hybridMultilevel"/>
    <w:tmpl w:val="C35E80C4"/>
    <w:lvl w:ilvl="0" w:tplc="D42EA3FA">
      <w:start w:val="8"/>
      <w:numFmt w:val="decimal"/>
      <w:lvlText w:val="%1."/>
      <w:lvlJc w:val="left"/>
      <w:pPr>
        <w:ind w:left="375" w:hanging="375"/>
      </w:pPr>
      <w:rPr>
        <w:rFonts w:hint="default"/>
        <w:b/>
      </w:rPr>
    </w:lvl>
    <w:lvl w:ilvl="1" w:tplc="04220019" w:tentative="1">
      <w:start w:val="1"/>
      <w:numFmt w:val="lowerLetter"/>
      <w:lvlText w:val="%2."/>
      <w:lvlJc w:val="left"/>
      <w:pPr>
        <w:ind w:left="900" w:hanging="360"/>
      </w:pPr>
    </w:lvl>
    <w:lvl w:ilvl="2" w:tplc="0422001B" w:tentative="1">
      <w:start w:val="1"/>
      <w:numFmt w:val="lowerRoman"/>
      <w:lvlText w:val="%3."/>
      <w:lvlJc w:val="right"/>
      <w:pPr>
        <w:ind w:left="1620" w:hanging="180"/>
      </w:pPr>
    </w:lvl>
    <w:lvl w:ilvl="3" w:tplc="0422000F" w:tentative="1">
      <w:start w:val="1"/>
      <w:numFmt w:val="decimal"/>
      <w:lvlText w:val="%4."/>
      <w:lvlJc w:val="left"/>
      <w:pPr>
        <w:ind w:left="2340" w:hanging="360"/>
      </w:pPr>
    </w:lvl>
    <w:lvl w:ilvl="4" w:tplc="04220019" w:tentative="1">
      <w:start w:val="1"/>
      <w:numFmt w:val="lowerLetter"/>
      <w:lvlText w:val="%5."/>
      <w:lvlJc w:val="left"/>
      <w:pPr>
        <w:ind w:left="3060" w:hanging="360"/>
      </w:pPr>
    </w:lvl>
    <w:lvl w:ilvl="5" w:tplc="0422001B" w:tentative="1">
      <w:start w:val="1"/>
      <w:numFmt w:val="lowerRoman"/>
      <w:lvlText w:val="%6."/>
      <w:lvlJc w:val="right"/>
      <w:pPr>
        <w:ind w:left="3780" w:hanging="180"/>
      </w:pPr>
    </w:lvl>
    <w:lvl w:ilvl="6" w:tplc="0422000F" w:tentative="1">
      <w:start w:val="1"/>
      <w:numFmt w:val="decimal"/>
      <w:lvlText w:val="%7."/>
      <w:lvlJc w:val="left"/>
      <w:pPr>
        <w:ind w:left="4500" w:hanging="360"/>
      </w:pPr>
    </w:lvl>
    <w:lvl w:ilvl="7" w:tplc="04220019" w:tentative="1">
      <w:start w:val="1"/>
      <w:numFmt w:val="lowerLetter"/>
      <w:lvlText w:val="%8."/>
      <w:lvlJc w:val="left"/>
      <w:pPr>
        <w:ind w:left="5220" w:hanging="360"/>
      </w:pPr>
    </w:lvl>
    <w:lvl w:ilvl="8" w:tplc="0422001B" w:tentative="1">
      <w:start w:val="1"/>
      <w:numFmt w:val="lowerRoman"/>
      <w:lvlText w:val="%9."/>
      <w:lvlJc w:val="right"/>
      <w:pPr>
        <w:ind w:left="5940" w:hanging="180"/>
      </w:pPr>
    </w:lvl>
  </w:abstractNum>
  <w:abstractNum w:abstractNumId="47">
    <w:nsid w:val="44CE47EC"/>
    <w:multiLevelType w:val="hybridMultilevel"/>
    <w:tmpl w:val="CD6EA0A0"/>
    <w:lvl w:ilvl="0" w:tplc="04220013">
      <w:start w:val="1"/>
      <w:numFmt w:val="upperRoman"/>
      <w:lvlText w:val="%1."/>
      <w:lvlJc w:val="righ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
    <w:nsid w:val="458C54BB"/>
    <w:multiLevelType w:val="hybridMultilevel"/>
    <w:tmpl w:val="71AEC3AA"/>
    <w:lvl w:ilvl="0" w:tplc="42481160">
      <w:start w:val="1"/>
      <w:numFmt w:val="bullet"/>
      <w:lvlText w:val="-"/>
      <w:lvlJc w:val="left"/>
      <w:pPr>
        <w:ind w:left="1571" w:hanging="360"/>
      </w:pPr>
      <w:rPr>
        <w:rFonts w:ascii="Lucida Sans Unicode" w:hAnsi="Lucida Sans Unicode"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9">
    <w:nsid w:val="47955765"/>
    <w:multiLevelType w:val="hybridMultilevel"/>
    <w:tmpl w:val="205E13EE"/>
    <w:lvl w:ilvl="0" w:tplc="F65232B8">
      <w:start w:val="1"/>
      <w:numFmt w:val="decimal"/>
      <w:lvlText w:val="%1."/>
      <w:lvlJc w:val="left"/>
      <w:pPr>
        <w:ind w:left="720" w:hanging="360"/>
      </w:pPr>
      <w:rPr>
        <w:rFonts w:hint="default"/>
        <w:b w:val="0"/>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nsid w:val="4CA35498"/>
    <w:multiLevelType w:val="hybridMultilevel"/>
    <w:tmpl w:val="AD10C4A4"/>
    <w:lvl w:ilvl="0" w:tplc="D00293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1">
    <w:nsid w:val="4D480378"/>
    <w:multiLevelType w:val="hybridMultilevel"/>
    <w:tmpl w:val="8F16A294"/>
    <w:lvl w:ilvl="0" w:tplc="3C3C4312">
      <w:start w:val="11"/>
      <w:numFmt w:val="bullet"/>
      <w:lvlText w:val="-"/>
      <w:lvlJc w:val="left"/>
      <w:pPr>
        <w:ind w:left="720" w:hanging="360"/>
      </w:pPr>
      <w:rPr>
        <w:rFonts w:ascii="Times New Roman" w:eastAsia="Calibri"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4DF20255"/>
    <w:multiLevelType w:val="hybridMultilevel"/>
    <w:tmpl w:val="4F5CEB3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3">
    <w:nsid w:val="50AF0B36"/>
    <w:multiLevelType w:val="hybridMultilevel"/>
    <w:tmpl w:val="1FEE2E52"/>
    <w:lvl w:ilvl="0" w:tplc="D0803372">
      <w:start w:val="1"/>
      <w:numFmt w:val="decimal"/>
      <w:lvlText w:val="%1."/>
      <w:lvlJc w:val="left"/>
      <w:pPr>
        <w:ind w:left="720" w:hanging="360"/>
      </w:pPr>
      <w:rPr>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nsid w:val="51A02EAA"/>
    <w:multiLevelType w:val="hybridMultilevel"/>
    <w:tmpl w:val="E36E75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52153961"/>
    <w:multiLevelType w:val="hybridMultilevel"/>
    <w:tmpl w:val="1FEE2E52"/>
    <w:lvl w:ilvl="0" w:tplc="D0803372">
      <w:start w:val="1"/>
      <w:numFmt w:val="decimal"/>
      <w:lvlText w:val="%1."/>
      <w:lvlJc w:val="left"/>
      <w:pPr>
        <w:ind w:left="720" w:hanging="360"/>
      </w:pPr>
      <w:rPr>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nsid w:val="538E439D"/>
    <w:multiLevelType w:val="hybridMultilevel"/>
    <w:tmpl w:val="4C281CAA"/>
    <w:lvl w:ilvl="0" w:tplc="7BF26B8E">
      <w:start w:val="36"/>
      <w:numFmt w:val="decimal"/>
      <w:lvlText w:val="%1."/>
      <w:lvlJc w:val="left"/>
      <w:pPr>
        <w:ind w:left="720" w:hanging="360"/>
      </w:pPr>
      <w:rPr>
        <w:rFonts w:hint="default"/>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566E75EF"/>
    <w:multiLevelType w:val="hybridMultilevel"/>
    <w:tmpl w:val="2C18F6B0"/>
    <w:lvl w:ilvl="0" w:tplc="114035DA">
      <w:numFmt w:val="bullet"/>
      <w:lvlText w:val="-"/>
      <w:lvlJc w:val="left"/>
      <w:pPr>
        <w:ind w:left="2062" w:hanging="360"/>
      </w:pPr>
      <w:rPr>
        <w:rFonts w:ascii="Times New Roman" w:eastAsia="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8">
    <w:nsid w:val="56DE5C57"/>
    <w:multiLevelType w:val="hybridMultilevel"/>
    <w:tmpl w:val="2774D394"/>
    <w:lvl w:ilvl="0" w:tplc="DAFEC4C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9">
    <w:nsid w:val="5BA4645E"/>
    <w:multiLevelType w:val="hybridMultilevel"/>
    <w:tmpl w:val="9DAC508E"/>
    <w:lvl w:ilvl="0" w:tplc="B3F42DC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61A260EC"/>
    <w:multiLevelType w:val="hybridMultilevel"/>
    <w:tmpl w:val="54FA76D6"/>
    <w:lvl w:ilvl="0" w:tplc="7D605EEE">
      <w:start w:val="1"/>
      <w:numFmt w:val="decimal"/>
      <w:lvlText w:val="%1."/>
      <w:lvlJc w:val="left"/>
      <w:pPr>
        <w:ind w:left="720" w:hanging="360"/>
      </w:pPr>
      <w:rPr>
        <w:rFonts w:hint="default"/>
        <w:b w:val="0"/>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
    <w:nsid w:val="62C86408"/>
    <w:multiLevelType w:val="multilevel"/>
    <w:tmpl w:val="A16A09A4"/>
    <w:lvl w:ilvl="0">
      <w:start w:val="1"/>
      <w:numFmt w:val="decimal"/>
      <w:lvlText w:val="%1."/>
      <w:lvlJc w:val="left"/>
      <w:pPr>
        <w:ind w:left="1069" w:hanging="36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62">
    <w:nsid w:val="64FE2193"/>
    <w:multiLevelType w:val="hybridMultilevel"/>
    <w:tmpl w:val="8B34CC48"/>
    <w:lvl w:ilvl="0" w:tplc="940C1AC8">
      <w:start w:val="36"/>
      <w:numFmt w:val="decimal"/>
      <w:lvlText w:val="%1."/>
      <w:lvlJc w:val="left"/>
      <w:pPr>
        <w:tabs>
          <w:tab w:val="num" w:pos="360"/>
        </w:tabs>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
    <w:nsid w:val="67016655"/>
    <w:multiLevelType w:val="hybridMultilevel"/>
    <w:tmpl w:val="4A48064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68C36155"/>
    <w:multiLevelType w:val="hybridMultilevel"/>
    <w:tmpl w:val="42B475A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5">
    <w:nsid w:val="699E2D62"/>
    <w:multiLevelType w:val="hybridMultilevel"/>
    <w:tmpl w:val="8A30FC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6">
    <w:nsid w:val="6ED36F13"/>
    <w:multiLevelType w:val="hybridMultilevel"/>
    <w:tmpl w:val="E5C8E180"/>
    <w:lvl w:ilvl="0" w:tplc="33606A42">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7">
    <w:nsid w:val="6FB66FD8"/>
    <w:multiLevelType w:val="hybridMultilevel"/>
    <w:tmpl w:val="A16A09A4"/>
    <w:lvl w:ilvl="0" w:tplc="7B0A97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8">
    <w:nsid w:val="75CE2129"/>
    <w:multiLevelType w:val="multilevel"/>
    <w:tmpl w:val="A0403CF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9">
    <w:nsid w:val="76781914"/>
    <w:multiLevelType w:val="hybridMultilevel"/>
    <w:tmpl w:val="4D80BF60"/>
    <w:lvl w:ilvl="0" w:tplc="691E22FA">
      <w:start w:val="23"/>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0">
    <w:nsid w:val="78162608"/>
    <w:multiLevelType w:val="hybridMultilevel"/>
    <w:tmpl w:val="D6228956"/>
    <w:lvl w:ilvl="0" w:tplc="C568BFA0">
      <w:numFmt w:val="bullet"/>
      <w:lvlText w:val="–"/>
      <w:lvlJc w:val="left"/>
      <w:pPr>
        <w:tabs>
          <w:tab w:val="num" w:pos="1140"/>
        </w:tabs>
        <w:ind w:left="1140" w:hanging="435"/>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71">
    <w:nsid w:val="78C20AC7"/>
    <w:multiLevelType w:val="hybridMultilevel"/>
    <w:tmpl w:val="493CD2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7982451D"/>
    <w:multiLevelType w:val="hybridMultilevel"/>
    <w:tmpl w:val="A52E68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nsid w:val="7C88471F"/>
    <w:multiLevelType w:val="hybridMultilevel"/>
    <w:tmpl w:val="5F0A80FE"/>
    <w:lvl w:ilvl="0" w:tplc="0422000F">
      <w:start w:val="1"/>
      <w:numFmt w:val="decimal"/>
      <w:lvlText w:val="%1."/>
      <w:lvlJc w:val="left"/>
      <w:pPr>
        <w:ind w:left="1400" w:hanging="360"/>
      </w:p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74">
    <w:nsid w:val="7D917E7B"/>
    <w:multiLevelType w:val="hybridMultilevel"/>
    <w:tmpl w:val="2ED04FC2"/>
    <w:lvl w:ilvl="0" w:tplc="CC10F70C">
      <w:start w:val="9"/>
      <w:numFmt w:val="bullet"/>
      <w:lvlText w:val="-"/>
      <w:lvlJc w:val="left"/>
      <w:pPr>
        <w:ind w:left="1429" w:hanging="360"/>
      </w:pPr>
      <w:rPr>
        <w:rFonts w:ascii="Calibri" w:eastAsia="Times New Roman" w:hAnsi="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68"/>
  </w:num>
  <w:num w:numId="2">
    <w:abstractNumId w:val="63"/>
  </w:num>
  <w:num w:numId="3">
    <w:abstractNumId w:val="73"/>
  </w:num>
  <w:num w:numId="4">
    <w:abstractNumId w:val="51"/>
  </w:num>
  <w:num w:numId="5">
    <w:abstractNumId w:val="58"/>
  </w:num>
  <w:num w:numId="6">
    <w:abstractNumId w:val="21"/>
  </w:num>
  <w:num w:numId="7">
    <w:abstractNumId w:val="37"/>
  </w:num>
  <w:num w:numId="8">
    <w:abstractNumId w:val="24"/>
  </w:num>
  <w:num w:numId="9">
    <w:abstractNumId w:val="33"/>
  </w:num>
  <w:num w:numId="10">
    <w:abstractNumId w:val="41"/>
  </w:num>
  <w:num w:numId="11">
    <w:abstractNumId w:val="10"/>
  </w:num>
  <w:num w:numId="12">
    <w:abstractNumId w:val="66"/>
  </w:num>
  <w:num w:numId="13">
    <w:abstractNumId w:val="20"/>
  </w:num>
  <w:num w:numId="14">
    <w:abstractNumId w:val="64"/>
  </w:num>
  <w:num w:numId="15">
    <w:abstractNumId w:val="45"/>
  </w:num>
  <w:num w:numId="16">
    <w:abstractNumId w:val="72"/>
  </w:num>
  <w:num w:numId="17">
    <w:abstractNumId w:val="5"/>
  </w:num>
  <w:num w:numId="18">
    <w:abstractNumId w:val="31"/>
  </w:num>
  <w:num w:numId="19">
    <w:abstractNumId w:val="67"/>
  </w:num>
  <w:num w:numId="20">
    <w:abstractNumId w:val="61"/>
  </w:num>
  <w:num w:numId="21">
    <w:abstractNumId w:val="12"/>
  </w:num>
  <w:num w:numId="22">
    <w:abstractNumId w:val="25"/>
  </w:num>
  <w:num w:numId="23">
    <w:abstractNumId w:val="27"/>
  </w:num>
  <w:num w:numId="24">
    <w:abstractNumId w:val="7"/>
  </w:num>
  <w:num w:numId="25">
    <w:abstractNumId w:val="0"/>
  </w:num>
  <w:num w:numId="26">
    <w:abstractNumId w:val="3"/>
  </w:num>
  <w:num w:numId="27">
    <w:abstractNumId w:val="62"/>
  </w:num>
  <w:num w:numId="28">
    <w:abstractNumId w:val="19"/>
  </w:num>
  <w:num w:numId="29">
    <w:abstractNumId w:val="46"/>
  </w:num>
  <w:num w:numId="30">
    <w:abstractNumId w:val="65"/>
  </w:num>
  <w:num w:numId="31">
    <w:abstractNumId w:val="8"/>
  </w:num>
  <w:num w:numId="32">
    <w:abstractNumId w:val="28"/>
  </w:num>
  <w:num w:numId="33">
    <w:abstractNumId w:val="29"/>
  </w:num>
  <w:num w:numId="34">
    <w:abstractNumId w:val="9"/>
  </w:num>
  <w:num w:numId="35">
    <w:abstractNumId w:val="2"/>
  </w:num>
  <w:num w:numId="36">
    <w:abstractNumId w:val="34"/>
  </w:num>
  <w:num w:numId="37">
    <w:abstractNumId w:val="43"/>
  </w:num>
  <w:num w:numId="38">
    <w:abstractNumId w:val="44"/>
  </w:num>
  <w:num w:numId="39">
    <w:abstractNumId w:val="36"/>
  </w:num>
  <w:num w:numId="40">
    <w:abstractNumId w:val="1"/>
  </w:num>
  <w:num w:numId="41">
    <w:abstractNumId w:val="6"/>
  </w:num>
  <w:num w:numId="42">
    <w:abstractNumId w:val="16"/>
  </w:num>
  <w:num w:numId="43">
    <w:abstractNumId w:val="26"/>
  </w:num>
  <w:num w:numId="44">
    <w:abstractNumId w:val="69"/>
  </w:num>
  <w:num w:numId="45">
    <w:abstractNumId w:val="30"/>
  </w:num>
  <w:num w:numId="46">
    <w:abstractNumId w:val="14"/>
  </w:num>
  <w:num w:numId="47">
    <w:abstractNumId w:val="59"/>
  </w:num>
  <w:num w:numId="48">
    <w:abstractNumId w:val="57"/>
  </w:num>
  <w:num w:numId="49">
    <w:abstractNumId w:val="70"/>
  </w:num>
  <w:num w:numId="50">
    <w:abstractNumId w:val="18"/>
  </w:num>
  <w:num w:numId="51">
    <w:abstractNumId w:val="22"/>
  </w:num>
  <w:num w:numId="52">
    <w:abstractNumId w:val="32"/>
  </w:num>
  <w:num w:numId="53">
    <w:abstractNumId w:val="42"/>
  </w:num>
  <w:num w:numId="54">
    <w:abstractNumId w:val="13"/>
  </w:num>
  <w:num w:numId="55">
    <w:abstractNumId w:val="39"/>
  </w:num>
  <w:num w:numId="56">
    <w:abstractNumId w:val="48"/>
  </w:num>
  <w:num w:numId="57">
    <w:abstractNumId w:val="53"/>
  </w:num>
  <w:num w:numId="58">
    <w:abstractNumId w:val="17"/>
  </w:num>
  <w:num w:numId="59">
    <w:abstractNumId w:val="11"/>
  </w:num>
  <w:num w:numId="60">
    <w:abstractNumId w:val="35"/>
  </w:num>
  <w:num w:numId="61">
    <w:abstractNumId w:val="4"/>
  </w:num>
  <w:num w:numId="62">
    <w:abstractNumId w:val="74"/>
  </w:num>
  <w:num w:numId="63">
    <w:abstractNumId w:val="71"/>
  </w:num>
  <w:num w:numId="64">
    <w:abstractNumId w:val="52"/>
  </w:num>
  <w:num w:numId="65">
    <w:abstractNumId w:val="54"/>
  </w:num>
  <w:num w:numId="66">
    <w:abstractNumId w:val="50"/>
  </w:num>
  <w:num w:numId="67">
    <w:abstractNumId w:val="23"/>
  </w:num>
  <w:num w:numId="68">
    <w:abstractNumId w:val="40"/>
  </w:num>
  <w:num w:numId="69">
    <w:abstractNumId w:val="47"/>
  </w:num>
  <w:num w:numId="70">
    <w:abstractNumId w:val="38"/>
  </w:num>
  <w:num w:numId="71">
    <w:abstractNumId w:val="15"/>
  </w:num>
  <w:num w:numId="72">
    <w:abstractNumId w:val="55"/>
  </w:num>
  <w:num w:numId="73">
    <w:abstractNumId w:val="49"/>
  </w:num>
  <w:num w:numId="74">
    <w:abstractNumId w:val="60"/>
  </w:num>
  <w:num w:numId="75">
    <w:abstractNumId w:val="56"/>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69F"/>
    <w:rsid w:val="000019C7"/>
    <w:rsid w:val="0001534C"/>
    <w:rsid w:val="00020FED"/>
    <w:rsid w:val="00021168"/>
    <w:rsid w:val="00023668"/>
    <w:rsid w:val="00024C64"/>
    <w:rsid w:val="00025D64"/>
    <w:rsid w:val="0002797B"/>
    <w:rsid w:val="00032221"/>
    <w:rsid w:val="00035C6C"/>
    <w:rsid w:val="0005009C"/>
    <w:rsid w:val="0005079E"/>
    <w:rsid w:val="0006110E"/>
    <w:rsid w:val="00061256"/>
    <w:rsid w:val="0006197A"/>
    <w:rsid w:val="000657BF"/>
    <w:rsid w:val="00066AFD"/>
    <w:rsid w:val="0007124D"/>
    <w:rsid w:val="0007235E"/>
    <w:rsid w:val="00073C98"/>
    <w:rsid w:val="0007560D"/>
    <w:rsid w:val="00076932"/>
    <w:rsid w:val="0008362B"/>
    <w:rsid w:val="00083817"/>
    <w:rsid w:val="000845E1"/>
    <w:rsid w:val="00090685"/>
    <w:rsid w:val="00092847"/>
    <w:rsid w:val="00097F47"/>
    <w:rsid w:val="000A0955"/>
    <w:rsid w:val="000A2834"/>
    <w:rsid w:val="000A2E4F"/>
    <w:rsid w:val="000A7DFA"/>
    <w:rsid w:val="000B01C9"/>
    <w:rsid w:val="000B445B"/>
    <w:rsid w:val="000C397C"/>
    <w:rsid w:val="000C3DDF"/>
    <w:rsid w:val="000C3F76"/>
    <w:rsid w:val="000D12A2"/>
    <w:rsid w:val="000D1398"/>
    <w:rsid w:val="000D2794"/>
    <w:rsid w:val="000D494E"/>
    <w:rsid w:val="000D4B7A"/>
    <w:rsid w:val="000D7326"/>
    <w:rsid w:val="000E2BA2"/>
    <w:rsid w:val="000F1F36"/>
    <w:rsid w:val="000F4A39"/>
    <w:rsid w:val="000F55C5"/>
    <w:rsid w:val="001021B6"/>
    <w:rsid w:val="00114483"/>
    <w:rsid w:val="00115326"/>
    <w:rsid w:val="00116DB2"/>
    <w:rsid w:val="00122475"/>
    <w:rsid w:val="001312AF"/>
    <w:rsid w:val="00131B3D"/>
    <w:rsid w:val="00135FCB"/>
    <w:rsid w:val="00136789"/>
    <w:rsid w:val="00137946"/>
    <w:rsid w:val="001400EB"/>
    <w:rsid w:val="001425D9"/>
    <w:rsid w:val="00146B50"/>
    <w:rsid w:val="001518CE"/>
    <w:rsid w:val="00152585"/>
    <w:rsid w:val="00153378"/>
    <w:rsid w:val="001546D1"/>
    <w:rsid w:val="00160FB7"/>
    <w:rsid w:val="00161750"/>
    <w:rsid w:val="00161EBA"/>
    <w:rsid w:val="00163EA0"/>
    <w:rsid w:val="00164E8E"/>
    <w:rsid w:val="001666F6"/>
    <w:rsid w:val="00167C54"/>
    <w:rsid w:val="00170F44"/>
    <w:rsid w:val="0017256F"/>
    <w:rsid w:val="0017352A"/>
    <w:rsid w:val="00177BF1"/>
    <w:rsid w:val="0018495B"/>
    <w:rsid w:val="00187725"/>
    <w:rsid w:val="00190A06"/>
    <w:rsid w:val="00192394"/>
    <w:rsid w:val="0019266E"/>
    <w:rsid w:val="001A0E08"/>
    <w:rsid w:val="001A4461"/>
    <w:rsid w:val="001A6EEA"/>
    <w:rsid w:val="001B08E0"/>
    <w:rsid w:val="001B1557"/>
    <w:rsid w:val="001B574F"/>
    <w:rsid w:val="001B650D"/>
    <w:rsid w:val="001C40BB"/>
    <w:rsid w:val="001C5C26"/>
    <w:rsid w:val="001D010D"/>
    <w:rsid w:val="001D1E24"/>
    <w:rsid w:val="001D6466"/>
    <w:rsid w:val="001D68D5"/>
    <w:rsid w:val="001D69EB"/>
    <w:rsid w:val="001E3384"/>
    <w:rsid w:val="001E60DC"/>
    <w:rsid w:val="001F15CC"/>
    <w:rsid w:val="001F4391"/>
    <w:rsid w:val="001F77FD"/>
    <w:rsid w:val="00200C51"/>
    <w:rsid w:val="00202350"/>
    <w:rsid w:val="002060DA"/>
    <w:rsid w:val="0021169F"/>
    <w:rsid w:val="00212F33"/>
    <w:rsid w:val="00213F4C"/>
    <w:rsid w:val="00214078"/>
    <w:rsid w:val="00214250"/>
    <w:rsid w:val="00220E47"/>
    <w:rsid w:val="00222F30"/>
    <w:rsid w:val="0022374B"/>
    <w:rsid w:val="00232FBF"/>
    <w:rsid w:val="00235DE2"/>
    <w:rsid w:val="00236EA6"/>
    <w:rsid w:val="002401D9"/>
    <w:rsid w:val="00247B25"/>
    <w:rsid w:val="0025421F"/>
    <w:rsid w:val="00254DA7"/>
    <w:rsid w:val="002560F9"/>
    <w:rsid w:val="002566DD"/>
    <w:rsid w:val="00257C9F"/>
    <w:rsid w:val="00260B17"/>
    <w:rsid w:val="00260D8D"/>
    <w:rsid w:val="00261293"/>
    <w:rsid w:val="00262B5F"/>
    <w:rsid w:val="00266794"/>
    <w:rsid w:val="00267217"/>
    <w:rsid w:val="00273D93"/>
    <w:rsid w:val="0028150A"/>
    <w:rsid w:val="00284BA8"/>
    <w:rsid w:val="00290B2A"/>
    <w:rsid w:val="00290CE5"/>
    <w:rsid w:val="0029222F"/>
    <w:rsid w:val="00294B8C"/>
    <w:rsid w:val="0029570A"/>
    <w:rsid w:val="00295E18"/>
    <w:rsid w:val="00297EC4"/>
    <w:rsid w:val="002A37FA"/>
    <w:rsid w:val="002A4BEA"/>
    <w:rsid w:val="002A7D4D"/>
    <w:rsid w:val="002B246C"/>
    <w:rsid w:val="002B3079"/>
    <w:rsid w:val="002B4894"/>
    <w:rsid w:val="002C00B3"/>
    <w:rsid w:val="002C35C3"/>
    <w:rsid w:val="002C44E9"/>
    <w:rsid w:val="002C485F"/>
    <w:rsid w:val="002C6D83"/>
    <w:rsid w:val="002D141A"/>
    <w:rsid w:val="002D3BDC"/>
    <w:rsid w:val="002D5A46"/>
    <w:rsid w:val="002E6ECA"/>
    <w:rsid w:val="002F2E0D"/>
    <w:rsid w:val="002F5783"/>
    <w:rsid w:val="002F7CB7"/>
    <w:rsid w:val="003017AA"/>
    <w:rsid w:val="003071D5"/>
    <w:rsid w:val="00307BFB"/>
    <w:rsid w:val="00315A4C"/>
    <w:rsid w:val="00315AAC"/>
    <w:rsid w:val="003177FE"/>
    <w:rsid w:val="003328F2"/>
    <w:rsid w:val="00333640"/>
    <w:rsid w:val="0033629C"/>
    <w:rsid w:val="00336D50"/>
    <w:rsid w:val="00337217"/>
    <w:rsid w:val="00337390"/>
    <w:rsid w:val="00340071"/>
    <w:rsid w:val="00342BAF"/>
    <w:rsid w:val="00352E84"/>
    <w:rsid w:val="003531E6"/>
    <w:rsid w:val="0036117F"/>
    <w:rsid w:val="00361A73"/>
    <w:rsid w:val="0036707C"/>
    <w:rsid w:val="00367108"/>
    <w:rsid w:val="00372EE3"/>
    <w:rsid w:val="00373A9C"/>
    <w:rsid w:val="003761B3"/>
    <w:rsid w:val="003826C2"/>
    <w:rsid w:val="003836AA"/>
    <w:rsid w:val="003842EE"/>
    <w:rsid w:val="003845ED"/>
    <w:rsid w:val="00385B85"/>
    <w:rsid w:val="0039453A"/>
    <w:rsid w:val="003978E9"/>
    <w:rsid w:val="003A241C"/>
    <w:rsid w:val="003A29B5"/>
    <w:rsid w:val="003A3BAC"/>
    <w:rsid w:val="003A68E7"/>
    <w:rsid w:val="003B2C54"/>
    <w:rsid w:val="003B5DDF"/>
    <w:rsid w:val="003C0A54"/>
    <w:rsid w:val="003C2935"/>
    <w:rsid w:val="003D17B0"/>
    <w:rsid w:val="003D2481"/>
    <w:rsid w:val="003D312A"/>
    <w:rsid w:val="003D6A31"/>
    <w:rsid w:val="003D7FC0"/>
    <w:rsid w:val="003E0E40"/>
    <w:rsid w:val="003E229B"/>
    <w:rsid w:val="003E234B"/>
    <w:rsid w:val="003E3EBD"/>
    <w:rsid w:val="003E4685"/>
    <w:rsid w:val="003E5552"/>
    <w:rsid w:val="003F0F94"/>
    <w:rsid w:val="003F4B69"/>
    <w:rsid w:val="003F672D"/>
    <w:rsid w:val="003F7098"/>
    <w:rsid w:val="0040350A"/>
    <w:rsid w:val="00405D7B"/>
    <w:rsid w:val="00406288"/>
    <w:rsid w:val="0040711A"/>
    <w:rsid w:val="00407A65"/>
    <w:rsid w:val="00412905"/>
    <w:rsid w:val="00413C81"/>
    <w:rsid w:val="004147E4"/>
    <w:rsid w:val="00415EB6"/>
    <w:rsid w:val="00420D12"/>
    <w:rsid w:val="00424F55"/>
    <w:rsid w:val="0042572E"/>
    <w:rsid w:val="00427FED"/>
    <w:rsid w:val="004308B3"/>
    <w:rsid w:val="00430A05"/>
    <w:rsid w:val="0043220A"/>
    <w:rsid w:val="004341ED"/>
    <w:rsid w:val="00435574"/>
    <w:rsid w:val="00435ABA"/>
    <w:rsid w:val="00436CB6"/>
    <w:rsid w:val="004379D9"/>
    <w:rsid w:val="00446072"/>
    <w:rsid w:val="004502D6"/>
    <w:rsid w:val="00451618"/>
    <w:rsid w:val="00452B91"/>
    <w:rsid w:val="00454177"/>
    <w:rsid w:val="00454CC2"/>
    <w:rsid w:val="004564EF"/>
    <w:rsid w:val="00457A86"/>
    <w:rsid w:val="00457C7F"/>
    <w:rsid w:val="004602C8"/>
    <w:rsid w:val="004627CF"/>
    <w:rsid w:val="00467FF6"/>
    <w:rsid w:val="00474D33"/>
    <w:rsid w:val="00475BDD"/>
    <w:rsid w:val="00480886"/>
    <w:rsid w:val="00482438"/>
    <w:rsid w:val="004848DD"/>
    <w:rsid w:val="00493063"/>
    <w:rsid w:val="00494803"/>
    <w:rsid w:val="00495600"/>
    <w:rsid w:val="004A122F"/>
    <w:rsid w:val="004A3F5D"/>
    <w:rsid w:val="004B0475"/>
    <w:rsid w:val="004B7F56"/>
    <w:rsid w:val="004C4487"/>
    <w:rsid w:val="004C6575"/>
    <w:rsid w:val="004D09F3"/>
    <w:rsid w:val="004E3E69"/>
    <w:rsid w:val="004F4193"/>
    <w:rsid w:val="004F48DD"/>
    <w:rsid w:val="004F7283"/>
    <w:rsid w:val="005014AD"/>
    <w:rsid w:val="005045B5"/>
    <w:rsid w:val="00507814"/>
    <w:rsid w:val="00511024"/>
    <w:rsid w:val="00515755"/>
    <w:rsid w:val="00515818"/>
    <w:rsid w:val="0052009D"/>
    <w:rsid w:val="005216C6"/>
    <w:rsid w:val="00524BD1"/>
    <w:rsid w:val="00525DB4"/>
    <w:rsid w:val="00530001"/>
    <w:rsid w:val="00530BA4"/>
    <w:rsid w:val="00531FE4"/>
    <w:rsid w:val="00533885"/>
    <w:rsid w:val="005338F4"/>
    <w:rsid w:val="005414E8"/>
    <w:rsid w:val="0055369A"/>
    <w:rsid w:val="005545F2"/>
    <w:rsid w:val="00554A77"/>
    <w:rsid w:val="00555D94"/>
    <w:rsid w:val="00556071"/>
    <w:rsid w:val="005568D8"/>
    <w:rsid w:val="00565490"/>
    <w:rsid w:val="00571A50"/>
    <w:rsid w:val="0057308E"/>
    <w:rsid w:val="00575F9D"/>
    <w:rsid w:val="005767BC"/>
    <w:rsid w:val="00577D9B"/>
    <w:rsid w:val="00577DF2"/>
    <w:rsid w:val="0058230F"/>
    <w:rsid w:val="00586B61"/>
    <w:rsid w:val="00591BE4"/>
    <w:rsid w:val="005A7D99"/>
    <w:rsid w:val="005B13E6"/>
    <w:rsid w:val="005B58FC"/>
    <w:rsid w:val="005B7F24"/>
    <w:rsid w:val="005C0E11"/>
    <w:rsid w:val="005C1FE9"/>
    <w:rsid w:val="005C4050"/>
    <w:rsid w:val="005D182D"/>
    <w:rsid w:val="005D2D04"/>
    <w:rsid w:val="005E656A"/>
    <w:rsid w:val="005F110A"/>
    <w:rsid w:val="005F4D83"/>
    <w:rsid w:val="005F4E40"/>
    <w:rsid w:val="005F68CC"/>
    <w:rsid w:val="005F7F4F"/>
    <w:rsid w:val="00604C3F"/>
    <w:rsid w:val="00606DE0"/>
    <w:rsid w:val="00606E1F"/>
    <w:rsid w:val="00607CD3"/>
    <w:rsid w:val="00612743"/>
    <w:rsid w:val="00613D95"/>
    <w:rsid w:val="00616939"/>
    <w:rsid w:val="0061708B"/>
    <w:rsid w:val="00625442"/>
    <w:rsid w:val="0062709D"/>
    <w:rsid w:val="00627639"/>
    <w:rsid w:val="006302BD"/>
    <w:rsid w:val="006332C9"/>
    <w:rsid w:val="00636EB4"/>
    <w:rsid w:val="006374EA"/>
    <w:rsid w:val="00640C74"/>
    <w:rsid w:val="006446CD"/>
    <w:rsid w:val="00647218"/>
    <w:rsid w:val="00650C7A"/>
    <w:rsid w:val="0065448E"/>
    <w:rsid w:val="006565B8"/>
    <w:rsid w:val="00666819"/>
    <w:rsid w:val="00666DF8"/>
    <w:rsid w:val="00671012"/>
    <w:rsid w:val="00671529"/>
    <w:rsid w:val="006725DD"/>
    <w:rsid w:val="00674A32"/>
    <w:rsid w:val="006841E7"/>
    <w:rsid w:val="00684418"/>
    <w:rsid w:val="00687706"/>
    <w:rsid w:val="0069202F"/>
    <w:rsid w:val="00692A0C"/>
    <w:rsid w:val="006B3057"/>
    <w:rsid w:val="006B32ED"/>
    <w:rsid w:val="006B72FB"/>
    <w:rsid w:val="006B7CF4"/>
    <w:rsid w:val="006C061F"/>
    <w:rsid w:val="006C11D6"/>
    <w:rsid w:val="006C7246"/>
    <w:rsid w:val="006C7FBD"/>
    <w:rsid w:val="006D7A4D"/>
    <w:rsid w:val="006E1DC9"/>
    <w:rsid w:val="006E60D3"/>
    <w:rsid w:val="006F0178"/>
    <w:rsid w:val="006F124B"/>
    <w:rsid w:val="006F1E5C"/>
    <w:rsid w:val="006F27F5"/>
    <w:rsid w:val="006F2A3B"/>
    <w:rsid w:val="006F43A4"/>
    <w:rsid w:val="006F7895"/>
    <w:rsid w:val="0070157A"/>
    <w:rsid w:val="00704ED4"/>
    <w:rsid w:val="007071A9"/>
    <w:rsid w:val="0071262B"/>
    <w:rsid w:val="00712A98"/>
    <w:rsid w:val="00715EDB"/>
    <w:rsid w:val="00722B83"/>
    <w:rsid w:val="00726EF1"/>
    <w:rsid w:val="00727788"/>
    <w:rsid w:val="007306D6"/>
    <w:rsid w:val="00730929"/>
    <w:rsid w:val="00733207"/>
    <w:rsid w:val="0073642E"/>
    <w:rsid w:val="00743E22"/>
    <w:rsid w:val="00746B53"/>
    <w:rsid w:val="00755417"/>
    <w:rsid w:val="00764728"/>
    <w:rsid w:val="00765F16"/>
    <w:rsid w:val="007667E2"/>
    <w:rsid w:val="007669A0"/>
    <w:rsid w:val="00770E8A"/>
    <w:rsid w:val="00777E9D"/>
    <w:rsid w:val="007815E3"/>
    <w:rsid w:val="00784523"/>
    <w:rsid w:val="00785A96"/>
    <w:rsid w:val="00785B07"/>
    <w:rsid w:val="0079527A"/>
    <w:rsid w:val="0079656F"/>
    <w:rsid w:val="007A1B31"/>
    <w:rsid w:val="007A768E"/>
    <w:rsid w:val="007B055A"/>
    <w:rsid w:val="007B0A50"/>
    <w:rsid w:val="007B30FB"/>
    <w:rsid w:val="007B4193"/>
    <w:rsid w:val="007B5FFC"/>
    <w:rsid w:val="007B6C5F"/>
    <w:rsid w:val="007B7A4B"/>
    <w:rsid w:val="007C1D71"/>
    <w:rsid w:val="007C2624"/>
    <w:rsid w:val="007C267A"/>
    <w:rsid w:val="007C55A6"/>
    <w:rsid w:val="007D14E2"/>
    <w:rsid w:val="007D3F0B"/>
    <w:rsid w:val="007D5973"/>
    <w:rsid w:val="007E29A2"/>
    <w:rsid w:val="007E2C4A"/>
    <w:rsid w:val="007E6806"/>
    <w:rsid w:val="007F2CCB"/>
    <w:rsid w:val="007F559F"/>
    <w:rsid w:val="007F5AD9"/>
    <w:rsid w:val="007F5BF6"/>
    <w:rsid w:val="008009FB"/>
    <w:rsid w:val="00802AFC"/>
    <w:rsid w:val="00802D16"/>
    <w:rsid w:val="0080552E"/>
    <w:rsid w:val="00805F47"/>
    <w:rsid w:val="0080667E"/>
    <w:rsid w:val="0080748A"/>
    <w:rsid w:val="00812905"/>
    <w:rsid w:val="00814A93"/>
    <w:rsid w:val="008226A1"/>
    <w:rsid w:val="00830D43"/>
    <w:rsid w:val="00831F98"/>
    <w:rsid w:val="00836628"/>
    <w:rsid w:val="0084219C"/>
    <w:rsid w:val="0084599E"/>
    <w:rsid w:val="0084636B"/>
    <w:rsid w:val="00863926"/>
    <w:rsid w:val="00864BEF"/>
    <w:rsid w:val="0086629E"/>
    <w:rsid w:val="008662DB"/>
    <w:rsid w:val="00871719"/>
    <w:rsid w:val="0087536A"/>
    <w:rsid w:val="00876DD2"/>
    <w:rsid w:val="0088005C"/>
    <w:rsid w:val="008865DF"/>
    <w:rsid w:val="008874C3"/>
    <w:rsid w:val="00892572"/>
    <w:rsid w:val="008955D5"/>
    <w:rsid w:val="00896214"/>
    <w:rsid w:val="008A0EC6"/>
    <w:rsid w:val="008A1F3D"/>
    <w:rsid w:val="008A2E02"/>
    <w:rsid w:val="008A48C9"/>
    <w:rsid w:val="008A7114"/>
    <w:rsid w:val="008B439C"/>
    <w:rsid w:val="008B5A96"/>
    <w:rsid w:val="008C0166"/>
    <w:rsid w:val="008C1121"/>
    <w:rsid w:val="008C4DB5"/>
    <w:rsid w:val="008C506D"/>
    <w:rsid w:val="008C508C"/>
    <w:rsid w:val="008C541A"/>
    <w:rsid w:val="008C6DD5"/>
    <w:rsid w:val="008C74E4"/>
    <w:rsid w:val="008D7DFC"/>
    <w:rsid w:val="008E0186"/>
    <w:rsid w:val="008E0AE7"/>
    <w:rsid w:val="008E671E"/>
    <w:rsid w:val="008F01A8"/>
    <w:rsid w:val="008F332D"/>
    <w:rsid w:val="008F55D8"/>
    <w:rsid w:val="008F57AC"/>
    <w:rsid w:val="008F59A7"/>
    <w:rsid w:val="00906F5D"/>
    <w:rsid w:val="00910BFC"/>
    <w:rsid w:val="0091404F"/>
    <w:rsid w:val="00914FF1"/>
    <w:rsid w:val="00917BD4"/>
    <w:rsid w:val="009304EA"/>
    <w:rsid w:val="009350AB"/>
    <w:rsid w:val="009361AD"/>
    <w:rsid w:val="00937216"/>
    <w:rsid w:val="0094188D"/>
    <w:rsid w:val="00942E28"/>
    <w:rsid w:val="009449DA"/>
    <w:rsid w:val="0095061F"/>
    <w:rsid w:val="00951192"/>
    <w:rsid w:val="00954AF9"/>
    <w:rsid w:val="00963A6B"/>
    <w:rsid w:val="009711AA"/>
    <w:rsid w:val="00972A12"/>
    <w:rsid w:val="00975047"/>
    <w:rsid w:val="00975F52"/>
    <w:rsid w:val="00985AFB"/>
    <w:rsid w:val="00990E45"/>
    <w:rsid w:val="00993F55"/>
    <w:rsid w:val="00996785"/>
    <w:rsid w:val="009A04FD"/>
    <w:rsid w:val="009A1812"/>
    <w:rsid w:val="009A2418"/>
    <w:rsid w:val="009A2CF7"/>
    <w:rsid w:val="009A41BC"/>
    <w:rsid w:val="009A6F32"/>
    <w:rsid w:val="009B255F"/>
    <w:rsid w:val="009B38F0"/>
    <w:rsid w:val="009C25F4"/>
    <w:rsid w:val="009D364F"/>
    <w:rsid w:val="009D5049"/>
    <w:rsid w:val="009D5B5E"/>
    <w:rsid w:val="009D6048"/>
    <w:rsid w:val="009D65CD"/>
    <w:rsid w:val="009D6F94"/>
    <w:rsid w:val="009D7403"/>
    <w:rsid w:val="009D7C05"/>
    <w:rsid w:val="009E0B65"/>
    <w:rsid w:val="009E1C8B"/>
    <w:rsid w:val="009E500B"/>
    <w:rsid w:val="009F2D61"/>
    <w:rsid w:val="009F5124"/>
    <w:rsid w:val="009F7134"/>
    <w:rsid w:val="00A023EA"/>
    <w:rsid w:val="00A110CD"/>
    <w:rsid w:val="00A13733"/>
    <w:rsid w:val="00A13D67"/>
    <w:rsid w:val="00A22A7E"/>
    <w:rsid w:val="00A23883"/>
    <w:rsid w:val="00A24BB5"/>
    <w:rsid w:val="00A27FF9"/>
    <w:rsid w:val="00A31341"/>
    <w:rsid w:val="00A31493"/>
    <w:rsid w:val="00A31776"/>
    <w:rsid w:val="00A3367B"/>
    <w:rsid w:val="00A354C8"/>
    <w:rsid w:val="00A36614"/>
    <w:rsid w:val="00A47D16"/>
    <w:rsid w:val="00A51CD7"/>
    <w:rsid w:val="00A53869"/>
    <w:rsid w:val="00A557CC"/>
    <w:rsid w:val="00A56184"/>
    <w:rsid w:val="00A60F37"/>
    <w:rsid w:val="00A65FFA"/>
    <w:rsid w:val="00A66290"/>
    <w:rsid w:val="00A668A3"/>
    <w:rsid w:val="00A66D0C"/>
    <w:rsid w:val="00A704B3"/>
    <w:rsid w:val="00A74327"/>
    <w:rsid w:val="00A743B3"/>
    <w:rsid w:val="00A75DC4"/>
    <w:rsid w:val="00A77207"/>
    <w:rsid w:val="00A86E4F"/>
    <w:rsid w:val="00A87A9F"/>
    <w:rsid w:val="00A920E5"/>
    <w:rsid w:val="00A95069"/>
    <w:rsid w:val="00A9652C"/>
    <w:rsid w:val="00A96674"/>
    <w:rsid w:val="00AA026D"/>
    <w:rsid w:val="00AA19E6"/>
    <w:rsid w:val="00AA355D"/>
    <w:rsid w:val="00AA63AA"/>
    <w:rsid w:val="00AA788A"/>
    <w:rsid w:val="00AC0C44"/>
    <w:rsid w:val="00AC32C1"/>
    <w:rsid w:val="00AC4D0E"/>
    <w:rsid w:val="00AD0B33"/>
    <w:rsid w:val="00AD0EE7"/>
    <w:rsid w:val="00AD12EA"/>
    <w:rsid w:val="00AD5091"/>
    <w:rsid w:val="00AD6415"/>
    <w:rsid w:val="00AD7809"/>
    <w:rsid w:val="00AE4241"/>
    <w:rsid w:val="00AE4B20"/>
    <w:rsid w:val="00AE6BE4"/>
    <w:rsid w:val="00B022E0"/>
    <w:rsid w:val="00B02AFB"/>
    <w:rsid w:val="00B03BC4"/>
    <w:rsid w:val="00B05852"/>
    <w:rsid w:val="00B05FBE"/>
    <w:rsid w:val="00B06173"/>
    <w:rsid w:val="00B06517"/>
    <w:rsid w:val="00B10BB2"/>
    <w:rsid w:val="00B10DDF"/>
    <w:rsid w:val="00B12867"/>
    <w:rsid w:val="00B13B01"/>
    <w:rsid w:val="00B140BE"/>
    <w:rsid w:val="00B14B2C"/>
    <w:rsid w:val="00B26405"/>
    <w:rsid w:val="00B40EB8"/>
    <w:rsid w:val="00B46919"/>
    <w:rsid w:val="00B50F40"/>
    <w:rsid w:val="00B54077"/>
    <w:rsid w:val="00B6453C"/>
    <w:rsid w:val="00B6464A"/>
    <w:rsid w:val="00B70D49"/>
    <w:rsid w:val="00B764B6"/>
    <w:rsid w:val="00B77C49"/>
    <w:rsid w:val="00B81AAE"/>
    <w:rsid w:val="00B852FC"/>
    <w:rsid w:val="00B90026"/>
    <w:rsid w:val="00B927CC"/>
    <w:rsid w:val="00BA3462"/>
    <w:rsid w:val="00BA4524"/>
    <w:rsid w:val="00BB02BB"/>
    <w:rsid w:val="00BB0A64"/>
    <w:rsid w:val="00BB14C6"/>
    <w:rsid w:val="00BB2503"/>
    <w:rsid w:val="00BD4A69"/>
    <w:rsid w:val="00BD7450"/>
    <w:rsid w:val="00BE0D51"/>
    <w:rsid w:val="00BE22C7"/>
    <w:rsid w:val="00BE45EF"/>
    <w:rsid w:val="00BF5712"/>
    <w:rsid w:val="00BF5AA0"/>
    <w:rsid w:val="00BF7203"/>
    <w:rsid w:val="00BF7414"/>
    <w:rsid w:val="00C03285"/>
    <w:rsid w:val="00C03792"/>
    <w:rsid w:val="00C07182"/>
    <w:rsid w:val="00C10120"/>
    <w:rsid w:val="00C10BBD"/>
    <w:rsid w:val="00C21896"/>
    <w:rsid w:val="00C224F1"/>
    <w:rsid w:val="00C22DBE"/>
    <w:rsid w:val="00C23DB8"/>
    <w:rsid w:val="00C243B2"/>
    <w:rsid w:val="00C24CBF"/>
    <w:rsid w:val="00C337C4"/>
    <w:rsid w:val="00C34BE7"/>
    <w:rsid w:val="00C36A0D"/>
    <w:rsid w:val="00C406F3"/>
    <w:rsid w:val="00C40EF4"/>
    <w:rsid w:val="00C415BD"/>
    <w:rsid w:val="00C4283A"/>
    <w:rsid w:val="00C436F5"/>
    <w:rsid w:val="00C47AF4"/>
    <w:rsid w:val="00C47BB0"/>
    <w:rsid w:val="00C5092B"/>
    <w:rsid w:val="00C54682"/>
    <w:rsid w:val="00C5748A"/>
    <w:rsid w:val="00C64C42"/>
    <w:rsid w:val="00C66ED4"/>
    <w:rsid w:val="00C71784"/>
    <w:rsid w:val="00C73D5C"/>
    <w:rsid w:val="00C74202"/>
    <w:rsid w:val="00C80A87"/>
    <w:rsid w:val="00C908AE"/>
    <w:rsid w:val="00C9154E"/>
    <w:rsid w:val="00C916BC"/>
    <w:rsid w:val="00C923A6"/>
    <w:rsid w:val="00CA23AC"/>
    <w:rsid w:val="00CA27D9"/>
    <w:rsid w:val="00CA684A"/>
    <w:rsid w:val="00CB2166"/>
    <w:rsid w:val="00CB3F0B"/>
    <w:rsid w:val="00CC0BAA"/>
    <w:rsid w:val="00CC34DA"/>
    <w:rsid w:val="00CC46B9"/>
    <w:rsid w:val="00CD1DF6"/>
    <w:rsid w:val="00CE2493"/>
    <w:rsid w:val="00CE2D26"/>
    <w:rsid w:val="00CE5CE5"/>
    <w:rsid w:val="00CF1C2E"/>
    <w:rsid w:val="00CF2A19"/>
    <w:rsid w:val="00CF70BE"/>
    <w:rsid w:val="00D00DA1"/>
    <w:rsid w:val="00D03799"/>
    <w:rsid w:val="00D03A16"/>
    <w:rsid w:val="00D12797"/>
    <w:rsid w:val="00D17D00"/>
    <w:rsid w:val="00D2021A"/>
    <w:rsid w:val="00D206A0"/>
    <w:rsid w:val="00D23C44"/>
    <w:rsid w:val="00D241DB"/>
    <w:rsid w:val="00D24E56"/>
    <w:rsid w:val="00D25E58"/>
    <w:rsid w:val="00D26A8B"/>
    <w:rsid w:val="00D30369"/>
    <w:rsid w:val="00D31198"/>
    <w:rsid w:val="00D33A03"/>
    <w:rsid w:val="00D34BCF"/>
    <w:rsid w:val="00D430A1"/>
    <w:rsid w:val="00D46B1B"/>
    <w:rsid w:val="00D52EFC"/>
    <w:rsid w:val="00D55B3B"/>
    <w:rsid w:val="00D578C7"/>
    <w:rsid w:val="00D57952"/>
    <w:rsid w:val="00D57B20"/>
    <w:rsid w:val="00D6495C"/>
    <w:rsid w:val="00D64DB6"/>
    <w:rsid w:val="00D65C96"/>
    <w:rsid w:val="00D71DD6"/>
    <w:rsid w:val="00D7243D"/>
    <w:rsid w:val="00D73FEB"/>
    <w:rsid w:val="00D74609"/>
    <w:rsid w:val="00D749CB"/>
    <w:rsid w:val="00D757F2"/>
    <w:rsid w:val="00D7741E"/>
    <w:rsid w:val="00D828B1"/>
    <w:rsid w:val="00D8596E"/>
    <w:rsid w:val="00D87334"/>
    <w:rsid w:val="00D92DC8"/>
    <w:rsid w:val="00D932DB"/>
    <w:rsid w:val="00D961F7"/>
    <w:rsid w:val="00DA0230"/>
    <w:rsid w:val="00DA0A32"/>
    <w:rsid w:val="00DA18CD"/>
    <w:rsid w:val="00DA2E3C"/>
    <w:rsid w:val="00DA2ED8"/>
    <w:rsid w:val="00DA798F"/>
    <w:rsid w:val="00DB00C3"/>
    <w:rsid w:val="00DB2D90"/>
    <w:rsid w:val="00DB3F94"/>
    <w:rsid w:val="00DB60EC"/>
    <w:rsid w:val="00DC20CD"/>
    <w:rsid w:val="00DC333E"/>
    <w:rsid w:val="00DC591A"/>
    <w:rsid w:val="00DC6D46"/>
    <w:rsid w:val="00DD15D6"/>
    <w:rsid w:val="00DE59E3"/>
    <w:rsid w:val="00DF3DD0"/>
    <w:rsid w:val="00DF7DE4"/>
    <w:rsid w:val="00E009ED"/>
    <w:rsid w:val="00E021E7"/>
    <w:rsid w:val="00E049AA"/>
    <w:rsid w:val="00E07216"/>
    <w:rsid w:val="00E0756D"/>
    <w:rsid w:val="00E10BB1"/>
    <w:rsid w:val="00E16044"/>
    <w:rsid w:val="00E20975"/>
    <w:rsid w:val="00E21183"/>
    <w:rsid w:val="00E22F2B"/>
    <w:rsid w:val="00E23AE4"/>
    <w:rsid w:val="00E24816"/>
    <w:rsid w:val="00E26678"/>
    <w:rsid w:val="00E274A4"/>
    <w:rsid w:val="00E3334D"/>
    <w:rsid w:val="00E334F3"/>
    <w:rsid w:val="00E33723"/>
    <w:rsid w:val="00E33DAC"/>
    <w:rsid w:val="00E4163D"/>
    <w:rsid w:val="00E41BD3"/>
    <w:rsid w:val="00E46E0A"/>
    <w:rsid w:val="00E46F08"/>
    <w:rsid w:val="00E52424"/>
    <w:rsid w:val="00E524FF"/>
    <w:rsid w:val="00E530C2"/>
    <w:rsid w:val="00E53B5C"/>
    <w:rsid w:val="00E55ECD"/>
    <w:rsid w:val="00E56C20"/>
    <w:rsid w:val="00E6025C"/>
    <w:rsid w:val="00E611DD"/>
    <w:rsid w:val="00E6234D"/>
    <w:rsid w:val="00E627C7"/>
    <w:rsid w:val="00E63445"/>
    <w:rsid w:val="00E72EB1"/>
    <w:rsid w:val="00E744EE"/>
    <w:rsid w:val="00E75AB8"/>
    <w:rsid w:val="00E8356D"/>
    <w:rsid w:val="00E915CF"/>
    <w:rsid w:val="00E946B6"/>
    <w:rsid w:val="00E9558B"/>
    <w:rsid w:val="00EA0A6F"/>
    <w:rsid w:val="00EB72B0"/>
    <w:rsid w:val="00EC41AF"/>
    <w:rsid w:val="00EC797F"/>
    <w:rsid w:val="00ED21EA"/>
    <w:rsid w:val="00ED6B86"/>
    <w:rsid w:val="00EE27CF"/>
    <w:rsid w:val="00EE3896"/>
    <w:rsid w:val="00EE3F9E"/>
    <w:rsid w:val="00EE44CA"/>
    <w:rsid w:val="00EE46FF"/>
    <w:rsid w:val="00EE4A94"/>
    <w:rsid w:val="00EE6A46"/>
    <w:rsid w:val="00EF0BCD"/>
    <w:rsid w:val="00EF11CB"/>
    <w:rsid w:val="00EF1A11"/>
    <w:rsid w:val="00F01F49"/>
    <w:rsid w:val="00F038FC"/>
    <w:rsid w:val="00F14C2A"/>
    <w:rsid w:val="00F15F8C"/>
    <w:rsid w:val="00F16D26"/>
    <w:rsid w:val="00F235B8"/>
    <w:rsid w:val="00F24679"/>
    <w:rsid w:val="00F253E5"/>
    <w:rsid w:val="00F329FE"/>
    <w:rsid w:val="00F33E47"/>
    <w:rsid w:val="00F3772D"/>
    <w:rsid w:val="00F41D4A"/>
    <w:rsid w:val="00F46F4E"/>
    <w:rsid w:val="00F547C2"/>
    <w:rsid w:val="00F60BF8"/>
    <w:rsid w:val="00F62304"/>
    <w:rsid w:val="00F62F71"/>
    <w:rsid w:val="00F65D0E"/>
    <w:rsid w:val="00F67DC5"/>
    <w:rsid w:val="00F7173E"/>
    <w:rsid w:val="00F847B1"/>
    <w:rsid w:val="00F860B6"/>
    <w:rsid w:val="00F877B2"/>
    <w:rsid w:val="00F9387B"/>
    <w:rsid w:val="00F93909"/>
    <w:rsid w:val="00F967D0"/>
    <w:rsid w:val="00FA1CE3"/>
    <w:rsid w:val="00FA63D1"/>
    <w:rsid w:val="00FA6DCF"/>
    <w:rsid w:val="00FA77C0"/>
    <w:rsid w:val="00FB1385"/>
    <w:rsid w:val="00FB13C4"/>
    <w:rsid w:val="00FB14B7"/>
    <w:rsid w:val="00FB2FED"/>
    <w:rsid w:val="00FB57DA"/>
    <w:rsid w:val="00FB7E22"/>
    <w:rsid w:val="00FC16DF"/>
    <w:rsid w:val="00FC3DC6"/>
    <w:rsid w:val="00FD078A"/>
    <w:rsid w:val="00FD79D6"/>
    <w:rsid w:val="00FE02BB"/>
    <w:rsid w:val="00FE4735"/>
    <w:rsid w:val="00FE4BC5"/>
    <w:rsid w:val="00FE4BF6"/>
    <w:rsid w:val="00FE4DDD"/>
    <w:rsid w:val="00FE4EEC"/>
    <w:rsid w:val="00FE6A6A"/>
    <w:rsid w:val="00FE6D70"/>
    <w:rsid w:val="00FF20BC"/>
    <w:rsid w:val="00FF3827"/>
    <w:rsid w:val="00FF642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169F"/>
    <w:rPr>
      <w:rFonts w:ascii="Times New Roman" w:eastAsia="Times New Roman" w:hAnsi="Times New Roman"/>
      <w:sz w:val="24"/>
      <w:szCs w:val="24"/>
      <w:lang w:val="ru-RU" w:eastAsia="ru-RU"/>
    </w:rPr>
  </w:style>
  <w:style w:type="paragraph" w:styleId="1">
    <w:name w:val="heading 1"/>
    <w:basedOn w:val="a"/>
    <w:link w:val="10"/>
    <w:uiPriority w:val="99"/>
    <w:qFormat/>
    <w:rsid w:val="001A4461"/>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435ABA"/>
    <w:pPr>
      <w:keepNext/>
      <w:keepLines/>
      <w:spacing w:before="200"/>
      <w:outlineLvl w:val="1"/>
    </w:pPr>
    <w:rPr>
      <w:rFonts w:ascii="Cambria" w:hAnsi="Cambria"/>
      <w:b/>
      <w:bCs/>
      <w:color w:val="4F81BD"/>
      <w:sz w:val="26"/>
      <w:szCs w:val="26"/>
    </w:rPr>
  </w:style>
  <w:style w:type="paragraph" w:styleId="3">
    <w:name w:val="heading 3"/>
    <w:basedOn w:val="a"/>
    <w:next w:val="a"/>
    <w:link w:val="30"/>
    <w:uiPriority w:val="99"/>
    <w:unhideWhenUsed/>
    <w:qFormat/>
    <w:rsid w:val="00FB13C4"/>
    <w:pPr>
      <w:keepNext/>
      <w:keepLines/>
      <w:spacing w:before="200" w:line="276" w:lineRule="auto"/>
      <w:outlineLvl w:val="2"/>
    </w:pPr>
    <w:rPr>
      <w:rFonts w:ascii="Cambria" w:hAnsi="Cambria"/>
      <w:b/>
      <w:bCs/>
      <w:color w:val="4F81BD"/>
      <w:sz w:val="22"/>
      <w:szCs w:val="22"/>
      <w:lang w:val="uk-UA" w:eastAsia="en-US"/>
    </w:rPr>
  </w:style>
  <w:style w:type="paragraph" w:styleId="5">
    <w:name w:val="heading 5"/>
    <w:basedOn w:val="a"/>
    <w:next w:val="a"/>
    <w:link w:val="50"/>
    <w:uiPriority w:val="99"/>
    <w:qFormat/>
    <w:rsid w:val="009D6048"/>
    <w:pPr>
      <w:keepNext/>
      <w:keepLines/>
      <w:spacing w:before="40" w:line="276" w:lineRule="auto"/>
      <w:outlineLvl w:val="4"/>
    </w:pPr>
    <w:rPr>
      <w:rFonts w:ascii="Calibri Light" w:eastAsia="Calibri" w:hAnsi="Calibri Light"/>
      <w:color w:val="2F5496"/>
      <w:sz w:val="20"/>
      <w:szCs w:val="20"/>
      <w:lang w:val="en-US"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7BD4"/>
    <w:pPr>
      <w:ind w:left="720"/>
      <w:contextualSpacing/>
    </w:pPr>
  </w:style>
  <w:style w:type="character" w:styleId="a4">
    <w:name w:val="Strong"/>
    <w:uiPriority w:val="22"/>
    <w:qFormat/>
    <w:rsid w:val="0033629C"/>
    <w:rPr>
      <w:b/>
      <w:bCs/>
    </w:rPr>
  </w:style>
  <w:style w:type="character" w:customStyle="1" w:styleId="shorttext">
    <w:name w:val="short_text"/>
    <w:uiPriority w:val="99"/>
    <w:rsid w:val="0033629C"/>
  </w:style>
  <w:style w:type="character" w:customStyle="1" w:styleId="fontstyle21">
    <w:name w:val="fontstyle21"/>
    <w:rsid w:val="0033629C"/>
    <w:rPr>
      <w:rFonts w:ascii="TimesNewRoman" w:hAnsi="TimesNewRoman" w:hint="default"/>
      <w:b/>
      <w:bCs/>
      <w:i w:val="0"/>
      <w:iCs w:val="0"/>
      <w:color w:val="000000"/>
      <w:sz w:val="20"/>
      <w:szCs w:val="20"/>
    </w:rPr>
  </w:style>
  <w:style w:type="character" w:customStyle="1" w:styleId="fontstyle01">
    <w:name w:val="fontstyle01"/>
    <w:rsid w:val="0033629C"/>
    <w:rPr>
      <w:rFonts w:ascii="Bold" w:hAnsi="Bold" w:hint="default"/>
      <w:b/>
      <w:bCs/>
      <w:i w:val="0"/>
      <w:iCs w:val="0"/>
      <w:color w:val="000000"/>
      <w:sz w:val="20"/>
      <w:szCs w:val="20"/>
    </w:rPr>
  </w:style>
  <w:style w:type="paragraph" w:styleId="a5">
    <w:name w:val="Normal (Web)"/>
    <w:aliases w:val="webb,Обычный (Web)"/>
    <w:basedOn w:val="a"/>
    <w:uiPriority w:val="99"/>
    <w:unhideWhenUsed/>
    <w:rsid w:val="0033629C"/>
    <w:pPr>
      <w:spacing w:before="100" w:beforeAutospacing="1" w:after="100" w:afterAutospacing="1"/>
    </w:pPr>
    <w:rPr>
      <w:lang w:val="en-US" w:eastAsia="en-US"/>
    </w:rPr>
  </w:style>
  <w:style w:type="character" w:customStyle="1" w:styleId="hps">
    <w:name w:val="hps"/>
    <w:uiPriority w:val="99"/>
    <w:rsid w:val="0033629C"/>
  </w:style>
  <w:style w:type="character" w:customStyle="1" w:styleId="highlight">
    <w:name w:val="highlight"/>
    <w:rsid w:val="0033629C"/>
  </w:style>
  <w:style w:type="paragraph" w:styleId="a6">
    <w:name w:val="Balloon Text"/>
    <w:basedOn w:val="a"/>
    <w:link w:val="a7"/>
    <w:uiPriority w:val="99"/>
    <w:semiHidden/>
    <w:unhideWhenUsed/>
    <w:rsid w:val="0033629C"/>
    <w:rPr>
      <w:rFonts w:ascii="Tahoma" w:hAnsi="Tahoma" w:cs="Tahoma"/>
      <w:sz w:val="16"/>
      <w:szCs w:val="16"/>
    </w:rPr>
  </w:style>
  <w:style w:type="character" w:customStyle="1" w:styleId="a7">
    <w:name w:val="Текст выноски Знак"/>
    <w:link w:val="a6"/>
    <w:uiPriority w:val="99"/>
    <w:semiHidden/>
    <w:rsid w:val="0033629C"/>
    <w:rPr>
      <w:rFonts w:ascii="Tahoma" w:eastAsia="Times New Roman" w:hAnsi="Tahoma" w:cs="Tahoma"/>
      <w:sz w:val="16"/>
      <w:szCs w:val="16"/>
      <w:lang w:val="ru-RU" w:eastAsia="ru-RU"/>
    </w:rPr>
  </w:style>
  <w:style w:type="character" w:customStyle="1" w:styleId="authors">
    <w:name w:val="authors"/>
    <w:rsid w:val="0033629C"/>
  </w:style>
  <w:style w:type="paragraph" w:styleId="HTML">
    <w:name w:val="HTML Preformatted"/>
    <w:basedOn w:val="a"/>
    <w:link w:val="HTML0"/>
    <w:uiPriority w:val="99"/>
    <w:unhideWhenUsed/>
    <w:rsid w:val="003362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33629C"/>
    <w:rPr>
      <w:rFonts w:ascii="Courier New" w:eastAsia="Times New Roman" w:hAnsi="Courier New" w:cs="Courier New"/>
      <w:sz w:val="20"/>
      <w:szCs w:val="20"/>
      <w:lang w:val="ru-RU" w:eastAsia="ru-RU"/>
    </w:rPr>
  </w:style>
  <w:style w:type="character" w:styleId="a8">
    <w:name w:val="Hyperlink"/>
    <w:uiPriority w:val="99"/>
    <w:unhideWhenUsed/>
    <w:rsid w:val="0033629C"/>
    <w:rPr>
      <w:color w:val="0000FF"/>
      <w:u w:val="single"/>
    </w:rPr>
  </w:style>
  <w:style w:type="character" w:customStyle="1" w:styleId="10">
    <w:name w:val="Заголовок 1 Знак"/>
    <w:link w:val="1"/>
    <w:uiPriority w:val="99"/>
    <w:rsid w:val="001A4461"/>
    <w:rPr>
      <w:rFonts w:ascii="Times New Roman" w:eastAsia="Times New Roman" w:hAnsi="Times New Roman" w:cs="Times New Roman"/>
      <w:b/>
      <w:bCs/>
      <w:kern w:val="36"/>
      <w:sz w:val="48"/>
      <w:szCs w:val="48"/>
      <w:lang w:val="ru-RU" w:eastAsia="ru-RU"/>
    </w:rPr>
  </w:style>
  <w:style w:type="character" w:customStyle="1" w:styleId="authors-list-item">
    <w:name w:val="authors-list-item"/>
    <w:basedOn w:val="a0"/>
    <w:rsid w:val="00DA0A32"/>
  </w:style>
  <w:style w:type="character" w:customStyle="1" w:styleId="comma">
    <w:name w:val="comma"/>
    <w:basedOn w:val="a0"/>
    <w:rsid w:val="00DA0A32"/>
  </w:style>
  <w:style w:type="character" w:customStyle="1" w:styleId="secondary-date">
    <w:name w:val="secondary-date"/>
    <w:basedOn w:val="a0"/>
    <w:rsid w:val="00DA0A32"/>
  </w:style>
  <w:style w:type="character" w:customStyle="1" w:styleId="UnresolvedMention">
    <w:name w:val="Unresolved Mention"/>
    <w:uiPriority w:val="99"/>
    <w:semiHidden/>
    <w:unhideWhenUsed/>
    <w:rsid w:val="001546D1"/>
    <w:rPr>
      <w:color w:val="605E5C"/>
      <w:shd w:val="clear" w:color="auto" w:fill="E1DFDD"/>
    </w:rPr>
  </w:style>
  <w:style w:type="character" w:styleId="a9">
    <w:name w:val="FollowedHyperlink"/>
    <w:uiPriority w:val="99"/>
    <w:semiHidden/>
    <w:unhideWhenUsed/>
    <w:rsid w:val="001546D1"/>
    <w:rPr>
      <w:color w:val="800080"/>
      <w:u w:val="single"/>
    </w:rPr>
  </w:style>
  <w:style w:type="paragraph" w:customStyle="1" w:styleId="xl67">
    <w:name w:val="xl67"/>
    <w:basedOn w:val="a"/>
    <w:rsid w:val="001546D1"/>
    <w:pPr>
      <w:spacing w:before="100" w:beforeAutospacing="1" w:after="100" w:afterAutospacing="1"/>
      <w:jc w:val="center"/>
      <w:textAlignment w:val="top"/>
    </w:pPr>
    <w:rPr>
      <w:rFonts w:ascii="Arial" w:hAnsi="Arial" w:cs="Arial"/>
      <w:color w:val="000000"/>
      <w:sz w:val="20"/>
      <w:szCs w:val="20"/>
    </w:rPr>
  </w:style>
  <w:style w:type="paragraph" w:customStyle="1" w:styleId="xl68">
    <w:name w:val="xl68"/>
    <w:basedOn w:val="a"/>
    <w:rsid w:val="001546D1"/>
    <w:pPr>
      <w:spacing w:before="100" w:beforeAutospacing="1" w:after="100" w:afterAutospacing="1"/>
      <w:jc w:val="right"/>
      <w:textAlignment w:val="center"/>
    </w:pPr>
    <w:rPr>
      <w:rFonts w:ascii="Arial" w:hAnsi="Arial" w:cs="Arial"/>
      <w:color w:val="000000"/>
      <w:sz w:val="20"/>
      <w:szCs w:val="20"/>
    </w:rPr>
  </w:style>
  <w:style w:type="paragraph" w:customStyle="1" w:styleId="xl69">
    <w:name w:val="xl69"/>
    <w:basedOn w:val="a"/>
    <w:rsid w:val="001546D1"/>
    <w:pPr>
      <w:pBdr>
        <w:bottom w:val="single" w:sz="8" w:space="0" w:color="auto"/>
      </w:pBdr>
      <w:spacing w:before="100" w:beforeAutospacing="1" w:after="100" w:afterAutospacing="1"/>
    </w:pPr>
  </w:style>
  <w:style w:type="paragraph" w:customStyle="1" w:styleId="xl70">
    <w:name w:val="xl70"/>
    <w:basedOn w:val="a"/>
    <w:rsid w:val="001546D1"/>
    <w:pPr>
      <w:spacing w:before="100" w:beforeAutospacing="1" w:after="100" w:afterAutospacing="1"/>
      <w:textAlignment w:val="center"/>
    </w:pPr>
    <w:rPr>
      <w:rFonts w:ascii="Arial" w:hAnsi="Arial" w:cs="Arial"/>
      <w:color w:val="000000"/>
      <w:sz w:val="20"/>
      <w:szCs w:val="20"/>
    </w:rPr>
  </w:style>
  <w:style w:type="paragraph" w:customStyle="1" w:styleId="xl71">
    <w:name w:val="xl71"/>
    <w:basedOn w:val="a"/>
    <w:rsid w:val="001546D1"/>
    <w:pPr>
      <w:spacing w:before="100" w:beforeAutospacing="1" w:after="100" w:afterAutospacing="1"/>
      <w:jc w:val="right"/>
      <w:textAlignment w:val="center"/>
    </w:pPr>
    <w:rPr>
      <w:rFonts w:ascii="Arial" w:hAnsi="Arial" w:cs="Arial"/>
      <w:color w:val="000000"/>
      <w:sz w:val="20"/>
      <w:szCs w:val="20"/>
    </w:rPr>
  </w:style>
  <w:style w:type="paragraph" w:customStyle="1" w:styleId="xl72">
    <w:name w:val="xl72"/>
    <w:basedOn w:val="a"/>
    <w:rsid w:val="001546D1"/>
    <w:pPr>
      <w:spacing w:before="100" w:beforeAutospacing="1" w:after="100" w:afterAutospacing="1"/>
      <w:jc w:val="right"/>
      <w:textAlignment w:val="center"/>
    </w:pPr>
    <w:rPr>
      <w:rFonts w:ascii="Arial" w:hAnsi="Arial" w:cs="Arial"/>
      <w:color w:val="000000"/>
      <w:sz w:val="20"/>
      <w:szCs w:val="20"/>
    </w:rPr>
  </w:style>
  <w:style w:type="paragraph" w:customStyle="1" w:styleId="xl73">
    <w:name w:val="xl73"/>
    <w:basedOn w:val="a"/>
    <w:rsid w:val="001546D1"/>
    <w:pPr>
      <w:spacing w:before="100" w:beforeAutospacing="1" w:after="100" w:afterAutospacing="1"/>
    </w:pPr>
    <w:rPr>
      <w:rFonts w:ascii="Arial" w:hAnsi="Arial" w:cs="Arial"/>
      <w:color w:val="000000"/>
      <w:sz w:val="20"/>
      <w:szCs w:val="20"/>
    </w:rPr>
  </w:style>
  <w:style w:type="paragraph" w:customStyle="1" w:styleId="xl74">
    <w:name w:val="xl74"/>
    <w:basedOn w:val="a"/>
    <w:rsid w:val="001546D1"/>
    <w:pPr>
      <w:spacing w:before="100" w:beforeAutospacing="1" w:after="100" w:afterAutospacing="1"/>
    </w:pPr>
    <w:rPr>
      <w:rFonts w:ascii="Arial" w:hAnsi="Arial" w:cs="Arial"/>
      <w:sz w:val="20"/>
      <w:szCs w:val="20"/>
    </w:rPr>
  </w:style>
  <w:style w:type="paragraph" w:customStyle="1" w:styleId="xl75">
    <w:name w:val="xl75"/>
    <w:basedOn w:val="a"/>
    <w:rsid w:val="001546D1"/>
    <w:pPr>
      <w:spacing w:before="100" w:beforeAutospacing="1" w:after="100" w:afterAutospacing="1"/>
      <w:textAlignment w:val="top"/>
    </w:pPr>
    <w:rPr>
      <w:rFonts w:ascii="Arial" w:hAnsi="Arial" w:cs="Arial"/>
      <w:color w:val="000000"/>
      <w:sz w:val="20"/>
      <w:szCs w:val="20"/>
    </w:rPr>
  </w:style>
  <w:style w:type="character" w:customStyle="1" w:styleId="11">
    <w:name w:val="Дата1"/>
    <w:basedOn w:val="a0"/>
    <w:rsid w:val="001546D1"/>
  </w:style>
  <w:style w:type="character" w:customStyle="1" w:styleId="arttitle">
    <w:name w:val="art_title"/>
    <w:basedOn w:val="a0"/>
    <w:rsid w:val="001546D1"/>
  </w:style>
  <w:style w:type="character" w:customStyle="1" w:styleId="serialtitle">
    <w:name w:val="serial_title"/>
    <w:basedOn w:val="a0"/>
    <w:rsid w:val="001546D1"/>
  </w:style>
  <w:style w:type="character" w:customStyle="1" w:styleId="volumeissue">
    <w:name w:val="volume_issue"/>
    <w:basedOn w:val="a0"/>
    <w:rsid w:val="001546D1"/>
  </w:style>
  <w:style w:type="character" w:customStyle="1" w:styleId="pagerange">
    <w:name w:val="page_range"/>
    <w:basedOn w:val="a0"/>
    <w:rsid w:val="001546D1"/>
  </w:style>
  <w:style w:type="character" w:customStyle="1" w:styleId="doilink">
    <w:name w:val="doi_link"/>
    <w:basedOn w:val="a0"/>
    <w:rsid w:val="001546D1"/>
  </w:style>
  <w:style w:type="character" w:customStyle="1" w:styleId="ref-journal">
    <w:name w:val="ref-journal"/>
    <w:basedOn w:val="a0"/>
    <w:rsid w:val="001546D1"/>
  </w:style>
  <w:style w:type="character" w:customStyle="1" w:styleId="ref-vol">
    <w:name w:val="ref-vol"/>
    <w:basedOn w:val="a0"/>
    <w:rsid w:val="001546D1"/>
  </w:style>
  <w:style w:type="character" w:customStyle="1" w:styleId="ref-title">
    <w:name w:val="ref-title"/>
    <w:basedOn w:val="a0"/>
    <w:rsid w:val="001546D1"/>
  </w:style>
  <w:style w:type="character" w:styleId="aa">
    <w:name w:val="Emphasis"/>
    <w:uiPriority w:val="20"/>
    <w:qFormat/>
    <w:rsid w:val="001546D1"/>
    <w:rPr>
      <w:i/>
      <w:iCs/>
    </w:rPr>
  </w:style>
  <w:style w:type="character" w:customStyle="1" w:styleId="ref-iss">
    <w:name w:val="ref-iss"/>
    <w:basedOn w:val="a0"/>
    <w:rsid w:val="001546D1"/>
  </w:style>
  <w:style w:type="paragraph" w:customStyle="1" w:styleId="p">
    <w:name w:val="p"/>
    <w:basedOn w:val="a"/>
    <w:rsid w:val="001546D1"/>
    <w:pPr>
      <w:spacing w:before="100" w:beforeAutospacing="1" w:after="100" w:afterAutospacing="1"/>
    </w:pPr>
  </w:style>
  <w:style w:type="character" w:customStyle="1" w:styleId="hlfld-contribauthor">
    <w:name w:val="hlfld-contribauthor"/>
    <w:basedOn w:val="a0"/>
    <w:rsid w:val="001546D1"/>
  </w:style>
  <w:style w:type="character" w:customStyle="1" w:styleId="nlmgiven-names">
    <w:name w:val="nlm_given-names"/>
    <w:basedOn w:val="a0"/>
    <w:rsid w:val="001546D1"/>
  </w:style>
  <w:style w:type="character" w:customStyle="1" w:styleId="nlmyear">
    <w:name w:val="nlm_year"/>
    <w:basedOn w:val="a0"/>
    <w:rsid w:val="001546D1"/>
  </w:style>
  <w:style w:type="character" w:customStyle="1" w:styleId="nlmarticle-title">
    <w:name w:val="nlm_article-title"/>
    <w:basedOn w:val="a0"/>
    <w:rsid w:val="001546D1"/>
  </w:style>
  <w:style w:type="character" w:customStyle="1" w:styleId="nlmfpage">
    <w:name w:val="nlm_fpage"/>
    <w:basedOn w:val="a0"/>
    <w:rsid w:val="001546D1"/>
  </w:style>
  <w:style w:type="character" w:customStyle="1" w:styleId="nlmlpage">
    <w:name w:val="nlm_lpage"/>
    <w:basedOn w:val="a0"/>
    <w:rsid w:val="001546D1"/>
  </w:style>
  <w:style w:type="character" w:customStyle="1" w:styleId="nlmpub-id">
    <w:name w:val="nlm_pub-id"/>
    <w:basedOn w:val="a0"/>
    <w:rsid w:val="001546D1"/>
  </w:style>
  <w:style w:type="character" w:customStyle="1" w:styleId="element-citation">
    <w:name w:val="element-citation"/>
    <w:basedOn w:val="a0"/>
    <w:rsid w:val="001546D1"/>
  </w:style>
  <w:style w:type="character" w:customStyle="1" w:styleId="nowrap">
    <w:name w:val="nowrap"/>
    <w:basedOn w:val="a0"/>
    <w:rsid w:val="001546D1"/>
  </w:style>
  <w:style w:type="paragraph" w:styleId="ab">
    <w:name w:val="header"/>
    <w:basedOn w:val="a"/>
    <w:link w:val="ac"/>
    <w:uiPriority w:val="99"/>
    <w:unhideWhenUsed/>
    <w:rsid w:val="001546D1"/>
    <w:pPr>
      <w:tabs>
        <w:tab w:val="center" w:pos="4677"/>
        <w:tab w:val="right" w:pos="9355"/>
      </w:tabs>
      <w:spacing w:after="160" w:line="259" w:lineRule="auto"/>
    </w:pPr>
    <w:rPr>
      <w:rFonts w:ascii="Calibri" w:eastAsia="Calibri" w:hAnsi="Calibri"/>
      <w:sz w:val="22"/>
      <w:szCs w:val="22"/>
      <w:lang w:val="uk-UA" w:eastAsia="en-US"/>
    </w:rPr>
  </w:style>
  <w:style w:type="character" w:customStyle="1" w:styleId="ac">
    <w:name w:val="Верхний колонтитул Знак"/>
    <w:link w:val="ab"/>
    <w:uiPriority w:val="99"/>
    <w:rsid w:val="001546D1"/>
    <w:rPr>
      <w:rFonts w:ascii="Calibri" w:eastAsia="Calibri" w:hAnsi="Calibri" w:cs="Times New Roman"/>
    </w:rPr>
  </w:style>
  <w:style w:type="paragraph" w:styleId="ad">
    <w:name w:val="footer"/>
    <w:basedOn w:val="a"/>
    <w:link w:val="ae"/>
    <w:uiPriority w:val="99"/>
    <w:unhideWhenUsed/>
    <w:rsid w:val="001546D1"/>
    <w:pPr>
      <w:tabs>
        <w:tab w:val="center" w:pos="4677"/>
        <w:tab w:val="right" w:pos="9355"/>
      </w:tabs>
      <w:spacing w:after="160" w:line="259" w:lineRule="auto"/>
    </w:pPr>
    <w:rPr>
      <w:rFonts w:ascii="Calibri" w:eastAsia="Calibri" w:hAnsi="Calibri"/>
      <w:sz w:val="22"/>
      <w:szCs w:val="22"/>
      <w:lang w:val="uk-UA" w:eastAsia="en-US"/>
    </w:rPr>
  </w:style>
  <w:style w:type="character" w:customStyle="1" w:styleId="ae">
    <w:name w:val="Нижний колонтитул Знак"/>
    <w:link w:val="ad"/>
    <w:uiPriority w:val="99"/>
    <w:rsid w:val="001546D1"/>
    <w:rPr>
      <w:rFonts w:ascii="Calibri" w:eastAsia="Calibri" w:hAnsi="Calibri" w:cs="Times New Roman"/>
    </w:rPr>
  </w:style>
  <w:style w:type="table" w:styleId="af">
    <w:name w:val="Table Grid"/>
    <w:basedOn w:val="a1"/>
    <w:uiPriority w:val="59"/>
    <w:rsid w:val="0070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translation">
    <w:name w:val="tlid-translation translation"/>
    <w:uiPriority w:val="99"/>
    <w:rsid w:val="00F3772D"/>
    <w:rPr>
      <w:rFonts w:cs="Times New Roman"/>
    </w:rPr>
  </w:style>
  <w:style w:type="character" w:customStyle="1" w:styleId="20">
    <w:name w:val="Заголовок 2 Знак"/>
    <w:link w:val="2"/>
    <w:uiPriority w:val="9"/>
    <w:rsid w:val="00435ABA"/>
    <w:rPr>
      <w:rFonts w:ascii="Cambria" w:eastAsia="Times New Roman" w:hAnsi="Cambria" w:cs="Times New Roman"/>
      <w:b/>
      <w:bCs/>
      <w:color w:val="4F81BD"/>
      <w:sz w:val="26"/>
      <w:szCs w:val="26"/>
      <w:lang w:val="ru-RU" w:eastAsia="ru-RU"/>
    </w:rPr>
  </w:style>
  <w:style w:type="paragraph" w:customStyle="1" w:styleId="Default">
    <w:name w:val="Default"/>
    <w:rsid w:val="00F860B6"/>
    <w:pPr>
      <w:autoSpaceDE w:val="0"/>
      <w:autoSpaceDN w:val="0"/>
      <w:adjustRightInd w:val="0"/>
    </w:pPr>
    <w:rPr>
      <w:rFonts w:cs="Calibri"/>
      <w:color w:val="000000"/>
      <w:sz w:val="24"/>
      <w:szCs w:val="24"/>
      <w:lang w:eastAsia="en-US"/>
    </w:rPr>
  </w:style>
  <w:style w:type="paragraph" w:styleId="af0">
    <w:name w:val="Body Text"/>
    <w:basedOn w:val="a"/>
    <w:link w:val="af1"/>
    <w:uiPriority w:val="99"/>
    <w:qFormat/>
    <w:rsid w:val="00F860B6"/>
    <w:pPr>
      <w:widowControl w:val="0"/>
      <w:autoSpaceDE w:val="0"/>
      <w:autoSpaceDN w:val="0"/>
      <w:ind w:left="112" w:firstLine="355"/>
      <w:jc w:val="both"/>
    </w:pPr>
    <w:rPr>
      <w:sz w:val="22"/>
      <w:szCs w:val="22"/>
      <w:lang w:eastAsia="en-US"/>
    </w:rPr>
  </w:style>
  <w:style w:type="character" w:customStyle="1" w:styleId="af1">
    <w:name w:val="Основной текст Знак"/>
    <w:link w:val="af0"/>
    <w:uiPriority w:val="99"/>
    <w:rsid w:val="00F860B6"/>
    <w:rPr>
      <w:rFonts w:ascii="Times New Roman" w:eastAsia="Times New Roman" w:hAnsi="Times New Roman" w:cs="Times New Roman"/>
      <w:lang w:val="ru-RU"/>
    </w:rPr>
  </w:style>
  <w:style w:type="character" w:customStyle="1" w:styleId="af2">
    <w:name w:val="Незакрита згадка"/>
    <w:uiPriority w:val="99"/>
    <w:semiHidden/>
    <w:unhideWhenUsed/>
    <w:rsid w:val="00F860B6"/>
    <w:rPr>
      <w:color w:val="605E5C"/>
      <w:shd w:val="clear" w:color="auto" w:fill="E1DFDD"/>
    </w:rPr>
  </w:style>
  <w:style w:type="character" w:customStyle="1" w:styleId="fontstyle31">
    <w:name w:val="fontstyle31"/>
    <w:rsid w:val="00D30369"/>
    <w:rPr>
      <w:rFonts w:ascii="Times New Roman" w:hAnsi="Times New Roman" w:cs="Times New Roman" w:hint="default"/>
      <w:b/>
      <w:bCs/>
      <w:i/>
      <w:iCs/>
      <w:color w:val="000000"/>
      <w:sz w:val="28"/>
      <w:szCs w:val="28"/>
    </w:rPr>
  </w:style>
  <w:style w:type="character" w:styleId="af3">
    <w:name w:val="page number"/>
    <w:basedOn w:val="a0"/>
    <w:rsid w:val="00612743"/>
  </w:style>
  <w:style w:type="character" w:customStyle="1" w:styleId="fontstyle11">
    <w:name w:val="fontstyle11"/>
    <w:rsid w:val="00831F98"/>
    <w:rPr>
      <w:rFonts w:ascii="Times New Roman" w:hAnsi="Times New Roman" w:cs="Times New Roman" w:hint="default"/>
      <w:b w:val="0"/>
      <w:bCs w:val="0"/>
      <w:i w:val="0"/>
      <w:iCs w:val="0"/>
      <w:color w:val="000000"/>
      <w:sz w:val="28"/>
      <w:szCs w:val="28"/>
    </w:rPr>
  </w:style>
  <w:style w:type="character" w:styleId="HTML1">
    <w:name w:val="HTML Cite"/>
    <w:uiPriority w:val="99"/>
    <w:semiHidden/>
    <w:unhideWhenUsed/>
    <w:rsid w:val="007C1D71"/>
    <w:rPr>
      <w:i/>
      <w:iCs/>
    </w:rPr>
  </w:style>
  <w:style w:type="character" w:customStyle="1" w:styleId="tlid-translation">
    <w:name w:val="tlid-translation"/>
    <w:basedOn w:val="a0"/>
    <w:rsid w:val="007C1D71"/>
  </w:style>
  <w:style w:type="character" w:customStyle="1" w:styleId="30">
    <w:name w:val="Заголовок 3 Знак"/>
    <w:link w:val="3"/>
    <w:uiPriority w:val="99"/>
    <w:rsid w:val="00FB13C4"/>
    <w:rPr>
      <w:rFonts w:ascii="Cambria" w:eastAsia="Times New Roman" w:hAnsi="Cambria" w:cs="Times New Roman"/>
      <w:b/>
      <w:bCs/>
      <w:color w:val="4F81BD"/>
      <w:sz w:val="22"/>
      <w:szCs w:val="22"/>
      <w:lang w:eastAsia="en-US"/>
    </w:rPr>
  </w:style>
  <w:style w:type="character" w:customStyle="1" w:styleId="title-text">
    <w:name w:val="title-text"/>
    <w:rsid w:val="00FB13C4"/>
  </w:style>
  <w:style w:type="character" w:customStyle="1" w:styleId="sr-only">
    <w:name w:val="sr-only"/>
    <w:rsid w:val="00FB13C4"/>
  </w:style>
  <w:style w:type="character" w:customStyle="1" w:styleId="text">
    <w:name w:val="text"/>
    <w:rsid w:val="00FB13C4"/>
  </w:style>
  <w:style w:type="character" w:customStyle="1" w:styleId="author-ref">
    <w:name w:val="author-ref"/>
    <w:rsid w:val="00FB13C4"/>
  </w:style>
  <w:style w:type="character" w:customStyle="1" w:styleId="apple-converted-space">
    <w:name w:val="apple-converted-space"/>
    <w:rsid w:val="00FB13C4"/>
  </w:style>
  <w:style w:type="paragraph" w:customStyle="1" w:styleId="xfmc1">
    <w:name w:val="xfmc1"/>
    <w:basedOn w:val="a"/>
    <w:rsid w:val="00FB13C4"/>
    <w:pPr>
      <w:spacing w:before="100" w:beforeAutospacing="1" w:after="100" w:afterAutospacing="1"/>
    </w:pPr>
  </w:style>
  <w:style w:type="paragraph" w:customStyle="1" w:styleId="bigtext">
    <w:name w:val="bigtext"/>
    <w:basedOn w:val="a"/>
    <w:rsid w:val="00FB13C4"/>
    <w:pPr>
      <w:spacing w:before="100" w:beforeAutospacing="1" w:after="100" w:afterAutospacing="1"/>
    </w:pPr>
    <w:rPr>
      <w:lang w:val="uk-UA" w:eastAsia="uk-UA"/>
    </w:rPr>
  </w:style>
  <w:style w:type="character" w:customStyle="1" w:styleId="period">
    <w:name w:val="period"/>
    <w:rsid w:val="00FB13C4"/>
  </w:style>
  <w:style w:type="character" w:customStyle="1" w:styleId="cit">
    <w:name w:val="cit"/>
    <w:rsid w:val="00FB13C4"/>
  </w:style>
  <w:style w:type="character" w:customStyle="1" w:styleId="citation-doi">
    <w:name w:val="citation-doi"/>
    <w:rsid w:val="00FB13C4"/>
  </w:style>
  <w:style w:type="character" w:customStyle="1" w:styleId="identifier">
    <w:name w:val="identifier"/>
    <w:rsid w:val="00FB13C4"/>
  </w:style>
  <w:style w:type="character" w:customStyle="1" w:styleId="id-label">
    <w:name w:val="id-label"/>
    <w:rsid w:val="00FB13C4"/>
  </w:style>
  <w:style w:type="character" w:customStyle="1" w:styleId="author-sup-separator">
    <w:name w:val="author-sup-separator"/>
    <w:rsid w:val="00FB13C4"/>
  </w:style>
  <w:style w:type="character" w:customStyle="1" w:styleId="docsum-authors">
    <w:name w:val="docsum-authors"/>
    <w:rsid w:val="00FB13C4"/>
  </w:style>
  <w:style w:type="character" w:customStyle="1" w:styleId="docsum-journal-citation">
    <w:name w:val="docsum-journal-citation"/>
    <w:rsid w:val="00FB13C4"/>
  </w:style>
  <w:style w:type="character" w:customStyle="1" w:styleId="citation-part">
    <w:name w:val="citation-part"/>
    <w:rsid w:val="00FB13C4"/>
  </w:style>
  <w:style w:type="character" w:customStyle="1" w:styleId="docsum-pmid">
    <w:name w:val="docsum-pmid"/>
    <w:rsid w:val="00FB13C4"/>
  </w:style>
  <w:style w:type="character" w:customStyle="1" w:styleId="free-resources">
    <w:name w:val="free-resources"/>
    <w:rsid w:val="00FB13C4"/>
  </w:style>
  <w:style w:type="character" w:customStyle="1" w:styleId="A10">
    <w:name w:val="A1"/>
    <w:uiPriority w:val="99"/>
    <w:rsid w:val="00FB13C4"/>
    <w:rPr>
      <w:rFonts w:cs="Minion Pro"/>
      <w:color w:val="000000"/>
      <w:sz w:val="22"/>
      <w:szCs w:val="22"/>
    </w:rPr>
  </w:style>
  <w:style w:type="character" w:customStyle="1" w:styleId="A100">
    <w:name w:val="A10"/>
    <w:uiPriority w:val="99"/>
    <w:rsid w:val="00FB13C4"/>
    <w:rPr>
      <w:b/>
      <w:bCs/>
      <w:i/>
      <w:iCs/>
      <w:color w:val="000000"/>
      <w:sz w:val="18"/>
      <w:szCs w:val="18"/>
    </w:rPr>
  </w:style>
  <w:style w:type="paragraph" w:styleId="af4">
    <w:name w:val="No Spacing"/>
    <w:uiPriority w:val="1"/>
    <w:qFormat/>
    <w:rsid w:val="00FB13C4"/>
    <w:rPr>
      <w:sz w:val="22"/>
      <w:szCs w:val="22"/>
      <w:lang w:eastAsia="en-US"/>
    </w:rPr>
  </w:style>
  <w:style w:type="paragraph" w:customStyle="1" w:styleId="msolistparagraph0">
    <w:name w:val="msolistparagraph"/>
    <w:basedOn w:val="a"/>
    <w:rsid w:val="005767BC"/>
    <w:pPr>
      <w:spacing w:before="100" w:beforeAutospacing="1" w:after="100" w:afterAutospacing="1"/>
    </w:pPr>
  </w:style>
  <w:style w:type="paragraph" w:customStyle="1" w:styleId="msolistparagraphcxspmiddle">
    <w:name w:val="msolistparagraphcxspmiddle"/>
    <w:basedOn w:val="a"/>
    <w:rsid w:val="005767BC"/>
    <w:pPr>
      <w:spacing w:before="100" w:beforeAutospacing="1" w:after="100" w:afterAutospacing="1"/>
    </w:pPr>
  </w:style>
  <w:style w:type="paragraph" w:styleId="af5">
    <w:name w:val="Title"/>
    <w:basedOn w:val="a"/>
    <w:next w:val="a"/>
    <w:link w:val="af6"/>
    <w:uiPriority w:val="10"/>
    <w:qFormat/>
    <w:rsid w:val="00F33E47"/>
    <w:pPr>
      <w:tabs>
        <w:tab w:val="left" w:pos="1276"/>
      </w:tabs>
      <w:spacing w:after="200" w:line="276" w:lineRule="auto"/>
      <w:jc w:val="center"/>
    </w:pPr>
    <w:rPr>
      <w:i/>
      <w:sz w:val="28"/>
      <w:szCs w:val="28"/>
    </w:rPr>
  </w:style>
  <w:style w:type="character" w:customStyle="1" w:styleId="af6">
    <w:name w:val="Название Знак"/>
    <w:link w:val="af5"/>
    <w:uiPriority w:val="10"/>
    <w:rsid w:val="00F33E47"/>
    <w:rPr>
      <w:rFonts w:ascii="Times New Roman" w:eastAsia="Times New Roman" w:hAnsi="Times New Roman"/>
      <w:i/>
      <w:sz w:val="28"/>
      <w:szCs w:val="28"/>
      <w:lang w:val="ru-RU" w:eastAsia="ru-RU"/>
    </w:rPr>
  </w:style>
  <w:style w:type="character" w:customStyle="1" w:styleId="free-label">
    <w:name w:val="free-label"/>
    <w:rsid w:val="00B02AFB"/>
  </w:style>
  <w:style w:type="character" w:customStyle="1" w:styleId="mw-headline">
    <w:name w:val="mw-headline"/>
    <w:rsid w:val="001E60DC"/>
  </w:style>
  <w:style w:type="character" w:customStyle="1" w:styleId="jlqj4b">
    <w:name w:val="jlqj4b"/>
    <w:rsid w:val="001E60DC"/>
  </w:style>
  <w:style w:type="character" w:customStyle="1" w:styleId="notranslate">
    <w:name w:val="notranslate"/>
    <w:rsid w:val="00A53869"/>
  </w:style>
  <w:style w:type="character" w:customStyle="1" w:styleId="isbn-label">
    <w:name w:val="isbn-label"/>
    <w:rsid w:val="00A53869"/>
  </w:style>
  <w:style w:type="character" w:customStyle="1" w:styleId="personname">
    <w:name w:val="person_name"/>
    <w:rsid w:val="00A53869"/>
  </w:style>
  <w:style w:type="character" w:customStyle="1" w:styleId="rvts9">
    <w:name w:val="rvts9"/>
    <w:rsid w:val="00A53869"/>
  </w:style>
  <w:style w:type="character" w:customStyle="1" w:styleId="rvts23">
    <w:name w:val="rvts23"/>
    <w:rsid w:val="00A53869"/>
  </w:style>
  <w:style w:type="character" w:styleId="af7">
    <w:name w:val="Placeholder Text"/>
    <w:basedOn w:val="a0"/>
    <w:uiPriority w:val="99"/>
    <w:semiHidden/>
    <w:rsid w:val="00066AFD"/>
    <w:rPr>
      <w:color w:val="808080"/>
    </w:rPr>
  </w:style>
  <w:style w:type="character" w:customStyle="1" w:styleId="mwe-math-mathml-inline">
    <w:name w:val="mwe-math-mathml-inline"/>
    <w:basedOn w:val="a0"/>
    <w:rsid w:val="00671012"/>
  </w:style>
  <w:style w:type="numbering" w:customStyle="1" w:styleId="12">
    <w:name w:val="Нет списка1"/>
    <w:next w:val="a2"/>
    <w:uiPriority w:val="99"/>
    <w:semiHidden/>
    <w:unhideWhenUsed/>
    <w:rsid w:val="009E0B65"/>
  </w:style>
  <w:style w:type="character" w:styleId="af8">
    <w:name w:val="annotation reference"/>
    <w:basedOn w:val="a0"/>
    <w:uiPriority w:val="99"/>
    <w:semiHidden/>
    <w:unhideWhenUsed/>
    <w:rsid w:val="009E0B65"/>
    <w:rPr>
      <w:sz w:val="16"/>
      <w:szCs w:val="16"/>
    </w:rPr>
  </w:style>
  <w:style w:type="paragraph" w:styleId="af9">
    <w:name w:val="annotation text"/>
    <w:basedOn w:val="a"/>
    <w:link w:val="afa"/>
    <w:uiPriority w:val="99"/>
    <w:unhideWhenUsed/>
    <w:rsid w:val="009E0B65"/>
    <w:pPr>
      <w:spacing w:after="200"/>
    </w:pPr>
    <w:rPr>
      <w:rFonts w:asciiTheme="minorHAnsi" w:eastAsiaTheme="minorHAnsi" w:hAnsiTheme="minorHAnsi" w:cstheme="minorBidi"/>
      <w:sz w:val="20"/>
      <w:szCs w:val="20"/>
      <w:lang w:val="uk-UA" w:eastAsia="en-US"/>
    </w:rPr>
  </w:style>
  <w:style w:type="character" w:customStyle="1" w:styleId="afa">
    <w:name w:val="Текст примечания Знак"/>
    <w:basedOn w:val="a0"/>
    <w:link w:val="af9"/>
    <w:uiPriority w:val="99"/>
    <w:rsid w:val="009E0B65"/>
    <w:rPr>
      <w:rFonts w:asciiTheme="minorHAnsi" w:eastAsiaTheme="minorHAnsi" w:hAnsiTheme="minorHAnsi" w:cstheme="minorBidi"/>
      <w:lang w:eastAsia="en-US"/>
    </w:rPr>
  </w:style>
  <w:style w:type="paragraph" w:styleId="afb">
    <w:name w:val="annotation subject"/>
    <w:basedOn w:val="af9"/>
    <w:next w:val="af9"/>
    <w:link w:val="afc"/>
    <w:uiPriority w:val="99"/>
    <w:semiHidden/>
    <w:unhideWhenUsed/>
    <w:rsid w:val="009E0B65"/>
    <w:rPr>
      <w:b/>
      <w:bCs/>
    </w:rPr>
  </w:style>
  <w:style w:type="character" w:customStyle="1" w:styleId="afc">
    <w:name w:val="Тема примечания Знак"/>
    <w:basedOn w:val="afa"/>
    <w:link w:val="afb"/>
    <w:uiPriority w:val="99"/>
    <w:semiHidden/>
    <w:rsid w:val="009E0B65"/>
    <w:rPr>
      <w:rFonts w:asciiTheme="minorHAnsi" w:eastAsiaTheme="minorHAnsi" w:hAnsiTheme="minorHAnsi" w:cstheme="minorBidi"/>
      <w:b/>
      <w:bCs/>
      <w:lang w:eastAsia="en-US"/>
    </w:rPr>
  </w:style>
  <w:style w:type="paragraph" w:styleId="21">
    <w:name w:val="Body Text 2"/>
    <w:basedOn w:val="a"/>
    <w:link w:val="22"/>
    <w:uiPriority w:val="99"/>
    <w:unhideWhenUsed/>
    <w:rsid w:val="00B03BC4"/>
    <w:pPr>
      <w:spacing w:after="120" w:line="480" w:lineRule="auto"/>
    </w:pPr>
  </w:style>
  <w:style w:type="character" w:customStyle="1" w:styleId="22">
    <w:name w:val="Основной текст 2 Знак"/>
    <w:basedOn w:val="a0"/>
    <w:link w:val="21"/>
    <w:uiPriority w:val="99"/>
    <w:rsid w:val="00B03BC4"/>
    <w:rPr>
      <w:rFonts w:ascii="Times New Roman" w:eastAsia="Times New Roman" w:hAnsi="Times New Roman"/>
      <w:sz w:val="24"/>
      <w:szCs w:val="24"/>
      <w:lang w:val="ru-RU" w:eastAsia="ru-RU"/>
    </w:rPr>
  </w:style>
  <w:style w:type="character" w:customStyle="1" w:styleId="50">
    <w:name w:val="Заголовок 5 Знак"/>
    <w:basedOn w:val="a0"/>
    <w:link w:val="5"/>
    <w:uiPriority w:val="99"/>
    <w:rsid w:val="009D6048"/>
    <w:rPr>
      <w:rFonts w:ascii="Calibri Light" w:hAnsi="Calibri Light"/>
      <w:color w:val="2F5496"/>
      <w:lang w:val="en-US"/>
    </w:rPr>
  </w:style>
  <w:style w:type="character" w:customStyle="1" w:styleId="docdata">
    <w:name w:val="docdata"/>
    <w:aliases w:val="docy,v5,2188,baiaagaaboqcaaadwgyaaaxqbgaaaaaaaaaaaaaaaaaaaaaaaaaaaaaaaaaaaaaaaaaaaaaaaaaaaaaaaaaaaaaaaaaaaaaaaaaaaaaaaaaaaaaaaaaaaaaaaaaaaaaaaaaaaaaaaaaaaaaaaaaaaaaaaaaaaaaaaaaaaaaaaaaaaaaaaaaaaaaaaaaaaaaaaaaaaaaaaaaaaaaaaaaaaaaaaaaaaaaaaaaaaaa"/>
    <w:uiPriority w:val="99"/>
    <w:rsid w:val="009D6048"/>
  </w:style>
  <w:style w:type="paragraph" w:customStyle="1" w:styleId="BodyA">
    <w:name w:val="Body A"/>
    <w:uiPriority w:val="99"/>
    <w:rsid w:val="009D6048"/>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eastAsia="Arial Unicode MS" w:hAnsi="Helvetica Neue" w:cs="Arial Unicode MS"/>
      <w:color w:val="000000"/>
      <w:sz w:val="22"/>
      <w:szCs w:val="22"/>
      <w:u w:color="000000"/>
      <w:lang w:val="en-US"/>
    </w:rPr>
  </w:style>
  <w:style w:type="character" w:customStyle="1" w:styleId="hiddenspellerror">
    <w:name w:val="hiddenspellerror"/>
    <w:uiPriority w:val="99"/>
    <w:rsid w:val="009D6048"/>
  </w:style>
  <w:style w:type="paragraph" w:customStyle="1" w:styleId="afd">
    <w:name w:val="Знак Знак Знак Знак"/>
    <w:basedOn w:val="a"/>
    <w:uiPriority w:val="99"/>
    <w:rsid w:val="009D6048"/>
    <w:rPr>
      <w:rFonts w:ascii="Verdana" w:hAnsi="Verdana"/>
      <w:lang w:val="en-US" w:eastAsia="en-US"/>
    </w:rPr>
  </w:style>
  <w:style w:type="paragraph" w:customStyle="1" w:styleId="13">
    <w:name w:val="Абзац списка1"/>
    <w:basedOn w:val="a"/>
    <w:rsid w:val="009D6048"/>
    <w:pPr>
      <w:ind w:left="720"/>
      <w:contextualSpacing/>
    </w:pPr>
    <w:rPr>
      <w:rFonts w:eastAsia="Calibri"/>
    </w:rPr>
  </w:style>
  <w:style w:type="character" w:customStyle="1" w:styleId="acopre">
    <w:name w:val="acopre"/>
    <w:basedOn w:val="a0"/>
    <w:rsid w:val="00802D16"/>
  </w:style>
  <w:style w:type="paragraph" w:customStyle="1" w:styleId="14">
    <w:name w:val="Обычный1"/>
    <w:rsid w:val="003842EE"/>
    <w:pPr>
      <w:widowControl w:val="0"/>
      <w:spacing w:line="300" w:lineRule="auto"/>
      <w:ind w:left="40" w:firstLine="820"/>
      <w:jc w:val="both"/>
    </w:pPr>
    <w:rPr>
      <w:rFonts w:ascii="Times New Roman" w:eastAsia="Times New Roman" w:hAnsi="Times New Roman"/>
      <w:snapToGrid w:val="0"/>
      <w:sz w:val="28"/>
      <w:lang w:val="ru-RU" w:eastAsia="ru-RU"/>
    </w:rPr>
  </w:style>
  <w:style w:type="paragraph" w:customStyle="1" w:styleId="Normal1">
    <w:name w:val="Normal1"/>
    <w:uiPriority w:val="99"/>
    <w:rsid w:val="008009FB"/>
    <w:pPr>
      <w:widowControl w:val="0"/>
      <w:spacing w:line="300" w:lineRule="auto"/>
      <w:ind w:left="40" w:firstLine="820"/>
      <w:jc w:val="both"/>
    </w:pPr>
    <w:rPr>
      <w:rFonts w:ascii="Times New Roman" w:eastAsia="Times New Roman" w:hAnsi="Times New Roman"/>
      <w:sz w:val="28"/>
      <w:lang w:val="ru-RU" w:eastAsia="ru-RU"/>
    </w:rPr>
  </w:style>
  <w:style w:type="character" w:customStyle="1" w:styleId="word">
    <w:name w:val="word"/>
    <w:basedOn w:val="a0"/>
    <w:rsid w:val="00AA78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169F"/>
    <w:rPr>
      <w:rFonts w:ascii="Times New Roman" w:eastAsia="Times New Roman" w:hAnsi="Times New Roman"/>
      <w:sz w:val="24"/>
      <w:szCs w:val="24"/>
      <w:lang w:val="ru-RU" w:eastAsia="ru-RU"/>
    </w:rPr>
  </w:style>
  <w:style w:type="paragraph" w:styleId="1">
    <w:name w:val="heading 1"/>
    <w:basedOn w:val="a"/>
    <w:link w:val="10"/>
    <w:uiPriority w:val="99"/>
    <w:qFormat/>
    <w:rsid w:val="001A4461"/>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435ABA"/>
    <w:pPr>
      <w:keepNext/>
      <w:keepLines/>
      <w:spacing w:before="200"/>
      <w:outlineLvl w:val="1"/>
    </w:pPr>
    <w:rPr>
      <w:rFonts w:ascii="Cambria" w:hAnsi="Cambria"/>
      <w:b/>
      <w:bCs/>
      <w:color w:val="4F81BD"/>
      <w:sz w:val="26"/>
      <w:szCs w:val="26"/>
    </w:rPr>
  </w:style>
  <w:style w:type="paragraph" w:styleId="3">
    <w:name w:val="heading 3"/>
    <w:basedOn w:val="a"/>
    <w:next w:val="a"/>
    <w:link w:val="30"/>
    <w:uiPriority w:val="99"/>
    <w:unhideWhenUsed/>
    <w:qFormat/>
    <w:rsid w:val="00FB13C4"/>
    <w:pPr>
      <w:keepNext/>
      <w:keepLines/>
      <w:spacing w:before="200" w:line="276" w:lineRule="auto"/>
      <w:outlineLvl w:val="2"/>
    </w:pPr>
    <w:rPr>
      <w:rFonts w:ascii="Cambria" w:hAnsi="Cambria"/>
      <w:b/>
      <w:bCs/>
      <w:color w:val="4F81BD"/>
      <w:sz w:val="22"/>
      <w:szCs w:val="22"/>
      <w:lang w:val="uk-UA" w:eastAsia="en-US"/>
    </w:rPr>
  </w:style>
  <w:style w:type="paragraph" w:styleId="5">
    <w:name w:val="heading 5"/>
    <w:basedOn w:val="a"/>
    <w:next w:val="a"/>
    <w:link w:val="50"/>
    <w:uiPriority w:val="99"/>
    <w:qFormat/>
    <w:rsid w:val="009D6048"/>
    <w:pPr>
      <w:keepNext/>
      <w:keepLines/>
      <w:spacing w:before="40" w:line="276" w:lineRule="auto"/>
      <w:outlineLvl w:val="4"/>
    </w:pPr>
    <w:rPr>
      <w:rFonts w:ascii="Calibri Light" w:eastAsia="Calibri" w:hAnsi="Calibri Light"/>
      <w:color w:val="2F5496"/>
      <w:sz w:val="20"/>
      <w:szCs w:val="20"/>
      <w:lang w:val="en-US"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7BD4"/>
    <w:pPr>
      <w:ind w:left="720"/>
      <w:contextualSpacing/>
    </w:pPr>
  </w:style>
  <w:style w:type="character" w:styleId="a4">
    <w:name w:val="Strong"/>
    <w:uiPriority w:val="22"/>
    <w:qFormat/>
    <w:rsid w:val="0033629C"/>
    <w:rPr>
      <w:b/>
      <w:bCs/>
    </w:rPr>
  </w:style>
  <w:style w:type="character" w:customStyle="1" w:styleId="shorttext">
    <w:name w:val="short_text"/>
    <w:uiPriority w:val="99"/>
    <w:rsid w:val="0033629C"/>
  </w:style>
  <w:style w:type="character" w:customStyle="1" w:styleId="fontstyle21">
    <w:name w:val="fontstyle21"/>
    <w:rsid w:val="0033629C"/>
    <w:rPr>
      <w:rFonts w:ascii="TimesNewRoman" w:hAnsi="TimesNewRoman" w:hint="default"/>
      <w:b/>
      <w:bCs/>
      <w:i w:val="0"/>
      <w:iCs w:val="0"/>
      <w:color w:val="000000"/>
      <w:sz w:val="20"/>
      <w:szCs w:val="20"/>
    </w:rPr>
  </w:style>
  <w:style w:type="character" w:customStyle="1" w:styleId="fontstyle01">
    <w:name w:val="fontstyle01"/>
    <w:rsid w:val="0033629C"/>
    <w:rPr>
      <w:rFonts w:ascii="Bold" w:hAnsi="Bold" w:hint="default"/>
      <w:b/>
      <w:bCs/>
      <w:i w:val="0"/>
      <w:iCs w:val="0"/>
      <w:color w:val="000000"/>
      <w:sz w:val="20"/>
      <w:szCs w:val="20"/>
    </w:rPr>
  </w:style>
  <w:style w:type="paragraph" w:styleId="a5">
    <w:name w:val="Normal (Web)"/>
    <w:aliases w:val="webb,Обычный (Web)"/>
    <w:basedOn w:val="a"/>
    <w:uiPriority w:val="99"/>
    <w:unhideWhenUsed/>
    <w:rsid w:val="0033629C"/>
    <w:pPr>
      <w:spacing w:before="100" w:beforeAutospacing="1" w:after="100" w:afterAutospacing="1"/>
    </w:pPr>
    <w:rPr>
      <w:lang w:val="en-US" w:eastAsia="en-US"/>
    </w:rPr>
  </w:style>
  <w:style w:type="character" w:customStyle="1" w:styleId="hps">
    <w:name w:val="hps"/>
    <w:uiPriority w:val="99"/>
    <w:rsid w:val="0033629C"/>
  </w:style>
  <w:style w:type="character" w:customStyle="1" w:styleId="highlight">
    <w:name w:val="highlight"/>
    <w:rsid w:val="0033629C"/>
  </w:style>
  <w:style w:type="paragraph" w:styleId="a6">
    <w:name w:val="Balloon Text"/>
    <w:basedOn w:val="a"/>
    <w:link w:val="a7"/>
    <w:uiPriority w:val="99"/>
    <w:semiHidden/>
    <w:unhideWhenUsed/>
    <w:rsid w:val="0033629C"/>
    <w:rPr>
      <w:rFonts w:ascii="Tahoma" w:hAnsi="Tahoma" w:cs="Tahoma"/>
      <w:sz w:val="16"/>
      <w:szCs w:val="16"/>
    </w:rPr>
  </w:style>
  <w:style w:type="character" w:customStyle="1" w:styleId="a7">
    <w:name w:val="Текст выноски Знак"/>
    <w:link w:val="a6"/>
    <w:uiPriority w:val="99"/>
    <w:semiHidden/>
    <w:rsid w:val="0033629C"/>
    <w:rPr>
      <w:rFonts w:ascii="Tahoma" w:eastAsia="Times New Roman" w:hAnsi="Tahoma" w:cs="Tahoma"/>
      <w:sz w:val="16"/>
      <w:szCs w:val="16"/>
      <w:lang w:val="ru-RU" w:eastAsia="ru-RU"/>
    </w:rPr>
  </w:style>
  <w:style w:type="character" w:customStyle="1" w:styleId="authors">
    <w:name w:val="authors"/>
    <w:rsid w:val="0033629C"/>
  </w:style>
  <w:style w:type="paragraph" w:styleId="HTML">
    <w:name w:val="HTML Preformatted"/>
    <w:basedOn w:val="a"/>
    <w:link w:val="HTML0"/>
    <w:uiPriority w:val="99"/>
    <w:unhideWhenUsed/>
    <w:rsid w:val="003362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33629C"/>
    <w:rPr>
      <w:rFonts w:ascii="Courier New" w:eastAsia="Times New Roman" w:hAnsi="Courier New" w:cs="Courier New"/>
      <w:sz w:val="20"/>
      <w:szCs w:val="20"/>
      <w:lang w:val="ru-RU" w:eastAsia="ru-RU"/>
    </w:rPr>
  </w:style>
  <w:style w:type="character" w:styleId="a8">
    <w:name w:val="Hyperlink"/>
    <w:uiPriority w:val="99"/>
    <w:unhideWhenUsed/>
    <w:rsid w:val="0033629C"/>
    <w:rPr>
      <w:color w:val="0000FF"/>
      <w:u w:val="single"/>
    </w:rPr>
  </w:style>
  <w:style w:type="character" w:customStyle="1" w:styleId="10">
    <w:name w:val="Заголовок 1 Знак"/>
    <w:link w:val="1"/>
    <w:uiPriority w:val="99"/>
    <w:rsid w:val="001A4461"/>
    <w:rPr>
      <w:rFonts w:ascii="Times New Roman" w:eastAsia="Times New Roman" w:hAnsi="Times New Roman" w:cs="Times New Roman"/>
      <w:b/>
      <w:bCs/>
      <w:kern w:val="36"/>
      <w:sz w:val="48"/>
      <w:szCs w:val="48"/>
      <w:lang w:val="ru-RU" w:eastAsia="ru-RU"/>
    </w:rPr>
  </w:style>
  <w:style w:type="character" w:customStyle="1" w:styleId="authors-list-item">
    <w:name w:val="authors-list-item"/>
    <w:basedOn w:val="a0"/>
    <w:rsid w:val="00DA0A32"/>
  </w:style>
  <w:style w:type="character" w:customStyle="1" w:styleId="comma">
    <w:name w:val="comma"/>
    <w:basedOn w:val="a0"/>
    <w:rsid w:val="00DA0A32"/>
  </w:style>
  <w:style w:type="character" w:customStyle="1" w:styleId="secondary-date">
    <w:name w:val="secondary-date"/>
    <w:basedOn w:val="a0"/>
    <w:rsid w:val="00DA0A32"/>
  </w:style>
  <w:style w:type="character" w:customStyle="1" w:styleId="UnresolvedMention">
    <w:name w:val="Unresolved Mention"/>
    <w:uiPriority w:val="99"/>
    <w:semiHidden/>
    <w:unhideWhenUsed/>
    <w:rsid w:val="001546D1"/>
    <w:rPr>
      <w:color w:val="605E5C"/>
      <w:shd w:val="clear" w:color="auto" w:fill="E1DFDD"/>
    </w:rPr>
  </w:style>
  <w:style w:type="character" w:styleId="a9">
    <w:name w:val="FollowedHyperlink"/>
    <w:uiPriority w:val="99"/>
    <w:semiHidden/>
    <w:unhideWhenUsed/>
    <w:rsid w:val="001546D1"/>
    <w:rPr>
      <w:color w:val="800080"/>
      <w:u w:val="single"/>
    </w:rPr>
  </w:style>
  <w:style w:type="paragraph" w:customStyle="1" w:styleId="xl67">
    <w:name w:val="xl67"/>
    <w:basedOn w:val="a"/>
    <w:rsid w:val="001546D1"/>
    <w:pPr>
      <w:spacing w:before="100" w:beforeAutospacing="1" w:after="100" w:afterAutospacing="1"/>
      <w:jc w:val="center"/>
      <w:textAlignment w:val="top"/>
    </w:pPr>
    <w:rPr>
      <w:rFonts w:ascii="Arial" w:hAnsi="Arial" w:cs="Arial"/>
      <w:color w:val="000000"/>
      <w:sz w:val="20"/>
      <w:szCs w:val="20"/>
    </w:rPr>
  </w:style>
  <w:style w:type="paragraph" w:customStyle="1" w:styleId="xl68">
    <w:name w:val="xl68"/>
    <w:basedOn w:val="a"/>
    <w:rsid w:val="001546D1"/>
    <w:pPr>
      <w:spacing w:before="100" w:beforeAutospacing="1" w:after="100" w:afterAutospacing="1"/>
      <w:jc w:val="right"/>
      <w:textAlignment w:val="center"/>
    </w:pPr>
    <w:rPr>
      <w:rFonts w:ascii="Arial" w:hAnsi="Arial" w:cs="Arial"/>
      <w:color w:val="000000"/>
      <w:sz w:val="20"/>
      <w:szCs w:val="20"/>
    </w:rPr>
  </w:style>
  <w:style w:type="paragraph" w:customStyle="1" w:styleId="xl69">
    <w:name w:val="xl69"/>
    <w:basedOn w:val="a"/>
    <w:rsid w:val="001546D1"/>
    <w:pPr>
      <w:pBdr>
        <w:bottom w:val="single" w:sz="8" w:space="0" w:color="auto"/>
      </w:pBdr>
      <w:spacing w:before="100" w:beforeAutospacing="1" w:after="100" w:afterAutospacing="1"/>
    </w:pPr>
  </w:style>
  <w:style w:type="paragraph" w:customStyle="1" w:styleId="xl70">
    <w:name w:val="xl70"/>
    <w:basedOn w:val="a"/>
    <w:rsid w:val="001546D1"/>
    <w:pPr>
      <w:spacing w:before="100" w:beforeAutospacing="1" w:after="100" w:afterAutospacing="1"/>
      <w:textAlignment w:val="center"/>
    </w:pPr>
    <w:rPr>
      <w:rFonts w:ascii="Arial" w:hAnsi="Arial" w:cs="Arial"/>
      <w:color w:val="000000"/>
      <w:sz w:val="20"/>
      <w:szCs w:val="20"/>
    </w:rPr>
  </w:style>
  <w:style w:type="paragraph" w:customStyle="1" w:styleId="xl71">
    <w:name w:val="xl71"/>
    <w:basedOn w:val="a"/>
    <w:rsid w:val="001546D1"/>
    <w:pPr>
      <w:spacing w:before="100" w:beforeAutospacing="1" w:after="100" w:afterAutospacing="1"/>
      <w:jc w:val="right"/>
      <w:textAlignment w:val="center"/>
    </w:pPr>
    <w:rPr>
      <w:rFonts w:ascii="Arial" w:hAnsi="Arial" w:cs="Arial"/>
      <w:color w:val="000000"/>
      <w:sz w:val="20"/>
      <w:szCs w:val="20"/>
    </w:rPr>
  </w:style>
  <w:style w:type="paragraph" w:customStyle="1" w:styleId="xl72">
    <w:name w:val="xl72"/>
    <w:basedOn w:val="a"/>
    <w:rsid w:val="001546D1"/>
    <w:pPr>
      <w:spacing w:before="100" w:beforeAutospacing="1" w:after="100" w:afterAutospacing="1"/>
      <w:jc w:val="right"/>
      <w:textAlignment w:val="center"/>
    </w:pPr>
    <w:rPr>
      <w:rFonts w:ascii="Arial" w:hAnsi="Arial" w:cs="Arial"/>
      <w:color w:val="000000"/>
      <w:sz w:val="20"/>
      <w:szCs w:val="20"/>
    </w:rPr>
  </w:style>
  <w:style w:type="paragraph" w:customStyle="1" w:styleId="xl73">
    <w:name w:val="xl73"/>
    <w:basedOn w:val="a"/>
    <w:rsid w:val="001546D1"/>
    <w:pPr>
      <w:spacing w:before="100" w:beforeAutospacing="1" w:after="100" w:afterAutospacing="1"/>
    </w:pPr>
    <w:rPr>
      <w:rFonts w:ascii="Arial" w:hAnsi="Arial" w:cs="Arial"/>
      <w:color w:val="000000"/>
      <w:sz w:val="20"/>
      <w:szCs w:val="20"/>
    </w:rPr>
  </w:style>
  <w:style w:type="paragraph" w:customStyle="1" w:styleId="xl74">
    <w:name w:val="xl74"/>
    <w:basedOn w:val="a"/>
    <w:rsid w:val="001546D1"/>
    <w:pPr>
      <w:spacing w:before="100" w:beforeAutospacing="1" w:after="100" w:afterAutospacing="1"/>
    </w:pPr>
    <w:rPr>
      <w:rFonts w:ascii="Arial" w:hAnsi="Arial" w:cs="Arial"/>
      <w:sz w:val="20"/>
      <w:szCs w:val="20"/>
    </w:rPr>
  </w:style>
  <w:style w:type="paragraph" w:customStyle="1" w:styleId="xl75">
    <w:name w:val="xl75"/>
    <w:basedOn w:val="a"/>
    <w:rsid w:val="001546D1"/>
    <w:pPr>
      <w:spacing w:before="100" w:beforeAutospacing="1" w:after="100" w:afterAutospacing="1"/>
      <w:textAlignment w:val="top"/>
    </w:pPr>
    <w:rPr>
      <w:rFonts w:ascii="Arial" w:hAnsi="Arial" w:cs="Arial"/>
      <w:color w:val="000000"/>
      <w:sz w:val="20"/>
      <w:szCs w:val="20"/>
    </w:rPr>
  </w:style>
  <w:style w:type="character" w:customStyle="1" w:styleId="11">
    <w:name w:val="Дата1"/>
    <w:basedOn w:val="a0"/>
    <w:rsid w:val="001546D1"/>
  </w:style>
  <w:style w:type="character" w:customStyle="1" w:styleId="arttitle">
    <w:name w:val="art_title"/>
    <w:basedOn w:val="a0"/>
    <w:rsid w:val="001546D1"/>
  </w:style>
  <w:style w:type="character" w:customStyle="1" w:styleId="serialtitle">
    <w:name w:val="serial_title"/>
    <w:basedOn w:val="a0"/>
    <w:rsid w:val="001546D1"/>
  </w:style>
  <w:style w:type="character" w:customStyle="1" w:styleId="volumeissue">
    <w:name w:val="volume_issue"/>
    <w:basedOn w:val="a0"/>
    <w:rsid w:val="001546D1"/>
  </w:style>
  <w:style w:type="character" w:customStyle="1" w:styleId="pagerange">
    <w:name w:val="page_range"/>
    <w:basedOn w:val="a0"/>
    <w:rsid w:val="001546D1"/>
  </w:style>
  <w:style w:type="character" w:customStyle="1" w:styleId="doilink">
    <w:name w:val="doi_link"/>
    <w:basedOn w:val="a0"/>
    <w:rsid w:val="001546D1"/>
  </w:style>
  <w:style w:type="character" w:customStyle="1" w:styleId="ref-journal">
    <w:name w:val="ref-journal"/>
    <w:basedOn w:val="a0"/>
    <w:rsid w:val="001546D1"/>
  </w:style>
  <w:style w:type="character" w:customStyle="1" w:styleId="ref-vol">
    <w:name w:val="ref-vol"/>
    <w:basedOn w:val="a0"/>
    <w:rsid w:val="001546D1"/>
  </w:style>
  <w:style w:type="character" w:customStyle="1" w:styleId="ref-title">
    <w:name w:val="ref-title"/>
    <w:basedOn w:val="a0"/>
    <w:rsid w:val="001546D1"/>
  </w:style>
  <w:style w:type="character" w:styleId="aa">
    <w:name w:val="Emphasis"/>
    <w:uiPriority w:val="20"/>
    <w:qFormat/>
    <w:rsid w:val="001546D1"/>
    <w:rPr>
      <w:i/>
      <w:iCs/>
    </w:rPr>
  </w:style>
  <w:style w:type="character" w:customStyle="1" w:styleId="ref-iss">
    <w:name w:val="ref-iss"/>
    <w:basedOn w:val="a0"/>
    <w:rsid w:val="001546D1"/>
  </w:style>
  <w:style w:type="paragraph" w:customStyle="1" w:styleId="p">
    <w:name w:val="p"/>
    <w:basedOn w:val="a"/>
    <w:rsid w:val="001546D1"/>
    <w:pPr>
      <w:spacing w:before="100" w:beforeAutospacing="1" w:after="100" w:afterAutospacing="1"/>
    </w:pPr>
  </w:style>
  <w:style w:type="character" w:customStyle="1" w:styleId="hlfld-contribauthor">
    <w:name w:val="hlfld-contribauthor"/>
    <w:basedOn w:val="a0"/>
    <w:rsid w:val="001546D1"/>
  </w:style>
  <w:style w:type="character" w:customStyle="1" w:styleId="nlmgiven-names">
    <w:name w:val="nlm_given-names"/>
    <w:basedOn w:val="a0"/>
    <w:rsid w:val="001546D1"/>
  </w:style>
  <w:style w:type="character" w:customStyle="1" w:styleId="nlmyear">
    <w:name w:val="nlm_year"/>
    <w:basedOn w:val="a0"/>
    <w:rsid w:val="001546D1"/>
  </w:style>
  <w:style w:type="character" w:customStyle="1" w:styleId="nlmarticle-title">
    <w:name w:val="nlm_article-title"/>
    <w:basedOn w:val="a0"/>
    <w:rsid w:val="001546D1"/>
  </w:style>
  <w:style w:type="character" w:customStyle="1" w:styleId="nlmfpage">
    <w:name w:val="nlm_fpage"/>
    <w:basedOn w:val="a0"/>
    <w:rsid w:val="001546D1"/>
  </w:style>
  <w:style w:type="character" w:customStyle="1" w:styleId="nlmlpage">
    <w:name w:val="nlm_lpage"/>
    <w:basedOn w:val="a0"/>
    <w:rsid w:val="001546D1"/>
  </w:style>
  <w:style w:type="character" w:customStyle="1" w:styleId="nlmpub-id">
    <w:name w:val="nlm_pub-id"/>
    <w:basedOn w:val="a0"/>
    <w:rsid w:val="001546D1"/>
  </w:style>
  <w:style w:type="character" w:customStyle="1" w:styleId="element-citation">
    <w:name w:val="element-citation"/>
    <w:basedOn w:val="a0"/>
    <w:rsid w:val="001546D1"/>
  </w:style>
  <w:style w:type="character" w:customStyle="1" w:styleId="nowrap">
    <w:name w:val="nowrap"/>
    <w:basedOn w:val="a0"/>
    <w:rsid w:val="001546D1"/>
  </w:style>
  <w:style w:type="paragraph" w:styleId="ab">
    <w:name w:val="header"/>
    <w:basedOn w:val="a"/>
    <w:link w:val="ac"/>
    <w:uiPriority w:val="99"/>
    <w:unhideWhenUsed/>
    <w:rsid w:val="001546D1"/>
    <w:pPr>
      <w:tabs>
        <w:tab w:val="center" w:pos="4677"/>
        <w:tab w:val="right" w:pos="9355"/>
      </w:tabs>
      <w:spacing w:after="160" w:line="259" w:lineRule="auto"/>
    </w:pPr>
    <w:rPr>
      <w:rFonts w:ascii="Calibri" w:eastAsia="Calibri" w:hAnsi="Calibri"/>
      <w:sz w:val="22"/>
      <w:szCs w:val="22"/>
      <w:lang w:val="uk-UA" w:eastAsia="en-US"/>
    </w:rPr>
  </w:style>
  <w:style w:type="character" w:customStyle="1" w:styleId="ac">
    <w:name w:val="Верхний колонтитул Знак"/>
    <w:link w:val="ab"/>
    <w:uiPriority w:val="99"/>
    <w:rsid w:val="001546D1"/>
    <w:rPr>
      <w:rFonts w:ascii="Calibri" w:eastAsia="Calibri" w:hAnsi="Calibri" w:cs="Times New Roman"/>
    </w:rPr>
  </w:style>
  <w:style w:type="paragraph" w:styleId="ad">
    <w:name w:val="footer"/>
    <w:basedOn w:val="a"/>
    <w:link w:val="ae"/>
    <w:uiPriority w:val="99"/>
    <w:unhideWhenUsed/>
    <w:rsid w:val="001546D1"/>
    <w:pPr>
      <w:tabs>
        <w:tab w:val="center" w:pos="4677"/>
        <w:tab w:val="right" w:pos="9355"/>
      </w:tabs>
      <w:spacing w:after="160" w:line="259" w:lineRule="auto"/>
    </w:pPr>
    <w:rPr>
      <w:rFonts w:ascii="Calibri" w:eastAsia="Calibri" w:hAnsi="Calibri"/>
      <w:sz w:val="22"/>
      <w:szCs w:val="22"/>
      <w:lang w:val="uk-UA" w:eastAsia="en-US"/>
    </w:rPr>
  </w:style>
  <w:style w:type="character" w:customStyle="1" w:styleId="ae">
    <w:name w:val="Нижний колонтитул Знак"/>
    <w:link w:val="ad"/>
    <w:uiPriority w:val="99"/>
    <w:rsid w:val="001546D1"/>
    <w:rPr>
      <w:rFonts w:ascii="Calibri" w:eastAsia="Calibri" w:hAnsi="Calibri" w:cs="Times New Roman"/>
    </w:rPr>
  </w:style>
  <w:style w:type="table" w:styleId="af">
    <w:name w:val="Table Grid"/>
    <w:basedOn w:val="a1"/>
    <w:uiPriority w:val="59"/>
    <w:rsid w:val="0070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translation">
    <w:name w:val="tlid-translation translation"/>
    <w:uiPriority w:val="99"/>
    <w:rsid w:val="00F3772D"/>
    <w:rPr>
      <w:rFonts w:cs="Times New Roman"/>
    </w:rPr>
  </w:style>
  <w:style w:type="character" w:customStyle="1" w:styleId="20">
    <w:name w:val="Заголовок 2 Знак"/>
    <w:link w:val="2"/>
    <w:uiPriority w:val="9"/>
    <w:rsid w:val="00435ABA"/>
    <w:rPr>
      <w:rFonts w:ascii="Cambria" w:eastAsia="Times New Roman" w:hAnsi="Cambria" w:cs="Times New Roman"/>
      <w:b/>
      <w:bCs/>
      <w:color w:val="4F81BD"/>
      <w:sz w:val="26"/>
      <w:szCs w:val="26"/>
      <w:lang w:val="ru-RU" w:eastAsia="ru-RU"/>
    </w:rPr>
  </w:style>
  <w:style w:type="paragraph" w:customStyle="1" w:styleId="Default">
    <w:name w:val="Default"/>
    <w:rsid w:val="00F860B6"/>
    <w:pPr>
      <w:autoSpaceDE w:val="0"/>
      <w:autoSpaceDN w:val="0"/>
      <w:adjustRightInd w:val="0"/>
    </w:pPr>
    <w:rPr>
      <w:rFonts w:cs="Calibri"/>
      <w:color w:val="000000"/>
      <w:sz w:val="24"/>
      <w:szCs w:val="24"/>
      <w:lang w:eastAsia="en-US"/>
    </w:rPr>
  </w:style>
  <w:style w:type="paragraph" w:styleId="af0">
    <w:name w:val="Body Text"/>
    <w:basedOn w:val="a"/>
    <w:link w:val="af1"/>
    <w:uiPriority w:val="99"/>
    <w:qFormat/>
    <w:rsid w:val="00F860B6"/>
    <w:pPr>
      <w:widowControl w:val="0"/>
      <w:autoSpaceDE w:val="0"/>
      <w:autoSpaceDN w:val="0"/>
      <w:ind w:left="112" w:firstLine="355"/>
      <w:jc w:val="both"/>
    </w:pPr>
    <w:rPr>
      <w:sz w:val="22"/>
      <w:szCs w:val="22"/>
      <w:lang w:eastAsia="en-US"/>
    </w:rPr>
  </w:style>
  <w:style w:type="character" w:customStyle="1" w:styleId="af1">
    <w:name w:val="Основной текст Знак"/>
    <w:link w:val="af0"/>
    <w:uiPriority w:val="99"/>
    <w:rsid w:val="00F860B6"/>
    <w:rPr>
      <w:rFonts w:ascii="Times New Roman" w:eastAsia="Times New Roman" w:hAnsi="Times New Roman" w:cs="Times New Roman"/>
      <w:lang w:val="ru-RU"/>
    </w:rPr>
  </w:style>
  <w:style w:type="character" w:customStyle="1" w:styleId="af2">
    <w:name w:val="Незакрита згадка"/>
    <w:uiPriority w:val="99"/>
    <w:semiHidden/>
    <w:unhideWhenUsed/>
    <w:rsid w:val="00F860B6"/>
    <w:rPr>
      <w:color w:val="605E5C"/>
      <w:shd w:val="clear" w:color="auto" w:fill="E1DFDD"/>
    </w:rPr>
  </w:style>
  <w:style w:type="character" w:customStyle="1" w:styleId="fontstyle31">
    <w:name w:val="fontstyle31"/>
    <w:rsid w:val="00D30369"/>
    <w:rPr>
      <w:rFonts w:ascii="Times New Roman" w:hAnsi="Times New Roman" w:cs="Times New Roman" w:hint="default"/>
      <w:b/>
      <w:bCs/>
      <w:i/>
      <w:iCs/>
      <w:color w:val="000000"/>
      <w:sz w:val="28"/>
      <w:szCs w:val="28"/>
    </w:rPr>
  </w:style>
  <w:style w:type="character" w:styleId="af3">
    <w:name w:val="page number"/>
    <w:basedOn w:val="a0"/>
    <w:rsid w:val="00612743"/>
  </w:style>
  <w:style w:type="character" w:customStyle="1" w:styleId="fontstyle11">
    <w:name w:val="fontstyle11"/>
    <w:rsid w:val="00831F98"/>
    <w:rPr>
      <w:rFonts w:ascii="Times New Roman" w:hAnsi="Times New Roman" w:cs="Times New Roman" w:hint="default"/>
      <w:b w:val="0"/>
      <w:bCs w:val="0"/>
      <w:i w:val="0"/>
      <w:iCs w:val="0"/>
      <w:color w:val="000000"/>
      <w:sz w:val="28"/>
      <w:szCs w:val="28"/>
    </w:rPr>
  </w:style>
  <w:style w:type="character" w:styleId="HTML1">
    <w:name w:val="HTML Cite"/>
    <w:uiPriority w:val="99"/>
    <w:semiHidden/>
    <w:unhideWhenUsed/>
    <w:rsid w:val="007C1D71"/>
    <w:rPr>
      <w:i/>
      <w:iCs/>
    </w:rPr>
  </w:style>
  <w:style w:type="character" w:customStyle="1" w:styleId="tlid-translation">
    <w:name w:val="tlid-translation"/>
    <w:basedOn w:val="a0"/>
    <w:rsid w:val="007C1D71"/>
  </w:style>
  <w:style w:type="character" w:customStyle="1" w:styleId="30">
    <w:name w:val="Заголовок 3 Знак"/>
    <w:link w:val="3"/>
    <w:uiPriority w:val="99"/>
    <w:rsid w:val="00FB13C4"/>
    <w:rPr>
      <w:rFonts w:ascii="Cambria" w:eastAsia="Times New Roman" w:hAnsi="Cambria" w:cs="Times New Roman"/>
      <w:b/>
      <w:bCs/>
      <w:color w:val="4F81BD"/>
      <w:sz w:val="22"/>
      <w:szCs w:val="22"/>
      <w:lang w:eastAsia="en-US"/>
    </w:rPr>
  </w:style>
  <w:style w:type="character" w:customStyle="1" w:styleId="title-text">
    <w:name w:val="title-text"/>
    <w:rsid w:val="00FB13C4"/>
  </w:style>
  <w:style w:type="character" w:customStyle="1" w:styleId="sr-only">
    <w:name w:val="sr-only"/>
    <w:rsid w:val="00FB13C4"/>
  </w:style>
  <w:style w:type="character" w:customStyle="1" w:styleId="text">
    <w:name w:val="text"/>
    <w:rsid w:val="00FB13C4"/>
  </w:style>
  <w:style w:type="character" w:customStyle="1" w:styleId="author-ref">
    <w:name w:val="author-ref"/>
    <w:rsid w:val="00FB13C4"/>
  </w:style>
  <w:style w:type="character" w:customStyle="1" w:styleId="apple-converted-space">
    <w:name w:val="apple-converted-space"/>
    <w:rsid w:val="00FB13C4"/>
  </w:style>
  <w:style w:type="paragraph" w:customStyle="1" w:styleId="xfmc1">
    <w:name w:val="xfmc1"/>
    <w:basedOn w:val="a"/>
    <w:rsid w:val="00FB13C4"/>
    <w:pPr>
      <w:spacing w:before="100" w:beforeAutospacing="1" w:after="100" w:afterAutospacing="1"/>
    </w:pPr>
  </w:style>
  <w:style w:type="paragraph" w:customStyle="1" w:styleId="bigtext">
    <w:name w:val="bigtext"/>
    <w:basedOn w:val="a"/>
    <w:rsid w:val="00FB13C4"/>
    <w:pPr>
      <w:spacing w:before="100" w:beforeAutospacing="1" w:after="100" w:afterAutospacing="1"/>
    </w:pPr>
    <w:rPr>
      <w:lang w:val="uk-UA" w:eastAsia="uk-UA"/>
    </w:rPr>
  </w:style>
  <w:style w:type="character" w:customStyle="1" w:styleId="period">
    <w:name w:val="period"/>
    <w:rsid w:val="00FB13C4"/>
  </w:style>
  <w:style w:type="character" w:customStyle="1" w:styleId="cit">
    <w:name w:val="cit"/>
    <w:rsid w:val="00FB13C4"/>
  </w:style>
  <w:style w:type="character" w:customStyle="1" w:styleId="citation-doi">
    <w:name w:val="citation-doi"/>
    <w:rsid w:val="00FB13C4"/>
  </w:style>
  <w:style w:type="character" w:customStyle="1" w:styleId="identifier">
    <w:name w:val="identifier"/>
    <w:rsid w:val="00FB13C4"/>
  </w:style>
  <w:style w:type="character" w:customStyle="1" w:styleId="id-label">
    <w:name w:val="id-label"/>
    <w:rsid w:val="00FB13C4"/>
  </w:style>
  <w:style w:type="character" w:customStyle="1" w:styleId="author-sup-separator">
    <w:name w:val="author-sup-separator"/>
    <w:rsid w:val="00FB13C4"/>
  </w:style>
  <w:style w:type="character" w:customStyle="1" w:styleId="docsum-authors">
    <w:name w:val="docsum-authors"/>
    <w:rsid w:val="00FB13C4"/>
  </w:style>
  <w:style w:type="character" w:customStyle="1" w:styleId="docsum-journal-citation">
    <w:name w:val="docsum-journal-citation"/>
    <w:rsid w:val="00FB13C4"/>
  </w:style>
  <w:style w:type="character" w:customStyle="1" w:styleId="citation-part">
    <w:name w:val="citation-part"/>
    <w:rsid w:val="00FB13C4"/>
  </w:style>
  <w:style w:type="character" w:customStyle="1" w:styleId="docsum-pmid">
    <w:name w:val="docsum-pmid"/>
    <w:rsid w:val="00FB13C4"/>
  </w:style>
  <w:style w:type="character" w:customStyle="1" w:styleId="free-resources">
    <w:name w:val="free-resources"/>
    <w:rsid w:val="00FB13C4"/>
  </w:style>
  <w:style w:type="character" w:customStyle="1" w:styleId="A10">
    <w:name w:val="A1"/>
    <w:uiPriority w:val="99"/>
    <w:rsid w:val="00FB13C4"/>
    <w:rPr>
      <w:rFonts w:cs="Minion Pro"/>
      <w:color w:val="000000"/>
      <w:sz w:val="22"/>
      <w:szCs w:val="22"/>
    </w:rPr>
  </w:style>
  <w:style w:type="character" w:customStyle="1" w:styleId="A100">
    <w:name w:val="A10"/>
    <w:uiPriority w:val="99"/>
    <w:rsid w:val="00FB13C4"/>
    <w:rPr>
      <w:b/>
      <w:bCs/>
      <w:i/>
      <w:iCs/>
      <w:color w:val="000000"/>
      <w:sz w:val="18"/>
      <w:szCs w:val="18"/>
    </w:rPr>
  </w:style>
  <w:style w:type="paragraph" w:styleId="af4">
    <w:name w:val="No Spacing"/>
    <w:uiPriority w:val="1"/>
    <w:qFormat/>
    <w:rsid w:val="00FB13C4"/>
    <w:rPr>
      <w:sz w:val="22"/>
      <w:szCs w:val="22"/>
      <w:lang w:eastAsia="en-US"/>
    </w:rPr>
  </w:style>
  <w:style w:type="paragraph" w:customStyle="1" w:styleId="msolistparagraph0">
    <w:name w:val="msolistparagraph"/>
    <w:basedOn w:val="a"/>
    <w:rsid w:val="005767BC"/>
    <w:pPr>
      <w:spacing w:before="100" w:beforeAutospacing="1" w:after="100" w:afterAutospacing="1"/>
    </w:pPr>
  </w:style>
  <w:style w:type="paragraph" w:customStyle="1" w:styleId="msolistparagraphcxspmiddle">
    <w:name w:val="msolistparagraphcxspmiddle"/>
    <w:basedOn w:val="a"/>
    <w:rsid w:val="005767BC"/>
    <w:pPr>
      <w:spacing w:before="100" w:beforeAutospacing="1" w:after="100" w:afterAutospacing="1"/>
    </w:pPr>
  </w:style>
  <w:style w:type="paragraph" w:styleId="af5">
    <w:name w:val="Title"/>
    <w:basedOn w:val="a"/>
    <w:next w:val="a"/>
    <w:link w:val="af6"/>
    <w:uiPriority w:val="10"/>
    <w:qFormat/>
    <w:rsid w:val="00F33E47"/>
    <w:pPr>
      <w:tabs>
        <w:tab w:val="left" w:pos="1276"/>
      </w:tabs>
      <w:spacing w:after="200" w:line="276" w:lineRule="auto"/>
      <w:jc w:val="center"/>
    </w:pPr>
    <w:rPr>
      <w:i/>
      <w:sz w:val="28"/>
      <w:szCs w:val="28"/>
    </w:rPr>
  </w:style>
  <w:style w:type="character" w:customStyle="1" w:styleId="af6">
    <w:name w:val="Название Знак"/>
    <w:link w:val="af5"/>
    <w:uiPriority w:val="10"/>
    <w:rsid w:val="00F33E47"/>
    <w:rPr>
      <w:rFonts w:ascii="Times New Roman" w:eastAsia="Times New Roman" w:hAnsi="Times New Roman"/>
      <w:i/>
      <w:sz w:val="28"/>
      <w:szCs w:val="28"/>
      <w:lang w:val="ru-RU" w:eastAsia="ru-RU"/>
    </w:rPr>
  </w:style>
  <w:style w:type="character" w:customStyle="1" w:styleId="free-label">
    <w:name w:val="free-label"/>
    <w:rsid w:val="00B02AFB"/>
  </w:style>
  <w:style w:type="character" w:customStyle="1" w:styleId="mw-headline">
    <w:name w:val="mw-headline"/>
    <w:rsid w:val="001E60DC"/>
  </w:style>
  <w:style w:type="character" w:customStyle="1" w:styleId="jlqj4b">
    <w:name w:val="jlqj4b"/>
    <w:rsid w:val="001E60DC"/>
  </w:style>
  <w:style w:type="character" w:customStyle="1" w:styleId="notranslate">
    <w:name w:val="notranslate"/>
    <w:rsid w:val="00A53869"/>
  </w:style>
  <w:style w:type="character" w:customStyle="1" w:styleId="isbn-label">
    <w:name w:val="isbn-label"/>
    <w:rsid w:val="00A53869"/>
  </w:style>
  <w:style w:type="character" w:customStyle="1" w:styleId="personname">
    <w:name w:val="person_name"/>
    <w:rsid w:val="00A53869"/>
  </w:style>
  <w:style w:type="character" w:customStyle="1" w:styleId="rvts9">
    <w:name w:val="rvts9"/>
    <w:rsid w:val="00A53869"/>
  </w:style>
  <w:style w:type="character" w:customStyle="1" w:styleId="rvts23">
    <w:name w:val="rvts23"/>
    <w:rsid w:val="00A53869"/>
  </w:style>
  <w:style w:type="character" w:styleId="af7">
    <w:name w:val="Placeholder Text"/>
    <w:basedOn w:val="a0"/>
    <w:uiPriority w:val="99"/>
    <w:semiHidden/>
    <w:rsid w:val="00066AFD"/>
    <w:rPr>
      <w:color w:val="808080"/>
    </w:rPr>
  </w:style>
  <w:style w:type="character" w:customStyle="1" w:styleId="mwe-math-mathml-inline">
    <w:name w:val="mwe-math-mathml-inline"/>
    <w:basedOn w:val="a0"/>
    <w:rsid w:val="00671012"/>
  </w:style>
  <w:style w:type="numbering" w:customStyle="1" w:styleId="12">
    <w:name w:val="Нет списка1"/>
    <w:next w:val="a2"/>
    <w:uiPriority w:val="99"/>
    <w:semiHidden/>
    <w:unhideWhenUsed/>
    <w:rsid w:val="009E0B65"/>
  </w:style>
  <w:style w:type="character" w:styleId="af8">
    <w:name w:val="annotation reference"/>
    <w:basedOn w:val="a0"/>
    <w:uiPriority w:val="99"/>
    <w:semiHidden/>
    <w:unhideWhenUsed/>
    <w:rsid w:val="009E0B65"/>
    <w:rPr>
      <w:sz w:val="16"/>
      <w:szCs w:val="16"/>
    </w:rPr>
  </w:style>
  <w:style w:type="paragraph" w:styleId="af9">
    <w:name w:val="annotation text"/>
    <w:basedOn w:val="a"/>
    <w:link w:val="afa"/>
    <w:uiPriority w:val="99"/>
    <w:unhideWhenUsed/>
    <w:rsid w:val="009E0B65"/>
    <w:pPr>
      <w:spacing w:after="200"/>
    </w:pPr>
    <w:rPr>
      <w:rFonts w:asciiTheme="minorHAnsi" w:eastAsiaTheme="minorHAnsi" w:hAnsiTheme="minorHAnsi" w:cstheme="minorBidi"/>
      <w:sz w:val="20"/>
      <w:szCs w:val="20"/>
      <w:lang w:val="uk-UA" w:eastAsia="en-US"/>
    </w:rPr>
  </w:style>
  <w:style w:type="character" w:customStyle="1" w:styleId="afa">
    <w:name w:val="Текст примечания Знак"/>
    <w:basedOn w:val="a0"/>
    <w:link w:val="af9"/>
    <w:uiPriority w:val="99"/>
    <w:rsid w:val="009E0B65"/>
    <w:rPr>
      <w:rFonts w:asciiTheme="minorHAnsi" w:eastAsiaTheme="minorHAnsi" w:hAnsiTheme="minorHAnsi" w:cstheme="minorBidi"/>
      <w:lang w:eastAsia="en-US"/>
    </w:rPr>
  </w:style>
  <w:style w:type="paragraph" w:styleId="afb">
    <w:name w:val="annotation subject"/>
    <w:basedOn w:val="af9"/>
    <w:next w:val="af9"/>
    <w:link w:val="afc"/>
    <w:uiPriority w:val="99"/>
    <w:semiHidden/>
    <w:unhideWhenUsed/>
    <w:rsid w:val="009E0B65"/>
    <w:rPr>
      <w:b/>
      <w:bCs/>
    </w:rPr>
  </w:style>
  <w:style w:type="character" w:customStyle="1" w:styleId="afc">
    <w:name w:val="Тема примечания Знак"/>
    <w:basedOn w:val="afa"/>
    <w:link w:val="afb"/>
    <w:uiPriority w:val="99"/>
    <w:semiHidden/>
    <w:rsid w:val="009E0B65"/>
    <w:rPr>
      <w:rFonts w:asciiTheme="minorHAnsi" w:eastAsiaTheme="minorHAnsi" w:hAnsiTheme="minorHAnsi" w:cstheme="minorBidi"/>
      <w:b/>
      <w:bCs/>
      <w:lang w:eastAsia="en-US"/>
    </w:rPr>
  </w:style>
  <w:style w:type="paragraph" w:styleId="21">
    <w:name w:val="Body Text 2"/>
    <w:basedOn w:val="a"/>
    <w:link w:val="22"/>
    <w:uiPriority w:val="99"/>
    <w:unhideWhenUsed/>
    <w:rsid w:val="00B03BC4"/>
    <w:pPr>
      <w:spacing w:after="120" w:line="480" w:lineRule="auto"/>
    </w:pPr>
  </w:style>
  <w:style w:type="character" w:customStyle="1" w:styleId="22">
    <w:name w:val="Основной текст 2 Знак"/>
    <w:basedOn w:val="a0"/>
    <w:link w:val="21"/>
    <w:uiPriority w:val="99"/>
    <w:rsid w:val="00B03BC4"/>
    <w:rPr>
      <w:rFonts w:ascii="Times New Roman" w:eastAsia="Times New Roman" w:hAnsi="Times New Roman"/>
      <w:sz w:val="24"/>
      <w:szCs w:val="24"/>
      <w:lang w:val="ru-RU" w:eastAsia="ru-RU"/>
    </w:rPr>
  </w:style>
  <w:style w:type="character" w:customStyle="1" w:styleId="50">
    <w:name w:val="Заголовок 5 Знак"/>
    <w:basedOn w:val="a0"/>
    <w:link w:val="5"/>
    <w:uiPriority w:val="99"/>
    <w:rsid w:val="009D6048"/>
    <w:rPr>
      <w:rFonts w:ascii="Calibri Light" w:hAnsi="Calibri Light"/>
      <w:color w:val="2F5496"/>
      <w:lang w:val="en-US"/>
    </w:rPr>
  </w:style>
  <w:style w:type="character" w:customStyle="1" w:styleId="docdata">
    <w:name w:val="docdata"/>
    <w:aliases w:val="docy,v5,2188,baiaagaaboqcaaadwgyaaaxqbgaaaaaaaaaaaaaaaaaaaaaaaaaaaaaaaaaaaaaaaaaaaaaaaaaaaaaaaaaaaaaaaaaaaaaaaaaaaaaaaaaaaaaaaaaaaaaaaaaaaaaaaaaaaaaaaaaaaaaaaaaaaaaaaaaaaaaaaaaaaaaaaaaaaaaaaaaaaaaaaaaaaaaaaaaaaaaaaaaaaaaaaaaaaaaaaaaaaaaaaaaaaaa"/>
    <w:uiPriority w:val="99"/>
    <w:rsid w:val="009D6048"/>
  </w:style>
  <w:style w:type="paragraph" w:customStyle="1" w:styleId="BodyA">
    <w:name w:val="Body A"/>
    <w:uiPriority w:val="99"/>
    <w:rsid w:val="009D6048"/>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eastAsia="Arial Unicode MS" w:hAnsi="Helvetica Neue" w:cs="Arial Unicode MS"/>
      <w:color w:val="000000"/>
      <w:sz w:val="22"/>
      <w:szCs w:val="22"/>
      <w:u w:color="000000"/>
      <w:lang w:val="en-US"/>
    </w:rPr>
  </w:style>
  <w:style w:type="character" w:customStyle="1" w:styleId="hiddenspellerror">
    <w:name w:val="hiddenspellerror"/>
    <w:uiPriority w:val="99"/>
    <w:rsid w:val="009D6048"/>
  </w:style>
  <w:style w:type="paragraph" w:customStyle="1" w:styleId="afd">
    <w:name w:val="Знак Знак Знак Знак"/>
    <w:basedOn w:val="a"/>
    <w:uiPriority w:val="99"/>
    <w:rsid w:val="009D6048"/>
    <w:rPr>
      <w:rFonts w:ascii="Verdana" w:hAnsi="Verdana"/>
      <w:lang w:val="en-US" w:eastAsia="en-US"/>
    </w:rPr>
  </w:style>
  <w:style w:type="paragraph" w:customStyle="1" w:styleId="13">
    <w:name w:val="Абзац списка1"/>
    <w:basedOn w:val="a"/>
    <w:rsid w:val="009D6048"/>
    <w:pPr>
      <w:ind w:left="720"/>
      <w:contextualSpacing/>
    </w:pPr>
    <w:rPr>
      <w:rFonts w:eastAsia="Calibri"/>
    </w:rPr>
  </w:style>
  <w:style w:type="character" w:customStyle="1" w:styleId="acopre">
    <w:name w:val="acopre"/>
    <w:basedOn w:val="a0"/>
    <w:rsid w:val="00802D16"/>
  </w:style>
  <w:style w:type="paragraph" w:customStyle="1" w:styleId="14">
    <w:name w:val="Обычный1"/>
    <w:rsid w:val="003842EE"/>
    <w:pPr>
      <w:widowControl w:val="0"/>
      <w:spacing w:line="300" w:lineRule="auto"/>
      <w:ind w:left="40" w:firstLine="820"/>
      <w:jc w:val="both"/>
    </w:pPr>
    <w:rPr>
      <w:rFonts w:ascii="Times New Roman" w:eastAsia="Times New Roman" w:hAnsi="Times New Roman"/>
      <w:snapToGrid w:val="0"/>
      <w:sz w:val="28"/>
      <w:lang w:val="ru-RU" w:eastAsia="ru-RU"/>
    </w:rPr>
  </w:style>
  <w:style w:type="paragraph" w:customStyle="1" w:styleId="Normal1">
    <w:name w:val="Normal1"/>
    <w:uiPriority w:val="99"/>
    <w:rsid w:val="008009FB"/>
    <w:pPr>
      <w:widowControl w:val="0"/>
      <w:spacing w:line="300" w:lineRule="auto"/>
      <w:ind w:left="40" w:firstLine="820"/>
      <w:jc w:val="both"/>
    </w:pPr>
    <w:rPr>
      <w:rFonts w:ascii="Times New Roman" w:eastAsia="Times New Roman" w:hAnsi="Times New Roman"/>
      <w:sz w:val="28"/>
      <w:lang w:val="ru-RU" w:eastAsia="ru-RU"/>
    </w:rPr>
  </w:style>
  <w:style w:type="character" w:customStyle="1" w:styleId="word">
    <w:name w:val="word"/>
    <w:basedOn w:val="a0"/>
    <w:rsid w:val="00AA7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2224937">
      <w:bodyDiv w:val="1"/>
      <w:marLeft w:val="0"/>
      <w:marRight w:val="0"/>
      <w:marTop w:val="0"/>
      <w:marBottom w:val="0"/>
      <w:divBdr>
        <w:top w:val="none" w:sz="0" w:space="0" w:color="auto"/>
        <w:left w:val="none" w:sz="0" w:space="0" w:color="auto"/>
        <w:bottom w:val="none" w:sz="0" w:space="0" w:color="auto"/>
        <w:right w:val="none" w:sz="0" w:space="0" w:color="auto"/>
      </w:divBdr>
    </w:div>
    <w:div w:id="1063330518">
      <w:bodyDiv w:val="1"/>
      <w:marLeft w:val="0"/>
      <w:marRight w:val="0"/>
      <w:marTop w:val="0"/>
      <w:marBottom w:val="0"/>
      <w:divBdr>
        <w:top w:val="none" w:sz="0" w:space="0" w:color="auto"/>
        <w:left w:val="none" w:sz="0" w:space="0" w:color="auto"/>
        <w:bottom w:val="none" w:sz="0" w:space="0" w:color="auto"/>
        <w:right w:val="none" w:sz="0" w:space="0" w:color="auto"/>
      </w:divBdr>
    </w:div>
    <w:div w:id="1420063165">
      <w:bodyDiv w:val="1"/>
      <w:marLeft w:val="0"/>
      <w:marRight w:val="0"/>
      <w:marTop w:val="0"/>
      <w:marBottom w:val="0"/>
      <w:divBdr>
        <w:top w:val="none" w:sz="0" w:space="0" w:color="auto"/>
        <w:left w:val="none" w:sz="0" w:space="0" w:color="auto"/>
        <w:bottom w:val="none" w:sz="0" w:space="0" w:color="auto"/>
        <w:right w:val="none" w:sz="0" w:space="0" w:color="auto"/>
      </w:divBdr>
    </w:div>
    <w:div w:id="2007249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rbis-nbuv.gov.ua/cgi-bin/irbis_nbuv/cgiirbis_64.exe?Z21ID=&amp;I21DBN=UJRN&amp;P21DBN=UJRN&amp;S21STN=1&amp;S21REF=10&amp;S21FMT=JUU_all&amp;C21COM=S&amp;S21CNR=20&amp;S21P01=0&amp;S21P02=0&amp;S21P03=IJ=&amp;S21COLORTERMS=1&amp;S21STR=%D0%9621856" TargetMode="External"/><Relationship Id="rId21" Type="http://schemas.openxmlformats.org/officeDocument/2006/relationships/image" Target="media/image4.png"/><Relationship Id="rId324" Type="http://schemas.openxmlformats.org/officeDocument/2006/relationships/hyperlink" Target="https://www.ncbi.nlm.nih.gov/pubmed/27547554" TargetMode="External"/><Relationship Id="rId531" Type="http://schemas.openxmlformats.org/officeDocument/2006/relationships/hyperlink" Target="https://pubmed.ncbi.nlm.nih.gov/?term=Chiou+ST&amp;cauthor_id=29371008" TargetMode="External"/><Relationship Id="rId170" Type="http://schemas.openxmlformats.org/officeDocument/2006/relationships/hyperlink" Target="https://pubmed.ncbi.nlm.nih.gov/?term=L%C3%B3pez+MJ&amp;cauthor_id=30753540" TargetMode="External"/><Relationship Id="rId268" Type="http://schemas.openxmlformats.org/officeDocument/2006/relationships/hyperlink" Target="http://www.tandfonline.com/toc/reat20/current" TargetMode="External"/><Relationship Id="rId475" Type="http://schemas.openxmlformats.org/officeDocument/2006/relationships/hyperlink" Target="https://apps.webofknowledge.com/DaisyOneClickSearch.do?product=WOS&amp;search_mode=DaisyOneClickSearch&amp;colName=WOS&amp;SID=C3jVupjBedN23G8SlFj&amp;author_name=Titova,%20Olga%20E.&amp;dais_id=2194546&amp;excludeEventConfig=ExcludeIfFromFullRecPage" TargetMode="External"/><Relationship Id="rId32" Type="http://schemas.openxmlformats.org/officeDocument/2006/relationships/hyperlink" Target="https://www.ncbi.nlm.nih.gov/pubmed/?term=Kuhle%20S%5BAuthor%5D&amp;cauthor=true&amp;cauthor_uid=27547554" TargetMode="External"/><Relationship Id="rId128" Type="http://schemas.openxmlformats.org/officeDocument/2006/relationships/hyperlink" Target="https://cyberleninka.ru/article/n/obosnovanie-primeneniya-dvigatelnoy-aktivnosti-detey-kak-kriteriya-effektivnosti-ozdorovleniya-i-rekreatsii" TargetMode="External"/><Relationship Id="rId335" Type="http://schemas.openxmlformats.org/officeDocument/2006/relationships/hyperlink" Target="https://pubmed.ncbi.nlm.nih.gov/?term=Cofini+V&amp;cauthor_id=29376100" TargetMode="External"/><Relationship Id="rId542" Type="http://schemas.openxmlformats.org/officeDocument/2006/relationships/hyperlink" Target="https://pubmed.ncbi.nlm.nih.gov/?term=Hui+SS&amp;cauthor_id=26582296" TargetMode="External"/><Relationship Id="rId181" Type="http://schemas.openxmlformats.org/officeDocument/2006/relationships/hyperlink" Target="https://pubmed.ncbi.nlm.nih.gov/?term=Kapadia+S&amp;cauthor_id=30461386" TargetMode="External"/><Relationship Id="rId402" Type="http://schemas.openxmlformats.org/officeDocument/2006/relationships/hyperlink" Target="https://pubmed.ncbi.nlm.nih.gov/?term=Prigatano+GP&amp;cauthor_id=31516073" TargetMode="External"/><Relationship Id="rId279" Type="http://schemas.openxmlformats.org/officeDocument/2006/relationships/hyperlink" Target="https://pubmed.ncbi.nlm.nih.gov/?term=Scheer+C&amp;cauthor_id=30640912" TargetMode="External"/><Relationship Id="rId486" Type="http://schemas.openxmlformats.org/officeDocument/2006/relationships/hyperlink" Target="https://www.ncbi.nlm.nih.gov/pubmed/26445974" TargetMode="External"/><Relationship Id="rId43" Type="http://schemas.openxmlformats.org/officeDocument/2006/relationships/image" Target="media/image17.png"/><Relationship Id="rId139" Type="http://schemas.openxmlformats.org/officeDocument/2006/relationships/hyperlink" Target="https://www.ncbi.nlm.nih.gov/pubmed/?term=Abdulrazzaq%20YM%5BAuthor%5D&amp;cauthor=true&amp;cauthor_uid=21568821" TargetMode="External"/><Relationship Id="rId346" Type="http://schemas.openxmlformats.org/officeDocument/2006/relationships/hyperlink" Target="https://pubmed.ncbi.nlm.nih.gov/?term=Matos+MG&amp;cauthor_id=31500252" TargetMode="External"/><Relationship Id="rId553" Type="http://schemas.openxmlformats.org/officeDocument/2006/relationships/hyperlink" Target="https://www.ncbi.nlm.nih.gov/pubmed/31088440" TargetMode="External"/><Relationship Id="rId192" Type="http://schemas.openxmlformats.org/officeDocument/2006/relationships/hyperlink" Target="https://pubmed.ncbi.nlm.nih.gov/?term=Sakong+J&amp;cauthor_id=30181883" TargetMode="External"/><Relationship Id="rId206" Type="http://schemas.openxmlformats.org/officeDocument/2006/relationships/hyperlink" Target="https://doi.org/10.1007/s00787-017-1009-8" TargetMode="External"/><Relationship Id="rId413" Type="http://schemas.openxmlformats.org/officeDocument/2006/relationships/hyperlink" Target="https://apps.webofknowledge.com/OutboundService.do?SID=C5afOZrhLcrlUxGfPlS&amp;mode=rrcAuthorRecordService&amp;action=go&amp;product=WOS&amp;lang=ru_RU&amp;daisIds=35332024" TargetMode="External"/><Relationship Id="rId497" Type="http://schemas.openxmlformats.org/officeDocument/2006/relationships/hyperlink" Target="https://doi.org/10.1038/npjscilearn.2016.11" TargetMode="External"/><Relationship Id="rId357" Type="http://schemas.openxmlformats.org/officeDocument/2006/relationships/hyperlink" Target="javascript:;" TargetMode="External"/><Relationship Id="rId54" Type="http://schemas.openxmlformats.org/officeDocument/2006/relationships/image" Target="media/image24.png"/><Relationship Id="rId217" Type="http://schemas.openxmlformats.org/officeDocument/2006/relationships/hyperlink" Target="https://apps.webofknowledge.com/OutboundService.do?SID=C5afOZrhLcrlUxGfPlS&amp;mode=rrcAuthorRecordService&amp;action=go&amp;product=WOS&amp;lang=ru_RU&amp;daisIds=1621830" TargetMode="External"/><Relationship Id="rId564" Type="http://schemas.openxmlformats.org/officeDocument/2006/relationships/image" Target="media/image64.jpeg"/><Relationship Id="rId424" Type="http://schemas.openxmlformats.org/officeDocument/2006/relationships/hyperlink" Target="https://www.ncbi.nlm.nih.gov/pubmed/?term=de%20Assis%20MA%5BAuthor%5D&amp;cauthor=true&amp;cauthor_uid=24896796" TargetMode="External"/><Relationship Id="rId270" Type="http://schemas.openxmlformats.org/officeDocument/2006/relationships/hyperlink" Target="https://apps.webofknowledge.com/DaisyOneClickSearch.do?product=WOS&amp;search_mode=DaisyOneClickSearch&amp;colName=WOS&amp;SID=C42rNsRd7dRVrQxQWdU&amp;author_name=Hosker,%20Daniel%20K.&amp;dais_id=11385603&amp;excludeEventConfig=ExcludeIfFromFullRecPage" TargetMode="External"/><Relationship Id="rId65" Type="http://schemas.openxmlformats.org/officeDocument/2006/relationships/image" Target="media/image30.png"/><Relationship Id="rId130" Type="http://schemas.openxmlformats.org/officeDocument/2006/relationships/hyperlink" Target="https://www.twirpx.com/files/science/psychology/creativity/" TargetMode="External"/><Relationship Id="rId368" Type="http://schemas.openxmlformats.org/officeDocument/2006/relationships/hyperlink" Target="https://pubmed.ncbi.nlm.nih.gov/?term=Ding+X&amp;cauthor_id=28951126" TargetMode="External"/><Relationship Id="rId575" Type="http://schemas.openxmlformats.org/officeDocument/2006/relationships/image" Target="media/image75.jpeg"/><Relationship Id="rId228" Type="http://schemas.openxmlformats.org/officeDocument/2006/relationships/hyperlink" Target="http://apps.webofknowledge.com/OutboundService.do?SID=D5N2zrsWyExHNTt5jrb&amp;mode=rrcAuthorRecordService&amp;action=go&amp;product=WOS&amp;daisIds=497395" TargetMode="External"/><Relationship Id="rId435" Type="http://schemas.openxmlformats.org/officeDocument/2006/relationships/hyperlink" Target="https://www.ncbi.nlm.nih.gov/pubmed/30673672" TargetMode="External"/><Relationship Id="rId281" Type="http://schemas.openxmlformats.org/officeDocument/2006/relationships/hyperlink" Target="https://pubmed.ncbi.nlm.nih.gov/?term=Jansen+EC&amp;cauthor_id=30055773" TargetMode="External"/><Relationship Id="rId502" Type="http://schemas.openxmlformats.org/officeDocument/2006/relationships/hyperlink" Target="https://pubmed.ncbi.nlm.nih.gov/?term=Hintsanen+M&amp;cauthor_id=27401884" TargetMode="External"/><Relationship Id="rId34" Type="http://schemas.openxmlformats.org/officeDocument/2006/relationships/chart" Target="charts/chart4.xml"/><Relationship Id="rId76" Type="http://schemas.openxmlformats.org/officeDocument/2006/relationships/image" Target="media/image39.png"/><Relationship Id="rId141" Type="http://schemas.openxmlformats.org/officeDocument/2006/relationships/hyperlink" Target="https://www.ncbi.nlm.nih.gov/pubmed/?term=Moussa%20MA%5BAuthor%5D&amp;cauthor=true&amp;cauthor_uid=21568821" TargetMode="External"/><Relationship Id="rId379" Type="http://schemas.openxmlformats.org/officeDocument/2006/relationships/hyperlink" Target="https://pubmed.ncbi.nlm.nih.gov/?term=Ishii+A&amp;cauthor_id=31968008" TargetMode="External"/><Relationship Id="rId544" Type="http://schemas.openxmlformats.org/officeDocument/2006/relationships/hyperlink" Target="https://pubmed.ncbi.nlm.nih.gov/?term=Zayed+K&amp;cauthor_id=30618922" TargetMode="External"/><Relationship Id="rId7" Type="http://schemas.openxmlformats.org/officeDocument/2006/relationships/footnotes" Target="footnotes.xml"/><Relationship Id="rId183" Type="http://schemas.openxmlformats.org/officeDocument/2006/relationships/hyperlink" Target="https://pubmed.ncbi.nlm.nih.gov/31529184/" TargetMode="External"/><Relationship Id="rId239" Type="http://schemas.openxmlformats.org/officeDocument/2006/relationships/hyperlink" Target="https://pubmed.ncbi.nlm.nih.gov/?term=Ritz+C&amp;cauthor_id=27560512" TargetMode="External"/><Relationship Id="rId390" Type="http://schemas.openxmlformats.org/officeDocument/2006/relationships/hyperlink" Target="https://pubmed.ncbi.nlm.nih.gov/?term=Kauppinen+M&amp;cauthor_id=27369316" TargetMode="External"/><Relationship Id="rId404" Type="http://schemas.openxmlformats.org/officeDocument/2006/relationships/hyperlink" Target="https://pubmed.ncbi.nlm.nih.gov/?term=de+Oliveira+SB&amp;cauthor_id=31516073" TargetMode="External"/><Relationship Id="rId446" Type="http://schemas.openxmlformats.org/officeDocument/2006/relationships/hyperlink" Target="https://pubmed.ncbi.nlm.nih.gov/?term=Sanders+T&amp;cauthor_id=31783878" TargetMode="External"/><Relationship Id="rId250" Type="http://schemas.openxmlformats.org/officeDocument/2006/relationships/hyperlink" Target="https://pubmed.ncbi.nlm.nih.gov/?term=Saw+SM&amp;cauthor_id=31937276" TargetMode="External"/><Relationship Id="rId292" Type="http://schemas.openxmlformats.org/officeDocument/2006/relationships/hyperlink" Target="https://www.ncbi.nlm.nih.gov/pubmed/?term=Karklina%20H%5BAuthor%5D&amp;cauthor=true&amp;cauthor_uid=22186122" TargetMode="External"/><Relationship Id="rId306" Type="http://schemas.openxmlformats.org/officeDocument/2006/relationships/hyperlink" Target="https://pubmed.ncbi.nlm.nih.gov/?term=Papadimitriou+E&amp;cauthor_id=31111809" TargetMode="External"/><Relationship Id="rId488" Type="http://schemas.openxmlformats.org/officeDocument/2006/relationships/hyperlink" Target="https://pubmed.ncbi.nlm.nih.gov/?term=Olulade+OA&amp;cauthor_id=29611256" TargetMode="External"/><Relationship Id="rId45" Type="http://schemas.openxmlformats.org/officeDocument/2006/relationships/image" Target="media/image19.png"/><Relationship Id="rId87" Type="http://schemas.openxmlformats.org/officeDocument/2006/relationships/image" Target="media/image50.png"/><Relationship Id="rId110" Type="http://schemas.openxmlformats.org/officeDocument/2006/relationships/hyperlink" Target="https://doi.org/10.32402/dovkil2019.04.024" TargetMode="External"/><Relationship Id="rId348" Type="http://schemas.openxmlformats.org/officeDocument/2006/relationships/hyperlink" Target="https://pubmed.ncbi.nlm.nih.gov/?term=Ishii+A&amp;cauthor_id=31363158" TargetMode="External"/><Relationship Id="rId513" Type="http://schemas.openxmlformats.org/officeDocument/2006/relationships/hyperlink" Target="https://apps.webofknowledge.com/OutboundService.do?SID=C5afOZrhLcrlUxGfPlS&amp;mode=rrcAuthorRecordService&amp;action=go&amp;product=WOS&amp;lang=ru_RU&amp;daisIds=8228526" TargetMode="External"/><Relationship Id="rId555" Type="http://schemas.openxmlformats.org/officeDocument/2006/relationships/hyperlink" Target="http://dx.doi.org/10.29254/2077-4214-2020-4-158-88-92" TargetMode="External"/><Relationship Id="rId152" Type="http://schemas.openxmlformats.org/officeDocument/2006/relationships/hyperlink" Target="https://pubmed.ncbi.nlm.nih.gov/?term=Akinsola+FB&amp;cauthor_id=30264768" TargetMode="External"/><Relationship Id="rId194" Type="http://schemas.openxmlformats.org/officeDocument/2006/relationships/hyperlink" Target="https://doi.org/10.3389/fnins.2018.00228" TargetMode="External"/><Relationship Id="rId208" Type="http://schemas.openxmlformats.org/officeDocument/2006/relationships/hyperlink" Target="https://www.ncbi.nlm.nih.gov/pubmed/26510873" TargetMode="External"/><Relationship Id="rId415" Type="http://schemas.openxmlformats.org/officeDocument/2006/relationships/hyperlink" Target="https://apps.webofknowledge.com/OutboundService.do?SID=C5afOZrhLcrlUxGfPlS&amp;mode=rrcAuthorRecordService&amp;action=go&amp;product=WOS&amp;lang=ru_RU&amp;daisIds=35160479" TargetMode="External"/><Relationship Id="rId457" Type="http://schemas.openxmlformats.org/officeDocument/2006/relationships/hyperlink" Target="https://doi.org/10.1016/j.ssresearch.2012.01.007" TargetMode="External"/><Relationship Id="rId261" Type="http://schemas.openxmlformats.org/officeDocument/2006/relationships/hyperlink" Target="https://pubmed.ncbi.nlm.nih.gov/?term=Xu+L&amp;cauthor_id=29121045" TargetMode="External"/><Relationship Id="rId499" Type="http://schemas.openxmlformats.org/officeDocument/2006/relationships/hyperlink" Target="https://pubmed.ncbi.nlm.nih.gov/?term=Lassander+M&amp;cauthor_id=27401884" TargetMode="External"/><Relationship Id="rId14" Type="http://schemas.openxmlformats.org/officeDocument/2006/relationships/hyperlink" Target="https://www.ncbi.nlm.nih.gov/pubmed/?term=Mayne%20SL%5BAuthor%5D&amp;cauthor=true&amp;cauthor_uid=31715216" TargetMode="External"/><Relationship Id="rId56" Type="http://schemas.openxmlformats.org/officeDocument/2006/relationships/hyperlink" Target="https://pubmed.ncbi.nlm.nih.gov/?term=Duan+T&amp;cauthor_id=30441867" TargetMode="External"/><Relationship Id="rId317" Type="http://schemas.openxmlformats.org/officeDocument/2006/relationships/hyperlink" Target="https://www.ncbi.nlm.nih.gov/pubmed/?term=Gl%C3%A4sser%20N%5BAuthor%5D&amp;cauthor=true&amp;cauthor_uid=22252105" TargetMode="External"/><Relationship Id="rId359" Type="http://schemas.openxmlformats.org/officeDocument/2006/relationships/hyperlink" Target="https://doi.org/10.1080/02673843.2014.908784" TargetMode="External"/><Relationship Id="rId524" Type="http://schemas.openxmlformats.org/officeDocument/2006/relationships/hyperlink" Target="https://pubmed.ncbi.nlm.nih.gov/?term=Chen+CY&amp;cauthor_id=29371008" TargetMode="External"/><Relationship Id="rId566" Type="http://schemas.openxmlformats.org/officeDocument/2006/relationships/image" Target="media/image66.jpeg"/><Relationship Id="rId98" Type="http://schemas.openxmlformats.org/officeDocument/2006/relationships/hyperlink" Target="http://www.vestar.ru/person.jsp?id=1262" TargetMode="External"/><Relationship Id="rId1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07" TargetMode="External"/><Relationship Id="rId163" Type="http://schemas.openxmlformats.org/officeDocument/2006/relationships/hyperlink" Target="https://pubmed.ncbi.nlm.nih.gov/?term=S%C3%A1nchez-Mart%C3%ADnez+F&amp;cauthor_id=30753540" TargetMode="External"/><Relationship Id="rId219" Type="http://schemas.openxmlformats.org/officeDocument/2006/relationships/hyperlink" Target="https://apps.webofknowledge.com/OutboundService.do?SID=C5afOZrhLcrlUxGfPlS&amp;mode=rrcAuthorRecordService&amp;action=go&amp;product=WOS&amp;lang=ru_RU&amp;daisIds=226080" TargetMode="External"/><Relationship Id="rId370" Type="http://schemas.openxmlformats.org/officeDocument/2006/relationships/hyperlink" Target="https://pubmed.ncbi.nlm.nih.gov/?term=Rose+KA&amp;cauthor_id=28951126" TargetMode="External"/><Relationship Id="rId426" Type="http://schemas.openxmlformats.org/officeDocument/2006/relationships/hyperlink" Target="https://pubmed.ncbi.nlm.nih.gov/30993594/" TargetMode="External"/><Relationship Id="rId230" Type="http://schemas.openxmlformats.org/officeDocument/2006/relationships/hyperlink" Target="https://pubmed.ncbi.nlm.nih.gov/?term=Geertsen+SS&amp;cauthor_id=27560512" TargetMode="External"/><Relationship Id="rId468" Type="http://schemas.openxmlformats.org/officeDocument/2006/relationships/hyperlink" Target="https://doi.org/10.1016/j.kjss.2017.06.002" TargetMode="External"/><Relationship Id="rId25" Type="http://schemas.openxmlformats.org/officeDocument/2006/relationships/hyperlink" Target="https://pubmed.ncbi.nlm.nih.gov/?term=Yeung+DC&amp;cauthor_id=26582296" TargetMode="External"/><Relationship Id="rId67" Type="http://schemas.openxmlformats.org/officeDocument/2006/relationships/image" Target="media/image32.png"/><Relationship Id="rId272" Type="http://schemas.openxmlformats.org/officeDocument/2006/relationships/hyperlink" Target="https://apps.webofknowledge.com/DaisyOneClickSearch.do?product=WOS&amp;search_mode=DaisyOneClickSearch&amp;colName=WOS&amp;SID=C42rNsRd7dRVrQxQWdU&amp;author_name=Potter,%20Mona%20P.&amp;dais_id=2080650&amp;excludeEventConfig=ExcludeIfFromFullRecPage" TargetMode="External"/><Relationship Id="rId328" Type="http://schemas.openxmlformats.org/officeDocument/2006/relationships/hyperlink" Target="https://www.ncbi.nlm.nih.gov/pubmed/?term=Hamilton%20D%5BAuthor%5D&amp;cauthor=true&amp;cauthor_uid=26176769" TargetMode="External"/><Relationship Id="rId535" Type="http://schemas.openxmlformats.org/officeDocument/2006/relationships/hyperlink" Target="https://pubmed.ncbi.nlm.nih.gov/?term=Xu+R&amp;cauthor_id=30429822" TargetMode="External"/><Relationship Id="rId577" Type="http://schemas.openxmlformats.org/officeDocument/2006/relationships/fontTable" Target="fontTable.xml"/><Relationship Id="rId132" Type="http://schemas.openxmlformats.org/officeDocument/2006/relationships/hyperlink" Target="https://ips.ligazakon.net/document/view/KP150267?an=1&amp;ed=2019_11_27" TargetMode="External"/><Relationship Id="rId174" Type="http://schemas.openxmlformats.org/officeDocument/2006/relationships/hyperlink" Target="https://pubmed.ncbi.nlm.nih.gov/?term=Salazar-Aceves+G&amp;cauthor_id=30250316" TargetMode="External"/><Relationship Id="rId381" Type="http://schemas.openxmlformats.org/officeDocument/2006/relationships/hyperlink" Target="https://pubmed.ncbi.nlm.nih.gov/?term=Ishida+R&amp;cauthor_id=31968008" TargetMode="External"/><Relationship Id="rId241" Type="http://schemas.openxmlformats.org/officeDocument/2006/relationships/hyperlink" Target="https://pubmed.ncbi.nlm.nih.gov/?term=Lundbye-Jensen+J&amp;cauthor_id=27560512" TargetMode="External"/><Relationship Id="rId437" Type="http://schemas.openxmlformats.org/officeDocument/2006/relationships/hyperlink" Target="https://doi.org/10.3389/fpsyg.2019.00438" TargetMode="External"/><Relationship Id="rId479" Type="http://schemas.openxmlformats.org/officeDocument/2006/relationships/hyperlink" Target="https://pubmed.ncbi.nlm.nih.gov/27618879/" TargetMode="External"/><Relationship Id="rId36" Type="http://schemas.openxmlformats.org/officeDocument/2006/relationships/image" Target="media/image12.png"/><Relationship Id="rId283" Type="http://schemas.openxmlformats.org/officeDocument/2006/relationships/hyperlink" Target="https://pubmed.ncbi.nlm.nih.gov/?term=Perng+W&amp;cauthor_id=30055773" TargetMode="External"/><Relationship Id="rId339" Type="http://schemas.openxmlformats.org/officeDocument/2006/relationships/hyperlink" Target="https://doi.org/10.1016/j.arcped.2004.10.022" TargetMode="External"/><Relationship Id="rId490" Type="http://schemas.openxmlformats.org/officeDocument/2006/relationships/hyperlink" Target="https://pubmed.ncbi.nlm.nih.gov/?term=Eden+GF&amp;cauthor_id=29611256" TargetMode="External"/><Relationship Id="rId504" Type="http://schemas.openxmlformats.org/officeDocument/2006/relationships/hyperlink" Target="https://pubmed.ncbi.nlm.nih.gov/?term=Raevuori+A&amp;cauthor_id=27401884" TargetMode="External"/><Relationship Id="rId546" Type="http://schemas.openxmlformats.org/officeDocument/2006/relationships/hyperlink" Target="https://www.ncbi.nlm.nih.gov/pubmed/?term=Zhang%20Y%5BAuthor%5D&amp;cauthor=true&amp;cauthor_uid=31088440" TargetMode="External"/><Relationship Id="rId78" Type="http://schemas.openxmlformats.org/officeDocument/2006/relationships/image" Target="media/image41.png"/><Relationship Id="rId101" Type="http://schemas.openxmlformats.org/officeDocument/2006/relationships/hyperlink" Target="http://www.vestar.ru/person.jsp?id=1265" TargetMode="External"/><Relationship Id="rId143" Type="http://schemas.openxmlformats.org/officeDocument/2006/relationships/hyperlink" Target="https://www.researchgate.net/deref/http%3A%2F%2Fdx.doi.org%2F10.1016%2Fj.jaac.2016.05.012" TargetMode="External"/><Relationship Id="rId185" Type="http://schemas.openxmlformats.org/officeDocument/2006/relationships/hyperlink" Target="https://pubmed.ncbi.nlm.nih.gov/?term=MacLehose+RF&amp;cauthor_id=26163351" TargetMode="External"/><Relationship Id="rId350" Type="http://schemas.openxmlformats.org/officeDocument/2006/relationships/hyperlink" Target="https://pubmed.ncbi.nlm.nih.gov/?term=Ishida+R&amp;cauthor_id=31363158" TargetMode="External"/><Relationship Id="rId406" Type="http://schemas.openxmlformats.org/officeDocument/2006/relationships/hyperlink" Target="https://pubmed.ncbi.nlm.nih.gov/?term=Pereira+RM&amp;cauthor_id=31516073" TargetMode="External"/><Relationship Id="rId9" Type="http://schemas.openxmlformats.org/officeDocument/2006/relationships/hyperlink" Target="https://doi.org/10.11603/1681-2786.2020.3.11618" TargetMode="External"/><Relationship Id="rId210" Type="http://schemas.openxmlformats.org/officeDocument/2006/relationships/hyperlink" Target="https://pubmed.ncbi.nlm.nih.gov/31993354/" TargetMode="External"/><Relationship Id="rId392" Type="http://schemas.openxmlformats.org/officeDocument/2006/relationships/hyperlink" Target="https://doi.org/10.1016/j.cedpsych.2012.10.003" TargetMode="External"/><Relationship Id="rId448" Type="http://schemas.openxmlformats.org/officeDocument/2006/relationships/hyperlink" Target="https://pubmed.ncbi.nlm.nih.gov/?term=Del+Pozo-Cruz+B&amp;cauthor_id=31783878" TargetMode="External"/><Relationship Id="rId252" Type="http://schemas.openxmlformats.org/officeDocument/2006/relationships/hyperlink" Target="https://apps.webofknowledge.com/OutboundService.do?SID=C5afOZrhLcrlUxGfPlS&amp;mode=rrcAuthorRecordService&amp;action=go&amp;product=WOS&amp;lang=ru_RU&amp;daisIds=1280327" TargetMode="External"/><Relationship Id="rId294" Type="http://schemas.openxmlformats.org/officeDocument/2006/relationships/hyperlink" Target="https://www.ncbi.nlm.nih.gov/pubmed/?term=Kalnina%20L%5BAuthor%5D&amp;cauthor=true&amp;cauthor_uid=22186122" TargetMode="External"/><Relationship Id="rId308" Type="http://schemas.openxmlformats.org/officeDocument/2006/relationships/hyperlink" Target="https://pubmed.ncbi.nlm.nih.gov/?term=Benetou+V&amp;cauthor_id=31111809" TargetMode="External"/><Relationship Id="rId515" Type="http://schemas.openxmlformats.org/officeDocument/2006/relationships/hyperlink" Target="https://apps.webofknowledge.com/OutboundService.do?SID=C5afOZrhLcrlUxGfPlS&amp;mode=rrcAuthorRecordService&amp;action=go&amp;product=WOS&amp;lang=ru_RU&amp;daisIds=341330" TargetMode="External"/><Relationship Id="rId47" Type="http://schemas.openxmlformats.org/officeDocument/2006/relationships/image" Target="media/image21.png"/><Relationship Id="rId89" Type="http://schemas.openxmlformats.org/officeDocument/2006/relationships/image" Target="media/image52.png"/><Relationship Id="rId112" Type="http://schemas.openxmlformats.org/officeDocument/2006/relationships/hyperlink" Target="https://www.medlit.ru/journalsview/gigsan/view/journal/2020/issue-1/4051-social-no-gigienicheskiy-monitoring-kak-osnova-upravleniya-v-kontrol-no-nadzornoy-deyatel-nosti-rospotrebnadzora/" TargetMode="External"/><Relationship Id="rId154" Type="http://schemas.openxmlformats.org/officeDocument/2006/relationships/hyperlink" Target="https://www.ncbi.nlm.nih.gov/pubmed/?term=Antwi%20F%5BAuthor%5D&amp;cauthor=true&amp;cauthor_uid=27820152" TargetMode="External"/><Relationship Id="rId361" Type="http://schemas.openxmlformats.org/officeDocument/2006/relationships/hyperlink" Target="https://pubmed.ncbi.nlm.nih.gov/?term=Ramos+P&amp;cauthor_id=31083434" TargetMode="External"/><Relationship Id="rId557" Type="http://schemas.openxmlformats.org/officeDocument/2006/relationships/image" Target="media/image57.png"/><Relationship Id="rId196" Type="http://schemas.openxmlformats.org/officeDocument/2006/relationships/hyperlink" Target="https://pubmed.ncbi.nlm.nih.gov/?term=Shen+LY&amp;cauthor_id=28356843" TargetMode="External"/><Relationship Id="rId417" Type="http://schemas.openxmlformats.org/officeDocument/2006/relationships/hyperlink" Target="https://pubmed.ncbi.nlm.nih.gov/?term=Chakmazova+E&amp;cauthor_id=32141850" TargetMode="External"/><Relationship Id="rId459" Type="http://schemas.openxmlformats.org/officeDocument/2006/relationships/hyperlink" Target="https://doi.org/10.1177/0272431618797008" TargetMode="External"/><Relationship Id="rId16" Type="http://schemas.openxmlformats.org/officeDocument/2006/relationships/hyperlink" Target="https://zakon.rada.gov.ua/laws/show/4004-12" TargetMode="External"/><Relationship Id="rId221" Type="http://schemas.openxmlformats.org/officeDocument/2006/relationships/hyperlink" Target="https://apps.webofknowledge.com/OutboundService.do?SID=C5afOZrhLcrlUxGfPlS&amp;mode=rrcAuthorRecordService&amp;action=go&amp;product=WOS&amp;lang=ru_RU&amp;daisIds=4440570" TargetMode="External"/><Relationship Id="rId263" Type="http://schemas.openxmlformats.org/officeDocument/2006/relationships/hyperlink" Target="https://pubmed.ncbi.nlm.nih.gov/?term=Harrington+SC&amp;cauthor_id=30315130" TargetMode="External"/><Relationship Id="rId319" Type="http://schemas.openxmlformats.org/officeDocument/2006/relationships/hyperlink" Target="https://www.ncbi.nlm.nih.gov/pubmed/22252105" TargetMode="External"/><Relationship Id="rId470" Type="http://schemas.openxmlformats.org/officeDocument/2006/relationships/hyperlink" Target="https://journals.sagepub.com/doi/10.1177/0017896910386141" TargetMode="External"/><Relationship Id="rId526" Type="http://schemas.openxmlformats.org/officeDocument/2006/relationships/hyperlink" Target="https://pubmed.ncbi.nlm.nih.gov/?term=Wu+PC&amp;cauthor_id=29371008" TargetMode="External"/><Relationship Id="rId58" Type="http://schemas.openxmlformats.org/officeDocument/2006/relationships/hyperlink" Target="https://pubmed.ncbi.nlm.nih.gov/?term=Xu+R&amp;cauthor_id=30429822" TargetMode="External"/><Relationship Id="rId123" Type="http://schemas.openxmlformats.org/officeDocument/2006/relationships/hyperlink" Target="https://doi.org/10.32402/dovkil2018.01.073" TargetMode="External"/><Relationship Id="rId330" Type="http://schemas.openxmlformats.org/officeDocument/2006/relationships/hyperlink" Target="https://www.sciencedirect.com/science/article/pii/S2351978915004989" TargetMode="External"/><Relationship Id="rId568" Type="http://schemas.openxmlformats.org/officeDocument/2006/relationships/image" Target="media/image68.jpeg"/><Relationship Id="rId165" Type="http://schemas.openxmlformats.org/officeDocument/2006/relationships/hyperlink" Target="https://pubmed.ncbi.nlm.nih.gov/?term=Valmayor+S&amp;cauthor_id=30753540" TargetMode="External"/><Relationship Id="rId372" Type="http://schemas.openxmlformats.org/officeDocument/2006/relationships/hyperlink" Target="https://www.ncbi.nlm.nih.gov/pubmed/?term=Mukherjee%20S%5BAuthor%5D&amp;cauthor=true&amp;cauthor_uid=27180165" TargetMode="External"/><Relationship Id="rId428" Type="http://schemas.openxmlformats.org/officeDocument/2006/relationships/hyperlink" Target="https://www.ncbi.nlm.nih.gov/pubmed/?term=Vogel%20M%5BAuthor%5D&amp;cauthor=true&amp;cauthor_uid=30673672" TargetMode="External"/><Relationship Id="rId232" Type="http://schemas.openxmlformats.org/officeDocument/2006/relationships/hyperlink" Target="https://pubmed.ncbi.nlm.nih.gov/?term=Larsen+MN&amp;cauthor_id=27560512" TargetMode="External"/><Relationship Id="rId274" Type="http://schemas.openxmlformats.org/officeDocument/2006/relationships/hyperlink" Target="https://pubmed.ncbi.nlm.nih.gov/?term=Ishii+A&amp;cauthor_id=29170440" TargetMode="External"/><Relationship Id="rId481" Type="http://schemas.openxmlformats.org/officeDocument/2006/relationships/hyperlink" Target="https://www.sciencedirect.com/journal/social-science-and-medicine" TargetMode="External"/><Relationship Id="rId27" Type="http://schemas.openxmlformats.org/officeDocument/2006/relationships/image" Target="media/image6.png"/><Relationship Id="rId69" Type="http://schemas.openxmlformats.org/officeDocument/2006/relationships/image" Target="media/image34.png"/><Relationship Id="rId134" Type="http://schemas.openxmlformats.org/officeDocument/2006/relationships/hyperlink" Target="https://mon.gov.ua/ua/npa/pro-zatverdzhennya-tipovih-osvitnih-program-dlya-1-2-klasiv-zakladiv-zagalnoyi-serednoyi-osviti" TargetMode="External"/><Relationship Id="rId537" Type="http://schemas.openxmlformats.org/officeDocument/2006/relationships/hyperlink" Target="https://pubmed.ncbi.nlm.nih.gov/?term=Qi+H&amp;cauthor_id=30429822" TargetMode="External"/><Relationship Id="rId80" Type="http://schemas.openxmlformats.org/officeDocument/2006/relationships/image" Target="media/image43.png"/><Relationship Id="rId176" Type="http://schemas.openxmlformats.org/officeDocument/2006/relationships/hyperlink" Target="https://pubmed.ncbi.nlm.nih.gov/?term=Aydin+L&amp;cauthor_id=25988674" TargetMode="External"/><Relationship Id="rId341" Type="http://schemas.openxmlformats.org/officeDocument/2006/relationships/hyperlink" Target="https://pubmed.ncbi.nlm.nih.gov/?term=Marques+A&amp;cauthor_id=31500252" TargetMode="External"/><Relationship Id="rId383" Type="http://schemas.openxmlformats.org/officeDocument/2006/relationships/hyperlink" Target="https://pubmed.ncbi.nlm.nih.gov/?term=Takada+K&amp;cauthor_id=31968008" TargetMode="External"/><Relationship Id="rId439" Type="http://schemas.openxmlformats.org/officeDocument/2006/relationships/hyperlink" Target="https://pubmed.ncbi.nlm.nih.gov/?term=Gall+S&amp;cauthor_id=28965191" TargetMode="External"/><Relationship Id="rId201" Type="http://schemas.openxmlformats.org/officeDocument/2006/relationships/hyperlink" Target="https://pubmed.ncbi.nlm.nih.gov/?term=Stratton+G&amp;cauthor_id=32240204" TargetMode="External"/><Relationship Id="rId243" Type="http://schemas.openxmlformats.org/officeDocument/2006/relationships/hyperlink" Target="https://pubmed.ncbi.nlm.nih.gov/?term=Harutyunyan+T&amp;cauthor_id=28032802" TargetMode="External"/><Relationship Id="rId285" Type="http://schemas.openxmlformats.org/officeDocument/2006/relationships/hyperlink" Target="https://pubmed.ncbi.nlm.nih.gov/?term=Rojo+MMT&amp;cauthor_id=30055773" TargetMode="External"/><Relationship Id="rId450" Type="http://schemas.openxmlformats.org/officeDocument/2006/relationships/hyperlink" Target="https://pubmed.ncbi.nlm.nih.gov/?term=Lonsdale+C&amp;cauthor_id=31783878" TargetMode="External"/><Relationship Id="rId506" Type="http://schemas.openxmlformats.org/officeDocument/2006/relationships/hyperlink" Target="https://pubmed.ncbi.nlm.nih.gov/?term=Vahlberg+T&amp;cauthor_id=27401884" TargetMode="External"/><Relationship Id="rId38" Type="http://schemas.openxmlformats.org/officeDocument/2006/relationships/hyperlink" Target="https://pubmed.ncbi.nlm.nih.gov/?term=Ayala-Moreno+MR&amp;cauthor_id=30250316" TargetMode="External"/><Relationship Id="rId103" Type="http://schemas.openxmlformats.org/officeDocument/2006/relationships/hyperlink" Target="http://www.vestar.ru/person.jsp?id=273" TargetMode="External"/><Relationship Id="rId310" Type="http://schemas.openxmlformats.org/officeDocument/2006/relationships/hyperlink" Target="https://pubmed.ncbi.nlm.nih.gov/?term=Greek+National+Dietary+Guidelines+Scientific+Team%5BCorporate+Author%5D" TargetMode="External"/><Relationship Id="rId492" Type="http://schemas.openxmlformats.org/officeDocument/2006/relationships/hyperlink" Target="https://doi.org/10.3389/fpsyg.2017.01454" TargetMode="External"/><Relationship Id="rId548" Type="http://schemas.openxmlformats.org/officeDocument/2006/relationships/hyperlink" Target="https://www.ncbi.nlm.nih.gov/pubmed/?term=Wang%20X%5BAuthor%5D&amp;cauthor=true&amp;cauthor_uid=31088440" TargetMode="External"/><Relationship Id="rId91" Type="http://schemas.openxmlformats.org/officeDocument/2006/relationships/image" Target="media/image54.png"/><Relationship Id="rId145" Type="http://schemas.openxmlformats.org/officeDocument/2006/relationships/hyperlink" Target="https://www.ncbi.nlm.nih.gov/pubmed/?term=Jain%20V%5BAuthor%5D&amp;cauthor=true&amp;cauthor_uid=29177599" TargetMode="External"/><Relationship Id="rId187" Type="http://schemas.openxmlformats.org/officeDocument/2006/relationships/hyperlink" Target="https://pubmed.ncbi.nlm.nih.gov/?term=Didericksen+K&amp;cauthor_id=26163351" TargetMode="External"/><Relationship Id="rId352" Type="http://schemas.openxmlformats.org/officeDocument/2006/relationships/hyperlink" Target="https://pubmed.ncbi.nlm.nih.gov/?term=Takada+K&amp;cauthor_id=31363158" TargetMode="External"/><Relationship Id="rId394" Type="http://schemas.openxmlformats.org/officeDocument/2006/relationships/hyperlink" Target="https://pubmed.ncbi.nlm.nih.gov/?term=Mandigout+S&amp;cauthor_id=29966753" TargetMode="External"/><Relationship Id="rId408" Type="http://schemas.openxmlformats.org/officeDocument/2006/relationships/hyperlink" Target="https://apps.webofknowledge.com/OutboundService.do?SID=C5afOZrhLcrlUxGfPlS&amp;mode=rrcAuthorRecordService&amp;action=go&amp;product=WOS&amp;lang=ru_RU&amp;daisIds=35269460" TargetMode="External"/><Relationship Id="rId212" Type="http://schemas.openxmlformats.org/officeDocument/2006/relationships/hyperlink" Target="https://pubmed.ncbi.nlm.nih.gov/?term=Hou+X&amp;cauthor_id=30441867" TargetMode="External"/><Relationship Id="rId254" Type="http://schemas.openxmlformats.org/officeDocument/2006/relationships/hyperlink" Target="https://apps.webofknowledge.com/OutboundService.do?SID=C5afOZrhLcrlUxGfPlS&amp;mode=rrcAuthorRecordService&amp;action=go&amp;product=WOS&amp;lang=ru_RU&amp;daisIds=29521531" TargetMode="External"/><Relationship Id="rId49" Type="http://schemas.openxmlformats.org/officeDocument/2006/relationships/hyperlink" Target="https://www.ncbi.nlm.nih.gov/pubmed/?term=Wadolowska%20L%5BAuthor%5D&amp;cauthor=true&amp;cauthor_uid=30717465" TargetMode="External"/><Relationship Id="rId114" Type="http://schemas.openxmlformats.org/officeDocument/2006/relationships/hyperlink" Target="http://irbis-nbuv.gov.ua/cgi-bin/irbis_nbuv/cgiirbis_64.exe?Z21ID=&amp;I21DBN=UJRN&amp;P21DBN=UJRN&amp;S21STN=1&amp;S21REF=10&amp;S21FMT=JUU_all&amp;C21COM=S&amp;S21CNR=20&amp;S21P01=0&amp;S21P02=0&amp;S21P03=IJ=&amp;S21COLORTERMS=1&amp;S21STR=%D0%9670307" TargetMode="External"/><Relationship Id="rId296" Type="http://schemas.openxmlformats.org/officeDocument/2006/relationships/hyperlink" Target="https://www.ncbi.nlm.nih.gov/pubmed/?term=Mozgis%20D%5BAuthor%5D&amp;cauthor=true&amp;cauthor_uid=22186122" TargetMode="External"/><Relationship Id="rId461" Type="http://schemas.openxmlformats.org/officeDocument/2006/relationships/hyperlink" Target="https://pubmed.ncbi.nlm.nih.gov/27488255/" TargetMode="External"/><Relationship Id="rId517" Type="http://schemas.openxmlformats.org/officeDocument/2006/relationships/hyperlink" Target="https://pubmed.ncbi.nlm.nih.gov/?term=Chen+CT&amp;cauthor_id=29371008" TargetMode="External"/><Relationship Id="rId559" Type="http://schemas.openxmlformats.org/officeDocument/2006/relationships/image" Target="media/image59.jpeg"/><Relationship Id="rId60" Type="http://schemas.openxmlformats.org/officeDocument/2006/relationships/image" Target="media/image26.png"/><Relationship Id="rId156" Type="http://schemas.openxmlformats.org/officeDocument/2006/relationships/hyperlink" Target="https://www.ncbi.nlm.nih.gov/pubmed/?term=Garcon%20MC%5BAuthor%5D&amp;cauthor=true&amp;cauthor_uid=27820152" TargetMode="External"/><Relationship Id="rId198" Type="http://schemas.openxmlformats.org/officeDocument/2006/relationships/hyperlink" Target="https://pubmed.ncbi.nlm.nih.gov/?term=Christian+DL&amp;cauthor_id=32240204" TargetMode="External"/><Relationship Id="rId321" Type="http://schemas.openxmlformats.org/officeDocument/2006/relationships/hyperlink" Target="https://www.ncbi.nlm.nih.gov/pubmed/?term=Ashley-Martin%20J%5BAuthor%5D&amp;cauthor=true&amp;cauthor_uid=27547554" TargetMode="External"/><Relationship Id="rId363" Type="http://schemas.openxmlformats.org/officeDocument/2006/relationships/hyperlink" Target="https://pubmed.ncbi.nlm.nih.gov/?term=Rivera+F&amp;cauthor_id=31083434" TargetMode="External"/><Relationship Id="rId419" Type="http://schemas.openxmlformats.org/officeDocument/2006/relationships/hyperlink" Target="https://www.ncbi.nlm.nih.gov/pubmed/?term=Rerksuppaphol%20L%5BAuthor%5D&amp;cauthor=true&amp;cauthor_uid=23772011" TargetMode="External"/><Relationship Id="rId570" Type="http://schemas.openxmlformats.org/officeDocument/2006/relationships/image" Target="media/image70.jpeg"/><Relationship Id="rId223" Type="http://schemas.openxmlformats.org/officeDocument/2006/relationships/hyperlink" Target="https://apps.webofknowledge.com/OutboundService.do?SID=C5afOZrhLcrlUxGfPlS&amp;mode=rrcAuthorRecordService&amp;action=go&amp;product=WOS&amp;lang=ru_RU&amp;daisIds=50057" TargetMode="External"/><Relationship Id="rId430" Type="http://schemas.openxmlformats.org/officeDocument/2006/relationships/hyperlink" Target="https://www.ncbi.nlm.nih.gov/pubmed/?term=Grafe%20N%5BAuthor%5D&amp;cauthor=true&amp;cauthor_uid=30673672" TargetMode="External"/><Relationship Id="rId18" Type="http://schemas.openxmlformats.org/officeDocument/2006/relationships/chart" Target="charts/chart1.xml"/><Relationship Id="rId265" Type="http://schemas.openxmlformats.org/officeDocument/2006/relationships/hyperlink" Target="https://pubmed.ncbi.nlm.nih.gov/?term=Saunders+K&amp;cauthor_id=30315130" TargetMode="External"/><Relationship Id="rId472" Type="http://schemas.openxmlformats.org/officeDocument/2006/relationships/hyperlink" Target="https://doi.org/10.1017/s0954579409000042" TargetMode="External"/><Relationship Id="rId528" Type="http://schemas.openxmlformats.org/officeDocument/2006/relationships/hyperlink" Target="https://pubmed.ncbi.nlm.nih.gov/?term=Yu+HJ&amp;cauthor_id=29371008" TargetMode="External"/><Relationship Id="rId125" Type="http://schemas.openxmlformats.org/officeDocument/2006/relationships/hyperlink" Target="https://doi.org/10.15690/pf.v15i4.1948" TargetMode="External"/><Relationship Id="rId167" Type="http://schemas.openxmlformats.org/officeDocument/2006/relationships/hyperlink" Target="https://pubmed.ncbi.nlm.nih.gov/?term=Pasar%C3%ADn+MI&amp;cauthor_id=30753540" TargetMode="External"/><Relationship Id="rId332" Type="http://schemas.openxmlformats.org/officeDocument/2006/relationships/hyperlink" Target="file:///D:\&#1046;.&#1042;\&#1057;&#1087;&#1080;&#1089;&#1086;&#1082;%20&#1083;&#1080;&#1090;&#1077;&#1088;&#1072;&#1090;&#1091;&#1088;&#1099;\141220\Vol.%203" TargetMode="External"/><Relationship Id="rId374" Type="http://schemas.openxmlformats.org/officeDocument/2006/relationships/hyperlink" Target="https://www.ncbi.nlm.nih.gov/pubmed/?term=Wong%20XX%5BAuthor%5D&amp;cauthor=true&amp;cauthor_uid=27180165" TargetMode="External"/><Relationship Id="rId71" Type="http://schemas.openxmlformats.org/officeDocument/2006/relationships/image" Target="media/image36.png"/><Relationship Id="rId234" Type="http://schemas.openxmlformats.org/officeDocument/2006/relationships/hyperlink" Target="https://pubmed.ncbi.nlm.nih.gov/?term=Andersen+JN&amp;cauthor_id=27560512" TargetMode="External"/><Relationship Id="rId2" Type="http://schemas.openxmlformats.org/officeDocument/2006/relationships/numbering" Target="numbering.xml"/><Relationship Id="rId29" Type="http://schemas.openxmlformats.org/officeDocument/2006/relationships/image" Target="media/image8.png"/><Relationship Id="rId276" Type="http://schemas.openxmlformats.org/officeDocument/2006/relationships/hyperlink" Target="https://pubmed.ncbi.nlm.nih.gov/?term=Yoshikawa+T&amp;cauthor_id=29170440" TargetMode="External"/><Relationship Id="rId441" Type="http://schemas.openxmlformats.org/officeDocument/2006/relationships/hyperlink" Target="https://pubmed.ncbi.nlm.nih.gov/?term=Walter+C&amp;cauthor_id=28965191" TargetMode="External"/><Relationship Id="rId483" Type="http://schemas.openxmlformats.org/officeDocument/2006/relationships/hyperlink" Target="https://www.ncbi.nlm.nih.gov/pubmed/?term=%C5%BBmijewski%20P%5BAuthor%5D&amp;cauthor=true&amp;cauthor_uid=26445974" TargetMode="External"/><Relationship Id="rId539" Type="http://schemas.openxmlformats.org/officeDocument/2006/relationships/hyperlink" Target="https://pubmed.ncbi.nlm.nih.gov/?term=Zhang+L&amp;cauthor_id=30429822" TargetMode="External"/><Relationship Id="rId40" Type="http://schemas.openxmlformats.org/officeDocument/2006/relationships/image" Target="media/image14.png"/><Relationship Id="rId136" Type="http://schemas.openxmlformats.org/officeDocument/2006/relationships/hyperlink" Target="https://phsreda.com/ru/action/153/info" TargetMode="External"/><Relationship Id="rId178" Type="http://schemas.openxmlformats.org/officeDocument/2006/relationships/hyperlink" Target="https://pubmed.ncbi.nlm.nih.gov/?term=Gundogan+NU&amp;cauthor_id=25988674" TargetMode="External"/><Relationship Id="rId301" Type="http://schemas.openxmlformats.org/officeDocument/2006/relationships/hyperlink" Target="https://pubmed.ncbi.nlm.nih.gov/?term=Kastorini+CM&amp;cauthor_id=31111809" TargetMode="External"/><Relationship Id="rId343" Type="http://schemas.openxmlformats.org/officeDocument/2006/relationships/hyperlink" Target="https://pubmed.ncbi.nlm.nih.gov/?term=Tesler+R&amp;cauthor_id=31500252" TargetMode="External"/><Relationship Id="rId550" Type="http://schemas.openxmlformats.org/officeDocument/2006/relationships/hyperlink" Target="https://www.ncbi.nlm.nih.gov/pubmed/?term=Wang%20Y%5BAuthor%5D&amp;cauthor=true&amp;cauthor_uid=31088440" TargetMode="External"/><Relationship Id="rId82" Type="http://schemas.openxmlformats.org/officeDocument/2006/relationships/image" Target="media/image45.png"/><Relationship Id="rId203" Type="http://schemas.openxmlformats.org/officeDocument/2006/relationships/hyperlink" Target="https://pubmed.ncbi.nlm.nih.gov/?term=Rapport+F&amp;cauthor_id=32240204" TargetMode="External"/><Relationship Id="rId385" Type="http://schemas.openxmlformats.org/officeDocument/2006/relationships/hyperlink" Target="https://pubmed.ncbi.nlm.nih.gov/?term=Yoshikawa+T&amp;cauthor_id=31968008" TargetMode="External"/><Relationship Id="rId245" Type="http://schemas.openxmlformats.org/officeDocument/2006/relationships/hyperlink" Target="https://doi.org/10.1007/s10484-020-09488-7" TargetMode="External"/><Relationship Id="rId287" Type="http://schemas.openxmlformats.org/officeDocument/2006/relationships/hyperlink" Target="https://pubmed.ncbi.nlm.nih.gov/?term=Peterson+KE&amp;cauthor_id=30055773" TargetMode="External"/><Relationship Id="rId410" Type="http://schemas.openxmlformats.org/officeDocument/2006/relationships/hyperlink" Target="https://apps.webofknowledge.com/OutboundService.do?SID=C5afOZrhLcrlUxGfPlS&amp;mode=rrcAuthorRecordService&amp;action=go&amp;product=WOS&amp;lang=ru_RU&amp;daisIds=7458096" TargetMode="External"/><Relationship Id="rId452" Type="http://schemas.openxmlformats.org/officeDocument/2006/relationships/hyperlink" Target="https://doi.org/10.1590/S0034-89102009000900006" TargetMode="External"/><Relationship Id="rId494" Type="http://schemas.openxmlformats.org/officeDocument/2006/relationships/hyperlink" Target="https://pubmed.ncbi.nlm.nih.gov/?term=Moreno+Villares+JM&amp;cauthor_id=31682460" TargetMode="External"/><Relationship Id="rId508" Type="http://schemas.openxmlformats.org/officeDocument/2006/relationships/hyperlink" Target="https://pubmed.ncbi.nlm.nih.gov/?term=Suominen+S&amp;cauthor_id=27401884" TargetMode="External"/><Relationship Id="rId105" Type="http://schemas.openxmlformats.org/officeDocument/2006/relationships/hyperlink" Target="http://psyedu.ru/journal/2014/1/index.phtml" TargetMode="External"/><Relationship Id="rId147" Type="http://schemas.openxmlformats.org/officeDocument/2006/relationships/hyperlink" Target="https://pubmed.ncbi.nlm.nih.gov/?term=Alabi+AS&amp;cauthor_id=30264768" TargetMode="External"/><Relationship Id="rId312" Type="http://schemas.openxmlformats.org/officeDocument/2006/relationships/hyperlink" Target="https://doi.org/10.1093/eurpub/ckv027" TargetMode="External"/><Relationship Id="rId354" Type="http://schemas.openxmlformats.org/officeDocument/2006/relationships/hyperlink" Target="https://pubmed.ncbi.nlm.nih.gov/?term=Yoshikawa+T&amp;cauthor_id=31363158" TargetMode="External"/><Relationship Id="rId51" Type="http://schemas.openxmlformats.org/officeDocument/2006/relationships/hyperlink" Target="http://apps.webofknowledge.com/OutboundService.do?SID=F1RYV4SjUFk2zvtZ283&amp;mode=rrcAuthorRecordService&amp;action=go&amp;product=WOS&amp;daisIds=8172558" TargetMode="External"/><Relationship Id="rId93" Type="http://schemas.openxmlformats.org/officeDocument/2006/relationships/image" Target="media/image56.png"/><Relationship Id="rId189" Type="http://schemas.openxmlformats.org/officeDocument/2006/relationships/hyperlink" Target="https://pubmed.ncbi.nlm.nih.gov/?term=Neumark-Sztainer+D&amp;cauthor_id=26163351" TargetMode="External"/><Relationship Id="rId396" Type="http://schemas.openxmlformats.org/officeDocument/2006/relationships/hyperlink" Target="https://pubmed.ncbi.nlm.nih.gov/?term=Soria+Garcia+N&amp;cauthor_id=29966753" TargetMode="External"/><Relationship Id="rId561" Type="http://schemas.openxmlformats.org/officeDocument/2006/relationships/image" Target="media/image61.jpeg"/><Relationship Id="rId214" Type="http://schemas.openxmlformats.org/officeDocument/2006/relationships/hyperlink" Target="https://pubmed.ncbi.nlm.nih.gov/24377435/" TargetMode="External"/><Relationship Id="rId256" Type="http://schemas.openxmlformats.org/officeDocument/2006/relationships/hyperlink" Target="https://pubmed.ncbi.nlm.nih.gov/?term=Duan+JL&amp;cauthor_id=29121045" TargetMode="External"/><Relationship Id="rId298" Type="http://schemas.openxmlformats.org/officeDocument/2006/relationships/hyperlink" Target="https://www.ncbi.nlm.nih.gov/pubmed/?term=Knipse%20G%5BAuthor%5D&amp;cauthor=true&amp;cauthor_uid=22186122" TargetMode="External"/><Relationship Id="rId421" Type="http://schemas.openxmlformats.org/officeDocument/2006/relationships/hyperlink" Target="https://www.ncbi.nlm.nih.gov/pubmed/23772011" TargetMode="External"/><Relationship Id="rId463" Type="http://schemas.openxmlformats.org/officeDocument/2006/relationships/hyperlink" Target="https://www.ncbi.nlm.nih.gov/pubmed/?term=Li%20X%5BAuthor%5D&amp;cauthor=true&amp;cauthor_uid=27314368" TargetMode="External"/><Relationship Id="rId519" Type="http://schemas.openxmlformats.org/officeDocument/2006/relationships/hyperlink" Target="https://pubmed.ncbi.nlm.nih.gov/?term=Sun+CC&amp;cauthor_id=29371008" TargetMode="External"/><Relationship Id="rId1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95%D0%BA%D0%BE%D0%BD." TargetMode="External"/><Relationship Id="rId158" Type="http://schemas.openxmlformats.org/officeDocument/2006/relationships/hyperlink" Target="https://www.ncbi.nlm.nih.gov/pubmed/?term=Rubiano%20R%5BAuthor%5D&amp;cauthor=true&amp;cauthor_uid=27820152" TargetMode="External"/><Relationship Id="rId323" Type="http://schemas.openxmlformats.org/officeDocument/2006/relationships/hyperlink" Target="https://www.ncbi.nlm.nih.gov/pubmed/?term=Hamilton%20DC%5BAuthor%5D&amp;cauthor=true&amp;cauthor_uid=27547554" TargetMode="External"/><Relationship Id="rId530" Type="http://schemas.openxmlformats.org/officeDocument/2006/relationships/hyperlink" Target="https://pubmed.ncbi.nlm.nih.gov/?term=Tsai+CL&amp;cauthor_id=29371008" TargetMode="External"/><Relationship Id="rId20" Type="http://schemas.openxmlformats.org/officeDocument/2006/relationships/image" Target="media/image3.png"/><Relationship Id="rId62" Type="http://schemas.openxmlformats.org/officeDocument/2006/relationships/image" Target="media/image28.png"/><Relationship Id="rId365" Type="http://schemas.openxmlformats.org/officeDocument/2006/relationships/hyperlink" Target="https://pubmed.ncbi.nlm.nih.gov/?term=French+AN&amp;cauthor_id=28951126" TargetMode="External"/><Relationship Id="rId572" Type="http://schemas.openxmlformats.org/officeDocument/2006/relationships/image" Target="media/image72.jpeg"/><Relationship Id="rId225" Type="http://schemas.openxmlformats.org/officeDocument/2006/relationships/hyperlink" Target="https://apps.webofknowledge.com/OutboundService.do?SID=C5afOZrhLcrlUxGfPlS&amp;mode=rrcAuthorRecordService&amp;action=go&amp;product=WOS&amp;lang=ru_RU&amp;daisIds=32156860" TargetMode="External"/><Relationship Id="rId267" Type="http://schemas.openxmlformats.org/officeDocument/2006/relationships/hyperlink" Target="http://www.tandfonline.com/author/Hart%2C+Melissa" TargetMode="External"/><Relationship Id="rId432" Type="http://schemas.openxmlformats.org/officeDocument/2006/relationships/hyperlink" Target="https://www.ncbi.nlm.nih.gov/pubmed/?term=Schlingmann%20M%5BAuthor%5D&amp;cauthor=true&amp;cauthor_uid=30673672" TargetMode="External"/><Relationship Id="rId474" Type="http://schemas.openxmlformats.org/officeDocument/2006/relationships/hyperlink" Target="https://apps.webofknowledge.com/DaisyOneClickSearch.do?product=WOS&amp;search_mode=DaisyOneClickSearch&amp;colName=WOS&amp;SID=C3jVupjBedN23G8SlFj&amp;author_name=Tan,%20Xiao&amp;dais_id=3062773&amp;excludeEventConfig=ExcludeIfFromFullRecPage" TargetMode="External"/><Relationship Id="rId127" Type="http://schemas.openxmlformats.org/officeDocument/2006/relationships/hyperlink" Target="http://repo.knmu.edu.ua/bitstream/123456789/24216/1/%D0%9F%D0%B5%D1%82%D1%80%D0%B5%D0%BD%D0%BA%D0%BE%20%D0%90.pdf" TargetMode="External"/><Relationship Id="rId31" Type="http://schemas.openxmlformats.org/officeDocument/2006/relationships/image" Target="media/image10.jpeg"/><Relationship Id="rId73" Type="http://schemas.microsoft.com/office/2007/relationships/hdphoto" Target="media/hdphoto1.wdp"/><Relationship Id="rId169" Type="http://schemas.openxmlformats.org/officeDocument/2006/relationships/hyperlink" Target="https://pubmed.ncbi.nlm.nih.gov/?term=Rajmil+L&amp;cauthor_id=30753540" TargetMode="External"/><Relationship Id="rId334" Type="http://schemas.openxmlformats.org/officeDocument/2006/relationships/hyperlink" Target="https://pubmed.ncbi.nlm.nih.gov/?term=Lancia+S&amp;cauthor_id=29376100" TargetMode="External"/><Relationship Id="rId376" Type="http://schemas.openxmlformats.org/officeDocument/2006/relationships/hyperlink" Target="https://www.ncbi.nlm.nih.gov/pubmed/?term=Murasko%20JE%5BAuthor%5D&amp;cauthor=true&amp;cauthor_uid=21945820" TargetMode="External"/><Relationship Id="rId541" Type="http://schemas.openxmlformats.org/officeDocument/2006/relationships/hyperlink" Target="https://pubmed.ncbi.nlm.nih.gov/?term=Yuan+X&amp;cauthor_id=26582296" TargetMode="External"/><Relationship Id="rId4" Type="http://schemas.microsoft.com/office/2007/relationships/stylesWithEffects" Target="stylesWithEffects.xml"/><Relationship Id="rId180" Type="http://schemas.openxmlformats.org/officeDocument/2006/relationships/hyperlink" Target="https://pubmed.ncbi.nlm.nih.gov/?term=Baldock+J&amp;cauthor_id=30461386" TargetMode="External"/><Relationship Id="rId236" Type="http://schemas.openxmlformats.org/officeDocument/2006/relationships/hyperlink" Target="https://pubmed.ncbi.nlm.nih.gov/?term=Korup+V&amp;cauthor_id=27560512" TargetMode="External"/><Relationship Id="rId278" Type="http://schemas.openxmlformats.org/officeDocument/2006/relationships/hyperlink" Target="https://doi" TargetMode="External"/><Relationship Id="rId401" Type="http://schemas.openxmlformats.org/officeDocument/2006/relationships/hyperlink" Target="https://pubmed.ncbi.nlm.nih.gov/22834272/" TargetMode="External"/><Relationship Id="rId443" Type="http://schemas.openxmlformats.org/officeDocument/2006/relationships/hyperlink" Target="https://pubmed.ncbi.nlm.nih.gov/?term=Steinmann+P&amp;cauthor_id=28965191" TargetMode="External"/><Relationship Id="rId303" Type="http://schemas.openxmlformats.org/officeDocument/2006/relationships/hyperlink" Target="https://pubmed.ncbi.nlm.nih.gov/?term=Zota+D&amp;cauthor_id=31111809" TargetMode="External"/><Relationship Id="rId485" Type="http://schemas.openxmlformats.org/officeDocument/2006/relationships/hyperlink" Target="https://www.ncbi.nlm.nih.gov/pubmed/?term=Sienkiewicz-Dianzenza%20E%5BAuthor%5D&amp;cauthor=true&amp;cauthor_uid=26445974" TargetMode="External"/><Relationship Id="rId42" Type="http://schemas.openxmlformats.org/officeDocument/2006/relationships/image" Target="media/image16.png"/><Relationship Id="rId84" Type="http://schemas.openxmlformats.org/officeDocument/2006/relationships/image" Target="media/image47.png"/><Relationship Id="rId138" Type="http://schemas.openxmlformats.org/officeDocument/2006/relationships/hyperlink" Target="https://www.google.com/url?sa=t&amp;rct=j&amp;q=&amp;esrc=s&amp;source=web&amp;cd=&amp;cad=rja&amp;uact=8&amp;ved=2ahUKEwjlzbDNw5DuAhUEgRoKHacwCAI4FBAWMAV6BAgLEAI&amp;url=http%3A%2F%2Frepository.ldufk.edu.ua%2Fbitstream%2F34606048%2F3118%2F1%2FZdorova_shkola_aspekty_monitoryngu.pdf&amp;usg=AOvVaw0FnvAV0OgOcMw7UUZHgHiL" TargetMode="External"/><Relationship Id="rId345" Type="http://schemas.openxmlformats.org/officeDocument/2006/relationships/hyperlink" Target="https://pubmed.ncbi.nlm.nih.gov/?term=Peralta+M&amp;cauthor_id=31500252" TargetMode="External"/><Relationship Id="rId387" Type="http://schemas.openxmlformats.org/officeDocument/2006/relationships/hyperlink" Target="https://pubmed.ncbi.nlm.nih.gov/29204421/" TargetMode="External"/><Relationship Id="rId510" Type="http://schemas.openxmlformats.org/officeDocument/2006/relationships/hyperlink" Target="https://pubmed.ncbi.nlm.nih.gov/?term=Crowne+EC&amp;cauthor_id=26353794" TargetMode="External"/><Relationship Id="rId552" Type="http://schemas.openxmlformats.org/officeDocument/2006/relationships/hyperlink" Target="https://www.ncbi.nlm.nih.gov/pubmed/?term=Zhou%20H%5BAuthor%5D&amp;cauthor=true&amp;cauthor_uid=31088440" TargetMode="External"/><Relationship Id="rId191" Type="http://schemas.openxmlformats.org/officeDocument/2006/relationships/hyperlink" Target="https://pubmed.ncbi.nlm.nih.gov/?term=Park+SK&amp;cauthor_id=30181883" TargetMode="External"/><Relationship Id="rId205" Type="http://schemas.openxmlformats.org/officeDocument/2006/relationships/hyperlink" Target="https://doi.org/10.1080/02783193.2017.1393711" TargetMode="External"/><Relationship Id="rId247" Type="http://schemas.openxmlformats.org/officeDocument/2006/relationships/hyperlink" Target="https://pubmed.ncbi.nlm.nih.gov/?term=Kanclerz+P&amp;cauthor_id=31937276" TargetMode="External"/><Relationship Id="rId412" Type="http://schemas.openxmlformats.org/officeDocument/2006/relationships/hyperlink" Target="https://apps.webofknowledge.com/OutboundService.do?SID=C5afOZrhLcrlUxGfPlS&amp;mode=rrcAuthorRecordService&amp;action=go&amp;product=WOS&amp;lang=ru_RU&amp;daisIds=2591933" TargetMode="External"/><Relationship Id="rId107" Type="http://schemas.openxmlformats.org/officeDocument/2006/relationships/hyperlink" Target="https://cyberleninka.ru/journal/n/voprosy-nauki-i-obrazovaniya" TargetMode="External"/><Relationship Id="rId289" Type="http://schemas.openxmlformats.org/officeDocument/2006/relationships/hyperlink" Target="https://pubmed.ncbi.nlm.nih.gov/31651272/" TargetMode="External"/><Relationship Id="rId454" Type="http://schemas.openxmlformats.org/officeDocument/2006/relationships/hyperlink" Target="https://pubmed.ncbi.nlm.nih.gov/?term=Viana-Saenz+L&amp;cauthor_id=26922961" TargetMode="External"/><Relationship Id="rId496" Type="http://schemas.openxmlformats.org/officeDocument/2006/relationships/hyperlink" Target="https://pubmed.ncbi.nlm.nih.gov/31682460/" TargetMode="External"/><Relationship Id="rId11" Type="http://schemas.openxmlformats.org/officeDocument/2006/relationships/hyperlink" Target="https://doi.org/10.31612/2616-4868.4(14).2020.05" TargetMode="External"/><Relationship Id="rId53" Type="http://schemas.openxmlformats.org/officeDocument/2006/relationships/image" Target="media/image23.png"/><Relationship Id="rId149" Type="http://schemas.openxmlformats.org/officeDocument/2006/relationships/hyperlink" Target="https://pubmed.ncbi.nlm.nih.gov/?term=Alabi+AO&amp;cauthor_id=30264768" TargetMode="External"/><Relationship Id="rId314" Type="http://schemas.openxmlformats.org/officeDocument/2006/relationships/hyperlink" Target="https://doi.org/10.1002/smi.1180" TargetMode="External"/><Relationship Id="rId356" Type="http://schemas.openxmlformats.org/officeDocument/2006/relationships/hyperlink" Target="https://doi.org/10.1016/j.biopsycho.2013.08.005" TargetMode="External"/><Relationship Id="rId398" Type="http://schemas.openxmlformats.org/officeDocument/2006/relationships/hyperlink" Target="https://pubmed.ncbi.nlm.nih.gov/?term=Berthoz+A&amp;cauthor_id=29966753" TargetMode="External"/><Relationship Id="rId521" Type="http://schemas.openxmlformats.org/officeDocument/2006/relationships/hyperlink" Target="https://pubmed.ncbi.nlm.nih.gov/?term=Huang+HM&amp;cauthor_id=29371008" TargetMode="External"/><Relationship Id="rId563" Type="http://schemas.openxmlformats.org/officeDocument/2006/relationships/image" Target="media/image63.jpeg"/><Relationship Id="rId95" Type="http://schemas.openxmlformats.org/officeDocument/2006/relationships/hyperlink" Target="http://www.vestar.ru/person.jsp?id=1260" TargetMode="External"/><Relationship Id="rId160" Type="http://schemas.openxmlformats.org/officeDocument/2006/relationships/hyperlink" Target="https://www.ncbi.nlm.nih.gov/pubmed/27820152" TargetMode="External"/><Relationship Id="rId216" Type="http://schemas.openxmlformats.org/officeDocument/2006/relationships/hyperlink" Target="https://apps.webofknowledge.com/OutboundService.do?SID=C5afOZrhLcrlUxGfPlS&amp;mode=rrcAuthorRecordService&amp;action=go&amp;product=WOS&amp;lang=ru_RU&amp;daisIds=34862300" TargetMode="External"/><Relationship Id="rId423" Type="http://schemas.openxmlformats.org/officeDocument/2006/relationships/hyperlink" Target="https://www.ncbi.nlm.nih.gov/pubmed/?term=Leal%20DB%5BAuthor%5D&amp;cauthor=true&amp;cauthor_uid=24896796" TargetMode="External"/><Relationship Id="rId258" Type="http://schemas.openxmlformats.org/officeDocument/2006/relationships/hyperlink" Target="https://pubmed.ncbi.nlm.nih.gov/?term=Sun+Y&amp;cauthor_id=29121045" TargetMode="External"/><Relationship Id="rId465" Type="http://schemas.openxmlformats.org/officeDocument/2006/relationships/hyperlink" Target="https://www.ncbi.nlm.nih.gov/pubmed/?term=Flores%20AB%5BAuthor%5D&amp;cauthor=true&amp;cauthor_uid=27314368" TargetMode="External"/><Relationship Id="rId22" Type="http://schemas.openxmlformats.org/officeDocument/2006/relationships/hyperlink" Target="https://pubmed.ncbi.nlm.nih.gov/?term=Ariza+C&amp;cauthor_id=30753540" TargetMode="External"/><Relationship Id="rId64" Type="http://schemas.openxmlformats.org/officeDocument/2006/relationships/image" Target="media/image29.png"/><Relationship Id="rId1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748" TargetMode="External"/><Relationship Id="rId325" Type="http://schemas.openxmlformats.org/officeDocument/2006/relationships/hyperlink" Target="https://www.ncbi.nlm.nih.gov/pubmed/?term=Kuhle%20S%5BAuthor%5D&amp;cauthor=true&amp;cauthor_uid=26176769" TargetMode="External"/><Relationship Id="rId367" Type="http://schemas.openxmlformats.org/officeDocument/2006/relationships/hyperlink" Target="https://pubmed.ncbi.nlm.nih.gov/?term=Guo+X&amp;cauthor_id=28951126" TargetMode="External"/><Relationship Id="rId532" Type="http://schemas.openxmlformats.org/officeDocument/2006/relationships/hyperlink" Target="https://pubmed.ncbi.nlm.nih.gov/?term=Yang+YH&amp;cauthor_id=29371008" TargetMode="External"/><Relationship Id="rId574" Type="http://schemas.openxmlformats.org/officeDocument/2006/relationships/image" Target="media/image74.jpeg"/><Relationship Id="rId171" Type="http://schemas.openxmlformats.org/officeDocument/2006/relationships/hyperlink" Target="https://pubmed.ncbi.nlm.nih.gov/?term=Ayala-Moreno+MR&amp;cauthor_id=30250316" TargetMode="External"/><Relationship Id="rId227" Type="http://schemas.openxmlformats.org/officeDocument/2006/relationships/hyperlink" Target="http://apps.webofknowledge.com/OutboundService.do?SID=D5N2zrsWyExHNTt5jrb&amp;mode=rrcAuthorRecordService&amp;action=go&amp;product=WOS&amp;daisIds=6259288" TargetMode="External"/><Relationship Id="rId269" Type="http://schemas.openxmlformats.org/officeDocument/2006/relationships/hyperlink" Target="https://doi.org/10.1080/21662630.2015.1130536" TargetMode="External"/><Relationship Id="rId434" Type="http://schemas.openxmlformats.org/officeDocument/2006/relationships/hyperlink" Target="https://www.ncbi.nlm.nih.gov/pubmed/?term=Kiess%20W%5BAuthor%5D&amp;cauthor=true&amp;cauthor_uid=30673672" TargetMode="External"/><Relationship Id="rId476" Type="http://schemas.openxmlformats.org/officeDocument/2006/relationships/hyperlink" Target="https://apps.webofknowledge.com/DaisyOneClickSearch.do?product=WOS&amp;search_mode=DaisyOneClickSearch&amp;colName=WOS&amp;SID=C3jVupjBedN23G8SlFj&amp;author_name=Lindberg,%20Eva&amp;dais_id=8780974&amp;excludeEventConfig=ExcludeIfFromFullRecPage" TargetMode="External"/><Relationship Id="rId33" Type="http://schemas.openxmlformats.org/officeDocument/2006/relationships/chart" Target="charts/chart3.xml"/><Relationship Id="rId1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793" TargetMode="External"/><Relationship Id="rId280" Type="http://schemas.openxmlformats.org/officeDocument/2006/relationships/hyperlink" Target="https://pubmed.ncbi.nlm.nih.gov/?term=Zayed+K&amp;cauthor_id=30640912" TargetMode="External"/><Relationship Id="rId336" Type="http://schemas.openxmlformats.org/officeDocument/2006/relationships/hyperlink" Target="https://pubmed.ncbi.nlm.nih.gov/?term=Carrieri+M&amp;cauthor_id=29376100" TargetMode="External"/><Relationship Id="rId501" Type="http://schemas.openxmlformats.org/officeDocument/2006/relationships/hyperlink" Target="https://pubmed.ncbi.nlm.nih.gov/?term=Santalahti+P&amp;cauthor_id=27401884" TargetMode="External"/><Relationship Id="rId543" Type="http://schemas.openxmlformats.org/officeDocument/2006/relationships/hyperlink" Target="https://pubmed.ncbi.nlm.nih.gov/?term=Feresu+SA&amp;cauthor_id=26582296" TargetMode="External"/><Relationship Id="rId75" Type="http://schemas.microsoft.com/office/2007/relationships/hdphoto" Target="media/hdphoto2.wdp"/><Relationship Id="rId140" Type="http://schemas.openxmlformats.org/officeDocument/2006/relationships/hyperlink" Target="https://www.ncbi.nlm.nih.gov/pubmed/?term=Nagelkerke%20N%5BAuthor%5D&amp;cauthor=true&amp;cauthor_uid=21568821" TargetMode="External"/><Relationship Id="rId182" Type="http://schemas.openxmlformats.org/officeDocument/2006/relationships/hyperlink" Target="https://pubmed.ncbi.nlm.nih.gov/?term=van+Steenbrugge+W&amp;cauthor_id=30461386" TargetMode="External"/><Relationship Id="rId378" Type="http://schemas.openxmlformats.org/officeDocument/2006/relationships/hyperlink" Target="https://pubmed.ncbi.nlm.nih.gov/?term=Nakamura+C&amp;cauthor_id=31968008" TargetMode="External"/><Relationship Id="rId403" Type="http://schemas.openxmlformats.org/officeDocument/2006/relationships/hyperlink" Target="https://pubmed.ncbi.nlm.nih.gov/?term=Goncalves+CWP&amp;cauthor_id=31516073" TargetMode="External"/><Relationship Id="rId6" Type="http://schemas.openxmlformats.org/officeDocument/2006/relationships/webSettings" Target="webSettings.xml"/><Relationship Id="rId238" Type="http://schemas.openxmlformats.org/officeDocument/2006/relationships/hyperlink" Target="https://pubmed.ncbi.nlm.nih.gov/?term=Wienecke+J&amp;cauthor_id=27560512" TargetMode="External"/><Relationship Id="rId445" Type="http://schemas.openxmlformats.org/officeDocument/2006/relationships/hyperlink" Target="https://doi.org/10.5935/abc.20190185" TargetMode="External"/><Relationship Id="rId487" Type="http://schemas.openxmlformats.org/officeDocument/2006/relationships/hyperlink" Target="https://pubmed.ncbi.nlm.nih.gov/?term=Turesky+TK&amp;cauthor_id=29611256" TargetMode="External"/><Relationship Id="rId291" Type="http://schemas.openxmlformats.org/officeDocument/2006/relationships/hyperlink" Target="https://pubmed.ncbi.nlm.nih.gov/31921476/" TargetMode="External"/><Relationship Id="rId305" Type="http://schemas.openxmlformats.org/officeDocument/2006/relationships/hyperlink" Target="https://pubmed.ncbi.nlm.nih.gov/?term=Nagarajan+MK&amp;cauthor_id=31111809" TargetMode="External"/><Relationship Id="rId347" Type="http://schemas.openxmlformats.org/officeDocument/2006/relationships/hyperlink" Target="https://pubmed.ncbi.nlm.nih.gov/?term=Matsuo+T&amp;cauthor_id=31363158" TargetMode="External"/><Relationship Id="rId512" Type="http://schemas.openxmlformats.org/officeDocument/2006/relationships/hyperlink" Target="https://apps.webofknowledge.com/OutboundService.do?SID=C5afOZrhLcrlUxGfPlS&amp;mode=rrcAuthorRecordService&amp;action=go&amp;product=WOS&amp;lang=ru_RU&amp;daisIds=8136000" TargetMode="External"/><Relationship Id="rId44" Type="http://schemas.openxmlformats.org/officeDocument/2006/relationships/image" Target="media/image18.png"/><Relationship Id="rId86" Type="http://schemas.openxmlformats.org/officeDocument/2006/relationships/image" Target="media/image49.png"/><Relationship Id="rId151" Type="http://schemas.openxmlformats.org/officeDocument/2006/relationships/hyperlink" Target="https://pubmed.ncbi.nlm.nih.gov/?term=Onakoya+AO&amp;cauthor_id=30264768" TargetMode="External"/><Relationship Id="rId389" Type="http://schemas.openxmlformats.org/officeDocument/2006/relationships/hyperlink" Target="https://pubmed.ncbi.nlm.nih.gov/?term=P%C3%A4rssinen+O&amp;cauthor_id=27369316" TargetMode="External"/><Relationship Id="rId554" Type="http://schemas.openxmlformats.org/officeDocument/2006/relationships/hyperlink" Target="https://doi.org/10.11603/1681-2786.2020.3.11618" TargetMode="External"/><Relationship Id="rId193" Type="http://schemas.openxmlformats.org/officeDocument/2006/relationships/hyperlink" Target="https://pubmed.ncbi.nlm.nih.gov/?term=Jeon+MJ&amp;cauthor_id=30181883" TargetMode="External"/><Relationship Id="rId207" Type="http://schemas.openxmlformats.org/officeDocument/2006/relationships/hyperlink" Target="https://www.ncbi.nlm.nih.gov/pubmed/?term=Dobashi%20K%5BAuthor%5D&amp;cauthor=true&amp;cauthor_uid=26510873" TargetMode="External"/><Relationship Id="rId249" Type="http://schemas.openxmlformats.org/officeDocument/2006/relationships/hyperlink" Target="https://pubmed.ncbi.nlm.nih.gov/?term=Lanca+C&amp;cauthor_id=31937276" TargetMode="External"/><Relationship Id="rId414" Type="http://schemas.openxmlformats.org/officeDocument/2006/relationships/hyperlink" Target="https://apps.webofknowledge.com/OutboundService.do?SID=C5afOZrhLcrlUxGfPlS&amp;mode=rrcAuthorRecordService&amp;action=go&amp;product=WOS&amp;lang=ru_RU&amp;daisIds=35336273" TargetMode="External"/><Relationship Id="rId456" Type="http://schemas.openxmlformats.org/officeDocument/2006/relationships/hyperlink" Target="https://www.ncbi.nlm.nih.gov/pubmed/23017853" TargetMode="External"/><Relationship Id="rId498" Type="http://schemas.openxmlformats.org/officeDocument/2006/relationships/hyperlink" Target="https://pubmed.ncbi.nlm.nih.gov/?term=Volanen+SM&amp;cauthor_id=27401884" TargetMode="External"/><Relationship Id="rId13" Type="http://schemas.openxmlformats.org/officeDocument/2006/relationships/hyperlink" Target="https://apps.webofknowledge.com/OutboundService.do?SID=C5afOZrhLcrlUxGfPlS&amp;mode=rrcAuthorRecordService&amp;action=go&amp;product=WOS&amp;lang=ru_RU&amp;daisIds=8136000" TargetMode="External"/><Relationship Id="rId109" Type="http://schemas.openxmlformats.org/officeDocument/2006/relationships/hyperlink" Target="https://doi.org/10.32402/dovkil2017.03.029" TargetMode="External"/><Relationship Id="rId260" Type="http://schemas.openxmlformats.org/officeDocument/2006/relationships/hyperlink" Target="https://pubmed.ncbi.nlm.nih.gov/?term=Lv+YY&amp;cauthor_id=29121045" TargetMode="External"/><Relationship Id="rId316" Type="http://schemas.openxmlformats.org/officeDocument/2006/relationships/hyperlink" Target="https://www.ncbi.nlm.nih.gov/pubmed/?term=Kromeyer-Hauschild%20K%5BAuthor%5D&amp;cauthor=true&amp;cauthor_uid=22252105" TargetMode="External"/><Relationship Id="rId523" Type="http://schemas.openxmlformats.org/officeDocument/2006/relationships/hyperlink" Target="https://pubmed.ncbi.nlm.nih.gov/?term=Yang+ML&amp;cauthor_id=29371008" TargetMode="External"/><Relationship Id="rId55" Type="http://schemas.openxmlformats.org/officeDocument/2006/relationships/image" Target="media/image25.png"/><Relationship Id="rId97" Type="http://schemas.openxmlformats.org/officeDocument/2006/relationships/hyperlink" Target="http://www.vestar.ru/person.jsp?id=1261" TargetMode="External"/><Relationship Id="rId120" Type="http://schemas.openxmlformats.org/officeDocument/2006/relationships/hyperlink" Target="https://cyberleninka.ru/journal/n/gigiena-i-sanitariya" TargetMode="External"/><Relationship Id="rId358" Type="http://schemas.openxmlformats.org/officeDocument/2006/relationships/hyperlink" Target="https://doi.org/10.1007/s11205-014-0842-0" TargetMode="External"/><Relationship Id="rId565" Type="http://schemas.openxmlformats.org/officeDocument/2006/relationships/image" Target="media/image65.jpeg"/><Relationship Id="rId162" Type="http://schemas.openxmlformats.org/officeDocument/2006/relationships/hyperlink" Target="https://pubmed.ncbi.nlm.nih.gov/?term=Ariza+C&amp;cauthor_id=30753540" TargetMode="External"/><Relationship Id="rId218" Type="http://schemas.openxmlformats.org/officeDocument/2006/relationships/hyperlink" Target="https://apps.webofknowledge.com/OutboundService.do?SID=C5afOZrhLcrlUxGfPlS&amp;mode=rrcAuthorRecordService&amp;action=go&amp;product=WOS&amp;lang=ru_RU&amp;daisIds=65804" TargetMode="External"/><Relationship Id="rId425" Type="http://schemas.openxmlformats.org/officeDocument/2006/relationships/hyperlink" Target="https://www.ncbi.nlm.nih.gov/pubmed/24896796" TargetMode="External"/><Relationship Id="rId467" Type="http://schemas.openxmlformats.org/officeDocument/2006/relationships/hyperlink" Target="https://www.ncbi.nlm.nih.gov/pubmed/27314368" TargetMode="External"/><Relationship Id="rId271" Type="http://schemas.openxmlformats.org/officeDocument/2006/relationships/hyperlink" Target="https://apps.webofknowledge.com/DaisyOneClickSearch.do?product=WOS&amp;search_mode=DaisyOneClickSearch&amp;colName=WOS&amp;SID=C42rNsRd7dRVrQxQWdU&amp;author_name=Elkins,%20R.%20Meredith&amp;dais_id=2682620&amp;excludeEventConfig=ExcludeIfFromFullRecPage" TargetMode="External"/><Relationship Id="rId24" Type="http://schemas.openxmlformats.org/officeDocument/2006/relationships/hyperlink" Target="https://pubmed.ncbi.nlm.nih.gov/?term=Deng+L&amp;cauthor_id=29755388" TargetMode="External"/><Relationship Id="rId66" Type="http://schemas.openxmlformats.org/officeDocument/2006/relationships/image" Target="media/image31.png"/><Relationship Id="rId131" Type="http://schemas.openxmlformats.org/officeDocument/2006/relationships/hyperlink" Target="http://&#1075;&#1072;&#1088;&#1084;&#1086;&#1085;&#1110;&#1079;&#1091;&#1102;&#1095;&#1072;-&#1086;&#1089;&#1074;&#1110;&#1090;&#1072;.org/index.html" TargetMode="External"/><Relationship Id="rId327" Type="http://schemas.openxmlformats.org/officeDocument/2006/relationships/hyperlink" Target="https://www.ncbi.nlm.nih.gov/pubmed/?term=Ata%20N%5BAuthor%5D&amp;cauthor=true&amp;cauthor_uid=26176769" TargetMode="External"/><Relationship Id="rId369" Type="http://schemas.openxmlformats.org/officeDocument/2006/relationships/hyperlink" Target="https://pubmed.ncbi.nlm.nih.gov/?term=He+M&amp;cauthor_id=28951126" TargetMode="External"/><Relationship Id="rId534" Type="http://schemas.openxmlformats.org/officeDocument/2006/relationships/hyperlink" Target="https://pubmed.ncbi.nlm.nih.gov/?term=Ni+GX&amp;cauthor_id=23025289" TargetMode="External"/><Relationship Id="rId576" Type="http://schemas.openxmlformats.org/officeDocument/2006/relationships/header" Target="header2.xml"/><Relationship Id="rId173" Type="http://schemas.openxmlformats.org/officeDocument/2006/relationships/hyperlink" Target="https://pubmed.ncbi.nlm.nih.gov/?term=Vergara-Casta%C3%B1eda+A&amp;cauthor_id=30250316" TargetMode="External"/><Relationship Id="rId229" Type="http://schemas.openxmlformats.org/officeDocument/2006/relationships/hyperlink" Target="https://www.researchgate.net/deref/http%3A%2F%2Fdx.doi.org%2F10.24075%2Fbrsmu.2019.024" TargetMode="External"/><Relationship Id="rId380" Type="http://schemas.openxmlformats.org/officeDocument/2006/relationships/hyperlink" Target="https://pubmed.ncbi.nlm.nih.gov/?term=Matsuo+T&amp;cauthor_id=31968008" TargetMode="External"/><Relationship Id="rId436" Type="http://schemas.openxmlformats.org/officeDocument/2006/relationships/hyperlink" Target="https://doi.org/10.1016/j.biopsycho.2016.01.015" TargetMode="External"/><Relationship Id="rId240" Type="http://schemas.openxmlformats.org/officeDocument/2006/relationships/hyperlink" Target="https://pubmed.ncbi.nlm.nih.gov/?term=Krustrup+P&amp;cauthor_id=27560512" TargetMode="External"/><Relationship Id="rId478" Type="http://schemas.openxmlformats.org/officeDocument/2006/relationships/hyperlink" Target="https://doi.org/10.5664/jcsm.7668" TargetMode="External"/><Relationship Id="rId35" Type="http://schemas.openxmlformats.org/officeDocument/2006/relationships/image" Target="media/image11.png"/><Relationship Id="rId77" Type="http://schemas.openxmlformats.org/officeDocument/2006/relationships/image" Target="media/image40.png"/><Relationship Id="rId100" Type="http://schemas.openxmlformats.org/officeDocument/2006/relationships/hyperlink" Target="http://www.vestar.ru/person.jsp?id=1191" TargetMode="External"/><Relationship Id="rId282" Type="http://schemas.openxmlformats.org/officeDocument/2006/relationships/hyperlink" Target="https://pubmed.ncbi.nlm.nih.gov/?term=Zhou+L&amp;cauthor_id=30055773" TargetMode="External"/><Relationship Id="rId338" Type="http://schemas.openxmlformats.org/officeDocument/2006/relationships/hyperlink" Target="https://pubmed.ncbi.nlm.nih.gov/?term=Quaresima+V&amp;cauthor_id=29376100" TargetMode="External"/><Relationship Id="rId503" Type="http://schemas.openxmlformats.org/officeDocument/2006/relationships/hyperlink" Target="https://pubmed.ncbi.nlm.nih.gov/?term=Simonsen+N&amp;cauthor_id=27401884" TargetMode="External"/><Relationship Id="rId545" Type="http://schemas.openxmlformats.org/officeDocument/2006/relationships/hyperlink" Target="https://pubmed.ncbi.nlm.nih.gov/?term=Jansen+P&amp;cauthor_id=30618922" TargetMode="External"/><Relationship Id="rId8" Type="http://schemas.openxmlformats.org/officeDocument/2006/relationships/endnotes" Target="endnotes.xml"/><Relationship Id="rId142" Type="http://schemas.openxmlformats.org/officeDocument/2006/relationships/hyperlink" Target="https://www.ncbi.nlm.nih.gov/pubmed/21568821" TargetMode="External"/><Relationship Id="rId184" Type="http://schemas.openxmlformats.org/officeDocument/2006/relationships/hyperlink" Target="https://pubmed.ncbi.nlm.nih.gov/?term=Berge+JM&amp;cauthor_id=26163351" TargetMode="External"/><Relationship Id="rId391" Type="http://schemas.openxmlformats.org/officeDocument/2006/relationships/hyperlink" Target="https://pubmed.ncbi.nlm.nih.gov/29977886/" TargetMode="External"/><Relationship Id="rId405" Type="http://schemas.openxmlformats.org/officeDocument/2006/relationships/hyperlink" Target="https://pubmed.ncbi.nlm.nih.gov/?term=Denucci+SM&amp;cauthor_id=31516073" TargetMode="External"/><Relationship Id="rId447" Type="http://schemas.openxmlformats.org/officeDocument/2006/relationships/hyperlink" Target="https://pubmed.ncbi.nlm.nih.gov/?term=Parker+PD&amp;cauthor_id=31783878" TargetMode="External"/><Relationship Id="rId251" Type="http://schemas.openxmlformats.org/officeDocument/2006/relationships/hyperlink" Target="https://apps.webofknowledge.com/OutboundService.do?SID=C5afOZrhLcrlUxGfPlS&amp;mode=rrcAuthorRecordService&amp;action=go&amp;product=WOS&amp;lang=ru_RU&amp;daisIds=2985455" TargetMode="External"/><Relationship Id="rId489" Type="http://schemas.openxmlformats.org/officeDocument/2006/relationships/hyperlink" Target="https://pubmed.ncbi.nlm.nih.gov/?term=Luetje+MM&amp;cauthor_id=29611256" TargetMode="External"/><Relationship Id="rId46" Type="http://schemas.openxmlformats.org/officeDocument/2006/relationships/image" Target="media/image20.png"/><Relationship Id="rId293" Type="http://schemas.openxmlformats.org/officeDocument/2006/relationships/hyperlink" Target="https://www.ncbi.nlm.nih.gov/pubmed/?term=Apinis%20P%5BAuthor%5D&amp;cauthor=true&amp;cauthor_uid=22186122" TargetMode="External"/><Relationship Id="rId307" Type="http://schemas.openxmlformats.org/officeDocument/2006/relationships/hyperlink" Target="https://pubmed.ncbi.nlm.nih.gov/?term=Belogianni+K&amp;cauthor_id=31111809" TargetMode="External"/><Relationship Id="rId349" Type="http://schemas.openxmlformats.org/officeDocument/2006/relationships/hyperlink" Target="https://pubmed.ncbi.nlm.nih.gov/?term=Nakamura+C&amp;cauthor_id=31363158" TargetMode="External"/><Relationship Id="rId514" Type="http://schemas.openxmlformats.org/officeDocument/2006/relationships/hyperlink" Target="https://apps.webofknowledge.com/OutboundService.do?SID=C5afOZrhLcrlUxGfPlS&amp;mode=rrcAuthorRecordService&amp;action=go&amp;product=WOS&amp;lang=ru_RU&amp;daisIds=8589653" TargetMode="External"/><Relationship Id="rId556" Type="http://schemas.openxmlformats.org/officeDocument/2006/relationships/hyperlink" Target="https://doi.org/10.31612/2616-4868.4(14).2020.05" TargetMode="External"/><Relationship Id="rId88" Type="http://schemas.openxmlformats.org/officeDocument/2006/relationships/image" Target="media/image51.png"/><Relationship Id="rId1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153" Type="http://schemas.openxmlformats.org/officeDocument/2006/relationships/hyperlink" Target="https://apps.webofknowledge.com/OutboundService.do?SID=C5afOZrhLcrlUxGfPlS&amp;mode=rrcAuthorRecordService&amp;action=go&amp;product=WOS&amp;lang=ru_RU&amp;daisIds=5600900" TargetMode="External"/><Relationship Id="rId195" Type="http://schemas.openxmlformats.org/officeDocument/2006/relationships/hyperlink" Target="https://pubmed.ncbi.nlm.nih.gov/?term=Shi+YH&amp;cauthor_id=28356843" TargetMode="External"/><Relationship Id="rId209" Type="http://schemas.openxmlformats.org/officeDocument/2006/relationships/hyperlink" Target="https://doi.org/10.1155/2011/420297" TargetMode="External"/><Relationship Id="rId360" Type="http://schemas.openxmlformats.org/officeDocument/2006/relationships/hyperlink" Target="https://pubmed.ncbi.nlm.nih.gov/?term=Moreno-Maldonado+C&amp;cauthor_id=31083434" TargetMode="External"/><Relationship Id="rId416" Type="http://schemas.openxmlformats.org/officeDocument/2006/relationships/hyperlink" Target="https://pubmed.ncbi.nlm.nih.gov/?term=Redko+I&amp;cauthor_id=32141850" TargetMode="External"/><Relationship Id="rId220" Type="http://schemas.openxmlformats.org/officeDocument/2006/relationships/hyperlink" Target="https://apps.webofknowledge.com/OutboundService.do?SID=C5afOZrhLcrlUxGfPlS&amp;mode=rrcAuthorRecordService&amp;action=go&amp;product=WOS&amp;lang=ru_RU&amp;daisIds=2160513" TargetMode="External"/><Relationship Id="rId458" Type="http://schemas.openxmlformats.org/officeDocument/2006/relationships/hyperlink" Target="https://doi.org/10.1016/j.nlm.2009.09.009" TargetMode="External"/><Relationship Id="rId15" Type="http://schemas.openxmlformats.org/officeDocument/2006/relationships/hyperlink" Target="http://&amp;" TargetMode="External"/><Relationship Id="rId57" Type="http://schemas.openxmlformats.org/officeDocument/2006/relationships/hyperlink" Target="https://pubmed.ncbi.nlm.nih.gov/?term=Ishii+A&amp;cauthor_id=29170440" TargetMode="External"/><Relationship Id="rId262" Type="http://schemas.openxmlformats.org/officeDocument/2006/relationships/hyperlink" Target="https://pubmed.ncbi.nlm.nih.gov/?term=Jonas+JB&amp;cauthor_id=29121045" TargetMode="External"/><Relationship Id="rId318" Type="http://schemas.openxmlformats.org/officeDocument/2006/relationships/hyperlink" Target="https://www.ncbi.nlm.nih.gov/pubmed/?term=Zellner%20K%5BAuthor%5D&amp;cauthor=true&amp;cauthor_uid=22252105" TargetMode="External"/><Relationship Id="rId525" Type="http://schemas.openxmlformats.org/officeDocument/2006/relationships/hyperlink" Target="https://pubmed.ncbi.nlm.nih.gov/?term=Huang+JC&amp;cauthor_id=29371008" TargetMode="External"/><Relationship Id="rId567" Type="http://schemas.openxmlformats.org/officeDocument/2006/relationships/image" Target="media/image67.jpeg"/><Relationship Id="rId99" Type="http://schemas.openxmlformats.org/officeDocument/2006/relationships/hyperlink" Target="http://www.vestar.ru/person.jsp?id=1263" TargetMode="External"/><Relationship Id="rId122" Type="http://schemas.openxmlformats.org/officeDocument/2006/relationships/hyperlink" Target="http://www.irbis-nbuv.gov.ua/cgi-bin/irbis_nbuv/cgiirbis_64.exe?I21DBN=LINK&amp;P21DBN=UJRN&amp;Z21ID=&amp;S21REF=10&amp;S21CNR=20&amp;S21STN=1&amp;S21FMT=ASP_meta&amp;C21COM=S&amp;2_S21P03=FILA=&amp;2_S21STR=Znpsnmapo_2013_22%283%29__38" TargetMode="External"/><Relationship Id="rId164" Type="http://schemas.openxmlformats.org/officeDocument/2006/relationships/hyperlink" Target="https://pubmed.ncbi.nlm.nih.gov/?term=Serral+G&amp;cauthor_id=30753540" TargetMode="External"/><Relationship Id="rId371" Type="http://schemas.openxmlformats.org/officeDocument/2006/relationships/hyperlink" Target="https://pubmed.ncbi.nlm.nih.gov/26680609/" TargetMode="External"/><Relationship Id="rId427" Type="http://schemas.openxmlformats.org/officeDocument/2006/relationships/hyperlink" Target="https://www.ncbi.nlm.nih.gov/pubmed/?term=R%C3%B6nnecke%20E%5BAuthor%5D&amp;cauthor=true&amp;cauthor_uid=30673672" TargetMode="External"/><Relationship Id="rId469" Type="http://schemas.openxmlformats.org/officeDocument/2006/relationships/hyperlink" Target="https://pubmed.ncbi.nlm.nih.gov/32075041/" TargetMode="External"/><Relationship Id="rId26" Type="http://schemas.openxmlformats.org/officeDocument/2006/relationships/image" Target="media/image5.png"/><Relationship Id="rId231" Type="http://schemas.openxmlformats.org/officeDocument/2006/relationships/hyperlink" Target="https://pubmed.ncbi.nlm.nih.gov/?term=Thomas+R&amp;cauthor_id=27560512" TargetMode="External"/><Relationship Id="rId273" Type="http://schemas.openxmlformats.org/officeDocument/2006/relationships/hyperlink" Target="https://apps.webofknowledge.com/full_record.do?product=WOS&amp;search_mode=GeneralSearch&amp;qid=1&amp;SID=C42rNsRd7dRVrQxQWdU&amp;page=5&amp;doc=42" TargetMode="External"/><Relationship Id="rId329" Type="http://schemas.openxmlformats.org/officeDocument/2006/relationships/hyperlink" Target="https://www.ncbi.nlm.nih.gov/pubmed/26176769" TargetMode="External"/><Relationship Id="rId480" Type="http://schemas.openxmlformats.org/officeDocument/2006/relationships/hyperlink" Target="https://doi.org/10.1016/j.neubiorev.2011.11.009" TargetMode="External"/><Relationship Id="rId536" Type="http://schemas.openxmlformats.org/officeDocument/2006/relationships/hyperlink" Target="https://pubmed.ncbi.nlm.nih.gov/?term=He+F&amp;cauthor_id=30429822" TargetMode="External"/><Relationship Id="rId68" Type="http://schemas.openxmlformats.org/officeDocument/2006/relationships/image" Target="media/image33.png"/><Relationship Id="rId133" Type="http://schemas.openxmlformats.org/officeDocument/2006/relationships/hyperlink" Target="http://search.ligazakon.ua/l_doc2.nsf/link1/RE24226.html" TargetMode="External"/><Relationship Id="rId175" Type="http://schemas.openxmlformats.org/officeDocument/2006/relationships/hyperlink" Target="https://pubmed.ncbi.nlm.nih.gov/?term=Cruz-Mercado+DE&amp;cauthor_id=30250316" TargetMode="External"/><Relationship Id="rId340" Type="http://schemas.openxmlformats.org/officeDocument/2006/relationships/hyperlink" Target="https://www.nature.com/srep" TargetMode="External"/><Relationship Id="rId578" Type="http://schemas.openxmlformats.org/officeDocument/2006/relationships/theme" Target="theme/theme1.xml"/><Relationship Id="rId200" Type="http://schemas.openxmlformats.org/officeDocument/2006/relationships/hyperlink" Target="https://pubmed.ncbi.nlm.nih.gov/?term=Rance+J&amp;cauthor_id=32240204" TargetMode="External"/><Relationship Id="rId382" Type="http://schemas.openxmlformats.org/officeDocument/2006/relationships/hyperlink" Target="https://pubmed.ncbi.nlm.nih.gov/?term=Yamaguchi+T&amp;cauthor_id=31968008" TargetMode="External"/><Relationship Id="rId438" Type="http://schemas.openxmlformats.org/officeDocument/2006/relationships/hyperlink" Target="https://pubmed.ncbi.nlm.nih.gov/?term=Salvini+M&amp;cauthor_id=28965191" TargetMode="External"/><Relationship Id="rId242" Type="http://schemas.openxmlformats.org/officeDocument/2006/relationships/hyperlink" Target="https://pubmed.ncbi.nlm.nih.gov/?term=Giloyan+A&amp;cauthor_id=28032802" TargetMode="External"/><Relationship Id="rId284" Type="http://schemas.openxmlformats.org/officeDocument/2006/relationships/hyperlink" Target="https://pubmed.ncbi.nlm.nih.gov/?term=Song+PX&amp;cauthor_id=30055773" TargetMode="External"/><Relationship Id="rId491" Type="http://schemas.openxmlformats.org/officeDocument/2006/relationships/hyperlink" Target="https://pubmed.ncbi.nlm.nih.gov/29611256/" TargetMode="External"/><Relationship Id="rId505" Type="http://schemas.openxmlformats.org/officeDocument/2006/relationships/hyperlink" Target="https://pubmed.ncbi.nlm.nih.gov/?term=Mullola+S&amp;cauthor_id=27401884" TargetMode="External"/><Relationship Id="rId37" Type="http://schemas.openxmlformats.org/officeDocument/2006/relationships/image" Target="media/image13.png"/><Relationship Id="rId79" Type="http://schemas.openxmlformats.org/officeDocument/2006/relationships/image" Target="media/image42.png"/><Relationship Id="rId102" Type="http://schemas.openxmlformats.org/officeDocument/2006/relationships/hyperlink" Target="http://www.vestar.ru/person.jsp?id=1266" TargetMode="External"/><Relationship Id="rId144" Type="http://schemas.openxmlformats.org/officeDocument/2006/relationships/hyperlink" Target="https://www.ncbi.nlm.nih.gov/pubmed/?term=Aggarwal%20B%5BAuthor%5D&amp;cauthor=true&amp;cauthor_uid=29177599" TargetMode="External"/><Relationship Id="rId547" Type="http://schemas.openxmlformats.org/officeDocument/2006/relationships/hyperlink" Target="https://www.ncbi.nlm.nih.gov/pubmed/?term=Wang%20H%5BAuthor%5D&amp;cauthor=true&amp;cauthor_uid=31088440" TargetMode="External"/><Relationship Id="rId90" Type="http://schemas.openxmlformats.org/officeDocument/2006/relationships/image" Target="media/image53.png"/><Relationship Id="rId186" Type="http://schemas.openxmlformats.org/officeDocument/2006/relationships/hyperlink" Target="https://pubmed.ncbi.nlm.nih.gov/?term=Meyer+C&amp;cauthor_id=26163351" TargetMode="External"/><Relationship Id="rId351" Type="http://schemas.openxmlformats.org/officeDocument/2006/relationships/hyperlink" Target="https://pubmed.ncbi.nlm.nih.gov/?term=Yamaguchi+T&amp;cauthor_id=31363158" TargetMode="External"/><Relationship Id="rId393" Type="http://schemas.openxmlformats.org/officeDocument/2006/relationships/hyperlink" Target="https://pubmed.ncbi.nlm.nih.gov/?term=Perrochon+A&amp;cauthor_id=29966753" TargetMode="External"/><Relationship Id="rId407" Type="http://schemas.openxmlformats.org/officeDocument/2006/relationships/hyperlink" Target="https://pubmed.ncbi.nlm.nih.gov/?term=Braga+LW&amp;cauthor_id=31516073" TargetMode="External"/><Relationship Id="rId449" Type="http://schemas.openxmlformats.org/officeDocument/2006/relationships/hyperlink" Target="https://pubmed.ncbi.nlm.nih.gov/?term=Noetel+M&amp;cauthor_id=31783878" TargetMode="External"/><Relationship Id="rId211" Type="http://schemas.openxmlformats.org/officeDocument/2006/relationships/hyperlink" Target="https://pubmed.ncbi.nlm.nih.gov/?term=Zhang+N&amp;cauthor_id=30441867" TargetMode="External"/><Relationship Id="rId253" Type="http://schemas.openxmlformats.org/officeDocument/2006/relationships/hyperlink" Target="https://apps.webofknowledge.com/OutboundService.do?SID=C5afOZrhLcrlUxGfPlS&amp;mode=rrcAuthorRecordService&amp;action=go&amp;product=WOS&amp;lang=ru_RU&amp;daisIds=94052" TargetMode="External"/><Relationship Id="rId295" Type="http://schemas.openxmlformats.org/officeDocument/2006/relationships/hyperlink" Target="https://www.ncbi.nlm.nih.gov/pubmed/?term=Sauka%20M%5BAuthor%5D&amp;cauthor=true&amp;cauthor_uid=22186122" TargetMode="External"/><Relationship Id="rId309" Type="http://schemas.openxmlformats.org/officeDocument/2006/relationships/hyperlink" Target="https://pubmed.ncbi.nlm.nih.gov/?term=Linos+A&amp;cauthor_id=31111809" TargetMode="External"/><Relationship Id="rId460" Type="http://schemas.openxmlformats.org/officeDocument/2006/relationships/hyperlink" Target="https://doi.org/10.7860/JCDR/2015/15373.6662" TargetMode="External"/><Relationship Id="rId516" Type="http://schemas.openxmlformats.org/officeDocument/2006/relationships/hyperlink" Target="https://pubmed.ncbi.nlm.nih.gov/?term=Wu+PC&amp;cauthor_id=29371008" TargetMode="External"/><Relationship Id="rId48" Type="http://schemas.openxmlformats.org/officeDocument/2006/relationships/image" Target="media/image22.png"/><Relationship Id="rId113" Type="http://schemas.openxmlformats.org/officeDocument/2006/relationships/hyperlink" Target="https://www.medlit.ru/journalsview/gigsan/%d0%b3%d0%bb%d0%b0%d0%b2%d0%bd%d0%b0%d1%8f/" TargetMode="External"/><Relationship Id="rId320" Type="http://schemas.openxmlformats.org/officeDocument/2006/relationships/hyperlink" Target="https://www.ncbi.nlm.nih.gov/pubmed/?term=Kuhle%20S%5BAuthor%5D&amp;cauthor=true&amp;cauthor_uid=27547554" TargetMode="External"/><Relationship Id="rId558" Type="http://schemas.openxmlformats.org/officeDocument/2006/relationships/image" Target="media/image58.jpeg"/><Relationship Id="rId155" Type="http://schemas.openxmlformats.org/officeDocument/2006/relationships/hyperlink" Target="https://www.ncbi.nlm.nih.gov/pubmed/?term=Fazylova%20N%5BAuthor%5D&amp;cauthor=true&amp;cauthor_uid=27820152" TargetMode="External"/><Relationship Id="rId197" Type="http://schemas.openxmlformats.org/officeDocument/2006/relationships/hyperlink" Target="https://pubmed.ncbi.nlm.nih.gov/?term=Le+GW&amp;cauthor_id=28356843" TargetMode="External"/><Relationship Id="rId362" Type="http://schemas.openxmlformats.org/officeDocument/2006/relationships/hyperlink" Target="https://pubmed.ncbi.nlm.nih.gov/?term=Moreno+C&amp;cauthor_id=31083434" TargetMode="External"/><Relationship Id="rId418" Type="http://schemas.openxmlformats.org/officeDocument/2006/relationships/hyperlink" Target="https://www.ncbi.nlm.nih.gov/pubmed/?term=Rerksuppaphol%20S%5BAuthor%5D&amp;cauthor=true&amp;cauthor_uid=23772011" TargetMode="External"/><Relationship Id="rId222" Type="http://schemas.openxmlformats.org/officeDocument/2006/relationships/hyperlink" Target="https://apps.webofknowledge.com/OutboundService.do?SID=C5afOZrhLcrlUxGfPlS&amp;mode=rrcAuthorRecordService&amp;action=go&amp;product=WOS&amp;lang=ru_RU&amp;daisIds=2760595" TargetMode="External"/><Relationship Id="rId264" Type="http://schemas.openxmlformats.org/officeDocument/2006/relationships/hyperlink" Target="https://pubmed.ncbi.nlm.nih.gov/?term=Stack+J&amp;cauthor_id=30315130" TargetMode="External"/><Relationship Id="rId471" Type="http://schemas.openxmlformats.org/officeDocument/2006/relationships/hyperlink" Target="https://journals.sagepub.com/doi/10.1177/0017896910386141" TargetMode="External"/><Relationship Id="rId17" Type="http://schemas.openxmlformats.org/officeDocument/2006/relationships/image" Target="media/image2.png"/><Relationship Id="rId59" Type="http://schemas.openxmlformats.org/officeDocument/2006/relationships/hyperlink" Target="https://pubmed.ncbi.nlm.nih.gov/?term=Jansen+P&amp;cauthor_id=30640912" TargetMode="External"/><Relationship Id="rId1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721" TargetMode="External"/><Relationship Id="rId527" Type="http://schemas.openxmlformats.org/officeDocument/2006/relationships/hyperlink" Target="https://pubmed.ncbi.nlm.nih.gov/?term=Yang+IH&amp;cauthor_id=29371008" TargetMode="External"/><Relationship Id="rId569" Type="http://schemas.openxmlformats.org/officeDocument/2006/relationships/image" Target="media/image69.jpeg"/><Relationship Id="rId70" Type="http://schemas.openxmlformats.org/officeDocument/2006/relationships/image" Target="media/image35.png"/><Relationship Id="rId166" Type="http://schemas.openxmlformats.org/officeDocument/2006/relationships/hyperlink" Target="https://pubmed.ncbi.nlm.nih.gov/?term=Ju%C3%A1rez+O&amp;cauthor_id=30753540" TargetMode="External"/><Relationship Id="rId331" Type="http://schemas.openxmlformats.org/officeDocument/2006/relationships/hyperlink" Target="https://www.sciencedirect.com/science/journal/23519789" TargetMode="External"/><Relationship Id="rId373" Type="http://schemas.openxmlformats.org/officeDocument/2006/relationships/hyperlink" Target="https://www.ncbi.nlm.nih.gov/pubmed/?term=Leong%20HF%5BAuthor%5D&amp;cauthor=true&amp;cauthor_uid=27180165" TargetMode="External"/><Relationship Id="rId429" Type="http://schemas.openxmlformats.org/officeDocument/2006/relationships/hyperlink" Target="https://www.ncbi.nlm.nih.gov/pubmed/?term=Bussler%20S%5BAuthor%5D&amp;cauthor=true&amp;cauthor_uid=30673672" TargetMode="External"/><Relationship Id="rId1" Type="http://schemas.openxmlformats.org/officeDocument/2006/relationships/customXml" Target="../customXml/item1.xml"/><Relationship Id="rId233" Type="http://schemas.openxmlformats.org/officeDocument/2006/relationships/hyperlink" Target="https://pubmed.ncbi.nlm.nih.gov/?term=Dahn+IM&amp;cauthor_id=27560512" TargetMode="External"/><Relationship Id="rId440" Type="http://schemas.openxmlformats.org/officeDocument/2006/relationships/hyperlink" Target="https://pubmed.ncbi.nlm.nih.gov/?term=M%C3%BCller+I&amp;cauthor_id=28965191" TargetMode="External"/><Relationship Id="rId28" Type="http://schemas.openxmlformats.org/officeDocument/2006/relationships/image" Target="media/image7.png"/><Relationship Id="rId275" Type="http://schemas.openxmlformats.org/officeDocument/2006/relationships/hyperlink" Target="https://pubmed.ncbi.nlm.nih.gov/?term=Tanaka+M&amp;cauthor_id=29170440" TargetMode="External"/><Relationship Id="rId300" Type="http://schemas.openxmlformats.org/officeDocument/2006/relationships/hyperlink" Target="https://www.ncbi.nlm.nih.gov/pubmed/22186122" TargetMode="External"/><Relationship Id="rId482" Type="http://schemas.openxmlformats.org/officeDocument/2006/relationships/hyperlink" Target="https://www.ncbi.nlm.nih.gov/pubmed/?term=Tomaszewski%20P%5BAuthor%5D&amp;cauthor=true&amp;cauthor_uid=26445974" TargetMode="External"/><Relationship Id="rId538" Type="http://schemas.openxmlformats.org/officeDocument/2006/relationships/hyperlink" Target="https://pubmed.ncbi.nlm.nih.gov/?term=Zhou+P&amp;cauthor_id=30429822" TargetMode="External"/><Relationship Id="rId81" Type="http://schemas.openxmlformats.org/officeDocument/2006/relationships/image" Target="media/image44.png"/><Relationship Id="rId135" Type="http://schemas.openxmlformats.org/officeDocument/2006/relationships/hyperlink" Target="https://www.science-education.ru/ru/article/view?id=12596" TargetMode="External"/><Relationship Id="rId177" Type="http://schemas.openxmlformats.org/officeDocument/2006/relationships/hyperlink" Target="https://pubmed.ncbi.nlm.nih.gov/?term=Kiziltan+E&amp;cauthor_id=25988674" TargetMode="External"/><Relationship Id="rId342" Type="http://schemas.openxmlformats.org/officeDocument/2006/relationships/hyperlink" Target="https://pubmed.ncbi.nlm.nih.gov/?term=Demetriou+Y&amp;cauthor_id=31500252" TargetMode="External"/><Relationship Id="rId384" Type="http://schemas.openxmlformats.org/officeDocument/2006/relationships/hyperlink" Target="https://pubmed.ncbi.nlm.nih.gov/?term=Uji+M&amp;cauthor_id=31968008" TargetMode="External"/><Relationship Id="rId202" Type="http://schemas.openxmlformats.org/officeDocument/2006/relationships/hyperlink" Target="https://pubmed.ncbi.nlm.nih.gov/?term=Mackintosh+KA&amp;cauthor_id=32240204" TargetMode="External"/><Relationship Id="rId244" Type="http://schemas.openxmlformats.org/officeDocument/2006/relationships/hyperlink" Target="https://pubmed.ncbi.nlm.nih.gov/?term=Petrosyan+V&amp;cauthor_id=28032802" TargetMode="External"/><Relationship Id="rId39" Type="http://schemas.openxmlformats.org/officeDocument/2006/relationships/hyperlink" Target="https://pubmed.ncbi.nlm.nih.gov/?term=P%C3%A4rssinen+O&amp;cauthor_id=27369316" TargetMode="External"/><Relationship Id="rId286" Type="http://schemas.openxmlformats.org/officeDocument/2006/relationships/hyperlink" Target="https://pubmed.ncbi.nlm.nih.gov/?term=Mercado+A&amp;cauthor_id=30055773" TargetMode="External"/><Relationship Id="rId451" Type="http://schemas.openxmlformats.org/officeDocument/2006/relationships/hyperlink" Target="https://doi.org/10.1186/s12966-019-0881-7" TargetMode="External"/><Relationship Id="rId493" Type="http://schemas.openxmlformats.org/officeDocument/2006/relationships/hyperlink" Target="https://doi.org/10.1023/a:1014836921812" TargetMode="External"/><Relationship Id="rId507" Type="http://schemas.openxmlformats.org/officeDocument/2006/relationships/hyperlink" Target="https://pubmed.ncbi.nlm.nih.gov/?term=But+A&amp;cauthor_id=27401884" TargetMode="External"/><Relationship Id="rId549" Type="http://schemas.openxmlformats.org/officeDocument/2006/relationships/hyperlink" Target="https://www.ncbi.nlm.nih.gov/pubmed/?term=Liu%20M%5BAuthor%5D&amp;cauthor=true&amp;cauthor_uid=31088440" TargetMode="External"/><Relationship Id="rId50" Type="http://schemas.openxmlformats.org/officeDocument/2006/relationships/hyperlink" Target="https://www.ncbi.nlm.nih.gov/pubmed/?term=Hamulka%20J%5BAuthor%5D&amp;cauthor=true&amp;cauthor_uid=30720795" TargetMode="External"/><Relationship Id="rId104" Type="http://schemas.openxmlformats.org/officeDocument/2006/relationships/hyperlink" Target="https://doi.org/10.17116/jnevro20181187178" TargetMode="External"/><Relationship Id="rId146" Type="http://schemas.openxmlformats.org/officeDocument/2006/relationships/hyperlink" Target="https://www.ncbi.nlm.nih.gov/pubmed/29177599" TargetMode="External"/><Relationship Id="rId188" Type="http://schemas.openxmlformats.org/officeDocument/2006/relationships/hyperlink" Target="https://pubmed.ncbi.nlm.nih.gov/?term=Loth+KA&amp;cauthor_id=26163351" TargetMode="External"/><Relationship Id="rId311" Type="http://schemas.openxmlformats.org/officeDocument/2006/relationships/hyperlink" Target="https://doi.org/10.1176/appi.ajp.2015.14081061" TargetMode="External"/><Relationship Id="rId353" Type="http://schemas.openxmlformats.org/officeDocument/2006/relationships/hyperlink" Target="https://pubmed.ncbi.nlm.nih.gov/?term=Uji+M&amp;cauthor_id=31363158" TargetMode="External"/><Relationship Id="rId395" Type="http://schemas.openxmlformats.org/officeDocument/2006/relationships/hyperlink" Target="https://pubmed.ncbi.nlm.nih.gov/?term=Petruzzellis+S&amp;cauthor_id=29966753" TargetMode="External"/><Relationship Id="rId409" Type="http://schemas.openxmlformats.org/officeDocument/2006/relationships/hyperlink" Target="https://apps.webofknowledge.com/OutboundService.do?SID=C5afOZrhLcrlUxGfPlS&amp;mode=rrcAuthorRecordService&amp;action=go&amp;product=WOS&amp;lang=ru_RU&amp;daisIds=5825192" TargetMode="External"/><Relationship Id="rId560" Type="http://schemas.openxmlformats.org/officeDocument/2006/relationships/image" Target="media/image60.jpeg"/><Relationship Id="rId92" Type="http://schemas.openxmlformats.org/officeDocument/2006/relationships/image" Target="media/image55.jpeg"/><Relationship Id="rId213" Type="http://schemas.openxmlformats.org/officeDocument/2006/relationships/hyperlink" Target="https://pubmed.ncbi.nlm.nih.gov/?term=Pei+J&amp;cauthor_id=30441867" TargetMode="External"/><Relationship Id="rId420" Type="http://schemas.openxmlformats.org/officeDocument/2006/relationships/hyperlink" Target="https://www.ncbi.nlm.nih.gov/pubmed/23772011" TargetMode="External"/><Relationship Id="rId255" Type="http://schemas.openxmlformats.org/officeDocument/2006/relationships/hyperlink" Target="https://pubmed.ncbi.nlm.nih.gov/?term=Guo+Y&amp;cauthor_id=29121045" TargetMode="External"/><Relationship Id="rId297" Type="http://schemas.openxmlformats.org/officeDocument/2006/relationships/hyperlink" Target="https://www.ncbi.nlm.nih.gov/pubmed/?term=Krumina%20D%5BAuthor%5D&amp;cauthor=true&amp;cauthor_uid=22186122" TargetMode="External"/><Relationship Id="rId462" Type="http://schemas.openxmlformats.org/officeDocument/2006/relationships/hyperlink" Target="https://www.ncbi.nlm.nih.gov/pubmed/?term=Song%20P%5BAuthor%5D&amp;cauthor=true&amp;cauthor_uid=27314368" TargetMode="External"/><Relationship Id="rId518" Type="http://schemas.openxmlformats.org/officeDocument/2006/relationships/hyperlink" Target="https://pubmed.ncbi.nlm.nih.gov/?term=Lin+KK&amp;cauthor_id=29371008" TargetMode="External"/><Relationship Id="rId115" Type="http://schemas.openxmlformats.org/officeDocument/2006/relationships/hyperlink" Target="http://nbuv.gov.ua/UJRN/Znpsnmapo_2015_24%283%29__76" TargetMode="External"/><Relationship Id="rId157" Type="http://schemas.openxmlformats.org/officeDocument/2006/relationships/hyperlink" Target="https://www.ncbi.nlm.nih.gov/pubmed/?term=Lopez%20L%5BAuthor%5D&amp;cauthor=true&amp;cauthor_uid=27820152" TargetMode="External"/><Relationship Id="rId322" Type="http://schemas.openxmlformats.org/officeDocument/2006/relationships/hyperlink" Target="https://www.ncbi.nlm.nih.gov/pubmed/?term=Maguire%20B%5BAuthor%5D&amp;cauthor=true&amp;cauthor_uid=27547554" TargetMode="External"/><Relationship Id="rId364" Type="http://schemas.openxmlformats.org/officeDocument/2006/relationships/hyperlink" Target="https://pubmed.ncbi.nlm.nih.gov/?term=Morgan+IG&amp;cauthor_id=28951126" TargetMode="External"/><Relationship Id="rId61" Type="http://schemas.openxmlformats.org/officeDocument/2006/relationships/image" Target="media/image27.wmf"/><Relationship Id="rId199" Type="http://schemas.openxmlformats.org/officeDocument/2006/relationships/hyperlink" Target="https://pubmed.ncbi.nlm.nih.gov/?term=Todd+C&amp;cauthor_id=32240204" TargetMode="External"/><Relationship Id="rId571" Type="http://schemas.openxmlformats.org/officeDocument/2006/relationships/image" Target="media/image71.png"/><Relationship Id="rId19" Type="http://schemas.openxmlformats.org/officeDocument/2006/relationships/chart" Target="charts/chart2.xml"/><Relationship Id="rId224" Type="http://schemas.openxmlformats.org/officeDocument/2006/relationships/hyperlink" Target="https://apps.webofknowledge.com/OutboundService.do?SID=C5afOZrhLcrlUxGfPlS&amp;mode=rrcAuthorRecordService&amp;action=go&amp;product=WOS&amp;lang=ru_RU&amp;daisIds=34861820" TargetMode="External"/><Relationship Id="rId266" Type="http://schemas.openxmlformats.org/officeDocument/2006/relationships/hyperlink" Target="https://pubmed.ncbi.nlm.nih.gov/?term=O%27Dwyer+V&amp;cauthor_id=30315130" TargetMode="External"/><Relationship Id="rId431" Type="http://schemas.openxmlformats.org/officeDocument/2006/relationships/hyperlink" Target="https://www.ncbi.nlm.nih.gov/pubmed/?term=Jurkutat%20A%5BAuthor%5D&amp;cauthor=true&amp;cauthor_uid=30673672" TargetMode="External"/><Relationship Id="rId473" Type="http://schemas.openxmlformats.org/officeDocument/2006/relationships/hyperlink" Target="https://doi.org/10.1111/j.1469-8986.1994.tb01020.x" TargetMode="External"/><Relationship Id="rId529" Type="http://schemas.openxmlformats.org/officeDocument/2006/relationships/hyperlink" Target="https://pubmed.ncbi.nlm.nih.gov/?term=Fang+PC&amp;cauthor_id=29371008" TargetMode="External"/><Relationship Id="rId30" Type="http://schemas.openxmlformats.org/officeDocument/2006/relationships/image" Target="media/image9.png"/><Relationship Id="rId126" Type="http://schemas.openxmlformats.org/officeDocument/2006/relationships/hyperlink" Target="https://nakrilahuspihu.com/" TargetMode="External"/><Relationship Id="rId168" Type="http://schemas.openxmlformats.org/officeDocument/2006/relationships/hyperlink" Target="https://pubmed.ncbi.nlm.nih.gov/?term=Castell+C&amp;cauthor_id=30753540" TargetMode="External"/><Relationship Id="rId333" Type="http://schemas.openxmlformats.org/officeDocument/2006/relationships/hyperlink" Target="https://doi.org/10.1016/j.promfg.2015.07.497" TargetMode="External"/><Relationship Id="rId540" Type="http://schemas.openxmlformats.org/officeDocument/2006/relationships/hyperlink" Target="https://pubmed.ncbi.nlm.nih.gov/?term=Yeung+DC&amp;cauthor_id=26582296" TargetMode="External"/><Relationship Id="rId72" Type="http://schemas.openxmlformats.org/officeDocument/2006/relationships/image" Target="media/image37.png"/><Relationship Id="rId375" Type="http://schemas.openxmlformats.org/officeDocument/2006/relationships/hyperlink" Target="https://www.ncbi.nlm.nih.gov/pubmed/27180165" TargetMode="External"/><Relationship Id="rId3" Type="http://schemas.openxmlformats.org/officeDocument/2006/relationships/styles" Target="styles.xml"/><Relationship Id="rId235" Type="http://schemas.openxmlformats.org/officeDocument/2006/relationships/hyperlink" Target="https://pubmed.ncbi.nlm.nih.gov/?term=Krause-Jensen+M&amp;cauthor_id=27560512" TargetMode="External"/><Relationship Id="rId277" Type="http://schemas.openxmlformats.org/officeDocument/2006/relationships/hyperlink" Target="https://pubmed.ncbi.nlm.nih.gov/?term=Watanabe+Y&amp;cauthor_id=29170440" TargetMode="External"/><Relationship Id="rId400" Type="http://schemas.openxmlformats.org/officeDocument/2006/relationships/hyperlink" Target="https://www.sciencedirect.com/science/journal/03043940" TargetMode="External"/><Relationship Id="rId442" Type="http://schemas.openxmlformats.org/officeDocument/2006/relationships/hyperlink" Target="https://pubmed.ncbi.nlm.nih.gov/?term=du+Randt+R&amp;cauthor_id=28965191" TargetMode="External"/><Relationship Id="rId484" Type="http://schemas.openxmlformats.org/officeDocument/2006/relationships/hyperlink" Target="https://www.ncbi.nlm.nih.gov/pubmed/?term=Milde%20K%5BAuthor%5D&amp;cauthor=true&amp;cauthor_uid=26445974" TargetMode="External"/><Relationship Id="rId137" Type="http://schemas.openxmlformats.org/officeDocument/2006/relationships/hyperlink" Target="http://nbuv.gov.ua/UJRN/dtz_2015_2_4" TargetMode="External"/><Relationship Id="rId302" Type="http://schemas.openxmlformats.org/officeDocument/2006/relationships/hyperlink" Target="https://pubmed.ncbi.nlm.nih.gov/?term=Critselis+E&amp;cauthor_id=31111809" TargetMode="External"/><Relationship Id="rId344" Type="http://schemas.openxmlformats.org/officeDocument/2006/relationships/hyperlink" Target="https://pubmed.ncbi.nlm.nih.gov/?term=Gouveia+%C3%89R&amp;cauthor_id=31500252" TargetMode="External"/><Relationship Id="rId41" Type="http://schemas.openxmlformats.org/officeDocument/2006/relationships/image" Target="media/image15.png"/><Relationship Id="rId83" Type="http://schemas.openxmlformats.org/officeDocument/2006/relationships/image" Target="media/image46.png"/><Relationship Id="rId179" Type="http://schemas.openxmlformats.org/officeDocument/2006/relationships/hyperlink" Target="https://doi.org/10.1186/s12889-019-7311-2" TargetMode="External"/><Relationship Id="rId386" Type="http://schemas.openxmlformats.org/officeDocument/2006/relationships/hyperlink" Target="https://www.jstor.org/stable/4038411" TargetMode="External"/><Relationship Id="rId551" Type="http://schemas.openxmlformats.org/officeDocument/2006/relationships/hyperlink" Target="https://www.ncbi.nlm.nih.gov/pubmed/?term=Wang%20Y%5BAuthor%5D&amp;cauthor=true&amp;cauthor_uid=31088440" TargetMode="External"/><Relationship Id="rId190" Type="http://schemas.openxmlformats.org/officeDocument/2006/relationships/hyperlink" Target="https://pubmed.ncbi.nlm.nih.gov/?term=Byun+YS&amp;cauthor_id=30181883" TargetMode="External"/><Relationship Id="rId204" Type="http://schemas.openxmlformats.org/officeDocument/2006/relationships/hyperlink" Target="https://pubmed.ncbi.nlm.nih.gov/?term=Brophy+S&amp;cauthor_id=32240204" TargetMode="External"/><Relationship Id="rId246" Type="http://schemas.openxmlformats.org/officeDocument/2006/relationships/hyperlink" Target="https://pubmed.ncbi.nlm.nih.gov/?term=Grzybowski+A&amp;cauthor_id=31937276" TargetMode="External"/><Relationship Id="rId288" Type="http://schemas.openxmlformats.org/officeDocument/2006/relationships/hyperlink" Target="https://pubmed.ncbi.nlm.nih.gov/?term=Cantoral+A&amp;cauthor_id=30055773" TargetMode="External"/><Relationship Id="rId411" Type="http://schemas.openxmlformats.org/officeDocument/2006/relationships/hyperlink" Target="https://apps.webofknowledge.com/OutboundService.do?SID=C5afOZrhLcrlUxGfPlS&amp;mode=rrcAuthorRecordService&amp;action=go&amp;product=WOS&amp;lang=ru_RU&amp;daisIds=31842834" TargetMode="External"/><Relationship Id="rId453" Type="http://schemas.openxmlformats.org/officeDocument/2006/relationships/hyperlink" Target="https://pubmed.ncbi.nlm.nih.gov/?term=Sastre-Riba+S&amp;cauthor_id=26922961" TargetMode="External"/><Relationship Id="rId509" Type="http://schemas.openxmlformats.org/officeDocument/2006/relationships/hyperlink" Target="https://pubmed.ncbi.nlm.nih.gov/?term=Wei+C&amp;cauthor_id=26353794" TargetMode="External"/><Relationship Id="rId10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313" Type="http://schemas.openxmlformats.org/officeDocument/2006/relationships/hyperlink" Target="https://onlinelibrary.wiley.com/action/doSearch?ContribAuthorStored=%C3%96hrling%2C+Kerstin" TargetMode="External"/><Relationship Id="rId495" Type="http://schemas.openxmlformats.org/officeDocument/2006/relationships/hyperlink" Target="https://pubmed.ncbi.nlm.nih.gov/?term=Galiano+Segovia+MJ&amp;cauthor_id=31682460" TargetMode="External"/><Relationship Id="rId10" Type="http://schemas.openxmlformats.org/officeDocument/2006/relationships/hyperlink" Target="http://dx.doi.org/10.29254/2077-4214-2020-4-158-88-92" TargetMode="External"/><Relationship Id="rId52" Type="http://schemas.openxmlformats.org/officeDocument/2006/relationships/hyperlink" Target="https://www.ncbi.nlm.nih.gov/pubmed/?term=Str%C3%B8m%20HK%5BAuthor%5D&amp;cauthor=true&amp;cauthor_uid=25495012" TargetMode="External"/><Relationship Id="rId9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721" TargetMode="External"/><Relationship Id="rId148" Type="http://schemas.openxmlformats.org/officeDocument/2006/relationships/hyperlink" Target="https://pubmed.ncbi.nlm.nih.gov/?term=Aribaba+OT&amp;cauthor_id=30264768" TargetMode="External"/><Relationship Id="rId355" Type="http://schemas.openxmlformats.org/officeDocument/2006/relationships/hyperlink" Target="https://doi.org/10.3390/ijerph17093157" TargetMode="External"/><Relationship Id="rId397" Type="http://schemas.openxmlformats.org/officeDocument/2006/relationships/hyperlink" Target="https://pubmed.ncbi.nlm.nih.gov/?term=Zaoui+M&amp;cauthor_id=29966753" TargetMode="External"/><Relationship Id="rId520" Type="http://schemas.openxmlformats.org/officeDocument/2006/relationships/hyperlink" Target="https://pubmed.ncbi.nlm.nih.gov/?term=Kuo+CN&amp;cauthor_id=29371008" TargetMode="External"/><Relationship Id="rId562" Type="http://schemas.openxmlformats.org/officeDocument/2006/relationships/image" Target="media/image62.jpeg"/><Relationship Id="rId215" Type="http://schemas.openxmlformats.org/officeDocument/2006/relationships/hyperlink" Target="https://doi.org/10.1007/s10802-017-0262-0" TargetMode="External"/><Relationship Id="rId257" Type="http://schemas.openxmlformats.org/officeDocument/2006/relationships/hyperlink" Target="https://pubmed.ncbi.nlm.nih.gov/?term=Liu+LJ&amp;cauthor_id=29121045" TargetMode="External"/><Relationship Id="rId422" Type="http://schemas.openxmlformats.org/officeDocument/2006/relationships/hyperlink" Target="https://www.ncbi.nlm.nih.gov/pubmed/?term=Ribeiro%20EA%5BAuthor%5D&amp;cauthor=true&amp;cauthor_uid=24896796" TargetMode="External"/><Relationship Id="rId464" Type="http://schemas.openxmlformats.org/officeDocument/2006/relationships/hyperlink" Target="https://www.ncbi.nlm.nih.gov/pubmed/?term=Gasevic%20D%5BAuthor%5D&amp;cauthor=true&amp;cauthor_uid=27314368" TargetMode="External"/><Relationship Id="rId299" Type="http://schemas.openxmlformats.org/officeDocument/2006/relationships/hyperlink" Target="https://www.ncbi.nlm.nih.gov/pubmed/22186122" TargetMode="External"/><Relationship Id="rId63" Type="http://schemas.openxmlformats.org/officeDocument/2006/relationships/header" Target="header1.xml"/><Relationship Id="rId159" Type="http://schemas.openxmlformats.org/officeDocument/2006/relationships/hyperlink" Target="https://www.ncbi.nlm.nih.gov/pubmed/?term=Slyer%20JT%5BAuthor%5D&amp;cauthor=true&amp;cauthor_uid=27820152" TargetMode="External"/><Relationship Id="rId366" Type="http://schemas.openxmlformats.org/officeDocument/2006/relationships/hyperlink" Target="https://pubmed.ncbi.nlm.nih.gov/?term=Ashby+RS&amp;cauthor_id=28951126" TargetMode="External"/><Relationship Id="rId573" Type="http://schemas.openxmlformats.org/officeDocument/2006/relationships/image" Target="media/image73.jpeg"/><Relationship Id="rId226" Type="http://schemas.openxmlformats.org/officeDocument/2006/relationships/hyperlink" Target="https://pubmed.ncbi.nlm.nih.gov/32756316/" TargetMode="External"/><Relationship Id="rId433" Type="http://schemas.openxmlformats.org/officeDocument/2006/relationships/hyperlink" Target="https://www.ncbi.nlm.nih.gov/pubmed/?term=Koerner%20A%5BAuthor%5D&amp;cauthor=true&amp;cauthor_uid=30673672" TargetMode="External"/><Relationship Id="rId74" Type="http://schemas.openxmlformats.org/officeDocument/2006/relationships/image" Target="media/image38.png"/><Relationship Id="rId377" Type="http://schemas.openxmlformats.org/officeDocument/2006/relationships/hyperlink" Target="https://www.ncbi.nlm.nih.gov/pubmed/21945820" TargetMode="External"/><Relationship Id="rId500" Type="http://schemas.openxmlformats.org/officeDocument/2006/relationships/hyperlink" Target="https://pubmed.ncbi.nlm.nih.gov/?term=Hankonen+N&amp;cauthor_id=27401884" TargetMode="External"/><Relationship Id="rId5" Type="http://schemas.openxmlformats.org/officeDocument/2006/relationships/settings" Target="settings.xml"/><Relationship Id="rId237" Type="http://schemas.openxmlformats.org/officeDocument/2006/relationships/hyperlink" Target="https://pubmed.ncbi.nlm.nih.gov/?term=Nielsen+CM&amp;cauthor_id=27560512" TargetMode="External"/><Relationship Id="rId444" Type="http://schemas.openxmlformats.org/officeDocument/2006/relationships/hyperlink" Target="https://doi.org/10.1007/s11136-017-1707-1" TargetMode="External"/><Relationship Id="rId290" Type="http://schemas.openxmlformats.org/officeDocument/2006/relationships/hyperlink" Target="https://doi.org/10.1016/j.conctc.2016.07.001" TargetMode="External"/><Relationship Id="rId304" Type="http://schemas.openxmlformats.org/officeDocument/2006/relationships/hyperlink" Target="https://pubmed.ncbi.nlm.nih.gov/?term=Coritsidis+AL&amp;cauthor_id=31111809" TargetMode="External"/><Relationship Id="rId388" Type="http://schemas.openxmlformats.org/officeDocument/2006/relationships/hyperlink" Target="https://onlinelibrary.wiley.com/toc/14422018/2013/15/2" TargetMode="External"/><Relationship Id="rId511" Type="http://schemas.openxmlformats.org/officeDocument/2006/relationships/hyperlink" Target="http://www.who.int/childgrowth/standards/technical_report/en/" TargetMode="External"/><Relationship Id="rId85" Type="http://schemas.openxmlformats.org/officeDocument/2006/relationships/image" Target="media/image48.png"/><Relationship Id="rId150" Type="http://schemas.openxmlformats.org/officeDocument/2006/relationships/hyperlink" Target="https://pubmed.ncbi.nlm.nih.gov/?term=Ilo+O&amp;cauthor_id=30264768" TargetMode="External"/><Relationship Id="rId248" Type="http://schemas.openxmlformats.org/officeDocument/2006/relationships/hyperlink" Target="https://pubmed.ncbi.nlm.nih.gov/?term=Tsubota+K&amp;cauthor_id=31937276" TargetMode="External"/><Relationship Id="rId455" Type="http://schemas.openxmlformats.org/officeDocument/2006/relationships/hyperlink" Target="https://www.ncbi.nlm.nih.gov/pubmed/?term=Schmeer%20KK%5BAuthor%5D&amp;cauthor=true&amp;cauthor_uid=23017853" TargetMode="External"/><Relationship Id="rId12" Type="http://schemas.openxmlformats.org/officeDocument/2006/relationships/hyperlink" Target="https://apps.webofknowledge.com/OutboundService.do?SID=C5afOZrhLcrlUxGfPlS&amp;mode=rrcAuthorRecordService&amp;action=go&amp;product=WOS&amp;lang=ru_RU&amp;daisIds=35269460" TargetMode="External"/><Relationship Id="rId10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785" TargetMode="External"/><Relationship Id="rId315" Type="http://schemas.openxmlformats.org/officeDocument/2006/relationships/hyperlink" Target="https://doi.org/10.1134/S036211970804004X" TargetMode="External"/><Relationship Id="rId522" Type="http://schemas.openxmlformats.org/officeDocument/2006/relationships/hyperlink" Target="https://pubmed.ncbi.nlm.nih.gov/?term=Poon+YC&amp;cauthor_id=29371008" TargetMode="External"/><Relationship Id="rId96" Type="http://schemas.openxmlformats.org/officeDocument/2006/relationships/hyperlink" Target="http://www.vestar.ru/person.jsp?id=240" TargetMode="External"/><Relationship Id="rId161" Type="http://schemas.openxmlformats.org/officeDocument/2006/relationships/hyperlink" Target="https://doi.org/10.11124/jbisrir-2012-248" TargetMode="External"/><Relationship Id="rId399" Type="http://schemas.openxmlformats.org/officeDocument/2006/relationships/hyperlink" Target="https://pubmed.ncbi.nlm.nih.gov/?term=Daviet+JC&amp;cauthor_id=29966753" TargetMode="External"/><Relationship Id="rId259" Type="http://schemas.openxmlformats.org/officeDocument/2006/relationships/hyperlink" Target="https://pubmed.ncbi.nlm.nih.gov/?term=Tang+P&amp;cauthor_id=29121045" TargetMode="External"/><Relationship Id="rId466" Type="http://schemas.openxmlformats.org/officeDocument/2006/relationships/hyperlink" Target="https://www.ncbi.nlm.nih.gov/pubmed/?term=Yu%20Z%5BAuthor%5D&amp;cauthor=true&amp;cauthor_uid=27314368" TargetMode="External"/><Relationship Id="rId23" Type="http://schemas.openxmlformats.org/officeDocument/2006/relationships/hyperlink" Target="https://pubmed.ncbi.nlm.nih.gov/?term=Zurita-Corvalan+N&amp;cauthor_id=30070877" TargetMode="External"/><Relationship Id="rId119" Type="http://schemas.openxmlformats.org/officeDocument/2006/relationships/hyperlink" Target="https://cyberleninka.ru/journal/n/academy" TargetMode="External"/><Relationship Id="rId326" Type="http://schemas.openxmlformats.org/officeDocument/2006/relationships/hyperlink" Target="https://www.ncbi.nlm.nih.gov/pubmed/?term=Maguire%20B%5BAuthor%5D&amp;cauthor=true&amp;cauthor_uid=26176769" TargetMode="External"/><Relationship Id="rId533" Type="http://schemas.openxmlformats.org/officeDocument/2006/relationships/hyperlink" Target="https://pubmed.ncbi.nlm.nih.gov/29121640/" TargetMode="External"/><Relationship Id="rId172" Type="http://schemas.openxmlformats.org/officeDocument/2006/relationships/hyperlink" Target="https://pubmed.ncbi.nlm.nih.gov/?term=Guerrero-Hern%C3%A1ndez+J&amp;cauthor_id=30250316" TargetMode="External"/><Relationship Id="rId477" Type="http://schemas.openxmlformats.org/officeDocument/2006/relationships/hyperlink" Target="https://apps.webofknowledge.com/full_record.do?product=WOS&amp;search_mode=GeneralSearch&amp;qid=1&amp;SID=C3jVupjBedN23G8SlFj&amp;page=2&amp;doc=99" TargetMode="External"/><Relationship Id="rId337" Type="http://schemas.openxmlformats.org/officeDocument/2006/relationships/hyperlink" Target="https://pubmed.ncbi.nlm.nih.gov/?term=Ferrari+M&amp;cauthor_id=2937610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K:\MathCAD\Mann_Whitney\boys_who_growth_6_7_8d.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K:\MathCAD\Mann_Whitney\boys_who_growth_6_7_8d.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F:\&#1046;&#1040;&#1053;&#1053;&#1040;\&#1055;&#1059;&#1041;&#1051;&#1048;&#1050;&#1040;&#1062;&#1048;&#1048;\&#1055;&#1059;&#1041;&#1051;&#1048;&#1050;&#1040;&#1062;&#1048;&#1048;%202020\&#1047;&#1076;&#1086;&#1088;&#1086;&#1074;&#1100;&#1077;%20&#1088;&#1077;&#1073;&#1077;&#1085;&#1082;&#1072;\&#1080;&#1083;&#1083;&#1102;&#1089;&#1090;&#1088;&#1072;&#1094;&#1080;&#1080;.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F:\&#1046;&#1040;&#1053;&#1053;&#1040;\&#1055;&#1059;&#1041;&#1051;&#1048;&#1050;&#1040;&#1062;&#1048;&#1048;\&#1055;&#1059;&#1041;&#1051;&#1048;&#1050;&#1040;&#1062;&#1048;&#1048;%202020\&#1047;&#1076;&#1086;&#1088;&#1086;&#1074;&#1100;&#1077;%20&#1088;&#1077;&#1073;&#1077;&#1085;&#1082;&#1072;\&#1080;&#1083;&#1083;&#1102;&#1089;&#1090;&#1088;&#1072;&#1094;&#1080;&#1080;.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l-GR" sz="1000" b="0">
                <a:latin typeface="Times New Roman" pitchFamily="18" charset="0"/>
                <a:cs typeface="Times New Roman" pitchFamily="18" charset="0"/>
              </a:rPr>
              <a:t>Δ</a:t>
            </a:r>
            <a:r>
              <a:rPr lang="en-US" sz="1000" b="0">
                <a:latin typeface="Times New Roman" pitchFamily="18" charset="0"/>
                <a:cs typeface="Times New Roman" pitchFamily="18" charset="0"/>
              </a:rPr>
              <a:t>L, sm</a:t>
            </a:r>
          </a:p>
        </c:rich>
      </c:tx>
      <c:layout>
        <c:manualLayout>
          <c:xMode val="edge"/>
          <c:yMode val="edge"/>
          <c:x val="5.7741280883302916E-2"/>
          <c:y val="2.7832281646087545E-2"/>
        </c:manualLayout>
      </c:layout>
      <c:overlay val="0"/>
    </c:title>
    <c:autoTitleDeleted val="0"/>
    <c:plotArea>
      <c:layout>
        <c:manualLayout>
          <c:layoutTarget val="inner"/>
          <c:xMode val="edge"/>
          <c:yMode val="edge"/>
          <c:x val="0.14720099424810854"/>
          <c:y val="0.18246258478660143"/>
          <c:w val="0.77100098143920182"/>
          <c:h val="0.64980269498645227"/>
        </c:manualLayout>
      </c:layout>
      <c:scatterChart>
        <c:scatterStyle val="lineMarker"/>
        <c:varyColors val="0"/>
        <c:ser>
          <c:idx val="1"/>
          <c:order val="1"/>
          <c:tx>
            <c:strRef>
              <c:f>Лист1!$D$1</c:f>
            </c:strRef>
          </c:tx>
          <c:spPr>
            <a:ln w="28575">
              <a:noFill/>
            </a:ln>
          </c:spPr>
          <c:yVal>
            <c:numRef>
              <c:f>Лист1!$D$2:$D$36</c:f>
            </c:numRef>
          </c:yVal>
          <c:smooth val="0"/>
        </c:ser>
        <c:ser>
          <c:idx val="0"/>
          <c:order val="0"/>
          <c:tx>
            <c:strRef>
              <c:f>[boys_who_growth_6_7_8d.xlsx]Лист3!$D$1</c:f>
              <c:strCache>
                <c:ptCount val="1"/>
                <c:pt idx="0">
                  <c:v>ΔL, sm</c:v>
                </c:pt>
              </c:strCache>
            </c:strRef>
          </c:tx>
          <c:spPr>
            <a:ln w="28575">
              <a:noFill/>
            </a:ln>
          </c:spPr>
          <c:trendline>
            <c:spPr>
              <a:ln w="15875"/>
            </c:spPr>
            <c:trendlineType val="linear"/>
            <c:dispRSqr val="0"/>
            <c:dispEq val="0"/>
          </c:trendline>
          <c:xVal>
            <c:numRef>
              <c:f>[boys_who_growth_6_7_8d.xlsx]Лист3!$C$2:$C$36</c:f>
              <c:numCache>
                <c:formatCode>General</c:formatCode>
                <c:ptCount val="35"/>
                <c:pt idx="0">
                  <c:v>62</c:v>
                </c:pt>
                <c:pt idx="1">
                  <c:v>63</c:v>
                </c:pt>
                <c:pt idx="2">
                  <c:v>64</c:v>
                </c:pt>
                <c:pt idx="3">
                  <c:v>65</c:v>
                </c:pt>
                <c:pt idx="4">
                  <c:v>66</c:v>
                </c:pt>
                <c:pt idx="5">
                  <c:v>67</c:v>
                </c:pt>
                <c:pt idx="6">
                  <c:v>68</c:v>
                </c:pt>
                <c:pt idx="7">
                  <c:v>69</c:v>
                </c:pt>
                <c:pt idx="8">
                  <c:v>70</c:v>
                </c:pt>
                <c:pt idx="9">
                  <c:v>71</c:v>
                </c:pt>
                <c:pt idx="10">
                  <c:v>72</c:v>
                </c:pt>
                <c:pt idx="11">
                  <c:v>73</c:v>
                </c:pt>
                <c:pt idx="12">
                  <c:v>74</c:v>
                </c:pt>
                <c:pt idx="13">
                  <c:v>75</c:v>
                </c:pt>
                <c:pt idx="14">
                  <c:v>76</c:v>
                </c:pt>
                <c:pt idx="15">
                  <c:v>77</c:v>
                </c:pt>
                <c:pt idx="16">
                  <c:v>78</c:v>
                </c:pt>
                <c:pt idx="17">
                  <c:v>79</c:v>
                </c:pt>
                <c:pt idx="18">
                  <c:v>80</c:v>
                </c:pt>
                <c:pt idx="19">
                  <c:v>81</c:v>
                </c:pt>
                <c:pt idx="20">
                  <c:v>82</c:v>
                </c:pt>
                <c:pt idx="21">
                  <c:v>83</c:v>
                </c:pt>
                <c:pt idx="22">
                  <c:v>84</c:v>
                </c:pt>
                <c:pt idx="23">
                  <c:v>85</c:v>
                </c:pt>
                <c:pt idx="24">
                  <c:v>86</c:v>
                </c:pt>
                <c:pt idx="25">
                  <c:v>87</c:v>
                </c:pt>
                <c:pt idx="26">
                  <c:v>88</c:v>
                </c:pt>
                <c:pt idx="27">
                  <c:v>89</c:v>
                </c:pt>
                <c:pt idx="28">
                  <c:v>90</c:v>
                </c:pt>
                <c:pt idx="29">
                  <c:v>91</c:v>
                </c:pt>
                <c:pt idx="30">
                  <c:v>92</c:v>
                </c:pt>
                <c:pt idx="31">
                  <c:v>93</c:v>
                </c:pt>
                <c:pt idx="32">
                  <c:v>94</c:v>
                </c:pt>
                <c:pt idx="33">
                  <c:v>95</c:v>
                </c:pt>
                <c:pt idx="34">
                  <c:v>96</c:v>
                </c:pt>
              </c:numCache>
            </c:numRef>
          </c:xVal>
          <c:yVal>
            <c:numRef>
              <c:f>[boys_who_growth_6_7_8d.xlsx]Лист3!$D$2:$D$36</c:f>
              <c:numCache>
                <c:formatCode>General</c:formatCode>
                <c:ptCount val="35"/>
                <c:pt idx="0">
                  <c:v>0.5360000000000017</c:v>
                </c:pt>
                <c:pt idx="1">
                  <c:v>0.53300000000000125</c:v>
                </c:pt>
                <c:pt idx="2">
                  <c:v>0.53000000000000114</c:v>
                </c:pt>
                <c:pt idx="3">
                  <c:v>0.52599999999999625</c:v>
                </c:pt>
                <c:pt idx="4">
                  <c:v>0.5210000000000008</c:v>
                </c:pt>
                <c:pt idx="5">
                  <c:v>0.51699999999999591</c:v>
                </c:pt>
                <c:pt idx="6">
                  <c:v>0.51300000000000523</c:v>
                </c:pt>
                <c:pt idx="7">
                  <c:v>0.50900000000000034</c:v>
                </c:pt>
                <c:pt idx="8">
                  <c:v>0.50499999999999545</c:v>
                </c:pt>
                <c:pt idx="9">
                  <c:v>0.5</c:v>
                </c:pt>
                <c:pt idx="10">
                  <c:v>0.49599999999999667</c:v>
                </c:pt>
                <c:pt idx="11">
                  <c:v>0.49200000000000482</c:v>
                </c:pt>
                <c:pt idx="12">
                  <c:v>0.48900000000000432</c:v>
                </c:pt>
                <c:pt idx="13">
                  <c:v>0.48800000000000032</c:v>
                </c:pt>
                <c:pt idx="14">
                  <c:v>0.48500000000000032</c:v>
                </c:pt>
                <c:pt idx="15">
                  <c:v>0.48300000000000431</c:v>
                </c:pt>
                <c:pt idx="16">
                  <c:v>0.48200000000000032</c:v>
                </c:pt>
                <c:pt idx="17">
                  <c:v>0.48099999999999593</c:v>
                </c:pt>
                <c:pt idx="18">
                  <c:v>0.47900000000000031</c:v>
                </c:pt>
                <c:pt idx="19">
                  <c:v>0.47800000000000881</c:v>
                </c:pt>
                <c:pt idx="20">
                  <c:v>0.47699999999999104</c:v>
                </c:pt>
                <c:pt idx="21">
                  <c:v>0.47500000000000858</c:v>
                </c:pt>
                <c:pt idx="22">
                  <c:v>0.47399999999999093</c:v>
                </c:pt>
                <c:pt idx="23">
                  <c:v>0.4710000000000038</c:v>
                </c:pt>
                <c:pt idx="24">
                  <c:v>0.47</c:v>
                </c:pt>
                <c:pt idx="25">
                  <c:v>0.46800000000000352</c:v>
                </c:pt>
                <c:pt idx="26">
                  <c:v>0.46599999999999514</c:v>
                </c:pt>
                <c:pt idx="27">
                  <c:v>0.46500000000000341</c:v>
                </c:pt>
                <c:pt idx="28">
                  <c:v>0.4620000000000033</c:v>
                </c:pt>
                <c:pt idx="29">
                  <c:v>0.45999999999999475</c:v>
                </c:pt>
                <c:pt idx="30">
                  <c:v>0.45799999999999941</c:v>
                </c:pt>
                <c:pt idx="31">
                  <c:v>0.45600000000000307</c:v>
                </c:pt>
                <c:pt idx="32">
                  <c:v>0.45400000000000784</c:v>
                </c:pt>
                <c:pt idx="33">
                  <c:v>0.45199999999999912</c:v>
                </c:pt>
                <c:pt idx="34">
                  <c:v>0.44899999999999923</c:v>
                </c:pt>
              </c:numCache>
            </c:numRef>
          </c:yVal>
          <c:smooth val="0"/>
        </c:ser>
        <c:dLbls>
          <c:showLegendKey val="0"/>
          <c:showVal val="0"/>
          <c:showCatName val="0"/>
          <c:showSerName val="0"/>
          <c:showPercent val="0"/>
          <c:showBubbleSize val="0"/>
        </c:dLbls>
        <c:axId val="357626368"/>
        <c:axId val="357626944"/>
      </c:scatterChart>
      <c:valAx>
        <c:axId val="357626368"/>
        <c:scaling>
          <c:orientation val="minMax"/>
          <c:max val="100"/>
          <c:min val="60"/>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uk-UA"/>
          </a:p>
        </c:txPr>
        <c:crossAx val="357626944"/>
        <c:crosses val="autoZero"/>
        <c:crossBetween val="midCat"/>
      </c:valAx>
      <c:valAx>
        <c:axId val="357626944"/>
        <c:scaling>
          <c:orientation val="minMax"/>
          <c:max val="0.54"/>
          <c:min val="0.44000000000000028"/>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uk-UA"/>
          </a:p>
        </c:txPr>
        <c:crossAx val="357626368"/>
        <c:crosses val="autoZero"/>
        <c:crossBetween val="midCat"/>
      </c:valAx>
    </c:plotArea>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l-GR" sz="1000" b="0">
                <a:latin typeface="Times New Roman" pitchFamily="18" charset="0"/>
                <a:cs typeface="Times New Roman" pitchFamily="18" charset="0"/>
              </a:rPr>
              <a:t>Δ</a:t>
            </a:r>
            <a:r>
              <a:rPr lang="en-US" sz="1000" b="0">
                <a:latin typeface="Times New Roman" pitchFamily="18" charset="0"/>
                <a:cs typeface="Times New Roman" pitchFamily="18" charset="0"/>
              </a:rPr>
              <a:t>L, sm</a:t>
            </a:r>
          </a:p>
        </c:rich>
      </c:tx>
      <c:layout>
        <c:manualLayout>
          <c:xMode val="edge"/>
          <c:yMode val="edge"/>
          <c:x val="5.3556312347508926E-2"/>
          <c:y val="2.7747080984932556E-2"/>
        </c:manualLayout>
      </c:layout>
      <c:overlay val="0"/>
    </c:title>
    <c:autoTitleDeleted val="0"/>
    <c:plotArea>
      <c:layout/>
      <c:scatterChart>
        <c:scatterStyle val="lineMarker"/>
        <c:varyColors val="0"/>
        <c:ser>
          <c:idx val="1"/>
          <c:order val="1"/>
          <c:tx>
            <c:strRef>
              <c:f>Лист1!$C$1</c:f>
            </c:strRef>
          </c:tx>
          <c:spPr>
            <a:ln w="28575">
              <a:noFill/>
            </a:ln>
          </c:spPr>
          <c:yVal>
            <c:numRef>
              <c:f>Лист1!$C$2:$C$36</c:f>
            </c:numRef>
          </c:yVal>
          <c:smooth val="0"/>
        </c:ser>
        <c:ser>
          <c:idx val="0"/>
          <c:order val="0"/>
          <c:tx>
            <c:strRef>
              <c:f>[boys_who_growth_6_7_8d.xlsx]Лист3!$B$1</c:f>
              <c:strCache>
                <c:ptCount val="1"/>
                <c:pt idx="0">
                  <c:v>ΔL, sm</c:v>
                </c:pt>
              </c:strCache>
            </c:strRef>
          </c:tx>
          <c:spPr>
            <a:ln w="28575">
              <a:noFill/>
            </a:ln>
          </c:spPr>
          <c:trendline>
            <c:spPr>
              <a:ln w="15875"/>
            </c:spPr>
            <c:trendlineType val="poly"/>
            <c:order val="2"/>
            <c:dispRSqr val="0"/>
            <c:dispEq val="0"/>
          </c:trendline>
          <c:xVal>
            <c:numRef>
              <c:f>[boys_who_growth_6_7_8d.xlsx]Лист3!$A$2:$A$36</c:f>
              <c:numCache>
                <c:formatCode>General</c:formatCode>
                <c:ptCount val="35"/>
                <c:pt idx="0">
                  <c:v>62</c:v>
                </c:pt>
                <c:pt idx="1">
                  <c:v>63</c:v>
                </c:pt>
                <c:pt idx="2">
                  <c:v>64</c:v>
                </c:pt>
                <c:pt idx="3">
                  <c:v>65</c:v>
                </c:pt>
                <c:pt idx="4">
                  <c:v>66</c:v>
                </c:pt>
                <c:pt idx="5">
                  <c:v>67</c:v>
                </c:pt>
                <c:pt idx="6">
                  <c:v>68</c:v>
                </c:pt>
                <c:pt idx="7">
                  <c:v>69</c:v>
                </c:pt>
                <c:pt idx="8">
                  <c:v>70</c:v>
                </c:pt>
                <c:pt idx="9">
                  <c:v>71</c:v>
                </c:pt>
                <c:pt idx="10">
                  <c:v>72</c:v>
                </c:pt>
                <c:pt idx="11">
                  <c:v>73</c:v>
                </c:pt>
                <c:pt idx="12">
                  <c:v>74</c:v>
                </c:pt>
                <c:pt idx="13">
                  <c:v>75</c:v>
                </c:pt>
                <c:pt idx="14">
                  <c:v>76</c:v>
                </c:pt>
                <c:pt idx="15">
                  <c:v>77</c:v>
                </c:pt>
                <c:pt idx="16">
                  <c:v>78</c:v>
                </c:pt>
                <c:pt idx="17">
                  <c:v>79</c:v>
                </c:pt>
                <c:pt idx="18">
                  <c:v>80</c:v>
                </c:pt>
                <c:pt idx="19">
                  <c:v>81</c:v>
                </c:pt>
                <c:pt idx="20">
                  <c:v>82</c:v>
                </c:pt>
                <c:pt idx="21">
                  <c:v>83</c:v>
                </c:pt>
                <c:pt idx="22">
                  <c:v>84</c:v>
                </c:pt>
                <c:pt idx="23">
                  <c:v>85</c:v>
                </c:pt>
                <c:pt idx="24">
                  <c:v>86</c:v>
                </c:pt>
                <c:pt idx="25">
                  <c:v>87</c:v>
                </c:pt>
                <c:pt idx="26">
                  <c:v>88</c:v>
                </c:pt>
                <c:pt idx="27">
                  <c:v>89</c:v>
                </c:pt>
                <c:pt idx="28">
                  <c:v>90</c:v>
                </c:pt>
                <c:pt idx="29">
                  <c:v>91</c:v>
                </c:pt>
                <c:pt idx="30">
                  <c:v>92</c:v>
                </c:pt>
                <c:pt idx="31">
                  <c:v>93</c:v>
                </c:pt>
                <c:pt idx="32">
                  <c:v>94</c:v>
                </c:pt>
                <c:pt idx="33">
                  <c:v>95</c:v>
                </c:pt>
                <c:pt idx="34">
                  <c:v>96</c:v>
                </c:pt>
              </c:numCache>
            </c:numRef>
          </c:xVal>
          <c:yVal>
            <c:numRef>
              <c:f>[boys_who_growth_6_7_8d.xlsx]Лист3!$B$2:$B$36</c:f>
              <c:numCache>
                <c:formatCode>General</c:formatCode>
                <c:ptCount val="35"/>
                <c:pt idx="0">
                  <c:v>0.52400000000000091</c:v>
                </c:pt>
                <c:pt idx="1">
                  <c:v>0.51899999999999125</c:v>
                </c:pt>
                <c:pt idx="2">
                  <c:v>0.51500000000000068</c:v>
                </c:pt>
                <c:pt idx="3">
                  <c:v>0.51000000000000512</c:v>
                </c:pt>
                <c:pt idx="4">
                  <c:v>0.50499999999999545</c:v>
                </c:pt>
                <c:pt idx="5">
                  <c:v>0.50200000000000955</c:v>
                </c:pt>
                <c:pt idx="6">
                  <c:v>0.49700000000000072</c:v>
                </c:pt>
                <c:pt idx="7">
                  <c:v>0.49299999999999655</c:v>
                </c:pt>
                <c:pt idx="8">
                  <c:v>0.48900000000000432</c:v>
                </c:pt>
                <c:pt idx="9">
                  <c:v>0.48599999999999144</c:v>
                </c:pt>
                <c:pt idx="10">
                  <c:v>0.48200000000000032</c:v>
                </c:pt>
                <c:pt idx="11">
                  <c:v>0.48000000000000398</c:v>
                </c:pt>
                <c:pt idx="12">
                  <c:v>0.47700000000000387</c:v>
                </c:pt>
                <c:pt idx="13">
                  <c:v>0.47600000000000015</c:v>
                </c:pt>
                <c:pt idx="14">
                  <c:v>0.47400000000000381</c:v>
                </c:pt>
                <c:pt idx="15">
                  <c:v>0.47300000000000009</c:v>
                </c:pt>
                <c:pt idx="16">
                  <c:v>0.47300000000000009</c:v>
                </c:pt>
                <c:pt idx="17">
                  <c:v>0.47199999999999537</c:v>
                </c:pt>
                <c:pt idx="18">
                  <c:v>0.47200000000000841</c:v>
                </c:pt>
                <c:pt idx="19">
                  <c:v>0.47199999999999537</c:v>
                </c:pt>
                <c:pt idx="20">
                  <c:v>0.47199999999999537</c:v>
                </c:pt>
                <c:pt idx="21">
                  <c:v>0.47200000000000841</c:v>
                </c:pt>
                <c:pt idx="22">
                  <c:v>0.47300000000000009</c:v>
                </c:pt>
                <c:pt idx="23">
                  <c:v>0.47400000000000381</c:v>
                </c:pt>
                <c:pt idx="24">
                  <c:v>0.47499999999999565</c:v>
                </c:pt>
                <c:pt idx="25">
                  <c:v>0.47499999999999565</c:v>
                </c:pt>
                <c:pt idx="26">
                  <c:v>0.47600000000000015</c:v>
                </c:pt>
                <c:pt idx="27">
                  <c:v>0.47700000000000387</c:v>
                </c:pt>
                <c:pt idx="28">
                  <c:v>0.47800000000000881</c:v>
                </c:pt>
                <c:pt idx="29">
                  <c:v>0.47900000000000031</c:v>
                </c:pt>
                <c:pt idx="30">
                  <c:v>0.47900000000000031</c:v>
                </c:pt>
                <c:pt idx="31">
                  <c:v>0.48099999999999593</c:v>
                </c:pt>
                <c:pt idx="32">
                  <c:v>0.48300000000000431</c:v>
                </c:pt>
                <c:pt idx="33">
                  <c:v>0.48399999999999604</c:v>
                </c:pt>
                <c:pt idx="34">
                  <c:v>0.48500000000000032</c:v>
                </c:pt>
              </c:numCache>
            </c:numRef>
          </c:yVal>
          <c:smooth val="0"/>
        </c:ser>
        <c:dLbls>
          <c:showLegendKey val="0"/>
          <c:showVal val="0"/>
          <c:showCatName val="0"/>
          <c:showSerName val="0"/>
          <c:showPercent val="0"/>
          <c:showBubbleSize val="0"/>
        </c:dLbls>
        <c:axId val="357625216"/>
        <c:axId val="357629248"/>
      </c:scatterChart>
      <c:valAx>
        <c:axId val="357625216"/>
        <c:scaling>
          <c:orientation val="minMax"/>
          <c:max val="100"/>
          <c:min val="60"/>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uk-UA"/>
          </a:p>
        </c:txPr>
        <c:crossAx val="357629248"/>
        <c:crosses val="autoZero"/>
        <c:crossBetween val="midCat"/>
      </c:valAx>
      <c:valAx>
        <c:axId val="357629248"/>
        <c:scaling>
          <c:orientation val="minMax"/>
          <c:max val="0.54"/>
          <c:min val="0.44"/>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uk-UA"/>
          </a:p>
        </c:txPr>
        <c:crossAx val="357625216"/>
        <c:crosses val="autoZero"/>
        <c:crossBetween val="midCat"/>
      </c:valAx>
    </c:plotArea>
    <c:plotVisOnly val="1"/>
    <c:dispBlanksAs val="gap"/>
    <c:showDLblsOverMax val="0"/>
  </c:chart>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ubbleChart>
        <c:varyColors val="0"/>
        <c:ser>
          <c:idx val="0"/>
          <c:order val="0"/>
          <c:tx>
            <c:strRef>
              <c:f>Лист8!$T$8</c:f>
              <c:strCache>
                <c:ptCount val="1"/>
                <c:pt idx="0">
                  <c:v>Predicted Value</c:v>
                </c:pt>
              </c:strCache>
            </c:strRef>
          </c:tx>
          <c:spPr>
            <a:solidFill>
              <a:srgbClr val="522BE1"/>
            </a:solidFill>
            <a:ln>
              <a:solidFill>
                <a:schemeClr val="accent1">
                  <a:lumMod val="75000"/>
                </a:schemeClr>
              </a:solidFill>
            </a:ln>
          </c:spPr>
          <c:invertIfNegative val="0"/>
          <c:xVal>
            <c:numRef>
              <c:f>Лист8!$S$9:$S$72</c:f>
              <c:numCache>
                <c:formatCode>General</c:formatCode>
                <c:ptCount val="64"/>
                <c:pt idx="0">
                  <c:v>14.6</c:v>
                </c:pt>
                <c:pt idx="1">
                  <c:v>32.4</c:v>
                </c:pt>
                <c:pt idx="2">
                  <c:v>17.3</c:v>
                </c:pt>
                <c:pt idx="3">
                  <c:v>26.1</c:v>
                </c:pt>
                <c:pt idx="4">
                  <c:v>27</c:v>
                </c:pt>
                <c:pt idx="5">
                  <c:v>23.1</c:v>
                </c:pt>
                <c:pt idx="6">
                  <c:v>9.1</c:v>
                </c:pt>
                <c:pt idx="7">
                  <c:v>15.8</c:v>
                </c:pt>
                <c:pt idx="8">
                  <c:v>18.600000000000001</c:v>
                </c:pt>
                <c:pt idx="9">
                  <c:v>22.3</c:v>
                </c:pt>
                <c:pt idx="10">
                  <c:v>24.2</c:v>
                </c:pt>
                <c:pt idx="11">
                  <c:v>24</c:v>
                </c:pt>
                <c:pt idx="12">
                  <c:v>10.8</c:v>
                </c:pt>
                <c:pt idx="13">
                  <c:v>23.6</c:v>
                </c:pt>
                <c:pt idx="14">
                  <c:v>32.6</c:v>
                </c:pt>
                <c:pt idx="15">
                  <c:v>28.3</c:v>
                </c:pt>
                <c:pt idx="16">
                  <c:v>28</c:v>
                </c:pt>
                <c:pt idx="17">
                  <c:v>15.1</c:v>
                </c:pt>
                <c:pt idx="18">
                  <c:v>16.600000000000001</c:v>
                </c:pt>
                <c:pt idx="19">
                  <c:v>18.7</c:v>
                </c:pt>
                <c:pt idx="20">
                  <c:v>23.8</c:v>
                </c:pt>
                <c:pt idx="21">
                  <c:v>29.9</c:v>
                </c:pt>
                <c:pt idx="22">
                  <c:v>13.4</c:v>
                </c:pt>
                <c:pt idx="23">
                  <c:v>22.1</c:v>
                </c:pt>
                <c:pt idx="24">
                  <c:v>25</c:v>
                </c:pt>
                <c:pt idx="25">
                  <c:v>10.3</c:v>
                </c:pt>
                <c:pt idx="26">
                  <c:v>23.3</c:v>
                </c:pt>
                <c:pt idx="27">
                  <c:v>16.899999999999999</c:v>
                </c:pt>
                <c:pt idx="28">
                  <c:v>21.8</c:v>
                </c:pt>
                <c:pt idx="29">
                  <c:v>19.100000000000001</c:v>
                </c:pt>
                <c:pt idx="30">
                  <c:v>22.7</c:v>
                </c:pt>
                <c:pt idx="31">
                  <c:v>21</c:v>
                </c:pt>
                <c:pt idx="32">
                  <c:v>15.2</c:v>
                </c:pt>
                <c:pt idx="33">
                  <c:v>13</c:v>
                </c:pt>
                <c:pt idx="34">
                  <c:v>16.899999999999999</c:v>
                </c:pt>
                <c:pt idx="35">
                  <c:v>13.3</c:v>
                </c:pt>
                <c:pt idx="36">
                  <c:v>14.2</c:v>
                </c:pt>
                <c:pt idx="37">
                  <c:v>19.8</c:v>
                </c:pt>
                <c:pt idx="38">
                  <c:v>18.2</c:v>
                </c:pt>
                <c:pt idx="39">
                  <c:v>37.800000000000004</c:v>
                </c:pt>
                <c:pt idx="40">
                  <c:v>26.1</c:v>
                </c:pt>
                <c:pt idx="41">
                  <c:v>16.7</c:v>
                </c:pt>
                <c:pt idx="42">
                  <c:v>7.8</c:v>
                </c:pt>
                <c:pt idx="43">
                  <c:v>22.4</c:v>
                </c:pt>
                <c:pt idx="44">
                  <c:v>23.4</c:v>
                </c:pt>
                <c:pt idx="45">
                  <c:v>7.9</c:v>
                </c:pt>
                <c:pt idx="46">
                  <c:v>22.5</c:v>
                </c:pt>
                <c:pt idx="47">
                  <c:v>12.4</c:v>
                </c:pt>
                <c:pt idx="48">
                  <c:v>22.7</c:v>
                </c:pt>
                <c:pt idx="49">
                  <c:v>15.6</c:v>
                </c:pt>
                <c:pt idx="50">
                  <c:v>17</c:v>
                </c:pt>
                <c:pt idx="51">
                  <c:v>21</c:v>
                </c:pt>
                <c:pt idx="52">
                  <c:v>23.9</c:v>
                </c:pt>
                <c:pt idx="53">
                  <c:v>29.8</c:v>
                </c:pt>
                <c:pt idx="54">
                  <c:v>20.8</c:v>
                </c:pt>
                <c:pt idx="55">
                  <c:v>14</c:v>
                </c:pt>
                <c:pt idx="56">
                  <c:v>16.600000000000001</c:v>
                </c:pt>
                <c:pt idx="57">
                  <c:v>6.4</c:v>
                </c:pt>
                <c:pt idx="58">
                  <c:v>19</c:v>
                </c:pt>
                <c:pt idx="59">
                  <c:v>8</c:v>
                </c:pt>
                <c:pt idx="60">
                  <c:v>26.9</c:v>
                </c:pt>
                <c:pt idx="61">
                  <c:v>11.3</c:v>
                </c:pt>
                <c:pt idx="62">
                  <c:v>16.7</c:v>
                </c:pt>
                <c:pt idx="63">
                  <c:v>14.1</c:v>
                </c:pt>
              </c:numCache>
            </c:numRef>
          </c:xVal>
          <c:yVal>
            <c:numRef>
              <c:f>Лист8!$T$9:$T$72</c:f>
              <c:numCache>
                <c:formatCode>General</c:formatCode>
                <c:ptCount val="64"/>
                <c:pt idx="0">
                  <c:v>22.631599999999999</c:v>
                </c:pt>
                <c:pt idx="1">
                  <c:v>29.3047</c:v>
                </c:pt>
                <c:pt idx="2">
                  <c:v>18.725099999999976</c:v>
                </c:pt>
                <c:pt idx="3">
                  <c:v>20.498599999999971</c:v>
                </c:pt>
                <c:pt idx="4">
                  <c:v>22.102499999999981</c:v>
                </c:pt>
                <c:pt idx="5">
                  <c:v>19.930700000000002</c:v>
                </c:pt>
                <c:pt idx="6">
                  <c:v>13.88210000000001</c:v>
                </c:pt>
                <c:pt idx="7">
                  <c:v>18.110199999999999</c:v>
                </c:pt>
                <c:pt idx="8">
                  <c:v>17.055</c:v>
                </c:pt>
                <c:pt idx="9">
                  <c:v>22.080499999999976</c:v>
                </c:pt>
                <c:pt idx="10">
                  <c:v>23.557200000000005</c:v>
                </c:pt>
                <c:pt idx="11">
                  <c:v>16.732299999999977</c:v>
                </c:pt>
                <c:pt idx="12">
                  <c:v>17.363199999999981</c:v>
                </c:pt>
                <c:pt idx="13">
                  <c:v>26.8429</c:v>
                </c:pt>
                <c:pt idx="14">
                  <c:v>31.267099999999989</c:v>
                </c:pt>
                <c:pt idx="15">
                  <c:v>24.899699999999989</c:v>
                </c:pt>
                <c:pt idx="16">
                  <c:v>24.177199999999999</c:v>
                </c:pt>
                <c:pt idx="17">
                  <c:v>17.450900000000001</c:v>
                </c:pt>
                <c:pt idx="18">
                  <c:v>19.305599999999973</c:v>
                </c:pt>
                <c:pt idx="19">
                  <c:v>19.308499999999977</c:v>
                </c:pt>
                <c:pt idx="20">
                  <c:v>27.006699999999977</c:v>
                </c:pt>
                <c:pt idx="21">
                  <c:v>27.552299999999978</c:v>
                </c:pt>
                <c:pt idx="22">
                  <c:v>16.695499999999981</c:v>
                </c:pt>
                <c:pt idx="23">
                  <c:v>19.529299999999989</c:v>
                </c:pt>
                <c:pt idx="24">
                  <c:v>21.497299999999989</c:v>
                </c:pt>
                <c:pt idx="25">
                  <c:v>15.205300000000001</c:v>
                </c:pt>
                <c:pt idx="26">
                  <c:v>24.040299999999974</c:v>
                </c:pt>
                <c:pt idx="27">
                  <c:v>12.634299999999998</c:v>
                </c:pt>
                <c:pt idx="28">
                  <c:v>25.389600000000002</c:v>
                </c:pt>
                <c:pt idx="29">
                  <c:v>16.657599999999999</c:v>
                </c:pt>
                <c:pt idx="30">
                  <c:v>27.958699999999975</c:v>
                </c:pt>
                <c:pt idx="31">
                  <c:v>21.805700000000002</c:v>
                </c:pt>
                <c:pt idx="32">
                  <c:v>13.771600000000001</c:v>
                </c:pt>
                <c:pt idx="33">
                  <c:v>13.9352</c:v>
                </c:pt>
                <c:pt idx="34">
                  <c:v>17.092099999999977</c:v>
                </c:pt>
                <c:pt idx="35">
                  <c:v>16.288199999999978</c:v>
                </c:pt>
                <c:pt idx="36">
                  <c:v>17.9114</c:v>
                </c:pt>
                <c:pt idx="37">
                  <c:v>15.96060000000001</c:v>
                </c:pt>
                <c:pt idx="38">
                  <c:v>12.4511</c:v>
                </c:pt>
                <c:pt idx="39">
                  <c:v>40.922100000000036</c:v>
                </c:pt>
                <c:pt idx="40">
                  <c:v>19.9374</c:v>
                </c:pt>
                <c:pt idx="41">
                  <c:v>19.9879</c:v>
                </c:pt>
                <c:pt idx="42">
                  <c:v>18.249699999999976</c:v>
                </c:pt>
                <c:pt idx="43">
                  <c:v>19.168399999999973</c:v>
                </c:pt>
                <c:pt idx="44">
                  <c:v>19.679400000000001</c:v>
                </c:pt>
                <c:pt idx="45">
                  <c:v>14.642200000000001</c:v>
                </c:pt>
                <c:pt idx="46">
                  <c:v>15.3872</c:v>
                </c:pt>
                <c:pt idx="47">
                  <c:v>13.791700000000001</c:v>
                </c:pt>
                <c:pt idx="48">
                  <c:v>20.194400000000005</c:v>
                </c:pt>
                <c:pt idx="49">
                  <c:v>15.683300000000001</c:v>
                </c:pt>
                <c:pt idx="50">
                  <c:v>15.6228</c:v>
                </c:pt>
                <c:pt idx="51">
                  <c:v>17.534199999999988</c:v>
                </c:pt>
                <c:pt idx="52">
                  <c:v>22.885000000000002</c:v>
                </c:pt>
                <c:pt idx="53">
                  <c:v>19.128299999999989</c:v>
                </c:pt>
                <c:pt idx="54">
                  <c:v>17.988899999999976</c:v>
                </c:pt>
                <c:pt idx="55">
                  <c:v>15.953700000000008</c:v>
                </c:pt>
                <c:pt idx="56">
                  <c:v>18.310199999999988</c:v>
                </c:pt>
                <c:pt idx="57">
                  <c:v>13.0237</c:v>
                </c:pt>
                <c:pt idx="58">
                  <c:v>19.1846</c:v>
                </c:pt>
                <c:pt idx="59">
                  <c:v>16.054400000000001</c:v>
                </c:pt>
                <c:pt idx="60">
                  <c:v>20.001000000000001</c:v>
                </c:pt>
                <c:pt idx="61">
                  <c:v>13.721500000000001</c:v>
                </c:pt>
                <c:pt idx="62">
                  <c:v>14.495000000000006</c:v>
                </c:pt>
                <c:pt idx="63">
                  <c:v>18.745099999999976</c:v>
                </c:pt>
              </c:numCache>
            </c:numRef>
          </c:yVal>
          <c:bubbleSize>
            <c:numLit>
              <c:formatCode>General</c:formatCode>
              <c:ptCount val="64"/>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numLit>
          </c:bubbleSize>
          <c:bubble3D val="0"/>
        </c:ser>
        <c:dLbls>
          <c:showLegendKey val="0"/>
          <c:showVal val="0"/>
          <c:showCatName val="0"/>
          <c:showSerName val="0"/>
          <c:showPercent val="0"/>
          <c:showBubbleSize val="0"/>
        </c:dLbls>
        <c:bubbleScale val="15"/>
        <c:showNegBubbles val="0"/>
        <c:sizeRepresents val="w"/>
        <c:axId val="358434496"/>
        <c:axId val="358435072"/>
      </c:bubbleChart>
      <c:valAx>
        <c:axId val="358434496"/>
        <c:scaling>
          <c:orientation val="minMax"/>
          <c:max val="50"/>
          <c:min val="0"/>
        </c:scaling>
        <c:delete val="0"/>
        <c:axPos val="b"/>
        <c:numFmt formatCode="General" sourceLinked="1"/>
        <c:majorTickMark val="out"/>
        <c:minorTickMark val="none"/>
        <c:tickLblPos val="nextTo"/>
        <c:txPr>
          <a:bodyPr/>
          <a:lstStyle/>
          <a:p>
            <a:pPr>
              <a:defRPr lang="uk-UA"/>
            </a:pPr>
            <a:endParaRPr lang="uk-UA"/>
          </a:p>
        </c:txPr>
        <c:crossAx val="358435072"/>
        <c:crosses val="autoZero"/>
        <c:crossBetween val="midCat"/>
        <c:majorUnit val="10"/>
      </c:valAx>
      <c:valAx>
        <c:axId val="358435072"/>
        <c:scaling>
          <c:orientation val="minMax"/>
          <c:max val="50"/>
          <c:min val="0"/>
        </c:scaling>
        <c:delete val="0"/>
        <c:axPos val="l"/>
        <c:majorGridlines/>
        <c:numFmt formatCode="General" sourceLinked="1"/>
        <c:majorTickMark val="out"/>
        <c:minorTickMark val="none"/>
        <c:tickLblPos val="nextTo"/>
        <c:txPr>
          <a:bodyPr/>
          <a:lstStyle/>
          <a:p>
            <a:pPr>
              <a:defRPr lang="uk-UA"/>
            </a:pPr>
            <a:endParaRPr lang="uk-UA"/>
          </a:p>
        </c:txPr>
        <c:crossAx val="358434496"/>
        <c:crosses val="autoZero"/>
        <c:crossBetween val="midCat"/>
        <c:majorUnit val="10"/>
      </c:valAx>
      <c:spPr>
        <a:ln>
          <a:noFill/>
        </a:ln>
      </c:spPr>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331154684095861"/>
          <c:y val="8.1671270148823014E-2"/>
          <c:w val="0.77370233638827934"/>
          <c:h val="0.76304098414291022"/>
        </c:manualLayout>
      </c:layout>
      <c:bubbleChart>
        <c:varyColors val="0"/>
        <c:ser>
          <c:idx val="0"/>
          <c:order val="0"/>
          <c:tx>
            <c:strRef>
              <c:f>Лист8!$D$8</c:f>
              <c:strCache>
                <c:ptCount val="1"/>
                <c:pt idx="0">
                  <c:v>Predicted Value</c:v>
                </c:pt>
              </c:strCache>
            </c:strRef>
          </c:tx>
          <c:spPr>
            <a:solidFill>
              <a:srgbClr val="522BE1"/>
            </a:solidFill>
            <a:ln>
              <a:solidFill>
                <a:schemeClr val="accent1">
                  <a:lumMod val="75000"/>
                </a:schemeClr>
              </a:solidFill>
            </a:ln>
          </c:spPr>
          <c:invertIfNegative val="0"/>
          <c:xVal>
            <c:numRef>
              <c:f>Лист8!$C$9:$C$72</c:f>
              <c:numCache>
                <c:formatCode>General</c:formatCode>
                <c:ptCount val="64"/>
                <c:pt idx="0">
                  <c:v>36.200000000000003</c:v>
                </c:pt>
                <c:pt idx="1">
                  <c:v>30.6</c:v>
                </c:pt>
                <c:pt idx="2">
                  <c:v>35.4</c:v>
                </c:pt>
                <c:pt idx="3">
                  <c:v>33.1</c:v>
                </c:pt>
                <c:pt idx="4">
                  <c:v>33.9</c:v>
                </c:pt>
                <c:pt idx="5">
                  <c:v>23</c:v>
                </c:pt>
                <c:pt idx="6">
                  <c:v>36.800000000000004</c:v>
                </c:pt>
                <c:pt idx="7">
                  <c:v>32.200000000000003</c:v>
                </c:pt>
                <c:pt idx="8">
                  <c:v>33.9</c:v>
                </c:pt>
                <c:pt idx="9">
                  <c:v>33.9</c:v>
                </c:pt>
                <c:pt idx="10">
                  <c:v>33.5</c:v>
                </c:pt>
                <c:pt idx="11">
                  <c:v>30.1</c:v>
                </c:pt>
                <c:pt idx="12">
                  <c:v>37.6</c:v>
                </c:pt>
                <c:pt idx="13">
                  <c:v>32.5</c:v>
                </c:pt>
                <c:pt idx="14">
                  <c:v>29.8</c:v>
                </c:pt>
                <c:pt idx="15">
                  <c:v>31.2</c:v>
                </c:pt>
                <c:pt idx="16">
                  <c:v>31.6</c:v>
                </c:pt>
                <c:pt idx="17">
                  <c:v>34.5</c:v>
                </c:pt>
                <c:pt idx="18">
                  <c:v>34.6</c:v>
                </c:pt>
                <c:pt idx="19">
                  <c:v>34.5</c:v>
                </c:pt>
                <c:pt idx="20">
                  <c:v>35.200000000000003</c:v>
                </c:pt>
                <c:pt idx="21">
                  <c:v>30</c:v>
                </c:pt>
                <c:pt idx="22">
                  <c:v>33.6</c:v>
                </c:pt>
                <c:pt idx="23">
                  <c:v>33.6</c:v>
                </c:pt>
                <c:pt idx="24">
                  <c:v>34.800000000000004</c:v>
                </c:pt>
                <c:pt idx="25">
                  <c:v>37.5</c:v>
                </c:pt>
                <c:pt idx="26">
                  <c:v>32.9</c:v>
                </c:pt>
                <c:pt idx="27">
                  <c:v>34.5</c:v>
                </c:pt>
                <c:pt idx="28">
                  <c:v>34.300000000000004</c:v>
                </c:pt>
                <c:pt idx="29">
                  <c:v>34.4</c:v>
                </c:pt>
                <c:pt idx="30">
                  <c:v>36.300000000000004</c:v>
                </c:pt>
                <c:pt idx="31">
                  <c:v>34.800000000000004</c:v>
                </c:pt>
                <c:pt idx="32">
                  <c:v>37.9</c:v>
                </c:pt>
                <c:pt idx="33">
                  <c:v>37</c:v>
                </c:pt>
                <c:pt idx="34">
                  <c:v>36.1</c:v>
                </c:pt>
                <c:pt idx="35">
                  <c:v>39.800000000000004</c:v>
                </c:pt>
                <c:pt idx="36">
                  <c:v>36</c:v>
                </c:pt>
                <c:pt idx="37">
                  <c:v>34.800000000000004</c:v>
                </c:pt>
                <c:pt idx="38">
                  <c:v>34.4</c:v>
                </c:pt>
                <c:pt idx="39">
                  <c:v>29.3</c:v>
                </c:pt>
                <c:pt idx="40">
                  <c:v>33.200000000000003</c:v>
                </c:pt>
                <c:pt idx="41">
                  <c:v>36.5</c:v>
                </c:pt>
                <c:pt idx="42">
                  <c:v>37.200000000000003</c:v>
                </c:pt>
                <c:pt idx="43">
                  <c:v>34.300000000000004</c:v>
                </c:pt>
                <c:pt idx="44">
                  <c:v>34.200000000000003</c:v>
                </c:pt>
                <c:pt idx="45">
                  <c:v>37.700000000000003</c:v>
                </c:pt>
                <c:pt idx="46">
                  <c:v>34.300000000000004</c:v>
                </c:pt>
                <c:pt idx="47">
                  <c:v>40.300000000000004</c:v>
                </c:pt>
                <c:pt idx="48">
                  <c:v>34.200000000000003</c:v>
                </c:pt>
                <c:pt idx="49">
                  <c:v>40.1</c:v>
                </c:pt>
                <c:pt idx="50">
                  <c:v>35.4</c:v>
                </c:pt>
                <c:pt idx="51">
                  <c:v>36.700000000000003</c:v>
                </c:pt>
                <c:pt idx="52">
                  <c:v>36.700000000000003</c:v>
                </c:pt>
                <c:pt idx="53">
                  <c:v>32.200000000000003</c:v>
                </c:pt>
                <c:pt idx="54">
                  <c:v>38.200000000000003</c:v>
                </c:pt>
                <c:pt idx="55">
                  <c:v>40.300000000000004</c:v>
                </c:pt>
                <c:pt idx="56">
                  <c:v>36.4</c:v>
                </c:pt>
                <c:pt idx="57">
                  <c:v>40.300000000000004</c:v>
                </c:pt>
                <c:pt idx="58">
                  <c:v>35.6</c:v>
                </c:pt>
                <c:pt idx="59">
                  <c:v>41.8</c:v>
                </c:pt>
                <c:pt idx="60">
                  <c:v>33.4</c:v>
                </c:pt>
                <c:pt idx="61">
                  <c:v>36.700000000000003</c:v>
                </c:pt>
                <c:pt idx="62">
                  <c:v>35.800000000000004</c:v>
                </c:pt>
                <c:pt idx="63">
                  <c:v>39.800000000000004</c:v>
                </c:pt>
              </c:numCache>
            </c:numRef>
          </c:xVal>
          <c:yVal>
            <c:numRef>
              <c:f>Лист8!$D$9:$D$72</c:f>
              <c:numCache>
                <c:formatCode>General</c:formatCode>
                <c:ptCount val="64"/>
                <c:pt idx="0">
                  <c:v>32.773100000000035</c:v>
                </c:pt>
                <c:pt idx="1">
                  <c:v>30.9575</c:v>
                </c:pt>
                <c:pt idx="2">
                  <c:v>34.3322</c:v>
                </c:pt>
                <c:pt idx="3">
                  <c:v>33.068300000000036</c:v>
                </c:pt>
                <c:pt idx="4">
                  <c:v>33.840599999999995</c:v>
                </c:pt>
                <c:pt idx="5">
                  <c:v>33.454899999999995</c:v>
                </c:pt>
                <c:pt idx="6">
                  <c:v>34.310399999999994</c:v>
                </c:pt>
                <c:pt idx="7">
                  <c:v>34.424100000000003</c:v>
                </c:pt>
                <c:pt idx="8">
                  <c:v>33.360100000000003</c:v>
                </c:pt>
                <c:pt idx="9">
                  <c:v>33.095700000000036</c:v>
                </c:pt>
                <c:pt idx="10">
                  <c:v>33.592400000000012</c:v>
                </c:pt>
                <c:pt idx="11">
                  <c:v>35.203200000000002</c:v>
                </c:pt>
                <c:pt idx="12">
                  <c:v>36.403600000000004</c:v>
                </c:pt>
                <c:pt idx="13">
                  <c:v>34.426400000000001</c:v>
                </c:pt>
                <c:pt idx="14">
                  <c:v>33.151899999999998</c:v>
                </c:pt>
                <c:pt idx="15">
                  <c:v>33.456999999999994</c:v>
                </c:pt>
                <c:pt idx="16">
                  <c:v>30.464299999999977</c:v>
                </c:pt>
                <c:pt idx="17">
                  <c:v>35.473200000000006</c:v>
                </c:pt>
                <c:pt idx="18">
                  <c:v>33.2592</c:v>
                </c:pt>
                <c:pt idx="19">
                  <c:v>34.2575</c:v>
                </c:pt>
                <c:pt idx="20">
                  <c:v>33.008400000000002</c:v>
                </c:pt>
                <c:pt idx="21">
                  <c:v>31.768799999999963</c:v>
                </c:pt>
                <c:pt idx="22">
                  <c:v>32.954499999999996</c:v>
                </c:pt>
                <c:pt idx="23">
                  <c:v>33.545900000000003</c:v>
                </c:pt>
                <c:pt idx="24">
                  <c:v>34.663200000000003</c:v>
                </c:pt>
                <c:pt idx="25">
                  <c:v>34.690200000000011</c:v>
                </c:pt>
                <c:pt idx="26">
                  <c:v>34.5212</c:v>
                </c:pt>
                <c:pt idx="27">
                  <c:v>34.393800000000006</c:v>
                </c:pt>
                <c:pt idx="28">
                  <c:v>33.705100000000037</c:v>
                </c:pt>
                <c:pt idx="29">
                  <c:v>35.674100000000003</c:v>
                </c:pt>
                <c:pt idx="30">
                  <c:v>34.772200000000012</c:v>
                </c:pt>
                <c:pt idx="31">
                  <c:v>36.256</c:v>
                </c:pt>
                <c:pt idx="32">
                  <c:v>34.947199999999995</c:v>
                </c:pt>
                <c:pt idx="33">
                  <c:v>35.400300000000001</c:v>
                </c:pt>
                <c:pt idx="34">
                  <c:v>36.3277</c:v>
                </c:pt>
                <c:pt idx="35">
                  <c:v>36.245700000000035</c:v>
                </c:pt>
                <c:pt idx="36">
                  <c:v>35.755100000000013</c:v>
                </c:pt>
                <c:pt idx="37">
                  <c:v>34.022400000000012</c:v>
                </c:pt>
                <c:pt idx="38">
                  <c:v>34.599200000000003</c:v>
                </c:pt>
                <c:pt idx="39">
                  <c:v>32.571400000000004</c:v>
                </c:pt>
                <c:pt idx="40">
                  <c:v>34.064500000000002</c:v>
                </c:pt>
                <c:pt idx="41">
                  <c:v>36.035000000000011</c:v>
                </c:pt>
                <c:pt idx="42">
                  <c:v>37.823500000000003</c:v>
                </c:pt>
                <c:pt idx="43">
                  <c:v>35.086300000000001</c:v>
                </c:pt>
                <c:pt idx="44">
                  <c:v>36.052200000000006</c:v>
                </c:pt>
                <c:pt idx="45">
                  <c:v>36.717600000000004</c:v>
                </c:pt>
                <c:pt idx="46">
                  <c:v>35.297600000000003</c:v>
                </c:pt>
                <c:pt idx="47">
                  <c:v>36.472500000000011</c:v>
                </c:pt>
                <c:pt idx="48">
                  <c:v>36.740300000000012</c:v>
                </c:pt>
                <c:pt idx="49">
                  <c:v>36.782800000000002</c:v>
                </c:pt>
                <c:pt idx="50">
                  <c:v>34.809000000000005</c:v>
                </c:pt>
                <c:pt idx="51">
                  <c:v>34.603300000000011</c:v>
                </c:pt>
                <c:pt idx="52">
                  <c:v>32.390800000000006</c:v>
                </c:pt>
                <c:pt idx="53">
                  <c:v>34.837199999999996</c:v>
                </c:pt>
                <c:pt idx="54">
                  <c:v>34.491600000000005</c:v>
                </c:pt>
                <c:pt idx="55">
                  <c:v>40.086800000000004</c:v>
                </c:pt>
                <c:pt idx="56">
                  <c:v>35.9377</c:v>
                </c:pt>
                <c:pt idx="57">
                  <c:v>36.502600000000001</c:v>
                </c:pt>
                <c:pt idx="58">
                  <c:v>37.560200000000002</c:v>
                </c:pt>
                <c:pt idx="59">
                  <c:v>40.163500000000013</c:v>
                </c:pt>
                <c:pt idx="60">
                  <c:v>36.350199999999994</c:v>
                </c:pt>
                <c:pt idx="61">
                  <c:v>38.797500000000035</c:v>
                </c:pt>
                <c:pt idx="62">
                  <c:v>36.074600000000004</c:v>
                </c:pt>
                <c:pt idx="63">
                  <c:v>40.595100000000038</c:v>
                </c:pt>
              </c:numCache>
            </c:numRef>
          </c:yVal>
          <c:bubbleSize>
            <c:numLit>
              <c:formatCode>General</c:formatCode>
              <c:ptCount val="64"/>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numLit>
          </c:bubbleSize>
          <c:bubble3D val="0"/>
        </c:ser>
        <c:dLbls>
          <c:showLegendKey val="0"/>
          <c:showVal val="0"/>
          <c:showCatName val="0"/>
          <c:showSerName val="0"/>
          <c:showPercent val="0"/>
          <c:showBubbleSize val="0"/>
        </c:dLbls>
        <c:bubbleScale val="15"/>
        <c:showNegBubbles val="0"/>
        <c:sizeRepresents val="w"/>
        <c:axId val="358436800"/>
        <c:axId val="358437376"/>
      </c:bubbleChart>
      <c:valAx>
        <c:axId val="358436800"/>
        <c:scaling>
          <c:orientation val="minMax"/>
          <c:max val="50"/>
          <c:min val="0"/>
        </c:scaling>
        <c:delete val="0"/>
        <c:axPos val="b"/>
        <c:numFmt formatCode="General" sourceLinked="1"/>
        <c:majorTickMark val="out"/>
        <c:minorTickMark val="none"/>
        <c:tickLblPos val="nextTo"/>
        <c:txPr>
          <a:bodyPr/>
          <a:lstStyle/>
          <a:p>
            <a:pPr>
              <a:defRPr lang="uk-UA"/>
            </a:pPr>
            <a:endParaRPr lang="uk-UA"/>
          </a:p>
        </c:txPr>
        <c:crossAx val="358437376"/>
        <c:crosses val="autoZero"/>
        <c:crossBetween val="midCat"/>
        <c:majorUnit val="10"/>
      </c:valAx>
      <c:valAx>
        <c:axId val="358437376"/>
        <c:scaling>
          <c:orientation val="minMax"/>
          <c:max val="50"/>
          <c:min val="0"/>
        </c:scaling>
        <c:delete val="0"/>
        <c:axPos val="l"/>
        <c:majorGridlines/>
        <c:numFmt formatCode="General" sourceLinked="1"/>
        <c:majorTickMark val="out"/>
        <c:minorTickMark val="none"/>
        <c:tickLblPos val="nextTo"/>
        <c:txPr>
          <a:bodyPr/>
          <a:lstStyle/>
          <a:p>
            <a:pPr>
              <a:defRPr lang="uk-UA"/>
            </a:pPr>
            <a:endParaRPr lang="uk-UA"/>
          </a:p>
        </c:txPr>
        <c:crossAx val="358436800"/>
        <c:crosses val="autoZero"/>
        <c:crossBetween val="midCat"/>
        <c:majorUnit val="10"/>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0.87084</cdr:x>
      <cdr:y>0.92126</cdr:y>
    </cdr:from>
    <cdr:to>
      <cdr:x>1</cdr:x>
      <cdr:y>0.99971</cdr:y>
    </cdr:to>
    <cdr:sp macro="" textlink="">
      <cdr:nvSpPr>
        <cdr:cNvPr id="3" name="TextBox 1"/>
        <cdr:cNvSpPr txBox="1"/>
      </cdr:nvSpPr>
      <cdr:spPr>
        <a:xfrm xmlns:a="http://schemas.openxmlformats.org/drawingml/2006/main">
          <a:off x="2515521" y="2026440"/>
          <a:ext cx="373094" cy="172562"/>
        </a:xfrm>
        <a:prstGeom xmlns:a="http://schemas.openxmlformats.org/drawingml/2006/main" prst="rect">
          <a:avLst/>
        </a:prstGeom>
      </cdr:spPr>
      <cdr:txBody>
        <a:bodyPr xmlns:a="http://schemas.openxmlformats.org/drawingml/2006/main" wrap="square" lIns="0" tIns="0" rIns="0" bIns="0"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000">
              <a:latin typeface="Times New Roman" pitchFamily="18" charset="0"/>
              <a:cs typeface="Times New Roman" pitchFamily="18" charset="0"/>
            </a:rPr>
            <a:t>    міс.</a:t>
          </a:r>
          <a:endParaRPr lang="en-US" sz="1000"/>
        </a:p>
      </cdr:txBody>
    </cdr:sp>
  </cdr:relSizeAnchor>
</c:userShapes>
</file>

<file path=word/drawings/drawing2.xml><?xml version="1.0" encoding="utf-8"?>
<c:userShapes xmlns:c="http://schemas.openxmlformats.org/drawingml/2006/chart">
  <cdr:relSizeAnchor xmlns:cdr="http://schemas.openxmlformats.org/drawingml/2006/chartDrawing">
    <cdr:from>
      <cdr:x>0.86375</cdr:x>
      <cdr:y>0.93107</cdr:y>
    </cdr:from>
    <cdr:to>
      <cdr:x>0.98609</cdr:x>
      <cdr:y>0.99934</cdr:y>
    </cdr:to>
    <cdr:sp macro="" textlink="">
      <cdr:nvSpPr>
        <cdr:cNvPr id="4" name="TextBox 1"/>
        <cdr:cNvSpPr txBox="1"/>
      </cdr:nvSpPr>
      <cdr:spPr>
        <a:xfrm xmlns:a="http://schemas.openxmlformats.org/drawingml/2006/main">
          <a:off x="2563163" y="2020078"/>
          <a:ext cx="363048" cy="148107"/>
        </a:xfrm>
        <a:prstGeom xmlns:a="http://schemas.openxmlformats.org/drawingml/2006/main" prst="rect">
          <a:avLst/>
        </a:prstGeom>
      </cdr:spPr>
      <cdr:txBody>
        <a:bodyPr xmlns:a="http://schemas.openxmlformats.org/drawingml/2006/main" wrap="square" lIns="0" tIns="0" rIns="0" bIns="0"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000">
              <a:latin typeface="Times New Roman" panose="02020603050405020304" pitchFamily="18" charset="0"/>
              <a:cs typeface="Times New Roman" panose="02020603050405020304" pitchFamily="18" charset="0"/>
            </a:rPr>
            <a:t>     міс.</a:t>
          </a:r>
          <a:endParaRPr lang="en-US" sz="10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642B2E-EDFC-47E7-8E0E-0CDC4FABE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411</Pages>
  <Words>464467</Words>
  <Characters>264747</Characters>
  <Application>Microsoft Office Word</Application>
  <DocSecurity>0</DocSecurity>
  <Lines>2206</Lines>
  <Paragraphs>1455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727759</CharactersWithSpaces>
  <SharedDoc>false</SharedDoc>
  <HLinks>
    <vt:vector size="2856" baseType="variant">
      <vt:variant>
        <vt:i4>5111887</vt:i4>
      </vt:variant>
      <vt:variant>
        <vt:i4>1424</vt:i4>
      </vt:variant>
      <vt:variant>
        <vt:i4>0</vt:i4>
      </vt:variant>
      <vt:variant>
        <vt:i4>5</vt:i4>
      </vt:variant>
      <vt:variant>
        <vt:lpwstr>http://dx.doi.org/10.29254/2077-4214-2020-4-158-88-92</vt:lpwstr>
      </vt:variant>
      <vt:variant>
        <vt:lpwstr/>
      </vt:variant>
      <vt:variant>
        <vt:i4>2883683</vt:i4>
      </vt:variant>
      <vt:variant>
        <vt:i4>1421</vt:i4>
      </vt:variant>
      <vt:variant>
        <vt:i4>0</vt:i4>
      </vt:variant>
      <vt:variant>
        <vt:i4>5</vt:i4>
      </vt:variant>
      <vt:variant>
        <vt:lpwstr>https://doi.org/10.11603/1681-2786.2020.3.11618</vt:lpwstr>
      </vt:variant>
      <vt:variant>
        <vt:lpwstr/>
      </vt:variant>
      <vt:variant>
        <vt:i4>11</vt:i4>
      </vt:variant>
      <vt:variant>
        <vt:i4>1418</vt:i4>
      </vt:variant>
      <vt:variant>
        <vt:i4>0</vt:i4>
      </vt:variant>
      <vt:variant>
        <vt:i4>5</vt:i4>
      </vt:variant>
      <vt:variant>
        <vt:lpwstr>https://pubmed.ncbi.nlm.nih.gov/26582296/</vt:lpwstr>
      </vt:variant>
      <vt:variant>
        <vt:lpwstr/>
      </vt:variant>
      <vt:variant>
        <vt:i4>6029433</vt:i4>
      </vt:variant>
      <vt:variant>
        <vt:i4>1415</vt:i4>
      </vt:variant>
      <vt:variant>
        <vt:i4>0</vt:i4>
      </vt:variant>
      <vt:variant>
        <vt:i4>5</vt:i4>
      </vt:variant>
      <vt:variant>
        <vt:lpwstr>https://pubmed.ncbi.nlm.nih.gov/?term=Feresu+SA&amp;cauthor_id=26582296</vt:lpwstr>
      </vt:variant>
      <vt:variant>
        <vt:lpwstr/>
      </vt:variant>
      <vt:variant>
        <vt:i4>5111849</vt:i4>
      </vt:variant>
      <vt:variant>
        <vt:i4>1412</vt:i4>
      </vt:variant>
      <vt:variant>
        <vt:i4>0</vt:i4>
      </vt:variant>
      <vt:variant>
        <vt:i4>5</vt:i4>
      </vt:variant>
      <vt:variant>
        <vt:lpwstr>https://pubmed.ncbi.nlm.nih.gov/?term=Hui+SS&amp;cauthor_id=26582296</vt:lpwstr>
      </vt:variant>
      <vt:variant>
        <vt:lpwstr/>
      </vt:variant>
      <vt:variant>
        <vt:i4>104</vt:i4>
      </vt:variant>
      <vt:variant>
        <vt:i4>1409</vt:i4>
      </vt:variant>
      <vt:variant>
        <vt:i4>0</vt:i4>
      </vt:variant>
      <vt:variant>
        <vt:i4>5</vt:i4>
      </vt:variant>
      <vt:variant>
        <vt:lpwstr>https://pubmed.ncbi.nlm.nih.gov/?term=Yuan+X&amp;cauthor_id=26582296</vt:lpwstr>
      </vt:variant>
      <vt:variant>
        <vt:lpwstr/>
      </vt:variant>
      <vt:variant>
        <vt:i4>2097236</vt:i4>
      </vt:variant>
      <vt:variant>
        <vt:i4>1406</vt:i4>
      </vt:variant>
      <vt:variant>
        <vt:i4>0</vt:i4>
      </vt:variant>
      <vt:variant>
        <vt:i4>5</vt:i4>
      </vt:variant>
      <vt:variant>
        <vt:lpwstr>https://pubmed.ncbi.nlm.nih.gov/?term=Yeung+DC&amp;cauthor_id=26582296</vt:lpwstr>
      </vt:variant>
      <vt:variant>
        <vt:lpwstr/>
      </vt:variant>
      <vt:variant>
        <vt:i4>131083</vt:i4>
      </vt:variant>
      <vt:variant>
        <vt:i4>1403</vt:i4>
      </vt:variant>
      <vt:variant>
        <vt:i4>0</vt:i4>
      </vt:variant>
      <vt:variant>
        <vt:i4>5</vt:i4>
      </vt:variant>
      <vt:variant>
        <vt:lpwstr>https://pubmed.ncbi.nlm.nih.gov/30429822/</vt:lpwstr>
      </vt:variant>
      <vt:variant>
        <vt:lpwstr/>
      </vt:variant>
      <vt:variant>
        <vt:i4>7798850</vt:i4>
      </vt:variant>
      <vt:variant>
        <vt:i4>1400</vt:i4>
      </vt:variant>
      <vt:variant>
        <vt:i4>0</vt:i4>
      </vt:variant>
      <vt:variant>
        <vt:i4>5</vt:i4>
      </vt:variant>
      <vt:variant>
        <vt:lpwstr>https://pubmed.ncbi.nlm.nih.gov/?term=Zhang+L&amp;cauthor_id=30429822</vt:lpwstr>
      </vt:variant>
      <vt:variant>
        <vt:lpwstr/>
      </vt:variant>
      <vt:variant>
        <vt:i4>786533</vt:i4>
      </vt:variant>
      <vt:variant>
        <vt:i4>1397</vt:i4>
      </vt:variant>
      <vt:variant>
        <vt:i4>0</vt:i4>
      </vt:variant>
      <vt:variant>
        <vt:i4>5</vt:i4>
      </vt:variant>
      <vt:variant>
        <vt:lpwstr>https://pubmed.ncbi.nlm.nih.gov/?term=Zhou+P&amp;cauthor_id=30429822</vt:lpwstr>
      </vt:variant>
      <vt:variant>
        <vt:lpwstr/>
      </vt:variant>
      <vt:variant>
        <vt:i4>6291457</vt:i4>
      </vt:variant>
      <vt:variant>
        <vt:i4>1394</vt:i4>
      </vt:variant>
      <vt:variant>
        <vt:i4>0</vt:i4>
      </vt:variant>
      <vt:variant>
        <vt:i4>5</vt:i4>
      </vt:variant>
      <vt:variant>
        <vt:lpwstr>https://pubmed.ncbi.nlm.nih.gov/?term=Qi+H&amp;cauthor_id=30429822</vt:lpwstr>
      </vt:variant>
      <vt:variant>
        <vt:lpwstr/>
      </vt:variant>
      <vt:variant>
        <vt:i4>6422552</vt:i4>
      </vt:variant>
      <vt:variant>
        <vt:i4>1391</vt:i4>
      </vt:variant>
      <vt:variant>
        <vt:i4>0</vt:i4>
      </vt:variant>
      <vt:variant>
        <vt:i4>5</vt:i4>
      </vt:variant>
      <vt:variant>
        <vt:lpwstr>https://pubmed.ncbi.nlm.nih.gov/?term=He+F&amp;cauthor_id=30429822</vt:lpwstr>
      </vt:variant>
      <vt:variant>
        <vt:lpwstr/>
      </vt:variant>
      <vt:variant>
        <vt:i4>6684680</vt:i4>
      </vt:variant>
      <vt:variant>
        <vt:i4>1388</vt:i4>
      </vt:variant>
      <vt:variant>
        <vt:i4>0</vt:i4>
      </vt:variant>
      <vt:variant>
        <vt:i4>5</vt:i4>
      </vt:variant>
      <vt:variant>
        <vt:lpwstr>https://pubmed.ncbi.nlm.nih.gov/?term=Xu+R&amp;cauthor_id=30429822</vt:lpwstr>
      </vt:variant>
      <vt:variant>
        <vt:lpwstr/>
      </vt:variant>
      <vt:variant>
        <vt:i4>5701734</vt:i4>
      </vt:variant>
      <vt:variant>
        <vt:i4>1385</vt:i4>
      </vt:variant>
      <vt:variant>
        <vt:i4>0</vt:i4>
      </vt:variant>
      <vt:variant>
        <vt:i4>5</vt:i4>
      </vt:variant>
      <vt:variant>
        <vt:lpwstr>https://pubmed.ncbi.nlm.nih.gov/?term=Ni+GX&amp;cauthor_id=23025289</vt:lpwstr>
      </vt:variant>
      <vt:variant>
        <vt:lpwstr/>
      </vt:variant>
      <vt:variant>
        <vt:i4>458753</vt:i4>
      </vt:variant>
      <vt:variant>
        <vt:i4>1382</vt:i4>
      </vt:variant>
      <vt:variant>
        <vt:i4>0</vt:i4>
      </vt:variant>
      <vt:variant>
        <vt:i4>5</vt:i4>
      </vt:variant>
      <vt:variant>
        <vt:lpwstr>https://pubmed.ncbi.nlm.nih.gov/29121640/</vt:lpwstr>
      </vt:variant>
      <vt:variant>
        <vt:lpwstr/>
      </vt:variant>
      <vt:variant>
        <vt:i4>720908</vt:i4>
      </vt:variant>
      <vt:variant>
        <vt:i4>1379</vt:i4>
      </vt:variant>
      <vt:variant>
        <vt:i4>0</vt:i4>
      </vt:variant>
      <vt:variant>
        <vt:i4>5</vt:i4>
      </vt:variant>
      <vt:variant>
        <vt:lpwstr>https://pubmed.ncbi.nlm.nih.gov/30766493/</vt:lpwstr>
      </vt:variant>
      <vt:variant>
        <vt:lpwstr/>
      </vt:variant>
      <vt:variant>
        <vt:i4>65544</vt:i4>
      </vt:variant>
      <vt:variant>
        <vt:i4>1376</vt:i4>
      </vt:variant>
      <vt:variant>
        <vt:i4>0</vt:i4>
      </vt:variant>
      <vt:variant>
        <vt:i4>5</vt:i4>
      </vt:variant>
      <vt:variant>
        <vt:lpwstr>https://pubmed.ncbi.nlm.nih.gov/27401884/</vt:lpwstr>
      </vt:variant>
      <vt:variant>
        <vt:lpwstr/>
      </vt:variant>
      <vt:variant>
        <vt:i4>589923</vt:i4>
      </vt:variant>
      <vt:variant>
        <vt:i4>1373</vt:i4>
      </vt:variant>
      <vt:variant>
        <vt:i4>0</vt:i4>
      </vt:variant>
      <vt:variant>
        <vt:i4>5</vt:i4>
      </vt:variant>
      <vt:variant>
        <vt:lpwstr>https://pubmed.ncbi.nlm.nih.gov/?term=Suominen+S&amp;cauthor_id=27401884</vt:lpwstr>
      </vt:variant>
      <vt:variant>
        <vt:lpwstr/>
      </vt:variant>
      <vt:variant>
        <vt:i4>458784</vt:i4>
      </vt:variant>
      <vt:variant>
        <vt:i4>1370</vt:i4>
      </vt:variant>
      <vt:variant>
        <vt:i4>0</vt:i4>
      </vt:variant>
      <vt:variant>
        <vt:i4>5</vt:i4>
      </vt:variant>
      <vt:variant>
        <vt:lpwstr>https://pubmed.ncbi.nlm.nih.gov/?term=But+A&amp;cauthor_id=27401884</vt:lpwstr>
      </vt:variant>
      <vt:variant>
        <vt:lpwstr/>
      </vt:variant>
      <vt:variant>
        <vt:i4>1638525</vt:i4>
      </vt:variant>
      <vt:variant>
        <vt:i4>1367</vt:i4>
      </vt:variant>
      <vt:variant>
        <vt:i4>0</vt:i4>
      </vt:variant>
      <vt:variant>
        <vt:i4>5</vt:i4>
      </vt:variant>
      <vt:variant>
        <vt:lpwstr>https://pubmed.ncbi.nlm.nih.gov/?term=Vahlberg+T&amp;cauthor_id=27401884</vt:lpwstr>
      </vt:variant>
      <vt:variant>
        <vt:lpwstr/>
      </vt:variant>
      <vt:variant>
        <vt:i4>458795</vt:i4>
      </vt:variant>
      <vt:variant>
        <vt:i4>1364</vt:i4>
      </vt:variant>
      <vt:variant>
        <vt:i4>0</vt:i4>
      </vt:variant>
      <vt:variant>
        <vt:i4>5</vt:i4>
      </vt:variant>
      <vt:variant>
        <vt:lpwstr>https://pubmed.ncbi.nlm.nih.gov/?term=Mullola+S&amp;cauthor_id=27401884</vt:lpwstr>
      </vt:variant>
      <vt:variant>
        <vt:lpwstr/>
      </vt:variant>
      <vt:variant>
        <vt:i4>1179747</vt:i4>
      </vt:variant>
      <vt:variant>
        <vt:i4>1361</vt:i4>
      </vt:variant>
      <vt:variant>
        <vt:i4>0</vt:i4>
      </vt:variant>
      <vt:variant>
        <vt:i4>5</vt:i4>
      </vt:variant>
      <vt:variant>
        <vt:lpwstr>https://pubmed.ncbi.nlm.nih.gov/?term=Raevuori+A&amp;cauthor_id=27401884</vt:lpwstr>
      </vt:variant>
      <vt:variant>
        <vt:lpwstr/>
      </vt:variant>
      <vt:variant>
        <vt:i4>1507430</vt:i4>
      </vt:variant>
      <vt:variant>
        <vt:i4>1358</vt:i4>
      </vt:variant>
      <vt:variant>
        <vt:i4>0</vt:i4>
      </vt:variant>
      <vt:variant>
        <vt:i4>5</vt:i4>
      </vt:variant>
      <vt:variant>
        <vt:lpwstr>https://pubmed.ncbi.nlm.nih.gov/?term=Simonsen+N&amp;cauthor_id=27401884</vt:lpwstr>
      </vt:variant>
      <vt:variant>
        <vt:lpwstr/>
      </vt:variant>
      <vt:variant>
        <vt:i4>7012431</vt:i4>
      </vt:variant>
      <vt:variant>
        <vt:i4>1355</vt:i4>
      </vt:variant>
      <vt:variant>
        <vt:i4>0</vt:i4>
      </vt:variant>
      <vt:variant>
        <vt:i4>5</vt:i4>
      </vt:variant>
      <vt:variant>
        <vt:lpwstr>https://pubmed.ncbi.nlm.nih.gov/?term=Hintsanen+M&amp;cauthor_id=27401884</vt:lpwstr>
      </vt:variant>
      <vt:variant>
        <vt:lpwstr/>
      </vt:variant>
      <vt:variant>
        <vt:i4>6946842</vt:i4>
      </vt:variant>
      <vt:variant>
        <vt:i4>1352</vt:i4>
      </vt:variant>
      <vt:variant>
        <vt:i4>0</vt:i4>
      </vt:variant>
      <vt:variant>
        <vt:i4>5</vt:i4>
      </vt:variant>
      <vt:variant>
        <vt:lpwstr>https://pubmed.ncbi.nlm.nih.gov/?term=Santalahti+P&amp;cauthor_id=27401884</vt:lpwstr>
      </vt:variant>
      <vt:variant>
        <vt:lpwstr/>
      </vt:variant>
      <vt:variant>
        <vt:i4>393343</vt:i4>
      </vt:variant>
      <vt:variant>
        <vt:i4>1349</vt:i4>
      </vt:variant>
      <vt:variant>
        <vt:i4>0</vt:i4>
      </vt:variant>
      <vt:variant>
        <vt:i4>5</vt:i4>
      </vt:variant>
      <vt:variant>
        <vt:lpwstr>https://pubmed.ncbi.nlm.nih.gov/?term=Hankonen+N&amp;cauthor_id=27401884</vt:lpwstr>
      </vt:variant>
      <vt:variant>
        <vt:lpwstr/>
      </vt:variant>
      <vt:variant>
        <vt:i4>7012434</vt:i4>
      </vt:variant>
      <vt:variant>
        <vt:i4>1346</vt:i4>
      </vt:variant>
      <vt:variant>
        <vt:i4>0</vt:i4>
      </vt:variant>
      <vt:variant>
        <vt:i4>5</vt:i4>
      </vt:variant>
      <vt:variant>
        <vt:lpwstr>https://pubmed.ncbi.nlm.nih.gov/?term=Lassander+M&amp;cauthor_id=27401884</vt:lpwstr>
      </vt:variant>
      <vt:variant>
        <vt:lpwstr/>
      </vt:variant>
      <vt:variant>
        <vt:i4>5177393</vt:i4>
      </vt:variant>
      <vt:variant>
        <vt:i4>1343</vt:i4>
      </vt:variant>
      <vt:variant>
        <vt:i4>0</vt:i4>
      </vt:variant>
      <vt:variant>
        <vt:i4>5</vt:i4>
      </vt:variant>
      <vt:variant>
        <vt:lpwstr>https://pubmed.ncbi.nlm.nih.gov/?term=Volanen+SM&amp;cauthor_id=27401884</vt:lpwstr>
      </vt:variant>
      <vt:variant>
        <vt:lpwstr/>
      </vt:variant>
      <vt:variant>
        <vt:i4>7602299</vt:i4>
      </vt:variant>
      <vt:variant>
        <vt:i4>1340</vt:i4>
      </vt:variant>
      <vt:variant>
        <vt:i4>0</vt:i4>
      </vt:variant>
      <vt:variant>
        <vt:i4>5</vt:i4>
      </vt:variant>
      <vt:variant>
        <vt:lpwstr>https://doi.org/10.1038/npjscilearn.2016.11</vt:lpwstr>
      </vt:variant>
      <vt:variant>
        <vt:lpwstr/>
      </vt:variant>
      <vt:variant>
        <vt:i4>2424892</vt:i4>
      </vt:variant>
      <vt:variant>
        <vt:i4>1337</vt:i4>
      </vt:variant>
      <vt:variant>
        <vt:i4>0</vt:i4>
      </vt:variant>
      <vt:variant>
        <vt:i4>5</vt:i4>
      </vt:variant>
      <vt:variant>
        <vt:lpwstr>https://doi.org/10.1023/a:1014836921812</vt:lpwstr>
      </vt:variant>
      <vt:variant>
        <vt:lpwstr/>
      </vt:variant>
      <vt:variant>
        <vt:i4>589835</vt:i4>
      </vt:variant>
      <vt:variant>
        <vt:i4>1334</vt:i4>
      </vt:variant>
      <vt:variant>
        <vt:i4>0</vt:i4>
      </vt:variant>
      <vt:variant>
        <vt:i4>5</vt:i4>
      </vt:variant>
      <vt:variant>
        <vt:lpwstr>https://doi.org/10.3389/fpsyg.2017.01454</vt:lpwstr>
      </vt:variant>
      <vt:variant>
        <vt:lpwstr/>
      </vt:variant>
      <vt:variant>
        <vt:i4>393223</vt:i4>
      </vt:variant>
      <vt:variant>
        <vt:i4>1331</vt:i4>
      </vt:variant>
      <vt:variant>
        <vt:i4>0</vt:i4>
      </vt:variant>
      <vt:variant>
        <vt:i4>5</vt:i4>
      </vt:variant>
      <vt:variant>
        <vt:lpwstr>https://pubmed.ncbi.nlm.nih.gov/29611256/</vt:lpwstr>
      </vt:variant>
      <vt:variant>
        <vt:lpwstr/>
      </vt:variant>
      <vt:variant>
        <vt:i4>3866655</vt:i4>
      </vt:variant>
      <vt:variant>
        <vt:i4>1328</vt:i4>
      </vt:variant>
      <vt:variant>
        <vt:i4>0</vt:i4>
      </vt:variant>
      <vt:variant>
        <vt:i4>5</vt:i4>
      </vt:variant>
      <vt:variant>
        <vt:lpwstr>https://pubmed.ncbi.nlm.nih.gov/?term=Eden+GF&amp;cauthor_id=29611256</vt:lpwstr>
      </vt:variant>
      <vt:variant>
        <vt:lpwstr/>
      </vt:variant>
      <vt:variant>
        <vt:i4>6226039</vt:i4>
      </vt:variant>
      <vt:variant>
        <vt:i4>1325</vt:i4>
      </vt:variant>
      <vt:variant>
        <vt:i4>0</vt:i4>
      </vt:variant>
      <vt:variant>
        <vt:i4>5</vt:i4>
      </vt:variant>
      <vt:variant>
        <vt:lpwstr>https://pubmed.ncbi.nlm.nih.gov/?term=Luetje+MM&amp;cauthor_id=29611256</vt:lpwstr>
      </vt:variant>
      <vt:variant>
        <vt:lpwstr/>
      </vt:variant>
      <vt:variant>
        <vt:i4>4915238</vt:i4>
      </vt:variant>
      <vt:variant>
        <vt:i4>1322</vt:i4>
      </vt:variant>
      <vt:variant>
        <vt:i4>0</vt:i4>
      </vt:variant>
      <vt:variant>
        <vt:i4>5</vt:i4>
      </vt:variant>
      <vt:variant>
        <vt:lpwstr>https://pubmed.ncbi.nlm.nih.gov/?term=Olulade+OA&amp;cauthor_id=29611256</vt:lpwstr>
      </vt:variant>
      <vt:variant>
        <vt:lpwstr/>
      </vt:variant>
      <vt:variant>
        <vt:i4>6160431</vt:i4>
      </vt:variant>
      <vt:variant>
        <vt:i4>1319</vt:i4>
      </vt:variant>
      <vt:variant>
        <vt:i4>0</vt:i4>
      </vt:variant>
      <vt:variant>
        <vt:i4>5</vt:i4>
      </vt:variant>
      <vt:variant>
        <vt:lpwstr>https://pubmed.ncbi.nlm.nih.gov/?term=Turesky+TK&amp;cauthor_id=29611256</vt:lpwstr>
      </vt:variant>
      <vt:variant>
        <vt:lpwstr/>
      </vt:variant>
      <vt:variant>
        <vt:i4>327683</vt:i4>
      </vt:variant>
      <vt:variant>
        <vt:i4>1316</vt:i4>
      </vt:variant>
      <vt:variant>
        <vt:i4>0</vt:i4>
      </vt:variant>
      <vt:variant>
        <vt:i4>5</vt:i4>
      </vt:variant>
      <vt:variant>
        <vt:lpwstr>https://pubmed.ncbi.nlm.nih.gov/26445974/</vt:lpwstr>
      </vt:variant>
      <vt:variant>
        <vt:lpwstr/>
      </vt:variant>
      <vt:variant>
        <vt:i4>65631</vt:i4>
      </vt:variant>
      <vt:variant>
        <vt:i4>1313</vt:i4>
      </vt:variant>
      <vt:variant>
        <vt:i4>0</vt:i4>
      </vt:variant>
      <vt:variant>
        <vt:i4>5</vt:i4>
      </vt:variant>
      <vt:variant>
        <vt:lpwstr>https://www.ncbi.nlm.nih.gov/pubmed/26445974</vt:lpwstr>
      </vt:variant>
      <vt:variant>
        <vt:lpwstr/>
      </vt:variant>
      <vt:variant>
        <vt:i4>1900591</vt:i4>
      </vt:variant>
      <vt:variant>
        <vt:i4>1310</vt:i4>
      </vt:variant>
      <vt:variant>
        <vt:i4>0</vt:i4>
      </vt:variant>
      <vt:variant>
        <vt:i4>5</vt:i4>
      </vt:variant>
      <vt:variant>
        <vt:lpwstr>https://www.ncbi.nlm.nih.gov/pubmed/?term=Sienkiewicz-Dianzenza%20E%5BAuthor%5D&amp;cauthor=true&amp;cauthor_uid=26445974</vt:lpwstr>
      </vt:variant>
      <vt:variant>
        <vt:lpwstr/>
      </vt:variant>
      <vt:variant>
        <vt:i4>6225982</vt:i4>
      </vt:variant>
      <vt:variant>
        <vt:i4>1307</vt:i4>
      </vt:variant>
      <vt:variant>
        <vt:i4>0</vt:i4>
      </vt:variant>
      <vt:variant>
        <vt:i4>5</vt:i4>
      </vt:variant>
      <vt:variant>
        <vt:lpwstr>https://www.ncbi.nlm.nih.gov/pubmed/?term=Milde%20K%5BAuthor%5D&amp;cauthor=true&amp;cauthor_uid=26445974</vt:lpwstr>
      </vt:variant>
      <vt:variant>
        <vt:lpwstr/>
      </vt:variant>
      <vt:variant>
        <vt:i4>1966178</vt:i4>
      </vt:variant>
      <vt:variant>
        <vt:i4>1304</vt:i4>
      </vt:variant>
      <vt:variant>
        <vt:i4>0</vt:i4>
      </vt:variant>
      <vt:variant>
        <vt:i4>5</vt:i4>
      </vt:variant>
      <vt:variant>
        <vt:lpwstr>https://www.ncbi.nlm.nih.gov/pubmed/?term=%C5%BBmijewski%20P%5BAuthor%5D&amp;cauthor=true&amp;cauthor_uid=26445974</vt:lpwstr>
      </vt:variant>
      <vt:variant>
        <vt:lpwstr/>
      </vt:variant>
      <vt:variant>
        <vt:i4>3801172</vt:i4>
      </vt:variant>
      <vt:variant>
        <vt:i4>1301</vt:i4>
      </vt:variant>
      <vt:variant>
        <vt:i4>0</vt:i4>
      </vt:variant>
      <vt:variant>
        <vt:i4>5</vt:i4>
      </vt:variant>
      <vt:variant>
        <vt:lpwstr>https://www.ncbi.nlm.nih.gov/pubmed/?term=Tomaszewski%20P%5BAuthor%5D&amp;cauthor=true&amp;cauthor_uid=26445974</vt:lpwstr>
      </vt:variant>
      <vt:variant>
        <vt:lpwstr/>
      </vt:variant>
      <vt:variant>
        <vt:i4>3211372</vt:i4>
      </vt:variant>
      <vt:variant>
        <vt:i4>1298</vt:i4>
      </vt:variant>
      <vt:variant>
        <vt:i4>0</vt:i4>
      </vt:variant>
      <vt:variant>
        <vt:i4>5</vt:i4>
      </vt:variant>
      <vt:variant>
        <vt:lpwstr>https://doi.org/10.1016/j.neubiorev.2011.11.009</vt:lpwstr>
      </vt:variant>
      <vt:variant>
        <vt:lpwstr/>
      </vt:variant>
      <vt:variant>
        <vt:i4>851980</vt:i4>
      </vt:variant>
      <vt:variant>
        <vt:i4>1295</vt:i4>
      </vt:variant>
      <vt:variant>
        <vt:i4>0</vt:i4>
      </vt:variant>
      <vt:variant>
        <vt:i4>5</vt:i4>
      </vt:variant>
      <vt:variant>
        <vt:lpwstr>https://pubmed.ncbi.nlm.nih.gov/27618879/</vt:lpwstr>
      </vt:variant>
      <vt:variant>
        <vt:lpwstr/>
      </vt:variant>
      <vt:variant>
        <vt:i4>1966169</vt:i4>
      </vt:variant>
      <vt:variant>
        <vt:i4>1292</vt:i4>
      </vt:variant>
      <vt:variant>
        <vt:i4>0</vt:i4>
      </vt:variant>
      <vt:variant>
        <vt:i4>5</vt:i4>
      </vt:variant>
      <vt:variant>
        <vt:lpwstr>https://doi.org/10.5664/jcsm.7668</vt:lpwstr>
      </vt:variant>
      <vt:variant>
        <vt:lpwstr/>
      </vt:variant>
      <vt:variant>
        <vt:i4>3997813</vt:i4>
      </vt:variant>
      <vt:variant>
        <vt:i4>1289</vt:i4>
      </vt:variant>
      <vt:variant>
        <vt:i4>0</vt:i4>
      </vt:variant>
      <vt:variant>
        <vt:i4>5</vt:i4>
      </vt:variant>
      <vt:variant>
        <vt:lpwstr>https://apps.webofknowledge.com/full_record.do?product=WOS&amp;search_mode=GeneralSearch&amp;qid=1&amp;SID=C3jVupjBedN23G8SlFj&amp;page=2&amp;doc=99</vt:lpwstr>
      </vt:variant>
      <vt:variant>
        <vt:lpwstr/>
      </vt:variant>
      <vt:variant>
        <vt:i4>4915323</vt:i4>
      </vt:variant>
      <vt:variant>
        <vt:i4>1286</vt:i4>
      </vt:variant>
      <vt:variant>
        <vt:i4>0</vt:i4>
      </vt:variant>
      <vt:variant>
        <vt:i4>5</vt:i4>
      </vt:variant>
      <vt:variant>
        <vt:lpwstr>https://apps.webofknowledge.com/DaisyOneClickSearch.do?product=WOS&amp;search_mode=DaisyOneClickSearch&amp;colName=WOS&amp;SID=C3jVupjBedN23G8SlFj&amp;author_name=Lindberg,%20Eva&amp;dais_id=8780974&amp;excludeEventConfig=ExcludeIfFromFullRecPage</vt:lpwstr>
      </vt:variant>
      <vt:variant>
        <vt:lpwstr/>
      </vt:variant>
      <vt:variant>
        <vt:i4>1900606</vt:i4>
      </vt:variant>
      <vt:variant>
        <vt:i4>1283</vt:i4>
      </vt:variant>
      <vt:variant>
        <vt:i4>0</vt:i4>
      </vt:variant>
      <vt:variant>
        <vt:i4>5</vt:i4>
      </vt:variant>
      <vt:variant>
        <vt:lpwstr>https://apps.webofknowledge.com/DaisyOneClickSearch.do?product=WOS&amp;search_mode=DaisyOneClickSearch&amp;colName=WOS&amp;SID=C3jVupjBedN23G8SlFj&amp;author_name=Titova,%20Olga%20E.&amp;dais_id=2194546&amp;excludeEventConfig=ExcludeIfFromFullRecPage</vt:lpwstr>
      </vt:variant>
      <vt:variant>
        <vt:lpwstr/>
      </vt:variant>
      <vt:variant>
        <vt:i4>4587636</vt:i4>
      </vt:variant>
      <vt:variant>
        <vt:i4>1280</vt:i4>
      </vt:variant>
      <vt:variant>
        <vt:i4>0</vt:i4>
      </vt:variant>
      <vt:variant>
        <vt:i4>5</vt:i4>
      </vt:variant>
      <vt:variant>
        <vt:lpwstr>https://apps.webofknowledge.com/DaisyOneClickSearch.do?product=WOS&amp;search_mode=DaisyOneClickSearch&amp;colName=WOS&amp;SID=C3jVupjBedN23G8SlFj&amp;author_name=Tan,%20Xiao&amp;dais_id=3062773&amp;excludeEventConfig=ExcludeIfFromFullRecPage</vt:lpwstr>
      </vt:variant>
      <vt:variant>
        <vt:lpwstr/>
      </vt:variant>
      <vt:variant>
        <vt:i4>1507337</vt:i4>
      </vt:variant>
      <vt:variant>
        <vt:i4>1277</vt:i4>
      </vt:variant>
      <vt:variant>
        <vt:i4>0</vt:i4>
      </vt:variant>
      <vt:variant>
        <vt:i4>5</vt:i4>
      </vt:variant>
      <vt:variant>
        <vt:lpwstr>https://pubmed.ncbi.nlm.nih.gov/8146250/</vt:lpwstr>
      </vt:variant>
      <vt:variant>
        <vt:lpwstr/>
      </vt:variant>
      <vt:variant>
        <vt:i4>3014780</vt:i4>
      </vt:variant>
      <vt:variant>
        <vt:i4>1274</vt:i4>
      </vt:variant>
      <vt:variant>
        <vt:i4>0</vt:i4>
      </vt:variant>
      <vt:variant>
        <vt:i4>5</vt:i4>
      </vt:variant>
      <vt:variant>
        <vt:lpwstr>https://doi.org/10.1111/j.1469-8986.1994.tb01020.x</vt:lpwstr>
      </vt:variant>
      <vt:variant>
        <vt:lpwstr/>
      </vt:variant>
      <vt:variant>
        <vt:i4>458753</vt:i4>
      </vt:variant>
      <vt:variant>
        <vt:i4>1271</vt:i4>
      </vt:variant>
      <vt:variant>
        <vt:i4>0</vt:i4>
      </vt:variant>
      <vt:variant>
        <vt:i4>5</vt:i4>
      </vt:variant>
      <vt:variant>
        <vt:lpwstr>https://pubmed.ncbi.nlm.nih.gov/19144222/</vt:lpwstr>
      </vt:variant>
      <vt:variant>
        <vt:lpwstr/>
      </vt:variant>
      <vt:variant>
        <vt:i4>2031641</vt:i4>
      </vt:variant>
      <vt:variant>
        <vt:i4>1268</vt:i4>
      </vt:variant>
      <vt:variant>
        <vt:i4>0</vt:i4>
      </vt:variant>
      <vt:variant>
        <vt:i4>5</vt:i4>
      </vt:variant>
      <vt:variant>
        <vt:lpwstr>https://doi.org/10.1017/s0954579409000042</vt:lpwstr>
      </vt:variant>
      <vt:variant>
        <vt:lpwstr/>
      </vt:variant>
      <vt:variant>
        <vt:i4>851979</vt:i4>
      </vt:variant>
      <vt:variant>
        <vt:i4>1265</vt:i4>
      </vt:variant>
      <vt:variant>
        <vt:i4>0</vt:i4>
      </vt:variant>
      <vt:variant>
        <vt:i4>5</vt:i4>
      </vt:variant>
      <vt:variant>
        <vt:lpwstr>https://journals.sagepub.com/doi/10.1177/0017896910386141</vt:lpwstr>
      </vt:variant>
      <vt:variant>
        <vt:lpwstr/>
      </vt:variant>
      <vt:variant>
        <vt:i4>851979</vt:i4>
      </vt:variant>
      <vt:variant>
        <vt:i4>1262</vt:i4>
      </vt:variant>
      <vt:variant>
        <vt:i4>0</vt:i4>
      </vt:variant>
      <vt:variant>
        <vt:i4>5</vt:i4>
      </vt:variant>
      <vt:variant>
        <vt:lpwstr>https://journals.sagepub.com/doi/10.1177/0017896910386141</vt:lpwstr>
      </vt:variant>
      <vt:variant>
        <vt:lpwstr/>
      </vt:variant>
      <vt:variant>
        <vt:i4>917509</vt:i4>
      </vt:variant>
      <vt:variant>
        <vt:i4>1259</vt:i4>
      </vt:variant>
      <vt:variant>
        <vt:i4>0</vt:i4>
      </vt:variant>
      <vt:variant>
        <vt:i4>5</vt:i4>
      </vt:variant>
      <vt:variant>
        <vt:lpwstr>https://pubmed.ncbi.nlm.nih.gov/32075041/</vt:lpwstr>
      </vt:variant>
      <vt:variant>
        <vt:lpwstr/>
      </vt:variant>
      <vt:variant>
        <vt:i4>3932201</vt:i4>
      </vt:variant>
      <vt:variant>
        <vt:i4>1256</vt:i4>
      </vt:variant>
      <vt:variant>
        <vt:i4>0</vt:i4>
      </vt:variant>
      <vt:variant>
        <vt:i4>5</vt:i4>
      </vt:variant>
      <vt:variant>
        <vt:lpwstr>https://doi.org/10.1016/j.kjss.2017.06.002</vt:lpwstr>
      </vt:variant>
      <vt:variant>
        <vt:lpwstr/>
      </vt:variant>
      <vt:variant>
        <vt:i4>196696</vt:i4>
      </vt:variant>
      <vt:variant>
        <vt:i4>1253</vt:i4>
      </vt:variant>
      <vt:variant>
        <vt:i4>0</vt:i4>
      </vt:variant>
      <vt:variant>
        <vt:i4>5</vt:i4>
      </vt:variant>
      <vt:variant>
        <vt:lpwstr>https://www.ncbi.nlm.nih.gov/pubmed/27314368</vt:lpwstr>
      </vt:variant>
      <vt:variant>
        <vt:lpwstr/>
      </vt:variant>
      <vt:variant>
        <vt:i4>5308533</vt:i4>
      </vt:variant>
      <vt:variant>
        <vt:i4>1250</vt:i4>
      </vt:variant>
      <vt:variant>
        <vt:i4>0</vt:i4>
      </vt:variant>
      <vt:variant>
        <vt:i4>5</vt:i4>
      </vt:variant>
      <vt:variant>
        <vt:lpwstr>https://www.ncbi.nlm.nih.gov/pubmed/?term=Yu%20Z%5BAuthor%5D&amp;cauthor=true&amp;cauthor_uid=27314368</vt:lpwstr>
      </vt:variant>
      <vt:variant>
        <vt:lpwstr/>
      </vt:variant>
      <vt:variant>
        <vt:i4>8257558</vt:i4>
      </vt:variant>
      <vt:variant>
        <vt:i4>1247</vt:i4>
      </vt:variant>
      <vt:variant>
        <vt:i4>0</vt:i4>
      </vt:variant>
      <vt:variant>
        <vt:i4>5</vt:i4>
      </vt:variant>
      <vt:variant>
        <vt:lpwstr>https://www.ncbi.nlm.nih.gov/pubmed/?term=Flores%20AB%5BAuthor%5D&amp;cauthor=true&amp;cauthor_uid=27314368</vt:lpwstr>
      </vt:variant>
      <vt:variant>
        <vt:lpwstr/>
      </vt:variant>
      <vt:variant>
        <vt:i4>3670106</vt:i4>
      </vt:variant>
      <vt:variant>
        <vt:i4>1244</vt:i4>
      </vt:variant>
      <vt:variant>
        <vt:i4>0</vt:i4>
      </vt:variant>
      <vt:variant>
        <vt:i4>5</vt:i4>
      </vt:variant>
      <vt:variant>
        <vt:lpwstr>https://www.ncbi.nlm.nih.gov/pubmed/?term=Gasevic%20D%5BAuthor%5D&amp;cauthor=true&amp;cauthor_uid=27314368</vt:lpwstr>
      </vt:variant>
      <vt:variant>
        <vt:lpwstr/>
      </vt:variant>
      <vt:variant>
        <vt:i4>5177440</vt:i4>
      </vt:variant>
      <vt:variant>
        <vt:i4>1241</vt:i4>
      </vt:variant>
      <vt:variant>
        <vt:i4>0</vt:i4>
      </vt:variant>
      <vt:variant>
        <vt:i4>5</vt:i4>
      </vt:variant>
      <vt:variant>
        <vt:lpwstr>https://www.ncbi.nlm.nih.gov/pubmed/?term=Li%20X%5BAuthor%5D&amp;cauthor=true&amp;cauthor_uid=27314368</vt:lpwstr>
      </vt:variant>
      <vt:variant>
        <vt:lpwstr/>
      </vt:variant>
      <vt:variant>
        <vt:i4>2490385</vt:i4>
      </vt:variant>
      <vt:variant>
        <vt:i4>1238</vt:i4>
      </vt:variant>
      <vt:variant>
        <vt:i4>0</vt:i4>
      </vt:variant>
      <vt:variant>
        <vt:i4>5</vt:i4>
      </vt:variant>
      <vt:variant>
        <vt:lpwstr>https://www.ncbi.nlm.nih.gov/pubmed/?term=Song%20P%5BAuthor%5D&amp;cauthor=true&amp;cauthor_uid=27314368</vt:lpwstr>
      </vt:variant>
      <vt:variant>
        <vt:lpwstr/>
      </vt:variant>
      <vt:variant>
        <vt:i4>131084</vt:i4>
      </vt:variant>
      <vt:variant>
        <vt:i4>1235</vt:i4>
      </vt:variant>
      <vt:variant>
        <vt:i4>0</vt:i4>
      </vt:variant>
      <vt:variant>
        <vt:i4>5</vt:i4>
      </vt:variant>
      <vt:variant>
        <vt:lpwstr>https://pubmed.ncbi.nlm.nih.gov/27488255/</vt:lpwstr>
      </vt:variant>
      <vt:variant>
        <vt:lpwstr/>
      </vt:variant>
      <vt:variant>
        <vt:i4>393287</vt:i4>
      </vt:variant>
      <vt:variant>
        <vt:i4>1232</vt:i4>
      </vt:variant>
      <vt:variant>
        <vt:i4>0</vt:i4>
      </vt:variant>
      <vt:variant>
        <vt:i4>5</vt:i4>
      </vt:variant>
      <vt:variant>
        <vt:lpwstr>https://doi.org/10.7860/JCDR/2015/15373.6662</vt:lpwstr>
      </vt:variant>
      <vt:variant>
        <vt:lpwstr/>
      </vt:variant>
      <vt:variant>
        <vt:i4>1572959</vt:i4>
      </vt:variant>
      <vt:variant>
        <vt:i4>1229</vt:i4>
      </vt:variant>
      <vt:variant>
        <vt:i4>0</vt:i4>
      </vt:variant>
      <vt:variant>
        <vt:i4>5</vt:i4>
      </vt:variant>
      <vt:variant>
        <vt:lpwstr>https://doi.org/10.1177/0272431618797008</vt:lpwstr>
      </vt:variant>
      <vt:variant>
        <vt:lpwstr/>
      </vt:variant>
      <vt:variant>
        <vt:i4>5832720</vt:i4>
      </vt:variant>
      <vt:variant>
        <vt:i4>1226</vt:i4>
      </vt:variant>
      <vt:variant>
        <vt:i4>0</vt:i4>
      </vt:variant>
      <vt:variant>
        <vt:i4>5</vt:i4>
      </vt:variant>
      <vt:variant>
        <vt:lpwstr>https://doi.org/10.1016/j.nlm.2009.09.009</vt:lpwstr>
      </vt:variant>
      <vt:variant>
        <vt:lpwstr/>
      </vt:variant>
      <vt:variant>
        <vt:i4>458843</vt:i4>
      </vt:variant>
      <vt:variant>
        <vt:i4>1223</vt:i4>
      </vt:variant>
      <vt:variant>
        <vt:i4>0</vt:i4>
      </vt:variant>
      <vt:variant>
        <vt:i4>5</vt:i4>
      </vt:variant>
      <vt:variant>
        <vt:lpwstr>https://www.ncbi.nlm.nih.gov/pubmed/23017853</vt:lpwstr>
      </vt:variant>
      <vt:variant>
        <vt:lpwstr/>
      </vt:variant>
      <vt:variant>
        <vt:i4>5111876</vt:i4>
      </vt:variant>
      <vt:variant>
        <vt:i4>1220</vt:i4>
      </vt:variant>
      <vt:variant>
        <vt:i4>0</vt:i4>
      </vt:variant>
      <vt:variant>
        <vt:i4>5</vt:i4>
      </vt:variant>
      <vt:variant>
        <vt:lpwstr>https://doi.org/10.1016/j.ssresearch.2012.01.007</vt:lpwstr>
      </vt:variant>
      <vt:variant>
        <vt:lpwstr/>
      </vt:variant>
      <vt:variant>
        <vt:i4>458843</vt:i4>
      </vt:variant>
      <vt:variant>
        <vt:i4>1217</vt:i4>
      </vt:variant>
      <vt:variant>
        <vt:i4>0</vt:i4>
      </vt:variant>
      <vt:variant>
        <vt:i4>5</vt:i4>
      </vt:variant>
      <vt:variant>
        <vt:lpwstr>https://www.ncbi.nlm.nih.gov/pubmed/23017853</vt:lpwstr>
      </vt:variant>
      <vt:variant>
        <vt:lpwstr/>
      </vt:variant>
      <vt:variant>
        <vt:i4>8192079</vt:i4>
      </vt:variant>
      <vt:variant>
        <vt:i4>1214</vt:i4>
      </vt:variant>
      <vt:variant>
        <vt:i4>0</vt:i4>
      </vt:variant>
      <vt:variant>
        <vt:i4>5</vt:i4>
      </vt:variant>
      <vt:variant>
        <vt:lpwstr>https://www.ncbi.nlm.nih.gov/pubmed/?term=Schmeer%20KK%5BAuthor%5D&amp;cauthor=true&amp;cauthor_uid=23017853</vt:lpwstr>
      </vt:variant>
      <vt:variant>
        <vt:lpwstr/>
      </vt:variant>
      <vt:variant>
        <vt:i4>393224</vt:i4>
      </vt:variant>
      <vt:variant>
        <vt:i4>1211</vt:i4>
      </vt:variant>
      <vt:variant>
        <vt:i4>0</vt:i4>
      </vt:variant>
      <vt:variant>
        <vt:i4>5</vt:i4>
      </vt:variant>
      <vt:variant>
        <vt:lpwstr>https://pubmed.ncbi.nlm.nih.gov/26922961/</vt:lpwstr>
      </vt:variant>
      <vt:variant>
        <vt:lpwstr/>
      </vt:variant>
      <vt:variant>
        <vt:i4>5701667</vt:i4>
      </vt:variant>
      <vt:variant>
        <vt:i4>1208</vt:i4>
      </vt:variant>
      <vt:variant>
        <vt:i4>0</vt:i4>
      </vt:variant>
      <vt:variant>
        <vt:i4>5</vt:i4>
      </vt:variant>
      <vt:variant>
        <vt:lpwstr>https://pubmed.ncbi.nlm.nih.gov/?term=Viana-Saenz+L&amp;cauthor_id=26922961</vt:lpwstr>
      </vt:variant>
      <vt:variant>
        <vt:lpwstr/>
      </vt:variant>
      <vt:variant>
        <vt:i4>1179761</vt:i4>
      </vt:variant>
      <vt:variant>
        <vt:i4>1205</vt:i4>
      </vt:variant>
      <vt:variant>
        <vt:i4>0</vt:i4>
      </vt:variant>
      <vt:variant>
        <vt:i4>5</vt:i4>
      </vt:variant>
      <vt:variant>
        <vt:lpwstr>https://pubmed.ncbi.nlm.nih.gov/?term=Sastre-Riba+S&amp;cauthor_id=26922961</vt:lpwstr>
      </vt:variant>
      <vt:variant>
        <vt:lpwstr/>
      </vt:variant>
      <vt:variant>
        <vt:i4>3997731</vt:i4>
      </vt:variant>
      <vt:variant>
        <vt:i4>1202</vt:i4>
      </vt:variant>
      <vt:variant>
        <vt:i4>0</vt:i4>
      </vt:variant>
      <vt:variant>
        <vt:i4>5</vt:i4>
      </vt:variant>
      <vt:variant>
        <vt:lpwstr>https://doi.org/10.1590/S0034-89102009000900006</vt:lpwstr>
      </vt:variant>
      <vt:variant>
        <vt:lpwstr/>
      </vt:variant>
      <vt:variant>
        <vt:i4>5570655</vt:i4>
      </vt:variant>
      <vt:variant>
        <vt:i4>1199</vt:i4>
      </vt:variant>
      <vt:variant>
        <vt:i4>0</vt:i4>
      </vt:variant>
      <vt:variant>
        <vt:i4>5</vt:i4>
      </vt:variant>
      <vt:variant>
        <vt:lpwstr>https://doi.org/10.5935/abc.20190185</vt:lpwstr>
      </vt:variant>
      <vt:variant>
        <vt:lpwstr/>
      </vt:variant>
      <vt:variant>
        <vt:i4>262144</vt:i4>
      </vt:variant>
      <vt:variant>
        <vt:i4>1196</vt:i4>
      </vt:variant>
      <vt:variant>
        <vt:i4>0</vt:i4>
      </vt:variant>
      <vt:variant>
        <vt:i4>5</vt:i4>
      </vt:variant>
      <vt:variant>
        <vt:lpwstr>https://pubmed.ncbi.nlm.nih.gov/28965191/</vt:lpwstr>
      </vt:variant>
      <vt:variant>
        <vt:lpwstr/>
      </vt:variant>
      <vt:variant>
        <vt:i4>917533</vt:i4>
      </vt:variant>
      <vt:variant>
        <vt:i4>1193</vt:i4>
      </vt:variant>
      <vt:variant>
        <vt:i4>0</vt:i4>
      </vt:variant>
      <vt:variant>
        <vt:i4>5</vt:i4>
      </vt:variant>
      <vt:variant>
        <vt:lpwstr>https://doi.org/10.1007/s11136-017-1707-1</vt:lpwstr>
      </vt:variant>
      <vt:variant>
        <vt:lpwstr/>
      </vt:variant>
      <vt:variant>
        <vt:i4>6553680</vt:i4>
      </vt:variant>
      <vt:variant>
        <vt:i4>1190</vt:i4>
      </vt:variant>
      <vt:variant>
        <vt:i4>0</vt:i4>
      </vt:variant>
      <vt:variant>
        <vt:i4>5</vt:i4>
      </vt:variant>
      <vt:variant>
        <vt:lpwstr>https://pubmed.ncbi.nlm.nih.gov/?term=Steinmann+P&amp;cauthor_id=28965191</vt:lpwstr>
      </vt:variant>
      <vt:variant>
        <vt:lpwstr/>
      </vt:variant>
      <vt:variant>
        <vt:i4>524337</vt:i4>
      </vt:variant>
      <vt:variant>
        <vt:i4>1187</vt:i4>
      </vt:variant>
      <vt:variant>
        <vt:i4>0</vt:i4>
      </vt:variant>
      <vt:variant>
        <vt:i4>5</vt:i4>
      </vt:variant>
      <vt:variant>
        <vt:lpwstr>https://pubmed.ncbi.nlm.nih.gov/?term=du+Randt+R&amp;cauthor_id=28965191</vt:lpwstr>
      </vt:variant>
      <vt:variant>
        <vt:lpwstr/>
      </vt:variant>
      <vt:variant>
        <vt:i4>6488069</vt:i4>
      </vt:variant>
      <vt:variant>
        <vt:i4>1184</vt:i4>
      </vt:variant>
      <vt:variant>
        <vt:i4>0</vt:i4>
      </vt:variant>
      <vt:variant>
        <vt:i4>5</vt:i4>
      </vt:variant>
      <vt:variant>
        <vt:lpwstr>https://pubmed.ncbi.nlm.nih.gov/?term=Walter+C&amp;cauthor_id=28965191</vt:lpwstr>
      </vt:variant>
      <vt:variant>
        <vt:lpwstr/>
      </vt:variant>
      <vt:variant>
        <vt:i4>458856</vt:i4>
      </vt:variant>
      <vt:variant>
        <vt:i4>1181</vt:i4>
      </vt:variant>
      <vt:variant>
        <vt:i4>0</vt:i4>
      </vt:variant>
      <vt:variant>
        <vt:i4>5</vt:i4>
      </vt:variant>
      <vt:variant>
        <vt:lpwstr>https://pubmed.ncbi.nlm.nih.gov/?term=M%C3%BCller+I&amp;cauthor_id=28965191</vt:lpwstr>
      </vt:variant>
      <vt:variant>
        <vt:lpwstr/>
      </vt:variant>
      <vt:variant>
        <vt:i4>1638512</vt:i4>
      </vt:variant>
      <vt:variant>
        <vt:i4>1178</vt:i4>
      </vt:variant>
      <vt:variant>
        <vt:i4>0</vt:i4>
      </vt:variant>
      <vt:variant>
        <vt:i4>5</vt:i4>
      </vt:variant>
      <vt:variant>
        <vt:lpwstr>https://pubmed.ncbi.nlm.nih.gov/?term=Gall+S&amp;cauthor_id=28965191</vt:lpwstr>
      </vt:variant>
      <vt:variant>
        <vt:lpwstr/>
      </vt:variant>
      <vt:variant>
        <vt:i4>196645</vt:i4>
      </vt:variant>
      <vt:variant>
        <vt:i4>1175</vt:i4>
      </vt:variant>
      <vt:variant>
        <vt:i4>0</vt:i4>
      </vt:variant>
      <vt:variant>
        <vt:i4>5</vt:i4>
      </vt:variant>
      <vt:variant>
        <vt:lpwstr>https://pubmed.ncbi.nlm.nih.gov/?term=Salvini+M&amp;cauthor_id=28965191</vt:lpwstr>
      </vt:variant>
      <vt:variant>
        <vt:lpwstr/>
      </vt:variant>
      <vt:variant>
        <vt:i4>720908</vt:i4>
      </vt:variant>
      <vt:variant>
        <vt:i4>1172</vt:i4>
      </vt:variant>
      <vt:variant>
        <vt:i4>0</vt:i4>
      </vt:variant>
      <vt:variant>
        <vt:i4>5</vt:i4>
      </vt:variant>
      <vt:variant>
        <vt:lpwstr>https://doi.org/10.3389/fpsyg.2019.00438</vt:lpwstr>
      </vt:variant>
      <vt:variant>
        <vt:lpwstr/>
      </vt:variant>
      <vt:variant>
        <vt:i4>3342440</vt:i4>
      </vt:variant>
      <vt:variant>
        <vt:i4>1169</vt:i4>
      </vt:variant>
      <vt:variant>
        <vt:i4>0</vt:i4>
      </vt:variant>
      <vt:variant>
        <vt:i4>5</vt:i4>
      </vt:variant>
      <vt:variant>
        <vt:lpwstr>https://doi.org/10.1016/j.biopsycho.2016.01.015</vt:lpwstr>
      </vt:variant>
      <vt:variant>
        <vt:lpwstr/>
      </vt:variant>
      <vt:variant>
        <vt:i4>852058</vt:i4>
      </vt:variant>
      <vt:variant>
        <vt:i4>1166</vt:i4>
      </vt:variant>
      <vt:variant>
        <vt:i4>0</vt:i4>
      </vt:variant>
      <vt:variant>
        <vt:i4>5</vt:i4>
      </vt:variant>
      <vt:variant>
        <vt:lpwstr>https://www.ncbi.nlm.nih.gov/pubmed/30673672</vt:lpwstr>
      </vt:variant>
      <vt:variant>
        <vt:lpwstr/>
      </vt:variant>
      <vt:variant>
        <vt:i4>5046321</vt:i4>
      </vt:variant>
      <vt:variant>
        <vt:i4>1163</vt:i4>
      </vt:variant>
      <vt:variant>
        <vt:i4>0</vt:i4>
      </vt:variant>
      <vt:variant>
        <vt:i4>5</vt:i4>
      </vt:variant>
      <vt:variant>
        <vt:lpwstr>https://www.ncbi.nlm.nih.gov/pubmed/?term=Kiess%20W%5BAuthor%5D&amp;cauthor=true&amp;cauthor_uid=30673672</vt:lpwstr>
      </vt:variant>
      <vt:variant>
        <vt:lpwstr/>
      </vt:variant>
      <vt:variant>
        <vt:i4>3080264</vt:i4>
      </vt:variant>
      <vt:variant>
        <vt:i4>1160</vt:i4>
      </vt:variant>
      <vt:variant>
        <vt:i4>0</vt:i4>
      </vt:variant>
      <vt:variant>
        <vt:i4>5</vt:i4>
      </vt:variant>
      <vt:variant>
        <vt:lpwstr>https://www.ncbi.nlm.nih.gov/pubmed/?term=Koerner%20A%5BAuthor%5D&amp;cauthor=true&amp;cauthor_uid=30673672</vt:lpwstr>
      </vt:variant>
      <vt:variant>
        <vt:lpwstr/>
      </vt:variant>
      <vt:variant>
        <vt:i4>3473484</vt:i4>
      </vt:variant>
      <vt:variant>
        <vt:i4>1157</vt:i4>
      </vt:variant>
      <vt:variant>
        <vt:i4>0</vt:i4>
      </vt:variant>
      <vt:variant>
        <vt:i4>5</vt:i4>
      </vt:variant>
      <vt:variant>
        <vt:lpwstr>https://www.ncbi.nlm.nih.gov/pubmed/?term=Schlingmann%20M%5BAuthor%5D&amp;cauthor=true&amp;cauthor_uid=30673672</vt:lpwstr>
      </vt:variant>
      <vt:variant>
        <vt:lpwstr/>
      </vt:variant>
      <vt:variant>
        <vt:i4>3080194</vt:i4>
      </vt:variant>
      <vt:variant>
        <vt:i4>1154</vt:i4>
      </vt:variant>
      <vt:variant>
        <vt:i4>0</vt:i4>
      </vt:variant>
      <vt:variant>
        <vt:i4>5</vt:i4>
      </vt:variant>
      <vt:variant>
        <vt:lpwstr>https://www.ncbi.nlm.nih.gov/pubmed/?term=Jurkutat%20A%5BAuthor%5D&amp;cauthor=true&amp;cauthor_uid=30673672</vt:lpwstr>
      </vt:variant>
      <vt:variant>
        <vt:lpwstr/>
      </vt:variant>
      <vt:variant>
        <vt:i4>4390966</vt:i4>
      </vt:variant>
      <vt:variant>
        <vt:i4>1151</vt:i4>
      </vt:variant>
      <vt:variant>
        <vt:i4>0</vt:i4>
      </vt:variant>
      <vt:variant>
        <vt:i4>5</vt:i4>
      </vt:variant>
      <vt:variant>
        <vt:lpwstr>https://www.ncbi.nlm.nih.gov/pubmed/?term=Grafe%20N%5BAuthor%5D&amp;cauthor=true&amp;cauthor_uid=30673672</vt:lpwstr>
      </vt:variant>
      <vt:variant>
        <vt:lpwstr/>
      </vt:variant>
      <vt:variant>
        <vt:i4>3407943</vt:i4>
      </vt:variant>
      <vt:variant>
        <vt:i4>1148</vt:i4>
      </vt:variant>
      <vt:variant>
        <vt:i4>0</vt:i4>
      </vt:variant>
      <vt:variant>
        <vt:i4>5</vt:i4>
      </vt:variant>
      <vt:variant>
        <vt:lpwstr>https://www.ncbi.nlm.nih.gov/pubmed/?term=Bussler%20S%5BAuthor%5D&amp;cauthor=true&amp;cauthor_uid=30673672</vt:lpwstr>
      </vt:variant>
      <vt:variant>
        <vt:lpwstr/>
      </vt:variant>
      <vt:variant>
        <vt:i4>6094891</vt:i4>
      </vt:variant>
      <vt:variant>
        <vt:i4>1145</vt:i4>
      </vt:variant>
      <vt:variant>
        <vt:i4>0</vt:i4>
      </vt:variant>
      <vt:variant>
        <vt:i4>5</vt:i4>
      </vt:variant>
      <vt:variant>
        <vt:lpwstr>https://www.ncbi.nlm.nih.gov/pubmed/?term=Vogel%20M%5BAuthor%5D&amp;cauthor=true&amp;cauthor_uid=30673672</vt:lpwstr>
      </vt:variant>
      <vt:variant>
        <vt:lpwstr/>
      </vt:variant>
      <vt:variant>
        <vt:i4>4390964</vt:i4>
      </vt:variant>
      <vt:variant>
        <vt:i4>1142</vt:i4>
      </vt:variant>
      <vt:variant>
        <vt:i4>0</vt:i4>
      </vt:variant>
      <vt:variant>
        <vt:i4>5</vt:i4>
      </vt:variant>
      <vt:variant>
        <vt:lpwstr>https://www.ncbi.nlm.nih.gov/pubmed/?term=R%C3%B6nnecke%20E%5BAuthor%5D&amp;cauthor=true&amp;cauthor_uid=30673672</vt:lpwstr>
      </vt:variant>
      <vt:variant>
        <vt:lpwstr/>
      </vt:variant>
      <vt:variant>
        <vt:i4>393218</vt:i4>
      </vt:variant>
      <vt:variant>
        <vt:i4>1139</vt:i4>
      </vt:variant>
      <vt:variant>
        <vt:i4>0</vt:i4>
      </vt:variant>
      <vt:variant>
        <vt:i4>5</vt:i4>
      </vt:variant>
      <vt:variant>
        <vt:lpwstr>https://pubmed.ncbi.nlm.nih.gov/24896796/</vt:lpwstr>
      </vt:variant>
      <vt:variant>
        <vt:lpwstr/>
      </vt:variant>
      <vt:variant>
        <vt:i4>131166</vt:i4>
      </vt:variant>
      <vt:variant>
        <vt:i4>1136</vt:i4>
      </vt:variant>
      <vt:variant>
        <vt:i4>0</vt:i4>
      </vt:variant>
      <vt:variant>
        <vt:i4>5</vt:i4>
      </vt:variant>
      <vt:variant>
        <vt:lpwstr>https://www.ncbi.nlm.nih.gov/pubmed/24896796</vt:lpwstr>
      </vt:variant>
      <vt:variant>
        <vt:lpwstr/>
      </vt:variant>
      <vt:variant>
        <vt:i4>3080221</vt:i4>
      </vt:variant>
      <vt:variant>
        <vt:i4>1133</vt:i4>
      </vt:variant>
      <vt:variant>
        <vt:i4>0</vt:i4>
      </vt:variant>
      <vt:variant>
        <vt:i4>5</vt:i4>
      </vt:variant>
      <vt:variant>
        <vt:lpwstr>https://www.ncbi.nlm.nih.gov/pubmed/?term=de%20Assis%20MA%5BAuthor%5D&amp;cauthor=true&amp;cauthor_uid=24896796</vt:lpwstr>
      </vt:variant>
      <vt:variant>
        <vt:lpwstr/>
      </vt:variant>
      <vt:variant>
        <vt:i4>1638520</vt:i4>
      </vt:variant>
      <vt:variant>
        <vt:i4>1130</vt:i4>
      </vt:variant>
      <vt:variant>
        <vt:i4>0</vt:i4>
      </vt:variant>
      <vt:variant>
        <vt:i4>5</vt:i4>
      </vt:variant>
      <vt:variant>
        <vt:lpwstr>https://www.ncbi.nlm.nih.gov/pubmed/?term=Leal%20DB%5BAuthor%5D&amp;cauthor=true&amp;cauthor_uid=24896796</vt:lpwstr>
      </vt:variant>
      <vt:variant>
        <vt:lpwstr/>
      </vt:variant>
      <vt:variant>
        <vt:i4>6750302</vt:i4>
      </vt:variant>
      <vt:variant>
        <vt:i4>1127</vt:i4>
      </vt:variant>
      <vt:variant>
        <vt:i4>0</vt:i4>
      </vt:variant>
      <vt:variant>
        <vt:i4>5</vt:i4>
      </vt:variant>
      <vt:variant>
        <vt:lpwstr>https://www.ncbi.nlm.nih.gov/pubmed/?term=Ribeiro%20EA%5BAuthor%5D&amp;cauthor=true&amp;cauthor_uid=24896796</vt:lpwstr>
      </vt:variant>
      <vt:variant>
        <vt:lpwstr/>
      </vt:variant>
      <vt:variant>
        <vt:i4>720989</vt:i4>
      </vt:variant>
      <vt:variant>
        <vt:i4>1124</vt:i4>
      </vt:variant>
      <vt:variant>
        <vt:i4>0</vt:i4>
      </vt:variant>
      <vt:variant>
        <vt:i4>5</vt:i4>
      </vt:variant>
      <vt:variant>
        <vt:lpwstr>https://www.ncbi.nlm.nih.gov/pubmed/23772011</vt:lpwstr>
      </vt:variant>
      <vt:variant>
        <vt:lpwstr/>
      </vt:variant>
      <vt:variant>
        <vt:i4>720989</vt:i4>
      </vt:variant>
      <vt:variant>
        <vt:i4>1121</vt:i4>
      </vt:variant>
      <vt:variant>
        <vt:i4>0</vt:i4>
      </vt:variant>
      <vt:variant>
        <vt:i4>5</vt:i4>
      </vt:variant>
      <vt:variant>
        <vt:lpwstr>https://www.ncbi.nlm.nih.gov/pubmed/23772011</vt:lpwstr>
      </vt:variant>
      <vt:variant>
        <vt:lpwstr/>
      </vt:variant>
      <vt:variant>
        <vt:i4>4456500</vt:i4>
      </vt:variant>
      <vt:variant>
        <vt:i4>1118</vt:i4>
      </vt:variant>
      <vt:variant>
        <vt:i4>0</vt:i4>
      </vt:variant>
      <vt:variant>
        <vt:i4>5</vt:i4>
      </vt:variant>
      <vt:variant>
        <vt:lpwstr>https://www.ncbi.nlm.nih.gov/pubmed/?term=Rerksuppaphol%20L%5BAuthor%5D&amp;cauthor=true&amp;cauthor_uid=23772011</vt:lpwstr>
      </vt:variant>
      <vt:variant>
        <vt:lpwstr/>
      </vt:variant>
      <vt:variant>
        <vt:i4>4456491</vt:i4>
      </vt:variant>
      <vt:variant>
        <vt:i4>1115</vt:i4>
      </vt:variant>
      <vt:variant>
        <vt:i4>0</vt:i4>
      </vt:variant>
      <vt:variant>
        <vt:i4>5</vt:i4>
      </vt:variant>
      <vt:variant>
        <vt:lpwstr>https://www.ncbi.nlm.nih.gov/pubmed/?term=Rerksuppaphol%20S%5BAuthor%5D&amp;cauthor=true&amp;cauthor_uid=23772011</vt:lpwstr>
      </vt:variant>
      <vt:variant>
        <vt:lpwstr/>
      </vt:variant>
      <vt:variant>
        <vt:i4>983050</vt:i4>
      </vt:variant>
      <vt:variant>
        <vt:i4>1112</vt:i4>
      </vt:variant>
      <vt:variant>
        <vt:i4>0</vt:i4>
      </vt:variant>
      <vt:variant>
        <vt:i4>5</vt:i4>
      </vt:variant>
      <vt:variant>
        <vt:lpwstr>https://pubmed.ncbi.nlm.nih.gov/31847919/</vt:lpwstr>
      </vt:variant>
      <vt:variant>
        <vt:lpwstr/>
      </vt:variant>
      <vt:variant>
        <vt:i4>589904</vt:i4>
      </vt:variant>
      <vt:variant>
        <vt:i4>1109</vt:i4>
      </vt:variant>
      <vt:variant>
        <vt:i4>0</vt:i4>
      </vt:variant>
      <vt:variant>
        <vt:i4>5</vt:i4>
      </vt:variant>
      <vt:variant>
        <vt:lpwstr>https://pubmed.ncbi.nlm.nih.gov/?term=PEGASO+Fit+For+Future+Consortium%5BCorporate+Author%5D</vt:lpwstr>
      </vt:variant>
      <vt:variant>
        <vt:lpwstr/>
      </vt:variant>
      <vt:variant>
        <vt:i4>721003</vt:i4>
      </vt:variant>
      <vt:variant>
        <vt:i4>1106</vt:i4>
      </vt:variant>
      <vt:variant>
        <vt:i4>0</vt:i4>
      </vt:variant>
      <vt:variant>
        <vt:i4>5</vt:i4>
      </vt:variant>
      <vt:variant>
        <vt:lpwstr>https://pubmed.ncbi.nlm.nih.gov/?term=Espallargues+M&amp;cauthor_id=31847919</vt:lpwstr>
      </vt:variant>
      <vt:variant>
        <vt:lpwstr/>
      </vt:variant>
      <vt:variant>
        <vt:i4>589870</vt:i4>
      </vt:variant>
      <vt:variant>
        <vt:i4>1103</vt:i4>
      </vt:variant>
      <vt:variant>
        <vt:i4>0</vt:i4>
      </vt:variant>
      <vt:variant>
        <vt:i4>5</vt:i4>
      </vt:variant>
      <vt:variant>
        <vt:lpwstr>https://pubmed.ncbi.nlm.nih.gov/?term=Castell+C&amp;cauthor_id=31847919</vt:lpwstr>
      </vt:variant>
      <vt:variant>
        <vt:lpwstr/>
      </vt:variant>
      <vt:variant>
        <vt:i4>8126486</vt:i4>
      </vt:variant>
      <vt:variant>
        <vt:i4>1100</vt:i4>
      </vt:variant>
      <vt:variant>
        <vt:i4>0</vt:i4>
      </vt:variant>
      <vt:variant>
        <vt:i4>5</vt:i4>
      </vt:variant>
      <vt:variant>
        <vt:lpwstr>https://pubmed.ncbi.nlm.nih.gov/?term=McCloughan+L&amp;cauthor_id=31847919</vt:lpwstr>
      </vt:variant>
      <vt:variant>
        <vt:lpwstr/>
      </vt:variant>
      <vt:variant>
        <vt:i4>7471122</vt:i4>
      </vt:variant>
      <vt:variant>
        <vt:i4>1097</vt:i4>
      </vt:variant>
      <vt:variant>
        <vt:i4>0</vt:i4>
      </vt:variant>
      <vt:variant>
        <vt:i4>5</vt:i4>
      </vt:variant>
      <vt:variant>
        <vt:lpwstr>https://pubmed.ncbi.nlm.nih.gov/?term=Hanley+J&amp;cauthor_id=31847919</vt:lpwstr>
      </vt:variant>
      <vt:variant>
        <vt:lpwstr/>
      </vt:variant>
      <vt:variant>
        <vt:i4>1966200</vt:i4>
      </vt:variant>
      <vt:variant>
        <vt:i4>1094</vt:i4>
      </vt:variant>
      <vt:variant>
        <vt:i4>0</vt:i4>
      </vt:variant>
      <vt:variant>
        <vt:i4>5</vt:i4>
      </vt:variant>
      <vt:variant>
        <vt:lpwstr>https://pubmed.ncbi.nlm.nih.gov/?term=Ciociola+V&amp;cauthor_id=31847919</vt:lpwstr>
      </vt:variant>
      <vt:variant>
        <vt:lpwstr/>
      </vt:variant>
      <vt:variant>
        <vt:i4>4128853</vt:i4>
      </vt:variant>
      <vt:variant>
        <vt:i4>1091</vt:i4>
      </vt:variant>
      <vt:variant>
        <vt:i4>0</vt:i4>
      </vt:variant>
      <vt:variant>
        <vt:i4>5</vt:i4>
      </vt:variant>
      <vt:variant>
        <vt:lpwstr>https://pubmed.ncbi.nlm.nih.gov/?term=Lafortuna+CL&amp;cauthor_id=31847919</vt:lpwstr>
      </vt:variant>
      <vt:variant>
        <vt:lpwstr/>
      </vt:variant>
      <vt:variant>
        <vt:i4>2031738</vt:i4>
      </vt:variant>
      <vt:variant>
        <vt:i4>1088</vt:i4>
      </vt:variant>
      <vt:variant>
        <vt:i4>0</vt:i4>
      </vt:variant>
      <vt:variant>
        <vt:i4>5</vt:i4>
      </vt:variant>
      <vt:variant>
        <vt:lpwstr>https://pubmed.ncbi.nlm.nih.gov/?term=Atkinson+S&amp;cauthor_id=31847919</vt:lpwstr>
      </vt:variant>
      <vt:variant>
        <vt:lpwstr/>
      </vt:variant>
      <vt:variant>
        <vt:i4>917629</vt:i4>
      </vt:variant>
      <vt:variant>
        <vt:i4>1085</vt:i4>
      </vt:variant>
      <vt:variant>
        <vt:i4>0</vt:i4>
      </vt:variant>
      <vt:variant>
        <vt:i4>5</vt:i4>
      </vt:variant>
      <vt:variant>
        <vt:lpwstr>https://pubmed.ncbi.nlm.nih.gov/?term=Caon+M&amp;cauthor_id=31847919</vt:lpwstr>
      </vt:variant>
      <vt:variant>
        <vt:lpwstr/>
      </vt:variant>
      <vt:variant>
        <vt:i4>7536665</vt:i4>
      </vt:variant>
      <vt:variant>
        <vt:i4>1082</vt:i4>
      </vt:variant>
      <vt:variant>
        <vt:i4>0</vt:i4>
      </vt:variant>
      <vt:variant>
        <vt:i4>5</vt:i4>
      </vt:variant>
      <vt:variant>
        <vt:lpwstr>https://pubmed.ncbi.nlm.nih.gov/?term=Rashid+R&amp;cauthor_id=31847919</vt:lpwstr>
      </vt:variant>
      <vt:variant>
        <vt:lpwstr/>
      </vt:variant>
      <vt:variant>
        <vt:i4>6619155</vt:i4>
      </vt:variant>
      <vt:variant>
        <vt:i4>1079</vt:i4>
      </vt:variant>
      <vt:variant>
        <vt:i4>0</vt:i4>
      </vt:variant>
      <vt:variant>
        <vt:i4>5</vt:i4>
      </vt:variant>
      <vt:variant>
        <vt:lpwstr>https://pubmed.ncbi.nlm.nih.gov/?term=Condon+L&amp;cauthor_id=31847919</vt:lpwstr>
      </vt:variant>
      <vt:variant>
        <vt:lpwstr/>
      </vt:variant>
      <vt:variant>
        <vt:i4>1245281</vt:i4>
      </vt:variant>
      <vt:variant>
        <vt:i4>1076</vt:i4>
      </vt:variant>
      <vt:variant>
        <vt:i4>0</vt:i4>
      </vt:variant>
      <vt:variant>
        <vt:i4>5</vt:i4>
      </vt:variant>
      <vt:variant>
        <vt:lpwstr>https://pubmed.ncbi.nlm.nih.gov/?term=Prinelli+F&amp;cauthor_id=31847919</vt:lpwstr>
      </vt:variant>
      <vt:variant>
        <vt:lpwstr/>
      </vt:variant>
      <vt:variant>
        <vt:i4>8061011</vt:i4>
      </vt:variant>
      <vt:variant>
        <vt:i4>1073</vt:i4>
      </vt:variant>
      <vt:variant>
        <vt:i4>0</vt:i4>
      </vt:variant>
      <vt:variant>
        <vt:i4>5</vt:i4>
      </vt:variant>
      <vt:variant>
        <vt:lpwstr>https://pubmed.ncbi.nlm.nih.gov/?term=McKinstry+B&amp;cauthor_id=31847919</vt:lpwstr>
      </vt:variant>
      <vt:variant>
        <vt:lpwstr/>
      </vt:variant>
      <vt:variant>
        <vt:i4>2818137</vt:i4>
      </vt:variant>
      <vt:variant>
        <vt:i4>1070</vt:i4>
      </vt:variant>
      <vt:variant>
        <vt:i4>0</vt:i4>
      </vt:variant>
      <vt:variant>
        <vt:i4>5</vt:i4>
      </vt:variant>
      <vt:variant>
        <vt:lpwstr>https://pubmed.ncbi.nlm.nih.gov/?term=Gomez+SF&amp;cauthor_id=31847919</vt:lpwstr>
      </vt:variant>
      <vt:variant>
        <vt:lpwstr/>
      </vt:variant>
      <vt:variant>
        <vt:i4>7667729</vt:i4>
      </vt:variant>
      <vt:variant>
        <vt:i4>1067</vt:i4>
      </vt:variant>
      <vt:variant>
        <vt:i4>0</vt:i4>
      </vt:variant>
      <vt:variant>
        <vt:i4>5</vt:i4>
      </vt:variant>
      <vt:variant>
        <vt:lpwstr>https://pubmed.ncbi.nlm.nih.gov/?term=Adorni+F&amp;cauthor_id=31847919</vt:lpwstr>
      </vt:variant>
      <vt:variant>
        <vt:lpwstr/>
      </vt:variant>
      <vt:variant>
        <vt:i4>721011</vt:i4>
      </vt:variant>
      <vt:variant>
        <vt:i4>1064</vt:i4>
      </vt:variant>
      <vt:variant>
        <vt:i4>0</vt:i4>
      </vt:variant>
      <vt:variant>
        <vt:i4>5</vt:i4>
      </vt:variant>
      <vt:variant>
        <vt:lpwstr>https://pubmed.ncbi.nlm.nih.gov/?term=Lang+A&amp;cauthor_id=31847919</vt:lpwstr>
      </vt:variant>
      <vt:variant>
        <vt:lpwstr/>
      </vt:variant>
      <vt:variant>
        <vt:i4>7733255</vt:i4>
      </vt:variant>
      <vt:variant>
        <vt:i4>1061</vt:i4>
      </vt:variant>
      <vt:variant>
        <vt:i4>0</vt:i4>
      </vt:variant>
      <vt:variant>
        <vt:i4>5</vt:i4>
      </vt:variant>
      <vt:variant>
        <vt:lpwstr>https://pubmed.ncbi.nlm.nih.gov/?term=Martin+A&amp;cauthor_id=31847919</vt:lpwstr>
      </vt:variant>
      <vt:variant>
        <vt:lpwstr/>
      </vt:variant>
      <vt:variant>
        <vt:i4>1835116</vt:i4>
      </vt:variant>
      <vt:variant>
        <vt:i4>1058</vt:i4>
      </vt:variant>
      <vt:variant>
        <vt:i4>0</vt:i4>
      </vt:variant>
      <vt:variant>
        <vt:i4>5</vt:i4>
      </vt:variant>
      <vt:variant>
        <vt:lpwstr>https://pubmed.ncbi.nlm.nih.gov/?term=Puigdomenech+E&amp;cauthor_id=31847919</vt:lpwstr>
      </vt:variant>
      <vt:variant>
        <vt:lpwstr/>
      </vt:variant>
      <vt:variant>
        <vt:i4>589824</vt:i4>
      </vt:variant>
      <vt:variant>
        <vt:i4>1055</vt:i4>
      </vt:variant>
      <vt:variant>
        <vt:i4>0</vt:i4>
      </vt:variant>
      <vt:variant>
        <vt:i4>5</vt:i4>
      </vt:variant>
      <vt:variant>
        <vt:lpwstr>https://pubmed.ncbi.nlm.nih.gov/31516073/</vt:lpwstr>
      </vt:variant>
      <vt:variant>
        <vt:lpwstr/>
      </vt:variant>
      <vt:variant>
        <vt:i4>2293854</vt:i4>
      </vt:variant>
      <vt:variant>
        <vt:i4>1052</vt:i4>
      </vt:variant>
      <vt:variant>
        <vt:i4>0</vt:i4>
      </vt:variant>
      <vt:variant>
        <vt:i4>5</vt:i4>
      </vt:variant>
      <vt:variant>
        <vt:lpwstr>https://pubmed.ncbi.nlm.nih.gov/?term=Braga+LW&amp;cauthor_id=31516073</vt:lpwstr>
      </vt:variant>
      <vt:variant>
        <vt:lpwstr/>
      </vt:variant>
      <vt:variant>
        <vt:i4>6160424</vt:i4>
      </vt:variant>
      <vt:variant>
        <vt:i4>1049</vt:i4>
      </vt:variant>
      <vt:variant>
        <vt:i4>0</vt:i4>
      </vt:variant>
      <vt:variant>
        <vt:i4>5</vt:i4>
      </vt:variant>
      <vt:variant>
        <vt:lpwstr>https://pubmed.ncbi.nlm.nih.gov/?term=Pereira+RM&amp;cauthor_id=31516073</vt:lpwstr>
      </vt:variant>
      <vt:variant>
        <vt:lpwstr/>
      </vt:variant>
      <vt:variant>
        <vt:i4>6225955</vt:i4>
      </vt:variant>
      <vt:variant>
        <vt:i4>1046</vt:i4>
      </vt:variant>
      <vt:variant>
        <vt:i4>0</vt:i4>
      </vt:variant>
      <vt:variant>
        <vt:i4>5</vt:i4>
      </vt:variant>
      <vt:variant>
        <vt:lpwstr>https://pubmed.ncbi.nlm.nih.gov/?term=Denucci+SM&amp;cauthor_id=31516073</vt:lpwstr>
      </vt:variant>
      <vt:variant>
        <vt:lpwstr/>
      </vt:variant>
      <vt:variant>
        <vt:i4>5701758</vt:i4>
      </vt:variant>
      <vt:variant>
        <vt:i4>1043</vt:i4>
      </vt:variant>
      <vt:variant>
        <vt:i4>0</vt:i4>
      </vt:variant>
      <vt:variant>
        <vt:i4>5</vt:i4>
      </vt:variant>
      <vt:variant>
        <vt:lpwstr>https://pubmed.ncbi.nlm.nih.gov/?term=de+Oliveira+SB&amp;cauthor_id=31516073</vt:lpwstr>
      </vt:variant>
      <vt:variant>
        <vt:lpwstr/>
      </vt:variant>
      <vt:variant>
        <vt:i4>524326</vt:i4>
      </vt:variant>
      <vt:variant>
        <vt:i4>1040</vt:i4>
      </vt:variant>
      <vt:variant>
        <vt:i4>0</vt:i4>
      </vt:variant>
      <vt:variant>
        <vt:i4>5</vt:i4>
      </vt:variant>
      <vt:variant>
        <vt:lpwstr>https://pubmed.ncbi.nlm.nih.gov/?term=Goncalves+CWP&amp;cauthor_id=31516073</vt:lpwstr>
      </vt:variant>
      <vt:variant>
        <vt:lpwstr/>
      </vt:variant>
      <vt:variant>
        <vt:i4>4063297</vt:i4>
      </vt:variant>
      <vt:variant>
        <vt:i4>1037</vt:i4>
      </vt:variant>
      <vt:variant>
        <vt:i4>0</vt:i4>
      </vt:variant>
      <vt:variant>
        <vt:i4>5</vt:i4>
      </vt:variant>
      <vt:variant>
        <vt:lpwstr>https://pubmed.ncbi.nlm.nih.gov/?term=Prigatano+GP&amp;cauthor_id=31516073</vt:lpwstr>
      </vt:variant>
      <vt:variant>
        <vt:lpwstr/>
      </vt:variant>
      <vt:variant>
        <vt:i4>65551</vt:i4>
      </vt:variant>
      <vt:variant>
        <vt:i4>1034</vt:i4>
      </vt:variant>
      <vt:variant>
        <vt:i4>0</vt:i4>
      </vt:variant>
      <vt:variant>
        <vt:i4>5</vt:i4>
      </vt:variant>
      <vt:variant>
        <vt:lpwstr>https://pubmed.ncbi.nlm.nih.gov/29966753/</vt:lpwstr>
      </vt:variant>
      <vt:variant>
        <vt:lpwstr/>
      </vt:variant>
      <vt:variant>
        <vt:i4>2162732</vt:i4>
      </vt:variant>
      <vt:variant>
        <vt:i4>1031</vt:i4>
      </vt:variant>
      <vt:variant>
        <vt:i4>0</vt:i4>
      </vt:variant>
      <vt:variant>
        <vt:i4>5</vt:i4>
      </vt:variant>
      <vt:variant>
        <vt:lpwstr>https://www.sciencedirect.com/science/journal/03043940</vt:lpwstr>
      </vt:variant>
      <vt:variant>
        <vt:lpwstr/>
      </vt:variant>
      <vt:variant>
        <vt:i4>4718703</vt:i4>
      </vt:variant>
      <vt:variant>
        <vt:i4>1028</vt:i4>
      </vt:variant>
      <vt:variant>
        <vt:i4>0</vt:i4>
      </vt:variant>
      <vt:variant>
        <vt:i4>5</vt:i4>
      </vt:variant>
      <vt:variant>
        <vt:lpwstr>https://pubmed.ncbi.nlm.nih.gov/?term=Daviet+JC&amp;cauthor_id=29966753</vt:lpwstr>
      </vt:variant>
      <vt:variant>
        <vt:lpwstr/>
      </vt:variant>
      <vt:variant>
        <vt:i4>720947</vt:i4>
      </vt:variant>
      <vt:variant>
        <vt:i4>1025</vt:i4>
      </vt:variant>
      <vt:variant>
        <vt:i4>0</vt:i4>
      </vt:variant>
      <vt:variant>
        <vt:i4>5</vt:i4>
      </vt:variant>
      <vt:variant>
        <vt:lpwstr>https://pubmed.ncbi.nlm.nih.gov/?term=Berthoz+A&amp;cauthor_id=29966753</vt:lpwstr>
      </vt:variant>
      <vt:variant>
        <vt:lpwstr/>
      </vt:variant>
      <vt:variant>
        <vt:i4>6357057</vt:i4>
      </vt:variant>
      <vt:variant>
        <vt:i4>1022</vt:i4>
      </vt:variant>
      <vt:variant>
        <vt:i4>0</vt:i4>
      </vt:variant>
      <vt:variant>
        <vt:i4>5</vt:i4>
      </vt:variant>
      <vt:variant>
        <vt:lpwstr>https://pubmed.ncbi.nlm.nih.gov/?term=Zaoui+M&amp;cauthor_id=29966753</vt:lpwstr>
      </vt:variant>
      <vt:variant>
        <vt:lpwstr/>
      </vt:variant>
      <vt:variant>
        <vt:i4>4325480</vt:i4>
      </vt:variant>
      <vt:variant>
        <vt:i4>1019</vt:i4>
      </vt:variant>
      <vt:variant>
        <vt:i4>0</vt:i4>
      </vt:variant>
      <vt:variant>
        <vt:i4>5</vt:i4>
      </vt:variant>
      <vt:variant>
        <vt:lpwstr>https://pubmed.ncbi.nlm.nih.gov/?term=Soria+Garcia+N&amp;cauthor_id=29966753</vt:lpwstr>
      </vt:variant>
      <vt:variant>
        <vt:lpwstr/>
      </vt:variant>
      <vt:variant>
        <vt:i4>393338</vt:i4>
      </vt:variant>
      <vt:variant>
        <vt:i4>1016</vt:i4>
      </vt:variant>
      <vt:variant>
        <vt:i4>0</vt:i4>
      </vt:variant>
      <vt:variant>
        <vt:i4>5</vt:i4>
      </vt:variant>
      <vt:variant>
        <vt:lpwstr>https://pubmed.ncbi.nlm.nih.gov/?term=Petruzzellis+S&amp;cauthor_id=29966753</vt:lpwstr>
      </vt:variant>
      <vt:variant>
        <vt:lpwstr/>
      </vt:variant>
      <vt:variant>
        <vt:i4>6422610</vt:i4>
      </vt:variant>
      <vt:variant>
        <vt:i4>1013</vt:i4>
      </vt:variant>
      <vt:variant>
        <vt:i4>0</vt:i4>
      </vt:variant>
      <vt:variant>
        <vt:i4>5</vt:i4>
      </vt:variant>
      <vt:variant>
        <vt:lpwstr>https://pubmed.ncbi.nlm.nih.gov/?term=Mandigout+S&amp;cauthor_id=29966753</vt:lpwstr>
      </vt:variant>
      <vt:variant>
        <vt:lpwstr/>
      </vt:variant>
      <vt:variant>
        <vt:i4>7209050</vt:i4>
      </vt:variant>
      <vt:variant>
        <vt:i4>1010</vt:i4>
      </vt:variant>
      <vt:variant>
        <vt:i4>0</vt:i4>
      </vt:variant>
      <vt:variant>
        <vt:i4>5</vt:i4>
      </vt:variant>
      <vt:variant>
        <vt:lpwstr>https://pubmed.ncbi.nlm.nih.gov/?term=Perrochon+A&amp;cauthor_id=29966753</vt:lpwstr>
      </vt:variant>
      <vt:variant>
        <vt:lpwstr/>
      </vt:variant>
      <vt:variant>
        <vt:i4>2490402</vt:i4>
      </vt:variant>
      <vt:variant>
        <vt:i4>1007</vt:i4>
      </vt:variant>
      <vt:variant>
        <vt:i4>0</vt:i4>
      </vt:variant>
      <vt:variant>
        <vt:i4>5</vt:i4>
      </vt:variant>
      <vt:variant>
        <vt:lpwstr>https://doi.org/10.1016/j.cedpsych.2012.10.003</vt:lpwstr>
      </vt:variant>
      <vt:variant>
        <vt:lpwstr/>
      </vt:variant>
      <vt:variant>
        <vt:i4>655363</vt:i4>
      </vt:variant>
      <vt:variant>
        <vt:i4>1004</vt:i4>
      </vt:variant>
      <vt:variant>
        <vt:i4>0</vt:i4>
      </vt:variant>
      <vt:variant>
        <vt:i4>5</vt:i4>
      </vt:variant>
      <vt:variant>
        <vt:lpwstr>https://pubmed.ncbi.nlm.nih.gov/29977886/</vt:lpwstr>
      </vt:variant>
      <vt:variant>
        <vt:lpwstr/>
      </vt:variant>
      <vt:variant>
        <vt:i4>393217</vt:i4>
      </vt:variant>
      <vt:variant>
        <vt:i4>1001</vt:i4>
      </vt:variant>
      <vt:variant>
        <vt:i4>0</vt:i4>
      </vt:variant>
      <vt:variant>
        <vt:i4>5</vt:i4>
      </vt:variant>
      <vt:variant>
        <vt:lpwstr>https://pubmed.ncbi.nlm.nih.gov/29204421/</vt:lpwstr>
      </vt:variant>
      <vt:variant>
        <vt:lpwstr/>
      </vt:variant>
      <vt:variant>
        <vt:i4>5636172</vt:i4>
      </vt:variant>
      <vt:variant>
        <vt:i4>998</vt:i4>
      </vt:variant>
      <vt:variant>
        <vt:i4>0</vt:i4>
      </vt:variant>
      <vt:variant>
        <vt:i4>5</vt:i4>
      </vt:variant>
      <vt:variant>
        <vt:lpwstr>https://www.jstor.org/stable/4038411</vt:lpwstr>
      </vt:variant>
      <vt:variant>
        <vt:lpwstr/>
      </vt:variant>
      <vt:variant>
        <vt:i4>327685</vt:i4>
      </vt:variant>
      <vt:variant>
        <vt:i4>995</vt:i4>
      </vt:variant>
      <vt:variant>
        <vt:i4>0</vt:i4>
      </vt:variant>
      <vt:variant>
        <vt:i4>5</vt:i4>
      </vt:variant>
      <vt:variant>
        <vt:lpwstr>https://pubmed.ncbi.nlm.nih.gov/31968008/</vt:lpwstr>
      </vt:variant>
      <vt:variant>
        <vt:lpwstr/>
      </vt:variant>
      <vt:variant>
        <vt:i4>6553672</vt:i4>
      </vt:variant>
      <vt:variant>
        <vt:i4>992</vt:i4>
      </vt:variant>
      <vt:variant>
        <vt:i4>0</vt:i4>
      </vt:variant>
      <vt:variant>
        <vt:i4>5</vt:i4>
      </vt:variant>
      <vt:variant>
        <vt:lpwstr>https://pubmed.ncbi.nlm.nih.gov/?term=Yoshikawa+T&amp;cauthor_id=31968008</vt:lpwstr>
      </vt:variant>
      <vt:variant>
        <vt:lpwstr/>
      </vt:variant>
      <vt:variant>
        <vt:i4>1376302</vt:i4>
      </vt:variant>
      <vt:variant>
        <vt:i4>989</vt:i4>
      </vt:variant>
      <vt:variant>
        <vt:i4>0</vt:i4>
      </vt:variant>
      <vt:variant>
        <vt:i4>5</vt:i4>
      </vt:variant>
      <vt:variant>
        <vt:lpwstr>https://pubmed.ncbi.nlm.nih.gov/?term=Uji+M&amp;cauthor_id=31968008</vt:lpwstr>
      </vt:variant>
      <vt:variant>
        <vt:lpwstr/>
      </vt:variant>
      <vt:variant>
        <vt:i4>7077893</vt:i4>
      </vt:variant>
      <vt:variant>
        <vt:i4>986</vt:i4>
      </vt:variant>
      <vt:variant>
        <vt:i4>0</vt:i4>
      </vt:variant>
      <vt:variant>
        <vt:i4>5</vt:i4>
      </vt:variant>
      <vt:variant>
        <vt:lpwstr>https://pubmed.ncbi.nlm.nih.gov/?term=Takada+K&amp;cauthor_id=31968008</vt:lpwstr>
      </vt:variant>
      <vt:variant>
        <vt:lpwstr/>
      </vt:variant>
      <vt:variant>
        <vt:i4>6422610</vt:i4>
      </vt:variant>
      <vt:variant>
        <vt:i4>983</vt:i4>
      </vt:variant>
      <vt:variant>
        <vt:i4>0</vt:i4>
      </vt:variant>
      <vt:variant>
        <vt:i4>5</vt:i4>
      </vt:variant>
      <vt:variant>
        <vt:lpwstr>https://pubmed.ncbi.nlm.nih.gov/?term=Yamaguchi+T&amp;cauthor_id=31968008</vt:lpwstr>
      </vt:variant>
      <vt:variant>
        <vt:lpwstr/>
      </vt:variant>
      <vt:variant>
        <vt:i4>7274523</vt:i4>
      </vt:variant>
      <vt:variant>
        <vt:i4>980</vt:i4>
      </vt:variant>
      <vt:variant>
        <vt:i4>0</vt:i4>
      </vt:variant>
      <vt:variant>
        <vt:i4>5</vt:i4>
      </vt:variant>
      <vt:variant>
        <vt:lpwstr>https://pubmed.ncbi.nlm.nih.gov/?term=Ishida+R&amp;cauthor_id=31968008</vt:lpwstr>
      </vt:variant>
      <vt:variant>
        <vt:lpwstr/>
      </vt:variant>
      <vt:variant>
        <vt:i4>7274514</vt:i4>
      </vt:variant>
      <vt:variant>
        <vt:i4>977</vt:i4>
      </vt:variant>
      <vt:variant>
        <vt:i4>0</vt:i4>
      </vt:variant>
      <vt:variant>
        <vt:i4>5</vt:i4>
      </vt:variant>
      <vt:variant>
        <vt:lpwstr>https://pubmed.ncbi.nlm.nih.gov/?term=Matsuo+T&amp;cauthor_id=31968008</vt:lpwstr>
      </vt:variant>
      <vt:variant>
        <vt:lpwstr/>
      </vt:variant>
      <vt:variant>
        <vt:i4>6619222</vt:i4>
      </vt:variant>
      <vt:variant>
        <vt:i4>974</vt:i4>
      </vt:variant>
      <vt:variant>
        <vt:i4>0</vt:i4>
      </vt:variant>
      <vt:variant>
        <vt:i4>5</vt:i4>
      </vt:variant>
      <vt:variant>
        <vt:lpwstr>https://pubmed.ncbi.nlm.nih.gov/?term=Ishii+A&amp;cauthor_id=31968008</vt:lpwstr>
      </vt:variant>
      <vt:variant>
        <vt:lpwstr/>
      </vt:variant>
      <vt:variant>
        <vt:i4>1114212</vt:i4>
      </vt:variant>
      <vt:variant>
        <vt:i4>971</vt:i4>
      </vt:variant>
      <vt:variant>
        <vt:i4>0</vt:i4>
      </vt:variant>
      <vt:variant>
        <vt:i4>5</vt:i4>
      </vt:variant>
      <vt:variant>
        <vt:lpwstr>https://pubmed.ncbi.nlm.nih.gov/?term=Nakamura+C&amp;cauthor_id=31968008</vt:lpwstr>
      </vt:variant>
      <vt:variant>
        <vt:lpwstr/>
      </vt:variant>
      <vt:variant>
        <vt:i4>196695</vt:i4>
      </vt:variant>
      <vt:variant>
        <vt:i4>968</vt:i4>
      </vt:variant>
      <vt:variant>
        <vt:i4>0</vt:i4>
      </vt:variant>
      <vt:variant>
        <vt:i4>5</vt:i4>
      </vt:variant>
      <vt:variant>
        <vt:lpwstr>https://www.ncbi.nlm.nih.gov/pubmed/21945820</vt:lpwstr>
      </vt:variant>
      <vt:variant>
        <vt:lpwstr/>
      </vt:variant>
      <vt:variant>
        <vt:i4>6488141</vt:i4>
      </vt:variant>
      <vt:variant>
        <vt:i4>965</vt:i4>
      </vt:variant>
      <vt:variant>
        <vt:i4>0</vt:i4>
      </vt:variant>
      <vt:variant>
        <vt:i4>5</vt:i4>
      </vt:variant>
      <vt:variant>
        <vt:lpwstr>https://www.ncbi.nlm.nih.gov/pubmed/?term=Murasko%20JE%5BAuthor%5D&amp;cauthor=true&amp;cauthor_uid=21945820</vt:lpwstr>
      </vt:variant>
      <vt:variant>
        <vt:lpwstr/>
      </vt:variant>
      <vt:variant>
        <vt:i4>327774</vt:i4>
      </vt:variant>
      <vt:variant>
        <vt:i4>962</vt:i4>
      </vt:variant>
      <vt:variant>
        <vt:i4>0</vt:i4>
      </vt:variant>
      <vt:variant>
        <vt:i4>5</vt:i4>
      </vt:variant>
      <vt:variant>
        <vt:lpwstr>https://www.ncbi.nlm.nih.gov/pubmed/27180165</vt:lpwstr>
      </vt:variant>
      <vt:variant>
        <vt:lpwstr/>
      </vt:variant>
      <vt:variant>
        <vt:i4>262258</vt:i4>
      </vt:variant>
      <vt:variant>
        <vt:i4>959</vt:i4>
      </vt:variant>
      <vt:variant>
        <vt:i4>0</vt:i4>
      </vt:variant>
      <vt:variant>
        <vt:i4>5</vt:i4>
      </vt:variant>
      <vt:variant>
        <vt:lpwstr>https://www.ncbi.nlm.nih.gov/pubmed/?term=Wong%20XX%5BAuthor%5D&amp;cauthor=true&amp;cauthor_uid=27180165</vt:lpwstr>
      </vt:variant>
      <vt:variant>
        <vt:lpwstr/>
      </vt:variant>
      <vt:variant>
        <vt:i4>1179681</vt:i4>
      </vt:variant>
      <vt:variant>
        <vt:i4>956</vt:i4>
      </vt:variant>
      <vt:variant>
        <vt:i4>0</vt:i4>
      </vt:variant>
      <vt:variant>
        <vt:i4>5</vt:i4>
      </vt:variant>
      <vt:variant>
        <vt:lpwstr>https://www.ncbi.nlm.nih.gov/pubmed/?term=Leong%20HF%5BAuthor%5D&amp;cauthor=true&amp;cauthor_uid=27180165</vt:lpwstr>
      </vt:variant>
      <vt:variant>
        <vt:lpwstr/>
      </vt:variant>
      <vt:variant>
        <vt:i4>5832747</vt:i4>
      </vt:variant>
      <vt:variant>
        <vt:i4>953</vt:i4>
      </vt:variant>
      <vt:variant>
        <vt:i4>0</vt:i4>
      </vt:variant>
      <vt:variant>
        <vt:i4>5</vt:i4>
      </vt:variant>
      <vt:variant>
        <vt:lpwstr>https://www.ncbi.nlm.nih.gov/pubmed/?term=Mukherjee%20S%5BAuthor%5D&amp;cauthor=true&amp;cauthor_uid=27180165</vt:lpwstr>
      </vt:variant>
      <vt:variant>
        <vt:lpwstr/>
      </vt:variant>
      <vt:variant>
        <vt:i4>4128799</vt:i4>
      </vt:variant>
      <vt:variant>
        <vt:i4>950</vt:i4>
      </vt:variant>
      <vt:variant>
        <vt:i4>0</vt:i4>
      </vt:variant>
      <vt:variant>
        <vt:i4>5</vt:i4>
      </vt:variant>
      <vt:variant>
        <vt:lpwstr>https://pubmed.ncbi.nlm.nih.gov/?term=Rose+KA&amp;cauthor_id=28951126</vt:lpwstr>
      </vt:variant>
      <vt:variant>
        <vt:lpwstr/>
      </vt:variant>
      <vt:variant>
        <vt:i4>7012380</vt:i4>
      </vt:variant>
      <vt:variant>
        <vt:i4>947</vt:i4>
      </vt:variant>
      <vt:variant>
        <vt:i4>0</vt:i4>
      </vt:variant>
      <vt:variant>
        <vt:i4>5</vt:i4>
      </vt:variant>
      <vt:variant>
        <vt:lpwstr>https://pubmed.ncbi.nlm.nih.gov/?term=He+M&amp;cauthor_id=28951126</vt:lpwstr>
      </vt:variant>
      <vt:variant>
        <vt:lpwstr/>
      </vt:variant>
      <vt:variant>
        <vt:i4>1376382</vt:i4>
      </vt:variant>
      <vt:variant>
        <vt:i4>944</vt:i4>
      </vt:variant>
      <vt:variant>
        <vt:i4>0</vt:i4>
      </vt:variant>
      <vt:variant>
        <vt:i4>5</vt:i4>
      </vt:variant>
      <vt:variant>
        <vt:lpwstr>https://pubmed.ncbi.nlm.nih.gov/?term=Ding+X&amp;cauthor_id=28951126</vt:lpwstr>
      </vt:variant>
      <vt:variant>
        <vt:lpwstr/>
      </vt:variant>
      <vt:variant>
        <vt:i4>36</vt:i4>
      </vt:variant>
      <vt:variant>
        <vt:i4>941</vt:i4>
      </vt:variant>
      <vt:variant>
        <vt:i4>0</vt:i4>
      </vt:variant>
      <vt:variant>
        <vt:i4>5</vt:i4>
      </vt:variant>
      <vt:variant>
        <vt:lpwstr>https://pubmed.ncbi.nlm.nih.gov/?term=Guo+X&amp;cauthor_id=28951126</vt:lpwstr>
      </vt:variant>
      <vt:variant>
        <vt:lpwstr/>
      </vt:variant>
      <vt:variant>
        <vt:i4>2752605</vt:i4>
      </vt:variant>
      <vt:variant>
        <vt:i4>938</vt:i4>
      </vt:variant>
      <vt:variant>
        <vt:i4>0</vt:i4>
      </vt:variant>
      <vt:variant>
        <vt:i4>5</vt:i4>
      </vt:variant>
      <vt:variant>
        <vt:lpwstr>https://pubmed.ncbi.nlm.nih.gov/?term=Ashby+RS&amp;cauthor_id=28951126</vt:lpwstr>
      </vt:variant>
      <vt:variant>
        <vt:lpwstr/>
      </vt:variant>
      <vt:variant>
        <vt:i4>4915313</vt:i4>
      </vt:variant>
      <vt:variant>
        <vt:i4>935</vt:i4>
      </vt:variant>
      <vt:variant>
        <vt:i4>0</vt:i4>
      </vt:variant>
      <vt:variant>
        <vt:i4>5</vt:i4>
      </vt:variant>
      <vt:variant>
        <vt:lpwstr>https://pubmed.ncbi.nlm.nih.gov/?term=French+AN&amp;cauthor_id=28951126</vt:lpwstr>
      </vt:variant>
      <vt:variant>
        <vt:lpwstr/>
      </vt:variant>
      <vt:variant>
        <vt:i4>5308518</vt:i4>
      </vt:variant>
      <vt:variant>
        <vt:i4>932</vt:i4>
      </vt:variant>
      <vt:variant>
        <vt:i4>0</vt:i4>
      </vt:variant>
      <vt:variant>
        <vt:i4>5</vt:i4>
      </vt:variant>
      <vt:variant>
        <vt:lpwstr>https://pubmed.ncbi.nlm.nih.gov/?term=Morgan+IG&amp;cauthor_id=28951126</vt:lpwstr>
      </vt:variant>
      <vt:variant>
        <vt:lpwstr/>
      </vt:variant>
      <vt:variant>
        <vt:i4>655365</vt:i4>
      </vt:variant>
      <vt:variant>
        <vt:i4>929</vt:i4>
      </vt:variant>
      <vt:variant>
        <vt:i4>0</vt:i4>
      </vt:variant>
      <vt:variant>
        <vt:i4>5</vt:i4>
      </vt:variant>
      <vt:variant>
        <vt:lpwstr>https://pubmed.ncbi.nlm.nih.gov/24910491/</vt:lpwstr>
      </vt:variant>
      <vt:variant>
        <vt:lpwstr/>
      </vt:variant>
      <vt:variant>
        <vt:i4>720968</vt:i4>
      </vt:variant>
      <vt:variant>
        <vt:i4>926</vt:i4>
      </vt:variant>
      <vt:variant>
        <vt:i4>0</vt:i4>
      </vt:variant>
      <vt:variant>
        <vt:i4>5</vt:i4>
      </vt:variant>
      <vt:variant>
        <vt:lpwstr>https://doi.org/10.1080/02673843.2014.908784</vt:lpwstr>
      </vt:variant>
      <vt:variant>
        <vt:lpwstr/>
      </vt:variant>
      <vt:variant>
        <vt:i4>524308</vt:i4>
      </vt:variant>
      <vt:variant>
        <vt:i4>923</vt:i4>
      </vt:variant>
      <vt:variant>
        <vt:i4>0</vt:i4>
      </vt:variant>
      <vt:variant>
        <vt:i4>5</vt:i4>
      </vt:variant>
      <vt:variant>
        <vt:lpwstr>https://doi.org/10.1007/s11205-014-0842-0</vt:lpwstr>
      </vt:variant>
      <vt:variant>
        <vt:lpwstr/>
      </vt:variant>
      <vt:variant>
        <vt:i4>4522071</vt:i4>
      </vt:variant>
      <vt:variant>
        <vt:i4>920</vt:i4>
      </vt:variant>
      <vt:variant>
        <vt:i4>0</vt:i4>
      </vt:variant>
      <vt:variant>
        <vt:i4>5</vt:i4>
      </vt:variant>
      <vt:variant>
        <vt:lpwstr>javascript:;</vt:lpwstr>
      </vt:variant>
      <vt:variant>
        <vt:lpwstr/>
      </vt:variant>
      <vt:variant>
        <vt:i4>458758</vt:i4>
      </vt:variant>
      <vt:variant>
        <vt:i4>917</vt:i4>
      </vt:variant>
      <vt:variant>
        <vt:i4>0</vt:i4>
      </vt:variant>
      <vt:variant>
        <vt:i4>5</vt:i4>
      </vt:variant>
      <vt:variant>
        <vt:lpwstr>https://pubmed.ncbi.nlm.nih.gov/30114975/</vt:lpwstr>
      </vt:variant>
      <vt:variant>
        <vt:lpwstr/>
      </vt:variant>
      <vt:variant>
        <vt:i4>786439</vt:i4>
      </vt:variant>
      <vt:variant>
        <vt:i4>914</vt:i4>
      </vt:variant>
      <vt:variant>
        <vt:i4>0</vt:i4>
      </vt:variant>
      <vt:variant>
        <vt:i4>5</vt:i4>
      </vt:variant>
      <vt:variant>
        <vt:lpwstr>https://pubmed.ncbi.nlm.nih.gov/31161332/</vt:lpwstr>
      </vt:variant>
      <vt:variant>
        <vt:lpwstr/>
      </vt:variant>
      <vt:variant>
        <vt:i4>3604577</vt:i4>
      </vt:variant>
      <vt:variant>
        <vt:i4>911</vt:i4>
      </vt:variant>
      <vt:variant>
        <vt:i4>0</vt:i4>
      </vt:variant>
      <vt:variant>
        <vt:i4>5</vt:i4>
      </vt:variant>
      <vt:variant>
        <vt:lpwstr>https://doi.org/10.1016/j.biopsycho.2013.08.005</vt:lpwstr>
      </vt:variant>
      <vt:variant>
        <vt:lpwstr/>
      </vt:variant>
      <vt:variant>
        <vt:i4>6291490</vt:i4>
      </vt:variant>
      <vt:variant>
        <vt:i4>908</vt:i4>
      </vt:variant>
      <vt:variant>
        <vt:i4>0</vt:i4>
      </vt:variant>
      <vt:variant>
        <vt:i4>5</vt:i4>
      </vt:variant>
      <vt:variant>
        <vt:lpwstr>https://doi.org/10.3390/ijerph17093157</vt:lpwstr>
      </vt:variant>
      <vt:variant>
        <vt:lpwstr/>
      </vt:variant>
      <vt:variant>
        <vt:i4>262145</vt:i4>
      </vt:variant>
      <vt:variant>
        <vt:i4>905</vt:i4>
      </vt:variant>
      <vt:variant>
        <vt:i4>0</vt:i4>
      </vt:variant>
      <vt:variant>
        <vt:i4>5</vt:i4>
      </vt:variant>
      <vt:variant>
        <vt:lpwstr>https://pubmed.ncbi.nlm.nih.gov/31363158/</vt:lpwstr>
      </vt:variant>
      <vt:variant>
        <vt:lpwstr/>
      </vt:variant>
      <vt:variant>
        <vt:i4>6291529</vt:i4>
      </vt:variant>
      <vt:variant>
        <vt:i4>902</vt:i4>
      </vt:variant>
      <vt:variant>
        <vt:i4>0</vt:i4>
      </vt:variant>
      <vt:variant>
        <vt:i4>5</vt:i4>
      </vt:variant>
      <vt:variant>
        <vt:lpwstr>https://pubmed.ncbi.nlm.nih.gov/?term=Yoshikawa+T&amp;cauthor_id=31363158</vt:lpwstr>
      </vt:variant>
      <vt:variant>
        <vt:lpwstr/>
      </vt:variant>
      <vt:variant>
        <vt:i4>1114159</vt:i4>
      </vt:variant>
      <vt:variant>
        <vt:i4>899</vt:i4>
      </vt:variant>
      <vt:variant>
        <vt:i4>0</vt:i4>
      </vt:variant>
      <vt:variant>
        <vt:i4>5</vt:i4>
      </vt:variant>
      <vt:variant>
        <vt:lpwstr>https://pubmed.ncbi.nlm.nih.gov/?term=Uji+M&amp;cauthor_id=31363158</vt:lpwstr>
      </vt:variant>
      <vt:variant>
        <vt:lpwstr/>
      </vt:variant>
      <vt:variant>
        <vt:i4>7143425</vt:i4>
      </vt:variant>
      <vt:variant>
        <vt:i4>896</vt:i4>
      </vt:variant>
      <vt:variant>
        <vt:i4>0</vt:i4>
      </vt:variant>
      <vt:variant>
        <vt:i4>5</vt:i4>
      </vt:variant>
      <vt:variant>
        <vt:lpwstr>https://pubmed.ncbi.nlm.nih.gov/?term=Takada+K&amp;cauthor_id=31363158</vt:lpwstr>
      </vt:variant>
      <vt:variant>
        <vt:lpwstr/>
      </vt:variant>
      <vt:variant>
        <vt:i4>6684755</vt:i4>
      </vt:variant>
      <vt:variant>
        <vt:i4>893</vt:i4>
      </vt:variant>
      <vt:variant>
        <vt:i4>0</vt:i4>
      </vt:variant>
      <vt:variant>
        <vt:i4>5</vt:i4>
      </vt:variant>
      <vt:variant>
        <vt:lpwstr>https://pubmed.ncbi.nlm.nih.gov/?term=Yamaguchi+T&amp;cauthor_id=31363158</vt:lpwstr>
      </vt:variant>
      <vt:variant>
        <vt:lpwstr/>
      </vt:variant>
      <vt:variant>
        <vt:i4>7208991</vt:i4>
      </vt:variant>
      <vt:variant>
        <vt:i4>890</vt:i4>
      </vt:variant>
      <vt:variant>
        <vt:i4>0</vt:i4>
      </vt:variant>
      <vt:variant>
        <vt:i4>5</vt:i4>
      </vt:variant>
      <vt:variant>
        <vt:lpwstr>https://pubmed.ncbi.nlm.nih.gov/?term=Ishida+R&amp;cauthor_id=31363158</vt:lpwstr>
      </vt:variant>
      <vt:variant>
        <vt:lpwstr/>
      </vt:variant>
      <vt:variant>
        <vt:i4>1048672</vt:i4>
      </vt:variant>
      <vt:variant>
        <vt:i4>887</vt:i4>
      </vt:variant>
      <vt:variant>
        <vt:i4>0</vt:i4>
      </vt:variant>
      <vt:variant>
        <vt:i4>5</vt:i4>
      </vt:variant>
      <vt:variant>
        <vt:lpwstr>https://pubmed.ncbi.nlm.nih.gov/?term=Nakamura+C&amp;cauthor_id=31363158</vt:lpwstr>
      </vt:variant>
      <vt:variant>
        <vt:lpwstr/>
      </vt:variant>
      <vt:variant>
        <vt:i4>6357079</vt:i4>
      </vt:variant>
      <vt:variant>
        <vt:i4>884</vt:i4>
      </vt:variant>
      <vt:variant>
        <vt:i4>0</vt:i4>
      </vt:variant>
      <vt:variant>
        <vt:i4>5</vt:i4>
      </vt:variant>
      <vt:variant>
        <vt:lpwstr>https://pubmed.ncbi.nlm.nih.gov/?term=Ishii+A&amp;cauthor_id=31363158</vt:lpwstr>
      </vt:variant>
      <vt:variant>
        <vt:lpwstr/>
      </vt:variant>
      <vt:variant>
        <vt:i4>7208982</vt:i4>
      </vt:variant>
      <vt:variant>
        <vt:i4>881</vt:i4>
      </vt:variant>
      <vt:variant>
        <vt:i4>0</vt:i4>
      </vt:variant>
      <vt:variant>
        <vt:i4>5</vt:i4>
      </vt:variant>
      <vt:variant>
        <vt:lpwstr>https://pubmed.ncbi.nlm.nih.gov/?term=Matsuo+T&amp;cauthor_id=31363158</vt:lpwstr>
      </vt:variant>
      <vt:variant>
        <vt:lpwstr/>
      </vt:variant>
      <vt:variant>
        <vt:i4>131078</vt:i4>
      </vt:variant>
      <vt:variant>
        <vt:i4>878</vt:i4>
      </vt:variant>
      <vt:variant>
        <vt:i4>0</vt:i4>
      </vt:variant>
      <vt:variant>
        <vt:i4>5</vt:i4>
      </vt:variant>
      <vt:variant>
        <vt:lpwstr>https://pubmed.ncbi.nlm.nih.gov/29376563/</vt:lpwstr>
      </vt:variant>
      <vt:variant>
        <vt:lpwstr/>
      </vt:variant>
      <vt:variant>
        <vt:i4>983045</vt:i4>
      </vt:variant>
      <vt:variant>
        <vt:i4>875</vt:i4>
      </vt:variant>
      <vt:variant>
        <vt:i4>0</vt:i4>
      </vt:variant>
      <vt:variant>
        <vt:i4>5</vt:i4>
      </vt:variant>
      <vt:variant>
        <vt:lpwstr>https://pubmed.ncbi.nlm.nih.gov/31150405/</vt:lpwstr>
      </vt:variant>
      <vt:variant>
        <vt:lpwstr/>
      </vt:variant>
      <vt:variant>
        <vt:i4>196619</vt:i4>
      </vt:variant>
      <vt:variant>
        <vt:i4>872</vt:i4>
      </vt:variant>
      <vt:variant>
        <vt:i4>0</vt:i4>
      </vt:variant>
      <vt:variant>
        <vt:i4>5</vt:i4>
      </vt:variant>
      <vt:variant>
        <vt:lpwstr>https://pubmed.ncbi.nlm.nih.gov/32443887/</vt:lpwstr>
      </vt:variant>
      <vt:variant>
        <vt:lpwstr/>
      </vt:variant>
      <vt:variant>
        <vt:i4>1835121</vt:i4>
      </vt:variant>
      <vt:variant>
        <vt:i4>869</vt:i4>
      </vt:variant>
      <vt:variant>
        <vt:i4>0</vt:i4>
      </vt:variant>
      <vt:variant>
        <vt:i4>5</vt:i4>
      </vt:variant>
      <vt:variant>
        <vt:lpwstr>https://pubmed.ncbi.nlm.nih.gov/?term=Gazerani+P&amp;cauthor_id=32443887</vt:lpwstr>
      </vt:variant>
      <vt:variant>
        <vt:lpwstr/>
      </vt:variant>
      <vt:variant>
        <vt:i4>2686997</vt:i4>
      </vt:variant>
      <vt:variant>
        <vt:i4>866</vt:i4>
      </vt:variant>
      <vt:variant>
        <vt:i4>0</vt:i4>
      </vt:variant>
      <vt:variant>
        <vt:i4>5</vt:i4>
      </vt:variant>
      <vt:variant>
        <vt:lpwstr>https://pubmed.ncbi.nlm.nih.gov/?term=Dan+Olesen+R&amp;cauthor_id=32443887</vt:lpwstr>
      </vt:variant>
      <vt:variant>
        <vt:lpwstr/>
      </vt:variant>
      <vt:variant>
        <vt:i4>1507373</vt:i4>
      </vt:variant>
      <vt:variant>
        <vt:i4>863</vt:i4>
      </vt:variant>
      <vt:variant>
        <vt:i4>0</vt:i4>
      </vt:variant>
      <vt:variant>
        <vt:i4>5</vt:i4>
      </vt:variant>
      <vt:variant>
        <vt:lpwstr>https://pubmed.ncbi.nlm.nih.gov/?term=Hrustanovic+I&amp;cauthor_id=32443887</vt:lpwstr>
      </vt:variant>
      <vt:variant>
        <vt:lpwstr/>
      </vt:variant>
      <vt:variant>
        <vt:i4>3080201</vt:i4>
      </vt:variant>
      <vt:variant>
        <vt:i4>860</vt:i4>
      </vt:variant>
      <vt:variant>
        <vt:i4>0</vt:i4>
      </vt:variant>
      <vt:variant>
        <vt:i4>5</vt:i4>
      </vt:variant>
      <vt:variant>
        <vt:lpwstr>https://pubmed.ncbi.nlm.nih.gov/?term=Fjelsted+CA&amp;cauthor_id=32443887</vt:lpwstr>
      </vt:variant>
      <vt:variant>
        <vt:lpwstr/>
      </vt:variant>
      <vt:variant>
        <vt:i4>4456534</vt:i4>
      </vt:variant>
      <vt:variant>
        <vt:i4>857</vt:i4>
      </vt:variant>
      <vt:variant>
        <vt:i4>0</vt:i4>
      </vt:variant>
      <vt:variant>
        <vt:i4>5</vt:i4>
      </vt:variant>
      <vt:variant>
        <vt:lpwstr>https://doi.org/10.1016/j.arcped.2004.10.022</vt:lpwstr>
      </vt:variant>
      <vt:variant>
        <vt:lpwstr/>
      </vt:variant>
      <vt:variant>
        <vt:i4>3276893</vt:i4>
      </vt:variant>
      <vt:variant>
        <vt:i4>854</vt:i4>
      </vt:variant>
      <vt:variant>
        <vt:i4>0</vt:i4>
      </vt:variant>
      <vt:variant>
        <vt:i4>5</vt:i4>
      </vt:variant>
      <vt:variant>
        <vt:lpwstr>https://www.researchgate.net/profile/Miranda_Pallan</vt:lpwstr>
      </vt:variant>
      <vt:variant>
        <vt:lpwstr/>
      </vt:variant>
      <vt:variant>
        <vt:i4>5374014</vt:i4>
      </vt:variant>
      <vt:variant>
        <vt:i4>851</vt:i4>
      </vt:variant>
      <vt:variant>
        <vt:i4>0</vt:i4>
      </vt:variant>
      <vt:variant>
        <vt:i4>5</vt:i4>
      </vt:variant>
      <vt:variant>
        <vt:lpwstr>https://www.researchgate.net/profile/Peymane_Adab</vt:lpwstr>
      </vt:variant>
      <vt:variant>
        <vt:lpwstr/>
      </vt:variant>
      <vt:variant>
        <vt:i4>327680</vt:i4>
      </vt:variant>
      <vt:variant>
        <vt:i4>848</vt:i4>
      </vt:variant>
      <vt:variant>
        <vt:i4>0</vt:i4>
      </vt:variant>
      <vt:variant>
        <vt:i4>5</vt:i4>
      </vt:variant>
      <vt:variant>
        <vt:lpwstr>https://pubmed.ncbi.nlm.nih.gov/29376100/</vt:lpwstr>
      </vt:variant>
      <vt:variant>
        <vt:lpwstr/>
      </vt:variant>
      <vt:variant>
        <vt:i4>6488156</vt:i4>
      </vt:variant>
      <vt:variant>
        <vt:i4>845</vt:i4>
      </vt:variant>
      <vt:variant>
        <vt:i4>0</vt:i4>
      </vt:variant>
      <vt:variant>
        <vt:i4>5</vt:i4>
      </vt:variant>
      <vt:variant>
        <vt:lpwstr>https://pubmed.ncbi.nlm.nih.gov/?term=Quaresima+V&amp;cauthor_id=29376100</vt:lpwstr>
      </vt:variant>
      <vt:variant>
        <vt:lpwstr/>
      </vt:variant>
      <vt:variant>
        <vt:i4>2031654</vt:i4>
      </vt:variant>
      <vt:variant>
        <vt:i4>842</vt:i4>
      </vt:variant>
      <vt:variant>
        <vt:i4>0</vt:i4>
      </vt:variant>
      <vt:variant>
        <vt:i4>5</vt:i4>
      </vt:variant>
      <vt:variant>
        <vt:lpwstr>https://pubmed.ncbi.nlm.nih.gov/?term=Ferrari+M&amp;cauthor_id=29376100</vt:lpwstr>
      </vt:variant>
      <vt:variant>
        <vt:lpwstr/>
      </vt:variant>
      <vt:variant>
        <vt:i4>1310833</vt:i4>
      </vt:variant>
      <vt:variant>
        <vt:i4>839</vt:i4>
      </vt:variant>
      <vt:variant>
        <vt:i4>0</vt:i4>
      </vt:variant>
      <vt:variant>
        <vt:i4>5</vt:i4>
      </vt:variant>
      <vt:variant>
        <vt:lpwstr>https://pubmed.ncbi.nlm.nih.gov/?term=Carrieri+M&amp;cauthor_id=29376100</vt:lpwstr>
      </vt:variant>
      <vt:variant>
        <vt:lpwstr/>
      </vt:variant>
      <vt:variant>
        <vt:i4>8323088</vt:i4>
      </vt:variant>
      <vt:variant>
        <vt:i4>836</vt:i4>
      </vt:variant>
      <vt:variant>
        <vt:i4>0</vt:i4>
      </vt:variant>
      <vt:variant>
        <vt:i4>5</vt:i4>
      </vt:variant>
      <vt:variant>
        <vt:lpwstr>https://pubmed.ncbi.nlm.nih.gov/?term=Cofini+V&amp;cauthor_id=29376100</vt:lpwstr>
      </vt:variant>
      <vt:variant>
        <vt:lpwstr/>
      </vt:variant>
      <vt:variant>
        <vt:i4>7733264</vt:i4>
      </vt:variant>
      <vt:variant>
        <vt:i4>833</vt:i4>
      </vt:variant>
      <vt:variant>
        <vt:i4>0</vt:i4>
      </vt:variant>
      <vt:variant>
        <vt:i4>5</vt:i4>
      </vt:variant>
      <vt:variant>
        <vt:lpwstr>https://pubmed.ncbi.nlm.nih.gov/?term=Lancia+S&amp;cauthor_id=29376100</vt:lpwstr>
      </vt:variant>
      <vt:variant>
        <vt:lpwstr/>
      </vt:variant>
      <vt:variant>
        <vt:i4>6094915</vt:i4>
      </vt:variant>
      <vt:variant>
        <vt:i4>830</vt:i4>
      </vt:variant>
      <vt:variant>
        <vt:i4>0</vt:i4>
      </vt:variant>
      <vt:variant>
        <vt:i4>5</vt:i4>
      </vt:variant>
      <vt:variant>
        <vt:lpwstr>https://doi.org/10.1016/j.promfg.2015.07.497</vt:lpwstr>
      </vt:variant>
      <vt:variant>
        <vt:lpwstr/>
      </vt:variant>
      <vt:variant>
        <vt:i4>7340133</vt:i4>
      </vt:variant>
      <vt:variant>
        <vt:i4>827</vt:i4>
      </vt:variant>
      <vt:variant>
        <vt:i4>0</vt:i4>
      </vt:variant>
      <vt:variant>
        <vt:i4>5</vt:i4>
      </vt:variant>
      <vt:variant>
        <vt:lpwstr>D:\Ж.В\Список литературы\141220\Vol. 3</vt:lpwstr>
      </vt:variant>
      <vt:variant>
        <vt:lpwstr/>
      </vt:variant>
      <vt:variant>
        <vt:i4>2293805</vt:i4>
      </vt:variant>
      <vt:variant>
        <vt:i4>824</vt:i4>
      </vt:variant>
      <vt:variant>
        <vt:i4>0</vt:i4>
      </vt:variant>
      <vt:variant>
        <vt:i4>5</vt:i4>
      </vt:variant>
      <vt:variant>
        <vt:lpwstr>https://www.sciencedirect.com/science/journal/23519789</vt:lpwstr>
      </vt:variant>
      <vt:variant>
        <vt:lpwstr/>
      </vt:variant>
      <vt:variant>
        <vt:i4>6881374</vt:i4>
      </vt:variant>
      <vt:variant>
        <vt:i4>821</vt:i4>
      </vt:variant>
      <vt:variant>
        <vt:i4>0</vt:i4>
      </vt:variant>
      <vt:variant>
        <vt:i4>5</vt:i4>
      </vt:variant>
      <vt:variant>
        <vt:lpwstr>https://www.sciencedirect.com/science/article/pii/S2351978915004989</vt:lpwstr>
      </vt:variant>
      <vt:variant>
        <vt:lpwstr>!</vt:lpwstr>
      </vt:variant>
      <vt:variant>
        <vt:i4>65624</vt:i4>
      </vt:variant>
      <vt:variant>
        <vt:i4>818</vt:i4>
      </vt:variant>
      <vt:variant>
        <vt:i4>0</vt:i4>
      </vt:variant>
      <vt:variant>
        <vt:i4>5</vt:i4>
      </vt:variant>
      <vt:variant>
        <vt:lpwstr>https://www.ncbi.nlm.nih.gov/pubmed/26176769</vt:lpwstr>
      </vt:variant>
      <vt:variant>
        <vt:lpwstr/>
      </vt:variant>
      <vt:variant>
        <vt:i4>65624</vt:i4>
      </vt:variant>
      <vt:variant>
        <vt:i4>815</vt:i4>
      </vt:variant>
      <vt:variant>
        <vt:i4>0</vt:i4>
      </vt:variant>
      <vt:variant>
        <vt:i4>5</vt:i4>
      </vt:variant>
      <vt:variant>
        <vt:lpwstr>https://www.ncbi.nlm.nih.gov/pubmed/26176769</vt:lpwstr>
      </vt:variant>
      <vt:variant>
        <vt:lpwstr/>
      </vt:variant>
      <vt:variant>
        <vt:i4>2752522</vt:i4>
      </vt:variant>
      <vt:variant>
        <vt:i4>812</vt:i4>
      </vt:variant>
      <vt:variant>
        <vt:i4>0</vt:i4>
      </vt:variant>
      <vt:variant>
        <vt:i4>5</vt:i4>
      </vt:variant>
      <vt:variant>
        <vt:lpwstr>https://www.ncbi.nlm.nih.gov/pubmed/?term=Hamilton%20D%5BAuthor%5D&amp;cauthor=true&amp;cauthor_uid=26176769</vt:lpwstr>
      </vt:variant>
      <vt:variant>
        <vt:lpwstr/>
      </vt:variant>
      <vt:variant>
        <vt:i4>2162770</vt:i4>
      </vt:variant>
      <vt:variant>
        <vt:i4>809</vt:i4>
      </vt:variant>
      <vt:variant>
        <vt:i4>0</vt:i4>
      </vt:variant>
      <vt:variant>
        <vt:i4>5</vt:i4>
      </vt:variant>
      <vt:variant>
        <vt:lpwstr>https://www.ncbi.nlm.nih.gov/pubmed/?term=Ata%20N%5BAuthor%5D&amp;cauthor=true&amp;cauthor_uid=26176769</vt:lpwstr>
      </vt:variant>
      <vt:variant>
        <vt:lpwstr/>
      </vt:variant>
      <vt:variant>
        <vt:i4>3342424</vt:i4>
      </vt:variant>
      <vt:variant>
        <vt:i4>806</vt:i4>
      </vt:variant>
      <vt:variant>
        <vt:i4>0</vt:i4>
      </vt:variant>
      <vt:variant>
        <vt:i4>5</vt:i4>
      </vt:variant>
      <vt:variant>
        <vt:lpwstr>https://www.ncbi.nlm.nih.gov/pubmed/?term=Maguire%20B%5BAuthor%5D&amp;cauthor=true&amp;cauthor_uid=26176769</vt:lpwstr>
      </vt:variant>
      <vt:variant>
        <vt:lpwstr/>
      </vt:variant>
      <vt:variant>
        <vt:i4>4980777</vt:i4>
      </vt:variant>
      <vt:variant>
        <vt:i4>803</vt:i4>
      </vt:variant>
      <vt:variant>
        <vt:i4>0</vt:i4>
      </vt:variant>
      <vt:variant>
        <vt:i4>5</vt:i4>
      </vt:variant>
      <vt:variant>
        <vt:lpwstr>https://www.ncbi.nlm.nih.gov/pubmed/?term=Kuhle%20S%5BAuthor%5D&amp;cauthor=true&amp;cauthor_uid=26176769</vt:lpwstr>
      </vt:variant>
      <vt:variant>
        <vt:lpwstr/>
      </vt:variant>
      <vt:variant>
        <vt:i4>786526</vt:i4>
      </vt:variant>
      <vt:variant>
        <vt:i4>800</vt:i4>
      </vt:variant>
      <vt:variant>
        <vt:i4>0</vt:i4>
      </vt:variant>
      <vt:variant>
        <vt:i4>5</vt:i4>
      </vt:variant>
      <vt:variant>
        <vt:lpwstr>https://www.ncbi.nlm.nih.gov/pubmed/27547554</vt:lpwstr>
      </vt:variant>
      <vt:variant>
        <vt:lpwstr/>
      </vt:variant>
      <vt:variant>
        <vt:i4>131198</vt:i4>
      </vt:variant>
      <vt:variant>
        <vt:i4>797</vt:i4>
      </vt:variant>
      <vt:variant>
        <vt:i4>0</vt:i4>
      </vt:variant>
      <vt:variant>
        <vt:i4>5</vt:i4>
      </vt:variant>
      <vt:variant>
        <vt:lpwstr>https://www.ncbi.nlm.nih.gov/pubmed/?term=Hamilton%20DC%5BAuthor%5D&amp;cauthor=true&amp;cauthor_uid=27547554</vt:lpwstr>
      </vt:variant>
      <vt:variant>
        <vt:lpwstr/>
      </vt:variant>
      <vt:variant>
        <vt:i4>3473496</vt:i4>
      </vt:variant>
      <vt:variant>
        <vt:i4>794</vt:i4>
      </vt:variant>
      <vt:variant>
        <vt:i4>0</vt:i4>
      </vt:variant>
      <vt:variant>
        <vt:i4>5</vt:i4>
      </vt:variant>
      <vt:variant>
        <vt:lpwstr>https://www.ncbi.nlm.nih.gov/pubmed/?term=Maguire%20B%5BAuthor%5D&amp;cauthor=true&amp;cauthor_uid=27547554</vt:lpwstr>
      </vt:variant>
      <vt:variant>
        <vt:lpwstr/>
      </vt:variant>
      <vt:variant>
        <vt:i4>4391020</vt:i4>
      </vt:variant>
      <vt:variant>
        <vt:i4>791</vt:i4>
      </vt:variant>
      <vt:variant>
        <vt:i4>0</vt:i4>
      </vt:variant>
      <vt:variant>
        <vt:i4>5</vt:i4>
      </vt:variant>
      <vt:variant>
        <vt:lpwstr>https://www.ncbi.nlm.nih.gov/pubmed/?term=Ashley-Martin%20J%5BAuthor%5D&amp;cauthor=true&amp;cauthor_uid=27547554</vt:lpwstr>
      </vt:variant>
      <vt:variant>
        <vt:lpwstr/>
      </vt:variant>
      <vt:variant>
        <vt:i4>4849705</vt:i4>
      </vt:variant>
      <vt:variant>
        <vt:i4>788</vt:i4>
      </vt:variant>
      <vt:variant>
        <vt:i4>0</vt:i4>
      </vt:variant>
      <vt:variant>
        <vt:i4>5</vt:i4>
      </vt:variant>
      <vt:variant>
        <vt:lpwstr>https://www.ncbi.nlm.nih.gov/pubmed/?term=Kuhle%20S%5BAuthor%5D&amp;cauthor=true&amp;cauthor_uid=27547554</vt:lpwstr>
      </vt:variant>
      <vt:variant>
        <vt:lpwstr/>
      </vt:variant>
      <vt:variant>
        <vt:i4>1703959</vt:i4>
      </vt:variant>
      <vt:variant>
        <vt:i4>785</vt:i4>
      </vt:variant>
      <vt:variant>
        <vt:i4>0</vt:i4>
      </vt:variant>
      <vt:variant>
        <vt:i4>5</vt:i4>
      </vt:variant>
      <vt:variant>
        <vt:lpwstr>https://doi.org/10.1134/S036211970804004X</vt:lpwstr>
      </vt:variant>
      <vt:variant>
        <vt:lpwstr/>
      </vt:variant>
      <vt:variant>
        <vt:i4>5308491</vt:i4>
      </vt:variant>
      <vt:variant>
        <vt:i4>782</vt:i4>
      </vt:variant>
      <vt:variant>
        <vt:i4>0</vt:i4>
      </vt:variant>
      <vt:variant>
        <vt:i4>5</vt:i4>
      </vt:variant>
      <vt:variant>
        <vt:lpwstr>https://doi.org/10.1002/smi.1180</vt:lpwstr>
      </vt:variant>
      <vt:variant>
        <vt:lpwstr/>
      </vt:variant>
      <vt:variant>
        <vt:i4>4063340</vt:i4>
      </vt:variant>
      <vt:variant>
        <vt:i4>779</vt:i4>
      </vt:variant>
      <vt:variant>
        <vt:i4>0</vt:i4>
      </vt:variant>
      <vt:variant>
        <vt:i4>5</vt:i4>
      </vt:variant>
      <vt:variant>
        <vt:lpwstr>https://onlinelibrary.wiley.com/action/doSearch?ContribAuthorStored=%C3%96hrling%2C+Kerstin</vt:lpwstr>
      </vt:variant>
      <vt:variant>
        <vt:lpwstr/>
      </vt:variant>
      <vt:variant>
        <vt:i4>0</vt:i4>
      </vt:variant>
      <vt:variant>
        <vt:i4>776</vt:i4>
      </vt:variant>
      <vt:variant>
        <vt:i4>0</vt:i4>
      </vt:variant>
      <vt:variant>
        <vt:i4>5</vt:i4>
      </vt:variant>
      <vt:variant>
        <vt:lpwstr>https://pubmed.ncbi.nlm.nih.gov/25805788/</vt:lpwstr>
      </vt:variant>
      <vt:variant>
        <vt:lpwstr/>
      </vt:variant>
      <vt:variant>
        <vt:i4>5898319</vt:i4>
      </vt:variant>
      <vt:variant>
        <vt:i4>773</vt:i4>
      </vt:variant>
      <vt:variant>
        <vt:i4>0</vt:i4>
      </vt:variant>
      <vt:variant>
        <vt:i4>5</vt:i4>
      </vt:variant>
      <vt:variant>
        <vt:lpwstr>https://doi.org/10.1093/eurpub/ckv027</vt:lpwstr>
      </vt:variant>
      <vt:variant>
        <vt:lpwstr/>
      </vt:variant>
      <vt:variant>
        <vt:i4>3932197</vt:i4>
      </vt:variant>
      <vt:variant>
        <vt:i4>770</vt:i4>
      </vt:variant>
      <vt:variant>
        <vt:i4>0</vt:i4>
      </vt:variant>
      <vt:variant>
        <vt:i4>5</vt:i4>
      </vt:variant>
      <vt:variant>
        <vt:lpwstr>https://doi.org/10.1176/appi.ajp.2015.14081061</vt:lpwstr>
      </vt:variant>
      <vt:variant>
        <vt:lpwstr/>
      </vt:variant>
      <vt:variant>
        <vt:i4>720900</vt:i4>
      </vt:variant>
      <vt:variant>
        <vt:i4>767</vt:i4>
      </vt:variant>
      <vt:variant>
        <vt:i4>0</vt:i4>
      </vt:variant>
      <vt:variant>
        <vt:i4>5</vt:i4>
      </vt:variant>
      <vt:variant>
        <vt:lpwstr>https://pubmed.ncbi.nlm.nih.gov/31111809/</vt:lpwstr>
      </vt:variant>
      <vt:variant>
        <vt:lpwstr/>
      </vt:variant>
      <vt:variant>
        <vt:i4>2031621</vt:i4>
      </vt:variant>
      <vt:variant>
        <vt:i4>764</vt:i4>
      </vt:variant>
      <vt:variant>
        <vt:i4>0</vt:i4>
      </vt:variant>
      <vt:variant>
        <vt:i4>5</vt:i4>
      </vt:variant>
      <vt:variant>
        <vt:lpwstr>https://pubmed.ncbi.nlm.nih.gov/?term=Greek+National+Dietary+Guidelines+Scientific+Team%5BCorporate+Author%5D</vt:lpwstr>
      </vt:variant>
      <vt:variant>
        <vt:lpwstr/>
      </vt:variant>
      <vt:variant>
        <vt:i4>7864384</vt:i4>
      </vt:variant>
      <vt:variant>
        <vt:i4>761</vt:i4>
      </vt:variant>
      <vt:variant>
        <vt:i4>0</vt:i4>
      </vt:variant>
      <vt:variant>
        <vt:i4>5</vt:i4>
      </vt:variant>
      <vt:variant>
        <vt:lpwstr>https://pubmed.ncbi.nlm.nih.gov/?term=Linos+A&amp;cauthor_id=31111809</vt:lpwstr>
      </vt:variant>
      <vt:variant>
        <vt:lpwstr/>
      </vt:variant>
      <vt:variant>
        <vt:i4>1114155</vt:i4>
      </vt:variant>
      <vt:variant>
        <vt:i4>758</vt:i4>
      </vt:variant>
      <vt:variant>
        <vt:i4>0</vt:i4>
      </vt:variant>
      <vt:variant>
        <vt:i4>5</vt:i4>
      </vt:variant>
      <vt:variant>
        <vt:lpwstr>https://pubmed.ncbi.nlm.nih.gov/?term=Benetou+V&amp;cauthor_id=31111809</vt:lpwstr>
      </vt:variant>
      <vt:variant>
        <vt:lpwstr/>
      </vt:variant>
      <vt:variant>
        <vt:i4>6750233</vt:i4>
      </vt:variant>
      <vt:variant>
        <vt:i4>755</vt:i4>
      </vt:variant>
      <vt:variant>
        <vt:i4>0</vt:i4>
      </vt:variant>
      <vt:variant>
        <vt:i4>5</vt:i4>
      </vt:variant>
      <vt:variant>
        <vt:lpwstr>https://pubmed.ncbi.nlm.nih.gov/?term=Belogianni+K&amp;cauthor_id=31111809</vt:lpwstr>
      </vt:variant>
      <vt:variant>
        <vt:lpwstr/>
      </vt:variant>
      <vt:variant>
        <vt:i4>6488148</vt:i4>
      </vt:variant>
      <vt:variant>
        <vt:i4>752</vt:i4>
      </vt:variant>
      <vt:variant>
        <vt:i4>0</vt:i4>
      </vt:variant>
      <vt:variant>
        <vt:i4>5</vt:i4>
      </vt:variant>
      <vt:variant>
        <vt:lpwstr>https://pubmed.ncbi.nlm.nih.gov/?term=Papadimitriou+E&amp;cauthor_id=31111809</vt:lpwstr>
      </vt:variant>
      <vt:variant>
        <vt:lpwstr/>
      </vt:variant>
      <vt:variant>
        <vt:i4>2621510</vt:i4>
      </vt:variant>
      <vt:variant>
        <vt:i4>749</vt:i4>
      </vt:variant>
      <vt:variant>
        <vt:i4>0</vt:i4>
      </vt:variant>
      <vt:variant>
        <vt:i4>5</vt:i4>
      </vt:variant>
      <vt:variant>
        <vt:lpwstr>https://pubmed.ncbi.nlm.nih.gov/?term=Nagarajan+MK&amp;cauthor_id=31111809</vt:lpwstr>
      </vt:variant>
      <vt:variant>
        <vt:lpwstr/>
      </vt:variant>
      <vt:variant>
        <vt:i4>5636210</vt:i4>
      </vt:variant>
      <vt:variant>
        <vt:i4>746</vt:i4>
      </vt:variant>
      <vt:variant>
        <vt:i4>0</vt:i4>
      </vt:variant>
      <vt:variant>
        <vt:i4>5</vt:i4>
      </vt:variant>
      <vt:variant>
        <vt:lpwstr>https://pubmed.ncbi.nlm.nih.gov/?term=Coritsidis+AL&amp;cauthor_id=31111809</vt:lpwstr>
      </vt:variant>
      <vt:variant>
        <vt:lpwstr/>
      </vt:variant>
      <vt:variant>
        <vt:i4>131185</vt:i4>
      </vt:variant>
      <vt:variant>
        <vt:i4>743</vt:i4>
      </vt:variant>
      <vt:variant>
        <vt:i4>0</vt:i4>
      </vt:variant>
      <vt:variant>
        <vt:i4>5</vt:i4>
      </vt:variant>
      <vt:variant>
        <vt:lpwstr>https://pubmed.ncbi.nlm.nih.gov/?term=Zota+D&amp;cauthor_id=31111809</vt:lpwstr>
      </vt:variant>
      <vt:variant>
        <vt:lpwstr/>
      </vt:variant>
      <vt:variant>
        <vt:i4>7602259</vt:i4>
      </vt:variant>
      <vt:variant>
        <vt:i4>740</vt:i4>
      </vt:variant>
      <vt:variant>
        <vt:i4>0</vt:i4>
      </vt:variant>
      <vt:variant>
        <vt:i4>5</vt:i4>
      </vt:variant>
      <vt:variant>
        <vt:lpwstr>https://pubmed.ncbi.nlm.nih.gov/?term=Critselis+E&amp;cauthor_id=31111809</vt:lpwstr>
      </vt:variant>
      <vt:variant>
        <vt:lpwstr/>
      </vt:variant>
      <vt:variant>
        <vt:i4>2555968</vt:i4>
      </vt:variant>
      <vt:variant>
        <vt:i4>737</vt:i4>
      </vt:variant>
      <vt:variant>
        <vt:i4>0</vt:i4>
      </vt:variant>
      <vt:variant>
        <vt:i4>5</vt:i4>
      </vt:variant>
      <vt:variant>
        <vt:lpwstr>https://pubmed.ncbi.nlm.nih.gov/?term=Kastorini+CM&amp;cauthor_id=31111809</vt:lpwstr>
      </vt:variant>
      <vt:variant>
        <vt:lpwstr/>
      </vt:variant>
      <vt:variant>
        <vt:i4>458844</vt:i4>
      </vt:variant>
      <vt:variant>
        <vt:i4>734</vt:i4>
      </vt:variant>
      <vt:variant>
        <vt:i4>0</vt:i4>
      </vt:variant>
      <vt:variant>
        <vt:i4>5</vt:i4>
      </vt:variant>
      <vt:variant>
        <vt:lpwstr>https://www.ncbi.nlm.nih.gov/pubmed/22186122</vt:lpwstr>
      </vt:variant>
      <vt:variant>
        <vt:lpwstr/>
      </vt:variant>
      <vt:variant>
        <vt:i4>458844</vt:i4>
      </vt:variant>
      <vt:variant>
        <vt:i4>731</vt:i4>
      </vt:variant>
      <vt:variant>
        <vt:i4>0</vt:i4>
      </vt:variant>
      <vt:variant>
        <vt:i4>5</vt:i4>
      </vt:variant>
      <vt:variant>
        <vt:lpwstr>https://www.ncbi.nlm.nih.gov/pubmed/22186122</vt:lpwstr>
      </vt:variant>
      <vt:variant>
        <vt:lpwstr/>
      </vt:variant>
      <vt:variant>
        <vt:i4>4587641</vt:i4>
      </vt:variant>
      <vt:variant>
        <vt:i4>728</vt:i4>
      </vt:variant>
      <vt:variant>
        <vt:i4>0</vt:i4>
      </vt:variant>
      <vt:variant>
        <vt:i4>5</vt:i4>
      </vt:variant>
      <vt:variant>
        <vt:lpwstr>https://www.ncbi.nlm.nih.gov/pubmed/?term=Knipse%20G%5BAuthor%5D&amp;cauthor=true&amp;cauthor_uid=22186122</vt:lpwstr>
      </vt:variant>
      <vt:variant>
        <vt:lpwstr/>
      </vt:variant>
      <vt:variant>
        <vt:i4>2097219</vt:i4>
      </vt:variant>
      <vt:variant>
        <vt:i4>725</vt:i4>
      </vt:variant>
      <vt:variant>
        <vt:i4>0</vt:i4>
      </vt:variant>
      <vt:variant>
        <vt:i4>5</vt:i4>
      </vt:variant>
      <vt:variant>
        <vt:lpwstr>https://www.ncbi.nlm.nih.gov/pubmed/?term=Krumina%20D%5BAuthor%5D&amp;cauthor=true&amp;cauthor_uid=22186122</vt:lpwstr>
      </vt:variant>
      <vt:variant>
        <vt:lpwstr/>
      </vt:variant>
      <vt:variant>
        <vt:i4>4522102</vt:i4>
      </vt:variant>
      <vt:variant>
        <vt:i4>722</vt:i4>
      </vt:variant>
      <vt:variant>
        <vt:i4>0</vt:i4>
      </vt:variant>
      <vt:variant>
        <vt:i4>5</vt:i4>
      </vt:variant>
      <vt:variant>
        <vt:lpwstr>https://www.ncbi.nlm.nih.gov/pubmed/?term=Mozgis%20D%5BAuthor%5D&amp;cauthor=true&amp;cauthor_uid=22186122</vt:lpwstr>
      </vt:variant>
      <vt:variant>
        <vt:lpwstr/>
      </vt:variant>
      <vt:variant>
        <vt:i4>5963835</vt:i4>
      </vt:variant>
      <vt:variant>
        <vt:i4>719</vt:i4>
      </vt:variant>
      <vt:variant>
        <vt:i4>0</vt:i4>
      </vt:variant>
      <vt:variant>
        <vt:i4>5</vt:i4>
      </vt:variant>
      <vt:variant>
        <vt:lpwstr>https://www.ncbi.nlm.nih.gov/pubmed/?term=Sauka%20M%5BAuthor%5D&amp;cauthor=true&amp;cauthor_uid=22186122</vt:lpwstr>
      </vt:variant>
      <vt:variant>
        <vt:lpwstr/>
      </vt:variant>
      <vt:variant>
        <vt:i4>3145810</vt:i4>
      </vt:variant>
      <vt:variant>
        <vt:i4>716</vt:i4>
      </vt:variant>
      <vt:variant>
        <vt:i4>0</vt:i4>
      </vt:variant>
      <vt:variant>
        <vt:i4>5</vt:i4>
      </vt:variant>
      <vt:variant>
        <vt:lpwstr>https://www.ncbi.nlm.nih.gov/pubmed/?term=Kalnina%20L%5BAuthor%5D&amp;cauthor=true&amp;cauthor_uid=22186122</vt:lpwstr>
      </vt:variant>
      <vt:variant>
        <vt:lpwstr/>
      </vt:variant>
      <vt:variant>
        <vt:i4>4653161</vt:i4>
      </vt:variant>
      <vt:variant>
        <vt:i4>713</vt:i4>
      </vt:variant>
      <vt:variant>
        <vt:i4>0</vt:i4>
      </vt:variant>
      <vt:variant>
        <vt:i4>5</vt:i4>
      </vt:variant>
      <vt:variant>
        <vt:lpwstr>https://www.ncbi.nlm.nih.gov/pubmed/?term=Apinis%20P%5BAuthor%5D&amp;cauthor=true&amp;cauthor_uid=22186122</vt:lpwstr>
      </vt:variant>
      <vt:variant>
        <vt:lpwstr/>
      </vt:variant>
      <vt:variant>
        <vt:i4>3145747</vt:i4>
      </vt:variant>
      <vt:variant>
        <vt:i4>710</vt:i4>
      </vt:variant>
      <vt:variant>
        <vt:i4>0</vt:i4>
      </vt:variant>
      <vt:variant>
        <vt:i4>5</vt:i4>
      </vt:variant>
      <vt:variant>
        <vt:lpwstr>https://www.ncbi.nlm.nih.gov/pubmed/?term=Karklina%20H%5BAuthor%5D&amp;cauthor=true&amp;cauthor_uid=22186122</vt:lpwstr>
      </vt:variant>
      <vt:variant>
        <vt:lpwstr/>
      </vt:variant>
      <vt:variant>
        <vt:i4>4718665</vt:i4>
      </vt:variant>
      <vt:variant>
        <vt:i4>707</vt:i4>
      </vt:variant>
      <vt:variant>
        <vt:i4>0</vt:i4>
      </vt:variant>
      <vt:variant>
        <vt:i4>5</vt:i4>
      </vt:variant>
      <vt:variant>
        <vt:lpwstr>https://doi.org/10.1016/j.conctc.2016.07.001</vt:lpwstr>
      </vt:variant>
      <vt:variant>
        <vt:lpwstr/>
      </vt:variant>
      <vt:variant>
        <vt:i4>917508</vt:i4>
      </vt:variant>
      <vt:variant>
        <vt:i4>704</vt:i4>
      </vt:variant>
      <vt:variant>
        <vt:i4>0</vt:i4>
      </vt:variant>
      <vt:variant>
        <vt:i4>5</vt:i4>
      </vt:variant>
      <vt:variant>
        <vt:lpwstr>https://pubmed.ncbi.nlm.nih.gov/31651272/</vt:lpwstr>
      </vt:variant>
      <vt:variant>
        <vt:lpwstr/>
      </vt:variant>
      <vt:variant>
        <vt:i4>327683</vt:i4>
      </vt:variant>
      <vt:variant>
        <vt:i4>701</vt:i4>
      </vt:variant>
      <vt:variant>
        <vt:i4>0</vt:i4>
      </vt:variant>
      <vt:variant>
        <vt:i4>5</vt:i4>
      </vt:variant>
      <vt:variant>
        <vt:lpwstr>https://pubmed.ncbi.nlm.nih.gov/30640912/</vt:lpwstr>
      </vt:variant>
      <vt:variant>
        <vt:lpwstr/>
      </vt:variant>
      <vt:variant>
        <vt:i4>8192089</vt:i4>
      </vt:variant>
      <vt:variant>
        <vt:i4>698</vt:i4>
      </vt:variant>
      <vt:variant>
        <vt:i4>0</vt:i4>
      </vt:variant>
      <vt:variant>
        <vt:i4>5</vt:i4>
      </vt:variant>
      <vt:variant>
        <vt:lpwstr>https://pubmed.ncbi.nlm.nih.gov/?term=Zayed+K&amp;cauthor_id=30640912</vt:lpwstr>
      </vt:variant>
      <vt:variant>
        <vt:lpwstr/>
      </vt:variant>
      <vt:variant>
        <vt:i4>7405574</vt:i4>
      </vt:variant>
      <vt:variant>
        <vt:i4>695</vt:i4>
      </vt:variant>
      <vt:variant>
        <vt:i4>0</vt:i4>
      </vt:variant>
      <vt:variant>
        <vt:i4>5</vt:i4>
      </vt:variant>
      <vt:variant>
        <vt:lpwstr>https://pubmed.ncbi.nlm.nih.gov/?term=Scheer+C&amp;cauthor_id=30640912</vt:lpwstr>
      </vt:variant>
      <vt:variant>
        <vt:lpwstr/>
      </vt:variant>
      <vt:variant>
        <vt:i4>131198</vt:i4>
      </vt:variant>
      <vt:variant>
        <vt:i4>692</vt:i4>
      </vt:variant>
      <vt:variant>
        <vt:i4>0</vt:i4>
      </vt:variant>
      <vt:variant>
        <vt:i4>5</vt:i4>
      </vt:variant>
      <vt:variant>
        <vt:lpwstr>https://pubmed.ncbi.nlm.nih.gov/?term=Cantoral+A&amp;cauthor_id=30055773</vt:lpwstr>
      </vt:variant>
      <vt:variant>
        <vt:lpwstr/>
      </vt:variant>
      <vt:variant>
        <vt:i4>2162701</vt:i4>
      </vt:variant>
      <vt:variant>
        <vt:i4>689</vt:i4>
      </vt:variant>
      <vt:variant>
        <vt:i4>0</vt:i4>
      </vt:variant>
      <vt:variant>
        <vt:i4>5</vt:i4>
      </vt:variant>
      <vt:variant>
        <vt:lpwstr>https://pubmed.ncbi.nlm.nih.gov/?term=Peterson+KE&amp;cauthor_id=30055773</vt:lpwstr>
      </vt:variant>
      <vt:variant>
        <vt:lpwstr/>
      </vt:variant>
      <vt:variant>
        <vt:i4>1966122</vt:i4>
      </vt:variant>
      <vt:variant>
        <vt:i4>686</vt:i4>
      </vt:variant>
      <vt:variant>
        <vt:i4>0</vt:i4>
      </vt:variant>
      <vt:variant>
        <vt:i4>5</vt:i4>
      </vt:variant>
      <vt:variant>
        <vt:lpwstr>https://pubmed.ncbi.nlm.nih.gov/?term=Mercado+A&amp;cauthor_id=30055773</vt:lpwstr>
      </vt:variant>
      <vt:variant>
        <vt:lpwstr/>
      </vt:variant>
      <vt:variant>
        <vt:i4>7405576</vt:i4>
      </vt:variant>
      <vt:variant>
        <vt:i4>683</vt:i4>
      </vt:variant>
      <vt:variant>
        <vt:i4>0</vt:i4>
      </vt:variant>
      <vt:variant>
        <vt:i4>5</vt:i4>
      </vt:variant>
      <vt:variant>
        <vt:lpwstr>https://pubmed.ncbi.nlm.nih.gov/?term=Rojo+MMT&amp;cauthor_id=30055773</vt:lpwstr>
      </vt:variant>
      <vt:variant>
        <vt:lpwstr/>
      </vt:variant>
      <vt:variant>
        <vt:i4>3080212</vt:i4>
      </vt:variant>
      <vt:variant>
        <vt:i4>680</vt:i4>
      </vt:variant>
      <vt:variant>
        <vt:i4>0</vt:i4>
      </vt:variant>
      <vt:variant>
        <vt:i4>5</vt:i4>
      </vt:variant>
      <vt:variant>
        <vt:lpwstr>https://pubmed.ncbi.nlm.nih.gov/?term=Song+PX&amp;cauthor_id=30055773</vt:lpwstr>
      </vt:variant>
      <vt:variant>
        <vt:lpwstr/>
      </vt:variant>
      <vt:variant>
        <vt:i4>7798856</vt:i4>
      </vt:variant>
      <vt:variant>
        <vt:i4>677</vt:i4>
      </vt:variant>
      <vt:variant>
        <vt:i4>0</vt:i4>
      </vt:variant>
      <vt:variant>
        <vt:i4>5</vt:i4>
      </vt:variant>
      <vt:variant>
        <vt:lpwstr>https://pubmed.ncbi.nlm.nih.gov/?term=Perng+W&amp;cauthor_id=30055773</vt:lpwstr>
      </vt:variant>
      <vt:variant>
        <vt:lpwstr/>
      </vt:variant>
      <vt:variant>
        <vt:i4>1638504</vt:i4>
      </vt:variant>
      <vt:variant>
        <vt:i4>674</vt:i4>
      </vt:variant>
      <vt:variant>
        <vt:i4>0</vt:i4>
      </vt:variant>
      <vt:variant>
        <vt:i4>5</vt:i4>
      </vt:variant>
      <vt:variant>
        <vt:lpwstr>https://pubmed.ncbi.nlm.nih.gov/?term=Zhou+L&amp;cauthor_id=30055773</vt:lpwstr>
      </vt:variant>
      <vt:variant>
        <vt:lpwstr/>
      </vt:variant>
      <vt:variant>
        <vt:i4>5111923</vt:i4>
      </vt:variant>
      <vt:variant>
        <vt:i4>671</vt:i4>
      </vt:variant>
      <vt:variant>
        <vt:i4>0</vt:i4>
      </vt:variant>
      <vt:variant>
        <vt:i4>5</vt:i4>
      </vt:variant>
      <vt:variant>
        <vt:lpwstr>https://pubmed.ncbi.nlm.nih.gov/?term=Jansen+EC&amp;cauthor_id=30055773</vt:lpwstr>
      </vt:variant>
      <vt:variant>
        <vt:lpwstr/>
      </vt:variant>
      <vt:variant>
        <vt:i4>5308493</vt:i4>
      </vt:variant>
      <vt:variant>
        <vt:i4>668</vt:i4>
      </vt:variant>
      <vt:variant>
        <vt:i4>0</vt:i4>
      </vt:variant>
      <vt:variant>
        <vt:i4>5</vt:i4>
      </vt:variant>
      <vt:variant>
        <vt:lpwstr>https://doi/</vt:lpwstr>
      </vt:variant>
      <vt:variant>
        <vt:lpwstr/>
      </vt:variant>
      <vt:variant>
        <vt:i4>0</vt:i4>
      </vt:variant>
      <vt:variant>
        <vt:i4>665</vt:i4>
      </vt:variant>
      <vt:variant>
        <vt:i4>0</vt:i4>
      </vt:variant>
      <vt:variant>
        <vt:i4>5</vt:i4>
      </vt:variant>
      <vt:variant>
        <vt:lpwstr>https://pubmed.ncbi.nlm.nih.gov/29170440/</vt:lpwstr>
      </vt:variant>
      <vt:variant>
        <vt:lpwstr/>
      </vt:variant>
      <vt:variant>
        <vt:i4>1966196</vt:i4>
      </vt:variant>
      <vt:variant>
        <vt:i4>662</vt:i4>
      </vt:variant>
      <vt:variant>
        <vt:i4>0</vt:i4>
      </vt:variant>
      <vt:variant>
        <vt:i4>5</vt:i4>
      </vt:variant>
      <vt:variant>
        <vt:lpwstr>https://pubmed.ncbi.nlm.nih.gov/?term=Watanabe+Y&amp;cauthor_id=29170440</vt:lpwstr>
      </vt:variant>
      <vt:variant>
        <vt:lpwstr/>
      </vt:variant>
      <vt:variant>
        <vt:i4>6357061</vt:i4>
      </vt:variant>
      <vt:variant>
        <vt:i4>659</vt:i4>
      </vt:variant>
      <vt:variant>
        <vt:i4>0</vt:i4>
      </vt:variant>
      <vt:variant>
        <vt:i4>5</vt:i4>
      </vt:variant>
      <vt:variant>
        <vt:lpwstr>https://pubmed.ncbi.nlm.nih.gov/?term=Yoshikawa+T&amp;cauthor_id=29170440</vt:lpwstr>
      </vt:variant>
      <vt:variant>
        <vt:lpwstr/>
      </vt:variant>
      <vt:variant>
        <vt:i4>7274506</vt:i4>
      </vt:variant>
      <vt:variant>
        <vt:i4>656</vt:i4>
      </vt:variant>
      <vt:variant>
        <vt:i4>0</vt:i4>
      </vt:variant>
      <vt:variant>
        <vt:i4>5</vt:i4>
      </vt:variant>
      <vt:variant>
        <vt:lpwstr>https://pubmed.ncbi.nlm.nih.gov/?term=Tanaka+M&amp;cauthor_id=29170440</vt:lpwstr>
      </vt:variant>
      <vt:variant>
        <vt:lpwstr/>
      </vt:variant>
      <vt:variant>
        <vt:i4>6291547</vt:i4>
      </vt:variant>
      <vt:variant>
        <vt:i4>653</vt:i4>
      </vt:variant>
      <vt:variant>
        <vt:i4>0</vt:i4>
      </vt:variant>
      <vt:variant>
        <vt:i4>5</vt:i4>
      </vt:variant>
      <vt:variant>
        <vt:lpwstr>https://pubmed.ncbi.nlm.nih.gov/?term=Ishii+A&amp;cauthor_id=29170440</vt:lpwstr>
      </vt:variant>
      <vt:variant>
        <vt:lpwstr/>
      </vt:variant>
      <vt:variant>
        <vt:i4>2490411</vt:i4>
      </vt:variant>
      <vt:variant>
        <vt:i4>650</vt:i4>
      </vt:variant>
      <vt:variant>
        <vt:i4>0</vt:i4>
      </vt:variant>
      <vt:variant>
        <vt:i4>5</vt:i4>
      </vt:variant>
      <vt:variant>
        <vt:lpwstr>https://apps.webofknowledge.com/full_record.do?product=WOS&amp;search_mode=GeneralSearch&amp;qid=1&amp;SID=C42rNsRd7dRVrQxQWdU&amp;page=5&amp;doc=42</vt:lpwstr>
      </vt:variant>
      <vt:variant>
        <vt:lpwstr/>
      </vt:variant>
      <vt:variant>
        <vt:i4>1376374</vt:i4>
      </vt:variant>
      <vt:variant>
        <vt:i4>647</vt:i4>
      </vt:variant>
      <vt:variant>
        <vt:i4>0</vt:i4>
      </vt:variant>
      <vt:variant>
        <vt:i4>5</vt:i4>
      </vt:variant>
      <vt:variant>
        <vt:lpwstr>https://apps.webofknowledge.com/DaisyOneClickSearch.do?product=WOS&amp;search_mode=DaisyOneClickSearch&amp;colName=WOS&amp;SID=C42rNsRd7dRVrQxQWdU&amp;author_name=Potter,%20Mona%20P.&amp;dais_id=2080650&amp;excludeEventConfig=ExcludeIfFromFullRecPage</vt:lpwstr>
      </vt:variant>
      <vt:variant>
        <vt:lpwstr/>
      </vt:variant>
      <vt:variant>
        <vt:i4>4849717</vt:i4>
      </vt:variant>
      <vt:variant>
        <vt:i4>644</vt:i4>
      </vt:variant>
      <vt:variant>
        <vt:i4>0</vt:i4>
      </vt:variant>
      <vt:variant>
        <vt:i4>5</vt:i4>
      </vt:variant>
      <vt:variant>
        <vt:lpwstr>https://apps.webofknowledge.com/DaisyOneClickSearch.do?product=WOS&amp;search_mode=DaisyOneClickSearch&amp;colName=WOS&amp;SID=C42rNsRd7dRVrQxQWdU&amp;author_name=Elkins,%20R.%20Meredith&amp;dais_id=2682620&amp;excludeEventConfig=ExcludeIfFromFullRecPage</vt:lpwstr>
      </vt:variant>
      <vt:variant>
        <vt:lpwstr/>
      </vt:variant>
      <vt:variant>
        <vt:i4>8192084</vt:i4>
      </vt:variant>
      <vt:variant>
        <vt:i4>641</vt:i4>
      </vt:variant>
      <vt:variant>
        <vt:i4>0</vt:i4>
      </vt:variant>
      <vt:variant>
        <vt:i4>5</vt:i4>
      </vt:variant>
      <vt:variant>
        <vt:lpwstr>https://apps.webofknowledge.com/DaisyOneClickSearch.do?product=WOS&amp;search_mode=DaisyOneClickSearch&amp;colName=WOS&amp;SID=C42rNsRd7dRVrQxQWdU&amp;author_name=Hosker,%20Daniel%20K.&amp;dais_id=11385603&amp;excludeEventConfig=ExcludeIfFromFullRecPage</vt:lpwstr>
      </vt:variant>
      <vt:variant>
        <vt:lpwstr/>
      </vt:variant>
      <vt:variant>
        <vt:i4>4</vt:i4>
      </vt:variant>
      <vt:variant>
        <vt:i4>638</vt:i4>
      </vt:variant>
      <vt:variant>
        <vt:i4>0</vt:i4>
      </vt:variant>
      <vt:variant>
        <vt:i4>5</vt:i4>
      </vt:variant>
      <vt:variant>
        <vt:lpwstr>https://pubmed.ncbi.nlm.nih.gov/28057463/</vt:lpwstr>
      </vt:variant>
      <vt:variant>
        <vt:lpwstr/>
      </vt:variant>
      <vt:variant>
        <vt:i4>65550</vt:i4>
      </vt:variant>
      <vt:variant>
        <vt:i4>635</vt:i4>
      </vt:variant>
      <vt:variant>
        <vt:i4>0</vt:i4>
      </vt:variant>
      <vt:variant>
        <vt:i4>5</vt:i4>
      </vt:variant>
      <vt:variant>
        <vt:lpwstr>https://pubmed.ncbi.nlm.nih.gov/28438171/</vt:lpwstr>
      </vt:variant>
      <vt:variant>
        <vt:lpwstr/>
      </vt:variant>
      <vt:variant>
        <vt:i4>327747</vt:i4>
      </vt:variant>
      <vt:variant>
        <vt:i4>632</vt:i4>
      </vt:variant>
      <vt:variant>
        <vt:i4>0</vt:i4>
      </vt:variant>
      <vt:variant>
        <vt:i4>5</vt:i4>
      </vt:variant>
      <vt:variant>
        <vt:lpwstr>https://doi.org/10.1080/21662630.2015.1130536</vt:lpwstr>
      </vt:variant>
      <vt:variant>
        <vt:lpwstr/>
      </vt:variant>
      <vt:variant>
        <vt:i4>4915267</vt:i4>
      </vt:variant>
      <vt:variant>
        <vt:i4>629</vt:i4>
      </vt:variant>
      <vt:variant>
        <vt:i4>0</vt:i4>
      </vt:variant>
      <vt:variant>
        <vt:i4>5</vt:i4>
      </vt:variant>
      <vt:variant>
        <vt:lpwstr>http://www.tandfonline.com/toc/reat20/current</vt:lpwstr>
      </vt:variant>
      <vt:variant>
        <vt:lpwstr/>
      </vt:variant>
      <vt:variant>
        <vt:i4>1900567</vt:i4>
      </vt:variant>
      <vt:variant>
        <vt:i4>626</vt:i4>
      </vt:variant>
      <vt:variant>
        <vt:i4>0</vt:i4>
      </vt:variant>
      <vt:variant>
        <vt:i4>5</vt:i4>
      </vt:variant>
      <vt:variant>
        <vt:lpwstr>http://www.tandfonline.com/author/Hart%2C+Melissa</vt:lpwstr>
      </vt:variant>
      <vt:variant>
        <vt:lpwstr/>
      </vt:variant>
      <vt:variant>
        <vt:i4>917515</vt:i4>
      </vt:variant>
      <vt:variant>
        <vt:i4>623</vt:i4>
      </vt:variant>
      <vt:variant>
        <vt:i4>0</vt:i4>
      </vt:variant>
      <vt:variant>
        <vt:i4>5</vt:i4>
      </vt:variant>
      <vt:variant>
        <vt:lpwstr>https://pubmed.ncbi.nlm.nih.gov/26800567/</vt:lpwstr>
      </vt:variant>
      <vt:variant>
        <vt:lpwstr/>
      </vt:variant>
      <vt:variant>
        <vt:i4>2097228</vt:i4>
      </vt:variant>
      <vt:variant>
        <vt:i4>620</vt:i4>
      </vt:variant>
      <vt:variant>
        <vt:i4>0</vt:i4>
      </vt:variant>
      <vt:variant>
        <vt:i4>5</vt:i4>
      </vt:variant>
      <vt:variant>
        <vt:lpwstr>https://pubmed.ncbi.nlm.nih.gov/?term=Jonas+JB&amp;cauthor_id=29121045</vt:lpwstr>
      </vt:variant>
      <vt:variant>
        <vt:lpwstr/>
      </vt:variant>
      <vt:variant>
        <vt:i4>8257538</vt:i4>
      </vt:variant>
      <vt:variant>
        <vt:i4>617</vt:i4>
      </vt:variant>
      <vt:variant>
        <vt:i4>0</vt:i4>
      </vt:variant>
      <vt:variant>
        <vt:i4>5</vt:i4>
      </vt:variant>
      <vt:variant>
        <vt:lpwstr>https://pubmed.ncbi.nlm.nih.gov/?term=Xu+L&amp;cauthor_id=29121045</vt:lpwstr>
      </vt:variant>
      <vt:variant>
        <vt:lpwstr/>
      </vt:variant>
      <vt:variant>
        <vt:i4>6226029</vt:i4>
      </vt:variant>
      <vt:variant>
        <vt:i4>614</vt:i4>
      </vt:variant>
      <vt:variant>
        <vt:i4>0</vt:i4>
      </vt:variant>
      <vt:variant>
        <vt:i4>5</vt:i4>
      </vt:variant>
      <vt:variant>
        <vt:lpwstr>https://pubmed.ncbi.nlm.nih.gov/?term=Lv+YY&amp;cauthor_id=29121045</vt:lpwstr>
      </vt:variant>
      <vt:variant>
        <vt:lpwstr/>
      </vt:variant>
      <vt:variant>
        <vt:i4>1114208</vt:i4>
      </vt:variant>
      <vt:variant>
        <vt:i4>611</vt:i4>
      </vt:variant>
      <vt:variant>
        <vt:i4>0</vt:i4>
      </vt:variant>
      <vt:variant>
        <vt:i4>5</vt:i4>
      </vt:variant>
      <vt:variant>
        <vt:lpwstr>https://pubmed.ncbi.nlm.nih.gov/?term=Tang+P&amp;cauthor_id=29121045</vt:lpwstr>
      </vt:variant>
      <vt:variant>
        <vt:lpwstr/>
      </vt:variant>
      <vt:variant>
        <vt:i4>917559</vt:i4>
      </vt:variant>
      <vt:variant>
        <vt:i4>608</vt:i4>
      </vt:variant>
      <vt:variant>
        <vt:i4>0</vt:i4>
      </vt:variant>
      <vt:variant>
        <vt:i4>5</vt:i4>
      </vt:variant>
      <vt:variant>
        <vt:lpwstr>https://pubmed.ncbi.nlm.nih.gov/?term=Sun+Y&amp;cauthor_id=29121045</vt:lpwstr>
      </vt:variant>
      <vt:variant>
        <vt:lpwstr/>
      </vt:variant>
      <vt:variant>
        <vt:i4>5177380</vt:i4>
      </vt:variant>
      <vt:variant>
        <vt:i4>605</vt:i4>
      </vt:variant>
      <vt:variant>
        <vt:i4>0</vt:i4>
      </vt:variant>
      <vt:variant>
        <vt:i4>5</vt:i4>
      </vt:variant>
      <vt:variant>
        <vt:lpwstr>https://pubmed.ncbi.nlm.nih.gov/?term=Liu+LJ&amp;cauthor_id=29121045</vt:lpwstr>
      </vt:variant>
      <vt:variant>
        <vt:lpwstr/>
      </vt:variant>
      <vt:variant>
        <vt:i4>2162705</vt:i4>
      </vt:variant>
      <vt:variant>
        <vt:i4>602</vt:i4>
      </vt:variant>
      <vt:variant>
        <vt:i4>0</vt:i4>
      </vt:variant>
      <vt:variant>
        <vt:i4>5</vt:i4>
      </vt:variant>
      <vt:variant>
        <vt:lpwstr>https://pubmed.ncbi.nlm.nih.gov/?term=Duan+JL&amp;cauthor_id=29121045</vt:lpwstr>
      </vt:variant>
      <vt:variant>
        <vt:lpwstr/>
      </vt:variant>
      <vt:variant>
        <vt:i4>917538</vt:i4>
      </vt:variant>
      <vt:variant>
        <vt:i4>599</vt:i4>
      </vt:variant>
      <vt:variant>
        <vt:i4>0</vt:i4>
      </vt:variant>
      <vt:variant>
        <vt:i4>5</vt:i4>
      </vt:variant>
      <vt:variant>
        <vt:lpwstr>https://pubmed.ncbi.nlm.nih.gov/?term=Guo+Y&amp;cauthor_id=29121045</vt:lpwstr>
      </vt:variant>
      <vt:variant>
        <vt:lpwstr/>
      </vt:variant>
      <vt:variant>
        <vt:i4>2687032</vt:i4>
      </vt:variant>
      <vt:variant>
        <vt:i4>596</vt:i4>
      </vt:variant>
      <vt:variant>
        <vt:i4>0</vt:i4>
      </vt:variant>
      <vt:variant>
        <vt:i4>5</vt:i4>
      </vt:variant>
      <vt:variant>
        <vt:lpwstr>https://doi.org/10.1007/s10484-020-09488-7</vt:lpwstr>
      </vt:variant>
      <vt:variant>
        <vt:lpwstr/>
      </vt:variant>
      <vt:variant>
        <vt:i4>786433</vt:i4>
      </vt:variant>
      <vt:variant>
        <vt:i4>593</vt:i4>
      </vt:variant>
      <vt:variant>
        <vt:i4>0</vt:i4>
      </vt:variant>
      <vt:variant>
        <vt:i4>5</vt:i4>
      </vt:variant>
      <vt:variant>
        <vt:lpwstr>https://pubmed.ncbi.nlm.nih.gov/27560512/</vt:lpwstr>
      </vt:variant>
      <vt:variant>
        <vt:lpwstr/>
      </vt:variant>
      <vt:variant>
        <vt:i4>3670046</vt:i4>
      </vt:variant>
      <vt:variant>
        <vt:i4>590</vt:i4>
      </vt:variant>
      <vt:variant>
        <vt:i4>0</vt:i4>
      </vt:variant>
      <vt:variant>
        <vt:i4>5</vt:i4>
      </vt:variant>
      <vt:variant>
        <vt:lpwstr>https://pubmed.ncbi.nlm.nih.gov/?term=Lundbye-Jensen+J&amp;cauthor_id=27560512</vt:lpwstr>
      </vt:variant>
      <vt:variant>
        <vt:lpwstr/>
      </vt:variant>
      <vt:variant>
        <vt:i4>1835109</vt:i4>
      </vt:variant>
      <vt:variant>
        <vt:i4>587</vt:i4>
      </vt:variant>
      <vt:variant>
        <vt:i4>0</vt:i4>
      </vt:variant>
      <vt:variant>
        <vt:i4>5</vt:i4>
      </vt:variant>
      <vt:variant>
        <vt:lpwstr>https://pubmed.ncbi.nlm.nih.gov/?term=Krustrup+P&amp;cauthor_id=27560512</vt:lpwstr>
      </vt:variant>
      <vt:variant>
        <vt:lpwstr/>
      </vt:variant>
      <vt:variant>
        <vt:i4>2031740</vt:i4>
      </vt:variant>
      <vt:variant>
        <vt:i4>584</vt:i4>
      </vt:variant>
      <vt:variant>
        <vt:i4>0</vt:i4>
      </vt:variant>
      <vt:variant>
        <vt:i4>5</vt:i4>
      </vt:variant>
      <vt:variant>
        <vt:lpwstr>https://pubmed.ncbi.nlm.nih.gov/?term=Ritz+C&amp;cauthor_id=27560512</vt:lpwstr>
      </vt:variant>
      <vt:variant>
        <vt:lpwstr/>
      </vt:variant>
      <vt:variant>
        <vt:i4>262246</vt:i4>
      </vt:variant>
      <vt:variant>
        <vt:i4>581</vt:i4>
      </vt:variant>
      <vt:variant>
        <vt:i4>0</vt:i4>
      </vt:variant>
      <vt:variant>
        <vt:i4>5</vt:i4>
      </vt:variant>
      <vt:variant>
        <vt:lpwstr>https://pubmed.ncbi.nlm.nih.gov/?term=Wienecke+J&amp;cauthor_id=27560512</vt:lpwstr>
      </vt:variant>
      <vt:variant>
        <vt:lpwstr/>
      </vt:variant>
      <vt:variant>
        <vt:i4>4784164</vt:i4>
      </vt:variant>
      <vt:variant>
        <vt:i4>578</vt:i4>
      </vt:variant>
      <vt:variant>
        <vt:i4>0</vt:i4>
      </vt:variant>
      <vt:variant>
        <vt:i4>5</vt:i4>
      </vt:variant>
      <vt:variant>
        <vt:lpwstr>https://pubmed.ncbi.nlm.nih.gov/?term=Nielsen+CM&amp;cauthor_id=27560512</vt:lpwstr>
      </vt:variant>
      <vt:variant>
        <vt:lpwstr/>
      </vt:variant>
      <vt:variant>
        <vt:i4>6357059</vt:i4>
      </vt:variant>
      <vt:variant>
        <vt:i4>575</vt:i4>
      </vt:variant>
      <vt:variant>
        <vt:i4>0</vt:i4>
      </vt:variant>
      <vt:variant>
        <vt:i4>5</vt:i4>
      </vt:variant>
      <vt:variant>
        <vt:lpwstr>https://pubmed.ncbi.nlm.nih.gov/?term=Korup+V&amp;cauthor_id=27560512</vt:lpwstr>
      </vt:variant>
      <vt:variant>
        <vt:lpwstr/>
      </vt:variant>
      <vt:variant>
        <vt:i4>7864349</vt:i4>
      </vt:variant>
      <vt:variant>
        <vt:i4>572</vt:i4>
      </vt:variant>
      <vt:variant>
        <vt:i4>0</vt:i4>
      </vt:variant>
      <vt:variant>
        <vt:i4>5</vt:i4>
      </vt:variant>
      <vt:variant>
        <vt:lpwstr>https://pubmed.ncbi.nlm.nih.gov/?term=Krause-Jensen+M&amp;cauthor_id=27560512</vt:lpwstr>
      </vt:variant>
      <vt:variant>
        <vt:lpwstr/>
      </vt:variant>
      <vt:variant>
        <vt:i4>2883595</vt:i4>
      </vt:variant>
      <vt:variant>
        <vt:i4>569</vt:i4>
      </vt:variant>
      <vt:variant>
        <vt:i4>0</vt:i4>
      </vt:variant>
      <vt:variant>
        <vt:i4>5</vt:i4>
      </vt:variant>
      <vt:variant>
        <vt:lpwstr>https://pubmed.ncbi.nlm.nih.gov/?term=Andersen+JN&amp;cauthor_id=27560512</vt:lpwstr>
      </vt:variant>
      <vt:variant>
        <vt:lpwstr/>
      </vt:variant>
      <vt:variant>
        <vt:i4>3538966</vt:i4>
      </vt:variant>
      <vt:variant>
        <vt:i4>566</vt:i4>
      </vt:variant>
      <vt:variant>
        <vt:i4>0</vt:i4>
      </vt:variant>
      <vt:variant>
        <vt:i4>5</vt:i4>
      </vt:variant>
      <vt:variant>
        <vt:lpwstr>https://pubmed.ncbi.nlm.nih.gov/?term=Dahn+IM&amp;cauthor_id=27560512</vt:lpwstr>
      </vt:variant>
      <vt:variant>
        <vt:lpwstr/>
      </vt:variant>
      <vt:variant>
        <vt:i4>4259938</vt:i4>
      </vt:variant>
      <vt:variant>
        <vt:i4>563</vt:i4>
      </vt:variant>
      <vt:variant>
        <vt:i4>0</vt:i4>
      </vt:variant>
      <vt:variant>
        <vt:i4>5</vt:i4>
      </vt:variant>
      <vt:variant>
        <vt:lpwstr>https://pubmed.ncbi.nlm.nih.gov/?term=Larsen+MN&amp;cauthor_id=27560512</vt:lpwstr>
      </vt:variant>
      <vt:variant>
        <vt:lpwstr/>
      </vt:variant>
      <vt:variant>
        <vt:i4>7012352</vt:i4>
      </vt:variant>
      <vt:variant>
        <vt:i4>560</vt:i4>
      </vt:variant>
      <vt:variant>
        <vt:i4>0</vt:i4>
      </vt:variant>
      <vt:variant>
        <vt:i4>5</vt:i4>
      </vt:variant>
      <vt:variant>
        <vt:lpwstr>https://pubmed.ncbi.nlm.nih.gov/?term=Thomas+R&amp;cauthor_id=27560512</vt:lpwstr>
      </vt:variant>
      <vt:variant>
        <vt:lpwstr/>
      </vt:variant>
      <vt:variant>
        <vt:i4>2686999</vt:i4>
      </vt:variant>
      <vt:variant>
        <vt:i4>557</vt:i4>
      </vt:variant>
      <vt:variant>
        <vt:i4>0</vt:i4>
      </vt:variant>
      <vt:variant>
        <vt:i4>5</vt:i4>
      </vt:variant>
      <vt:variant>
        <vt:lpwstr>https://pubmed.ncbi.nlm.nih.gov/?term=Geertsen+SS&amp;cauthor_id=27560512</vt:lpwstr>
      </vt:variant>
      <vt:variant>
        <vt:lpwstr/>
      </vt:variant>
      <vt:variant>
        <vt:i4>3735593</vt:i4>
      </vt:variant>
      <vt:variant>
        <vt:i4>554</vt:i4>
      </vt:variant>
      <vt:variant>
        <vt:i4>0</vt:i4>
      </vt:variant>
      <vt:variant>
        <vt:i4>5</vt:i4>
      </vt:variant>
      <vt:variant>
        <vt:lpwstr>https://www.researchgate.net/deref/http%3A%2F%2Fdx.doi.org%2F10.24075%2Fbrsmu.2019.024</vt:lpwstr>
      </vt:variant>
      <vt:variant>
        <vt:lpwstr/>
      </vt:variant>
      <vt:variant>
        <vt:i4>7143446</vt:i4>
      </vt:variant>
      <vt:variant>
        <vt:i4>551</vt:i4>
      </vt:variant>
      <vt:variant>
        <vt:i4>0</vt:i4>
      </vt:variant>
      <vt:variant>
        <vt:i4>5</vt:i4>
      </vt:variant>
      <vt:variant>
        <vt:lpwstr>https://pubmed.ncbi.nlm.nih.gov/?term=Ma+J&amp;cauthor_id=26081544</vt:lpwstr>
      </vt:variant>
      <vt:variant>
        <vt:lpwstr/>
      </vt:variant>
      <vt:variant>
        <vt:i4>1704034</vt:i4>
      </vt:variant>
      <vt:variant>
        <vt:i4>548</vt:i4>
      </vt:variant>
      <vt:variant>
        <vt:i4>0</vt:i4>
      </vt:variant>
      <vt:variant>
        <vt:i4>5</vt:i4>
      </vt:variant>
      <vt:variant>
        <vt:lpwstr>https://pubmed.ncbi.nlm.nih.gov/?term=Wang+Z&amp;cauthor_id=26081544</vt:lpwstr>
      </vt:variant>
      <vt:variant>
        <vt:lpwstr/>
      </vt:variant>
      <vt:variant>
        <vt:i4>1835128</vt:i4>
      </vt:variant>
      <vt:variant>
        <vt:i4>545</vt:i4>
      </vt:variant>
      <vt:variant>
        <vt:i4>0</vt:i4>
      </vt:variant>
      <vt:variant>
        <vt:i4>5</vt:i4>
      </vt:variant>
      <vt:variant>
        <vt:lpwstr>https://pubmed.ncbi.nlm.nih.gov/?term=Meng+X&amp;cauthor_id=26081544</vt:lpwstr>
      </vt:variant>
      <vt:variant>
        <vt:lpwstr/>
      </vt:variant>
      <vt:variant>
        <vt:i4>1245282</vt:i4>
      </vt:variant>
      <vt:variant>
        <vt:i4>542</vt:i4>
      </vt:variant>
      <vt:variant>
        <vt:i4>0</vt:i4>
      </vt:variant>
      <vt:variant>
        <vt:i4>5</vt:i4>
      </vt:variant>
      <vt:variant>
        <vt:lpwstr>https://pubmed.ncbi.nlm.nih.gov/?term=Wang+S&amp;cauthor_id=26081544</vt:lpwstr>
      </vt:variant>
      <vt:variant>
        <vt:lpwstr/>
      </vt:variant>
      <vt:variant>
        <vt:i4>7798807</vt:i4>
      </vt:variant>
      <vt:variant>
        <vt:i4>539</vt:i4>
      </vt:variant>
      <vt:variant>
        <vt:i4>0</vt:i4>
      </vt:variant>
      <vt:variant>
        <vt:i4>5</vt:i4>
      </vt:variant>
      <vt:variant>
        <vt:lpwstr>https://pubmed.ncbi.nlm.nih.gov/?term=Li+X&amp;cauthor_id=26081544</vt:lpwstr>
      </vt:variant>
      <vt:variant>
        <vt:lpwstr/>
      </vt:variant>
      <vt:variant>
        <vt:i4>1638508</vt:i4>
      </vt:variant>
      <vt:variant>
        <vt:i4>536</vt:i4>
      </vt:variant>
      <vt:variant>
        <vt:i4>0</vt:i4>
      </vt:variant>
      <vt:variant>
        <vt:i4>5</vt:i4>
      </vt:variant>
      <vt:variant>
        <vt:lpwstr>https://pubmed.ncbi.nlm.nih.gov/?term=Yang+Y&amp;cauthor_id=26081544</vt:lpwstr>
      </vt:variant>
      <vt:variant>
        <vt:lpwstr/>
      </vt:variant>
      <vt:variant>
        <vt:i4>983074</vt:i4>
      </vt:variant>
      <vt:variant>
        <vt:i4>533</vt:i4>
      </vt:variant>
      <vt:variant>
        <vt:i4>0</vt:i4>
      </vt:variant>
      <vt:variant>
        <vt:i4>5</vt:i4>
      </vt:variant>
      <vt:variant>
        <vt:lpwstr>https://pubmed.ncbi.nlm.nih.gov/?term=Sun+L&amp;cauthor_id=26081544</vt:lpwstr>
      </vt:variant>
      <vt:variant>
        <vt:lpwstr/>
      </vt:variant>
      <vt:variant>
        <vt:i4>8323101</vt:i4>
      </vt:variant>
      <vt:variant>
        <vt:i4>530</vt:i4>
      </vt:variant>
      <vt:variant>
        <vt:i4>0</vt:i4>
      </vt:variant>
      <vt:variant>
        <vt:i4>5</vt:i4>
      </vt:variant>
      <vt:variant>
        <vt:lpwstr>https://pubmed.ncbi.nlm.nih.gov/?term=Fu+L&amp;cauthor_id=26081544</vt:lpwstr>
      </vt:variant>
      <vt:variant>
        <vt:lpwstr/>
      </vt:variant>
      <vt:variant>
        <vt:i4>327680</vt:i4>
      </vt:variant>
      <vt:variant>
        <vt:i4>527</vt:i4>
      </vt:variant>
      <vt:variant>
        <vt:i4>0</vt:i4>
      </vt:variant>
      <vt:variant>
        <vt:i4>5</vt:i4>
      </vt:variant>
      <vt:variant>
        <vt:lpwstr>https://pubmed.ncbi.nlm.nih.gov/26081544/</vt:lpwstr>
      </vt:variant>
      <vt:variant>
        <vt:lpwstr/>
      </vt:variant>
      <vt:variant>
        <vt:i4>5701733</vt:i4>
      </vt:variant>
      <vt:variant>
        <vt:i4>524</vt:i4>
      </vt:variant>
      <vt:variant>
        <vt:i4>0</vt:i4>
      </vt:variant>
      <vt:variant>
        <vt:i4>5</vt:i4>
      </vt:variant>
      <vt:variant>
        <vt:lpwstr>https://www.ncbi.nlm.nih.gov/pubmed/?term=Ma%20J%5BAuthor%5D&amp;cauthor=true&amp;cauthor_uid=26081544</vt:lpwstr>
      </vt:variant>
      <vt:variant>
        <vt:lpwstr/>
      </vt:variant>
      <vt:variant>
        <vt:i4>2097169</vt:i4>
      </vt:variant>
      <vt:variant>
        <vt:i4>521</vt:i4>
      </vt:variant>
      <vt:variant>
        <vt:i4>0</vt:i4>
      </vt:variant>
      <vt:variant>
        <vt:i4>5</vt:i4>
      </vt:variant>
      <vt:variant>
        <vt:lpwstr>https://www.ncbi.nlm.nih.gov/pubmed/?term=Wang%20Z%5BAuthor%5D&amp;cauthor=true&amp;cauthor_uid=26081544</vt:lpwstr>
      </vt:variant>
      <vt:variant>
        <vt:lpwstr/>
      </vt:variant>
      <vt:variant>
        <vt:i4>2490379</vt:i4>
      </vt:variant>
      <vt:variant>
        <vt:i4>518</vt:i4>
      </vt:variant>
      <vt:variant>
        <vt:i4>0</vt:i4>
      </vt:variant>
      <vt:variant>
        <vt:i4>5</vt:i4>
      </vt:variant>
      <vt:variant>
        <vt:lpwstr>https://www.ncbi.nlm.nih.gov/pubmed/?term=Meng%20X%5BAuthor%5D&amp;cauthor=true&amp;cauthor_uid=26081544</vt:lpwstr>
      </vt:variant>
      <vt:variant>
        <vt:lpwstr/>
      </vt:variant>
      <vt:variant>
        <vt:i4>2686993</vt:i4>
      </vt:variant>
      <vt:variant>
        <vt:i4>515</vt:i4>
      </vt:variant>
      <vt:variant>
        <vt:i4>0</vt:i4>
      </vt:variant>
      <vt:variant>
        <vt:i4>5</vt:i4>
      </vt:variant>
      <vt:variant>
        <vt:lpwstr>https://www.ncbi.nlm.nih.gov/pubmed/?term=Wang%20S%5BAuthor%5D&amp;cauthor=true&amp;cauthor_uid=26081544</vt:lpwstr>
      </vt:variant>
      <vt:variant>
        <vt:lpwstr/>
      </vt:variant>
      <vt:variant>
        <vt:i4>5046372</vt:i4>
      </vt:variant>
      <vt:variant>
        <vt:i4>512</vt:i4>
      </vt:variant>
      <vt:variant>
        <vt:i4>0</vt:i4>
      </vt:variant>
      <vt:variant>
        <vt:i4>5</vt:i4>
      </vt:variant>
      <vt:variant>
        <vt:lpwstr>https://www.ncbi.nlm.nih.gov/pubmed/?term=Li%20X%5BAuthor%5D&amp;cauthor=true&amp;cauthor_uid=26081544</vt:lpwstr>
      </vt:variant>
      <vt:variant>
        <vt:lpwstr/>
      </vt:variant>
      <vt:variant>
        <vt:i4>2293791</vt:i4>
      </vt:variant>
      <vt:variant>
        <vt:i4>509</vt:i4>
      </vt:variant>
      <vt:variant>
        <vt:i4>0</vt:i4>
      </vt:variant>
      <vt:variant>
        <vt:i4>5</vt:i4>
      </vt:variant>
      <vt:variant>
        <vt:lpwstr>https://www.ncbi.nlm.nih.gov/pubmed/?term=Yang%20Y%5BAuthor%5D&amp;cauthor=true&amp;cauthor_uid=26081544</vt:lpwstr>
      </vt:variant>
      <vt:variant>
        <vt:lpwstr/>
      </vt:variant>
      <vt:variant>
        <vt:i4>2359360</vt:i4>
      </vt:variant>
      <vt:variant>
        <vt:i4>506</vt:i4>
      </vt:variant>
      <vt:variant>
        <vt:i4>0</vt:i4>
      </vt:variant>
      <vt:variant>
        <vt:i4>5</vt:i4>
      </vt:variant>
      <vt:variant>
        <vt:lpwstr>https://www.ncbi.nlm.nih.gov/pubmed/?term=Sun%20L%5BAuthor%5D&amp;cauthor=true&amp;cauthor_uid=26081544</vt:lpwstr>
      </vt:variant>
      <vt:variant>
        <vt:lpwstr/>
      </vt:variant>
      <vt:variant>
        <vt:i4>4522094</vt:i4>
      </vt:variant>
      <vt:variant>
        <vt:i4>503</vt:i4>
      </vt:variant>
      <vt:variant>
        <vt:i4>0</vt:i4>
      </vt:variant>
      <vt:variant>
        <vt:i4>5</vt:i4>
      </vt:variant>
      <vt:variant>
        <vt:lpwstr>https://www.ncbi.nlm.nih.gov/pubmed/?term=Fu%20L%5BAuthor%5D&amp;cauthor=true&amp;cauthor_uid=26081544</vt:lpwstr>
      </vt:variant>
      <vt:variant>
        <vt:lpwstr/>
      </vt:variant>
      <vt:variant>
        <vt:i4>6750321</vt:i4>
      </vt:variant>
      <vt:variant>
        <vt:i4>500</vt:i4>
      </vt:variant>
      <vt:variant>
        <vt:i4>0</vt:i4>
      </vt:variant>
      <vt:variant>
        <vt:i4>5</vt:i4>
      </vt:variant>
      <vt:variant>
        <vt:lpwstr>http://apps.webofknowledge.com/OutboundService.do?SID=D5N2zrsWyExHNTt5jrb&amp;mode=rrcAuthorRecordService&amp;action=go&amp;product=WOS&amp;daisIds=497395</vt:lpwstr>
      </vt:variant>
      <vt:variant>
        <vt:lpwstr/>
      </vt:variant>
      <vt:variant>
        <vt:i4>7012474</vt:i4>
      </vt:variant>
      <vt:variant>
        <vt:i4>497</vt:i4>
      </vt:variant>
      <vt:variant>
        <vt:i4>0</vt:i4>
      </vt:variant>
      <vt:variant>
        <vt:i4>5</vt:i4>
      </vt:variant>
      <vt:variant>
        <vt:lpwstr>http://apps.webofknowledge.com/OutboundService.do?SID=D5N2zrsWyExHNTt5jrb&amp;mode=rrcAuthorRecordService&amp;action=go&amp;product=WOS&amp;daisIds=6259288</vt:lpwstr>
      </vt:variant>
      <vt:variant>
        <vt:lpwstr/>
      </vt:variant>
      <vt:variant>
        <vt:i4>524292</vt:i4>
      </vt:variant>
      <vt:variant>
        <vt:i4>494</vt:i4>
      </vt:variant>
      <vt:variant>
        <vt:i4>0</vt:i4>
      </vt:variant>
      <vt:variant>
        <vt:i4>5</vt:i4>
      </vt:variant>
      <vt:variant>
        <vt:lpwstr>https://pubmed.ncbi.nlm.nih.gov/32756316/</vt:lpwstr>
      </vt:variant>
      <vt:variant>
        <vt:lpwstr/>
      </vt:variant>
      <vt:variant>
        <vt:i4>1966131</vt:i4>
      </vt:variant>
      <vt:variant>
        <vt:i4>491</vt:i4>
      </vt:variant>
      <vt:variant>
        <vt:i4>0</vt:i4>
      </vt:variant>
      <vt:variant>
        <vt:i4>5</vt:i4>
      </vt:variant>
      <vt:variant>
        <vt:lpwstr>https://apps.webofknowledge.com/OutboundService.do?SID=C5afOZrhLcrlUxGfPlS&amp;mode=rrcAuthorRecordService&amp;action=go&amp;product=WOS&amp;lang=ru_RU&amp;daisIds=32156860</vt:lpwstr>
      </vt:variant>
      <vt:variant>
        <vt:lpwstr/>
      </vt:variant>
      <vt:variant>
        <vt:i4>1769529</vt:i4>
      </vt:variant>
      <vt:variant>
        <vt:i4>488</vt:i4>
      </vt:variant>
      <vt:variant>
        <vt:i4>0</vt:i4>
      </vt:variant>
      <vt:variant>
        <vt:i4>5</vt:i4>
      </vt:variant>
      <vt:variant>
        <vt:lpwstr>https://apps.webofknowledge.com/OutboundService.do?SID=C5afOZrhLcrlUxGfPlS&amp;mode=rrcAuthorRecordService&amp;action=go&amp;product=WOS&amp;lang=ru_RU&amp;daisIds=34861820</vt:lpwstr>
      </vt:variant>
      <vt:variant>
        <vt:lpwstr/>
      </vt:variant>
      <vt:variant>
        <vt:i4>1310772</vt:i4>
      </vt:variant>
      <vt:variant>
        <vt:i4>485</vt:i4>
      </vt:variant>
      <vt:variant>
        <vt:i4>0</vt:i4>
      </vt:variant>
      <vt:variant>
        <vt:i4>5</vt:i4>
      </vt:variant>
      <vt:variant>
        <vt:lpwstr>https://apps.webofknowledge.com/OutboundService.do?SID=C5afOZrhLcrlUxGfPlS&amp;mode=rrcAuthorRecordService&amp;action=go&amp;product=WOS&amp;lang=ru_RU&amp;daisIds=50057</vt:lpwstr>
      </vt:variant>
      <vt:variant>
        <vt:lpwstr/>
      </vt:variant>
      <vt:variant>
        <vt:i4>3080192</vt:i4>
      </vt:variant>
      <vt:variant>
        <vt:i4>482</vt:i4>
      </vt:variant>
      <vt:variant>
        <vt:i4>0</vt:i4>
      </vt:variant>
      <vt:variant>
        <vt:i4>5</vt:i4>
      </vt:variant>
      <vt:variant>
        <vt:lpwstr>https://apps.webofknowledge.com/OutboundService.do?SID=C5afOZrhLcrlUxGfPlS&amp;mode=rrcAuthorRecordService&amp;action=go&amp;product=WOS&amp;lang=ru_RU&amp;daisIds=2760595</vt:lpwstr>
      </vt:variant>
      <vt:variant>
        <vt:lpwstr/>
      </vt:variant>
      <vt:variant>
        <vt:i4>2228228</vt:i4>
      </vt:variant>
      <vt:variant>
        <vt:i4>479</vt:i4>
      </vt:variant>
      <vt:variant>
        <vt:i4>0</vt:i4>
      </vt:variant>
      <vt:variant>
        <vt:i4>5</vt:i4>
      </vt:variant>
      <vt:variant>
        <vt:lpwstr>https://apps.webofknowledge.com/OutboundService.do?SID=C5afOZrhLcrlUxGfPlS&amp;mode=rrcAuthorRecordService&amp;action=go&amp;product=WOS&amp;lang=ru_RU&amp;daisIds=4440570</vt:lpwstr>
      </vt:variant>
      <vt:variant>
        <vt:lpwstr/>
      </vt:variant>
      <vt:variant>
        <vt:i4>2162688</vt:i4>
      </vt:variant>
      <vt:variant>
        <vt:i4>476</vt:i4>
      </vt:variant>
      <vt:variant>
        <vt:i4>0</vt:i4>
      </vt:variant>
      <vt:variant>
        <vt:i4>5</vt:i4>
      </vt:variant>
      <vt:variant>
        <vt:lpwstr>https://apps.webofknowledge.com/OutboundService.do?SID=C5afOZrhLcrlUxGfPlS&amp;mode=rrcAuthorRecordService&amp;action=go&amp;product=WOS&amp;lang=ru_RU&amp;daisIds=2160513</vt:lpwstr>
      </vt:variant>
      <vt:variant>
        <vt:lpwstr/>
      </vt:variant>
      <vt:variant>
        <vt:i4>2293773</vt:i4>
      </vt:variant>
      <vt:variant>
        <vt:i4>473</vt:i4>
      </vt:variant>
      <vt:variant>
        <vt:i4>0</vt:i4>
      </vt:variant>
      <vt:variant>
        <vt:i4>5</vt:i4>
      </vt:variant>
      <vt:variant>
        <vt:lpwstr>https://apps.webofknowledge.com/OutboundService.do?SID=C5afOZrhLcrlUxGfPlS&amp;mode=rrcAuthorRecordService&amp;action=go&amp;product=WOS&amp;lang=ru_RU&amp;daisIds=226080</vt:lpwstr>
      </vt:variant>
      <vt:variant>
        <vt:lpwstr/>
      </vt:variant>
      <vt:variant>
        <vt:i4>1310783</vt:i4>
      </vt:variant>
      <vt:variant>
        <vt:i4>470</vt:i4>
      </vt:variant>
      <vt:variant>
        <vt:i4>0</vt:i4>
      </vt:variant>
      <vt:variant>
        <vt:i4>5</vt:i4>
      </vt:variant>
      <vt:variant>
        <vt:lpwstr>https://apps.webofknowledge.com/OutboundService.do?SID=C5afOZrhLcrlUxGfPlS&amp;mode=rrcAuthorRecordService&amp;action=go&amp;product=WOS&amp;lang=ru_RU&amp;daisIds=65804</vt:lpwstr>
      </vt:variant>
      <vt:variant>
        <vt:lpwstr/>
      </vt:variant>
      <vt:variant>
        <vt:i4>2424842</vt:i4>
      </vt:variant>
      <vt:variant>
        <vt:i4>467</vt:i4>
      </vt:variant>
      <vt:variant>
        <vt:i4>0</vt:i4>
      </vt:variant>
      <vt:variant>
        <vt:i4>5</vt:i4>
      </vt:variant>
      <vt:variant>
        <vt:lpwstr>https://apps.webofknowledge.com/OutboundService.do?SID=C5afOZrhLcrlUxGfPlS&amp;mode=rrcAuthorRecordService&amp;action=go&amp;product=WOS&amp;lang=ru_RU&amp;daisIds=1621830</vt:lpwstr>
      </vt:variant>
      <vt:variant>
        <vt:lpwstr/>
      </vt:variant>
      <vt:variant>
        <vt:i4>1048632</vt:i4>
      </vt:variant>
      <vt:variant>
        <vt:i4>464</vt:i4>
      </vt:variant>
      <vt:variant>
        <vt:i4>0</vt:i4>
      </vt:variant>
      <vt:variant>
        <vt:i4>5</vt:i4>
      </vt:variant>
      <vt:variant>
        <vt:lpwstr>https://apps.webofknowledge.com/OutboundService.do?SID=C5afOZrhLcrlUxGfPlS&amp;mode=rrcAuthorRecordService&amp;action=go&amp;product=WOS&amp;lang=ru_RU&amp;daisIds=34862300</vt:lpwstr>
      </vt:variant>
      <vt:variant>
        <vt:lpwstr/>
      </vt:variant>
      <vt:variant>
        <vt:i4>262175</vt:i4>
      </vt:variant>
      <vt:variant>
        <vt:i4>461</vt:i4>
      </vt:variant>
      <vt:variant>
        <vt:i4>0</vt:i4>
      </vt:variant>
      <vt:variant>
        <vt:i4>5</vt:i4>
      </vt:variant>
      <vt:variant>
        <vt:lpwstr>https://doi.org/10.1007/s10802-017-0262-0</vt:lpwstr>
      </vt:variant>
      <vt:variant>
        <vt:lpwstr/>
      </vt:variant>
      <vt:variant>
        <vt:i4>524290</vt:i4>
      </vt:variant>
      <vt:variant>
        <vt:i4>458</vt:i4>
      </vt:variant>
      <vt:variant>
        <vt:i4>0</vt:i4>
      </vt:variant>
      <vt:variant>
        <vt:i4>5</vt:i4>
      </vt:variant>
      <vt:variant>
        <vt:lpwstr>https://pubmed.ncbi.nlm.nih.gov/24377435/</vt:lpwstr>
      </vt:variant>
      <vt:variant>
        <vt:lpwstr/>
      </vt:variant>
      <vt:variant>
        <vt:i4>65543</vt:i4>
      </vt:variant>
      <vt:variant>
        <vt:i4>455</vt:i4>
      </vt:variant>
      <vt:variant>
        <vt:i4>0</vt:i4>
      </vt:variant>
      <vt:variant>
        <vt:i4>5</vt:i4>
      </vt:variant>
      <vt:variant>
        <vt:lpwstr>https://pubmed.ncbi.nlm.nih.gov/30441867/</vt:lpwstr>
      </vt:variant>
      <vt:variant>
        <vt:lpwstr/>
      </vt:variant>
      <vt:variant>
        <vt:i4>1572903</vt:i4>
      </vt:variant>
      <vt:variant>
        <vt:i4>452</vt:i4>
      </vt:variant>
      <vt:variant>
        <vt:i4>0</vt:i4>
      </vt:variant>
      <vt:variant>
        <vt:i4>5</vt:i4>
      </vt:variant>
      <vt:variant>
        <vt:lpwstr>https://pubmed.ncbi.nlm.nih.gov/?term=Pei+J&amp;cauthor_id=30441867</vt:lpwstr>
      </vt:variant>
      <vt:variant>
        <vt:lpwstr/>
      </vt:variant>
      <vt:variant>
        <vt:i4>1179697</vt:i4>
      </vt:variant>
      <vt:variant>
        <vt:i4>449</vt:i4>
      </vt:variant>
      <vt:variant>
        <vt:i4>0</vt:i4>
      </vt:variant>
      <vt:variant>
        <vt:i4>5</vt:i4>
      </vt:variant>
      <vt:variant>
        <vt:lpwstr>https://pubmed.ncbi.nlm.nih.gov/?term=Hou+X&amp;cauthor_id=30441867</vt:lpwstr>
      </vt:variant>
      <vt:variant>
        <vt:lpwstr/>
      </vt:variant>
      <vt:variant>
        <vt:i4>8060998</vt:i4>
      </vt:variant>
      <vt:variant>
        <vt:i4>446</vt:i4>
      </vt:variant>
      <vt:variant>
        <vt:i4>0</vt:i4>
      </vt:variant>
      <vt:variant>
        <vt:i4>5</vt:i4>
      </vt:variant>
      <vt:variant>
        <vt:lpwstr>https://pubmed.ncbi.nlm.nih.gov/?term=Zhang+N&amp;cauthor_id=30441867</vt:lpwstr>
      </vt:variant>
      <vt:variant>
        <vt:lpwstr/>
      </vt:variant>
      <vt:variant>
        <vt:i4>2752626</vt:i4>
      </vt:variant>
      <vt:variant>
        <vt:i4>443</vt:i4>
      </vt:variant>
      <vt:variant>
        <vt:i4>0</vt:i4>
      </vt:variant>
      <vt:variant>
        <vt:i4>5</vt:i4>
      </vt:variant>
      <vt:variant>
        <vt:lpwstr>https://doi.org/10.1155/2011/420297</vt:lpwstr>
      </vt:variant>
      <vt:variant>
        <vt:lpwstr/>
      </vt:variant>
      <vt:variant>
        <vt:i4>131163</vt:i4>
      </vt:variant>
      <vt:variant>
        <vt:i4>440</vt:i4>
      </vt:variant>
      <vt:variant>
        <vt:i4>0</vt:i4>
      </vt:variant>
      <vt:variant>
        <vt:i4>5</vt:i4>
      </vt:variant>
      <vt:variant>
        <vt:lpwstr>https://www.ncbi.nlm.nih.gov/pubmed/26510873</vt:lpwstr>
      </vt:variant>
      <vt:variant>
        <vt:lpwstr/>
      </vt:variant>
      <vt:variant>
        <vt:i4>3145794</vt:i4>
      </vt:variant>
      <vt:variant>
        <vt:i4>437</vt:i4>
      </vt:variant>
      <vt:variant>
        <vt:i4>0</vt:i4>
      </vt:variant>
      <vt:variant>
        <vt:i4>5</vt:i4>
      </vt:variant>
      <vt:variant>
        <vt:lpwstr>https://www.ncbi.nlm.nih.gov/pubmed/?term=Dobashi%20K%5BAuthor%5D&amp;cauthor=true&amp;cauthor_uid=26510873</vt:lpwstr>
      </vt:variant>
      <vt:variant>
        <vt:lpwstr/>
      </vt:variant>
      <vt:variant>
        <vt:i4>786434</vt:i4>
      </vt:variant>
      <vt:variant>
        <vt:i4>434</vt:i4>
      </vt:variant>
      <vt:variant>
        <vt:i4>0</vt:i4>
      </vt:variant>
      <vt:variant>
        <vt:i4>5</vt:i4>
      </vt:variant>
      <vt:variant>
        <vt:lpwstr>https://pubmed.ncbi.nlm.nih.gov/15543225/</vt:lpwstr>
      </vt:variant>
      <vt:variant>
        <vt:lpwstr/>
      </vt:variant>
      <vt:variant>
        <vt:i4>524318</vt:i4>
      </vt:variant>
      <vt:variant>
        <vt:i4>431</vt:i4>
      </vt:variant>
      <vt:variant>
        <vt:i4>0</vt:i4>
      </vt:variant>
      <vt:variant>
        <vt:i4>5</vt:i4>
      </vt:variant>
      <vt:variant>
        <vt:lpwstr>https://doi.org/10.1007/s00787-017-1009-8</vt:lpwstr>
      </vt:variant>
      <vt:variant>
        <vt:lpwstr/>
      </vt:variant>
      <vt:variant>
        <vt:i4>917505</vt:i4>
      </vt:variant>
      <vt:variant>
        <vt:i4>428</vt:i4>
      </vt:variant>
      <vt:variant>
        <vt:i4>0</vt:i4>
      </vt:variant>
      <vt:variant>
        <vt:i4>5</vt:i4>
      </vt:variant>
      <vt:variant>
        <vt:lpwstr>https://pubmed.ncbi.nlm.nih.gov/31500603/</vt:lpwstr>
      </vt:variant>
      <vt:variant>
        <vt:lpwstr/>
      </vt:variant>
      <vt:variant>
        <vt:i4>851984</vt:i4>
      </vt:variant>
      <vt:variant>
        <vt:i4>425</vt:i4>
      </vt:variant>
      <vt:variant>
        <vt:i4>0</vt:i4>
      </vt:variant>
      <vt:variant>
        <vt:i4>5</vt:i4>
      </vt:variant>
      <vt:variant>
        <vt:lpwstr>https://doi.org/10.1186/s12889-019-7550-2</vt:lpwstr>
      </vt:variant>
      <vt:variant>
        <vt:lpwstr/>
      </vt:variant>
      <vt:variant>
        <vt:i4>196613</vt:i4>
      </vt:variant>
      <vt:variant>
        <vt:i4>422</vt:i4>
      </vt:variant>
      <vt:variant>
        <vt:i4>0</vt:i4>
      </vt:variant>
      <vt:variant>
        <vt:i4>5</vt:i4>
      </vt:variant>
      <vt:variant>
        <vt:lpwstr>https://pubmed.ncbi.nlm.nih.gov/17616837/</vt:lpwstr>
      </vt:variant>
      <vt:variant>
        <vt:lpwstr/>
      </vt:variant>
      <vt:variant>
        <vt:i4>327683</vt:i4>
      </vt:variant>
      <vt:variant>
        <vt:i4>419</vt:i4>
      </vt:variant>
      <vt:variant>
        <vt:i4>0</vt:i4>
      </vt:variant>
      <vt:variant>
        <vt:i4>5</vt:i4>
      </vt:variant>
      <vt:variant>
        <vt:lpwstr>https://doi.org/10.3389/fnins.2018.00228</vt:lpwstr>
      </vt:variant>
      <vt:variant>
        <vt:lpwstr/>
      </vt:variant>
      <vt:variant>
        <vt:i4>786438</vt:i4>
      </vt:variant>
      <vt:variant>
        <vt:i4>416</vt:i4>
      </vt:variant>
      <vt:variant>
        <vt:i4>0</vt:i4>
      </vt:variant>
      <vt:variant>
        <vt:i4>5</vt:i4>
      </vt:variant>
      <vt:variant>
        <vt:lpwstr>https://pubmed.ncbi.nlm.nih.gov/32766230/</vt:lpwstr>
      </vt:variant>
      <vt:variant>
        <vt:lpwstr/>
      </vt:variant>
      <vt:variant>
        <vt:i4>589836</vt:i4>
      </vt:variant>
      <vt:variant>
        <vt:i4>413</vt:i4>
      </vt:variant>
      <vt:variant>
        <vt:i4>0</vt:i4>
      </vt:variant>
      <vt:variant>
        <vt:i4>5</vt:i4>
      </vt:variant>
      <vt:variant>
        <vt:lpwstr>https://pubmed.ncbi.nlm.nih.gov/30181883/</vt:lpwstr>
      </vt:variant>
      <vt:variant>
        <vt:lpwstr/>
      </vt:variant>
      <vt:variant>
        <vt:i4>3866652</vt:i4>
      </vt:variant>
      <vt:variant>
        <vt:i4>410</vt:i4>
      </vt:variant>
      <vt:variant>
        <vt:i4>0</vt:i4>
      </vt:variant>
      <vt:variant>
        <vt:i4>5</vt:i4>
      </vt:variant>
      <vt:variant>
        <vt:lpwstr>https://pubmed.ncbi.nlm.nih.gov/?term=Jeon+MJ&amp;cauthor_id=30181883</vt:lpwstr>
      </vt:variant>
      <vt:variant>
        <vt:lpwstr/>
      </vt:variant>
      <vt:variant>
        <vt:i4>6881281</vt:i4>
      </vt:variant>
      <vt:variant>
        <vt:i4>407</vt:i4>
      </vt:variant>
      <vt:variant>
        <vt:i4>0</vt:i4>
      </vt:variant>
      <vt:variant>
        <vt:i4>5</vt:i4>
      </vt:variant>
      <vt:variant>
        <vt:lpwstr>https://pubmed.ncbi.nlm.nih.gov/?term=Sakong+J&amp;cauthor_id=30181883</vt:lpwstr>
      </vt:variant>
      <vt:variant>
        <vt:lpwstr/>
      </vt:variant>
      <vt:variant>
        <vt:i4>2359322</vt:i4>
      </vt:variant>
      <vt:variant>
        <vt:i4>404</vt:i4>
      </vt:variant>
      <vt:variant>
        <vt:i4>0</vt:i4>
      </vt:variant>
      <vt:variant>
        <vt:i4>5</vt:i4>
      </vt:variant>
      <vt:variant>
        <vt:lpwstr>https://pubmed.ncbi.nlm.nih.gov/?term=Park+SK&amp;cauthor_id=30181883</vt:lpwstr>
      </vt:variant>
      <vt:variant>
        <vt:lpwstr/>
      </vt:variant>
      <vt:variant>
        <vt:i4>3342359</vt:i4>
      </vt:variant>
      <vt:variant>
        <vt:i4>401</vt:i4>
      </vt:variant>
      <vt:variant>
        <vt:i4>0</vt:i4>
      </vt:variant>
      <vt:variant>
        <vt:i4>5</vt:i4>
      </vt:variant>
      <vt:variant>
        <vt:lpwstr>https://pubmed.ncbi.nlm.nih.gov/?term=Byun+YS&amp;cauthor_id=30181883</vt:lpwstr>
      </vt:variant>
      <vt:variant>
        <vt:lpwstr/>
      </vt:variant>
      <vt:variant>
        <vt:i4>2949225</vt:i4>
      </vt:variant>
      <vt:variant>
        <vt:i4>398</vt:i4>
      </vt:variant>
      <vt:variant>
        <vt:i4>0</vt:i4>
      </vt:variant>
      <vt:variant>
        <vt:i4>5</vt:i4>
      </vt:variant>
      <vt:variant>
        <vt:lpwstr>https://www.who.int/tools/growth-reference-data-for-5to19-years/indicators/bmi-for-age</vt:lpwstr>
      </vt:variant>
      <vt:variant>
        <vt:lpwstr/>
      </vt:variant>
      <vt:variant>
        <vt:i4>6226019</vt:i4>
      </vt:variant>
      <vt:variant>
        <vt:i4>395</vt:i4>
      </vt:variant>
      <vt:variant>
        <vt:i4>0</vt:i4>
      </vt:variant>
      <vt:variant>
        <vt:i4>5</vt:i4>
      </vt:variant>
      <vt:variant>
        <vt:lpwstr>https://pubmed.ncbi.nlm.nih.gov/?term=Neumark-Sztainer+D&amp;cauthor_id=26163351</vt:lpwstr>
      </vt:variant>
      <vt:variant>
        <vt:lpwstr/>
      </vt:variant>
      <vt:variant>
        <vt:i4>4128777</vt:i4>
      </vt:variant>
      <vt:variant>
        <vt:i4>392</vt:i4>
      </vt:variant>
      <vt:variant>
        <vt:i4>0</vt:i4>
      </vt:variant>
      <vt:variant>
        <vt:i4>5</vt:i4>
      </vt:variant>
      <vt:variant>
        <vt:lpwstr>https://pubmed.ncbi.nlm.nih.gov/?term=Loth+KA&amp;cauthor_id=26163351</vt:lpwstr>
      </vt:variant>
      <vt:variant>
        <vt:lpwstr/>
      </vt:variant>
      <vt:variant>
        <vt:i4>1245244</vt:i4>
      </vt:variant>
      <vt:variant>
        <vt:i4>389</vt:i4>
      </vt:variant>
      <vt:variant>
        <vt:i4>0</vt:i4>
      </vt:variant>
      <vt:variant>
        <vt:i4>5</vt:i4>
      </vt:variant>
      <vt:variant>
        <vt:lpwstr>https://pubmed.ncbi.nlm.nih.gov/?term=Didericksen+K&amp;cauthor_id=26163351</vt:lpwstr>
      </vt:variant>
      <vt:variant>
        <vt:lpwstr/>
      </vt:variant>
      <vt:variant>
        <vt:i4>7864414</vt:i4>
      </vt:variant>
      <vt:variant>
        <vt:i4>386</vt:i4>
      </vt:variant>
      <vt:variant>
        <vt:i4>0</vt:i4>
      </vt:variant>
      <vt:variant>
        <vt:i4>5</vt:i4>
      </vt:variant>
      <vt:variant>
        <vt:lpwstr>https://pubmed.ncbi.nlm.nih.gov/?term=Meyer+C&amp;cauthor_id=26163351</vt:lpwstr>
      </vt:variant>
      <vt:variant>
        <vt:lpwstr/>
      </vt:variant>
      <vt:variant>
        <vt:i4>3145793</vt:i4>
      </vt:variant>
      <vt:variant>
        <vt:i4>383</vt:i4>
      </vt:variant>
      <vt:variant>
        <vt:i4>0</vt:i4>
      </vt:variant>
      <vt:variant>
        <vt:i4>5</vt:i4>
      </vt:variant>
      <vt:variant>
        <vt:lpwstr>https://pubmed.ncbi.nlm.nih.gov/?term=MacLehose+RF&amp;cauthor_id=26163351</vt:lpwstr>
      </vt:variant>
      <vt:variant>
        <vt:lpwstr/>
      </vt:variant>
      <vt:variant>
        <vt:i4>3080269</vt:i4>
      </vt:variant>
      <vt:variant>
        <vt:i4>380</vt:i4>
      </vt:variant>
      <vt:variant>
        <vt:i4>0</vt:i4>
      </vt:variant>
      <vt:variant>
        <vt:i4>5</vt:i4>
      </vt:variant>
      <vt:variant>
        <vt:lpwstr>https://pubmed.ncbi.nlm.nih.gov/?term=Berge+JM&amp;cauthor_id=26163351</vt:lpwstr>
      </vt:variant>
      <vt:variant>
        <vt:lpwstr/>
      </vt:variant>
      <vt:variant>
        <vt:i4>589833</vt:i4>
      </vt:variant>
      <vt:variant>
        <vt:i4>377</vt:i4>
      </vt:variant>
      <vt:variant>
        <vt:i4>0</vt:i4>
      </vt:variant>
      <vt:variant>
        <vt:i4>5</vt:i4>
      </vt:variant>
      <vt:variant>
        <vt:lpwstr>https://pubmed.ncbi.nlm.nih.gov/30461386/</vt:lpwstr>
      </vt:variant>
      <vt:variant>
        <vt:lpwstr/>
      </vt:variant>
      <vt:variant>
        <vt:i4>5767226</vt:i4>
      </vt:variant>
      <vt:variant>
        <vt:i4>374</vt:i4>
      </vt:variant>
      <vt:variant>
        <vt:i4>0</vt:i4>
      </vt:variant>
      <vt:variant>
        <vt:i4>5</vt:i4>
      </vt:variant>
      <vt:variant>
        <vt:lpwstr>https://pubmed.ncbi.nlm.nih.gov/?term=van+Steenbrugge+W&amp;cauthor_id=30461386</vt:lpwstr>
      </vt:variant>
      <vt:variant>
        <vt:lpwstr/>
      </vt:variant>
      <vt:variant>
        <vt:i4>1703984</vt:i4>
      </vt:variant>
      <vt:variant>
        <vt:i4>371</vt:i4>
      </vt:variant>
      <vt:variant>
        <vt:i4>0</vt:i4>
      </vt:variant>
      <vt:variant>
        <vt:i4>5</vt:i4>
      </vt:variant>
      <vt:variant>
        <vt:lpwstr>https://pubmed.ncbi.nlm.nih.gov/?term=Kapadia+S&amp;cauthor_id=30461386</vt:lpwstr>
      </vt:variant>
      <vt:variant>
        <vt:lpwstr/>
      </vt:variant>
      <vt:variant>
        <vt:i4>1376317</vt:i4>
      </vt:variant>
      <vt:variant>
        <vt:i4>368</vt:i4>
      </vt:variant>
      <vt:variant>
        <vt:i4>0</vt:i4>
      </vt:variant>
      <vt:variant>
        <vt:i4>5</vt:i4>
      </vt:variant>
      <vt:variant>
        <vt:lpwstr>https://pubmed.ncbi.nlm.nih.gov/?term=Baldock+J&amp;cauthor_id=30461386</vt:lpwstr>
      </vt:variant>
      <vt:variant>
        <vt:lpwstr/>
      </vt:variant>
      <vt:variant>
        <vt:i4>589847</vt:i4>
      </vt:variant>
      <vt:variant>
        <vt:i4>365</vt:i4>
      </vt:variant>
      <vt:variant>
        <vt:i4>0</vt:i4>
      </vt:variant>
      <vt:variant>
        <vt:i4>5</vt:i4>
      </vt:variant>
      <vt:variant>
        <vt:lpwstr>https://doi.org/10.1186/s12889-019-7311-2</vt:lpwstr>
      </vt:variant>
      <vt:variant>
        <vt:lpwstr/>
      </vt:variant>
      <vt:variant>
        <vt:i4>327683</vt:i4>
      </vt:variant>
      <vt:variant>
        <vt:i4>362</vt:i4>
      </vt:variant>
      <vt:variant>
        <vt:i4>0</vt:i4>
      </vt:variant>
      <vt:variant>
        <vt:i4>5</vt:i4>
      </vt:variant>
      <vt:variant>
        <vt:lpwstr>https://pubmed.ncbi.nlm.nih.gov/25988674/</vt:lpwstr>
      </vt:variant>
      <vt:variant>
        <vt:lpwstr/>
      </vt:variant>
      <vt:variant>
        <vt:i4>2359306</vt:i4>
      </vt:variant>
      <vt:variant>
        <vt:i4>359</vt:i4>
      </vt:variant>
      <vt:variant>
        <vt:i4>0</vt:i4>
      </vt:variant>
      <vt:variant>
        <vt:i4>5</vt:i4>
      </vt:variant>
      <vt:variant>
        <vt:lpwstr>https://pubmed.ncbi.nlm.nih.gov/?term=Gundogan+NU&amp;cauthor_id=25988674</vt:lpwstr>
      </vt:variant>
      <vt:variant>
        <vt:lpwstr/>
      </vt:variant>
      <vt:variant>
        <vt:i4>1638500</vt:i4>
      </vt:variant>
      <vt:variant>
        <vt:i4>356</vt:i4>
      </vt:variant>
      <vt:variant>
        <vt:i4>0</vt:i4>
      </vt:variant>
      <vt:variant>
        <vt:i4>5</vt:i4>
      </vt:variant>
      <vt:variant>
        <vt:lpwstr>https://pubmed.ncbi.nlm.nih.gov/?term=Kiziltan+E&amp;cauthor_id=25988674</vt:lpwstr>
      </vt:variant>
      <vt:variant>
        <vt:lpwstr/>
      </vt:variant>
      <vt:variant>
        <vt:i4>6881364</vt:i4>
      </vt:variant>
      <vt:variant>
        <vt:i4>353</vt:i4>
      </vt:variant>
      <vt:variant>
        <vt:i4>0</vt:i4>
      </vt:variant>
      <vt:variant>
        <vt:i4>5</vt:i4>
      </vt:variant>
      <vt:variant>
        <vt:lpwstr>https://pubmed.ncbi.nlm.nih.gov/?term=Aydin+L&amp;cauthor_id=25988674</vt:lpwstr>
      </vt:variant>
      <vt:variant>
        <vt:lpwstr/>
      </vt:variant>
      <vt:variant>
        <vt:i4>4587621</vt:i4>
      </vt:variant>
      <vt:variant>
        <vt:i4>350</vt:i4>
      </vt:variant>
      <vt:variant>
        <vt:i4>0</vt:i4>
      </vt:variant>
      <vt:variant>
        <vt:i4>5</vt:i4>
      </vt:variant>
      <vt:variant>
        <vt:lpwstr>https://pubmed.ncbi.nlm.nih.gov/?term=L%C3%B3pez+MJ&amp;cauthor_id=30753540</vt:lpwstr>
      </vt:variant>
      <vt:variant>
        <vt:lpwstr/>
      </vt:variant>
      <vt:variant>
        <vt:i4>6619150</vt:i4>
      </vt:variant>
      <vt:variant>
        <vt:i4>347</vt:i4>
      </vt:variant>
      <vt:variant>
        <vt:i4>0</vt:i4>
      </vt:variant>
      <vt:variant>
        <vt:i4>5</vt:i4>
      </vt:variant>
      <vt:variant>
        <vt:lpwstr>https://pubmed.ncbi.nlm.nih.gov/?term=Rajmil+L&amp;cauthor_id=30753540</vt:lpwstr>
      </vt:variant>
      <vt:variant>
        <vt:lpwstr/>
      </vt:variant>
      <vt:variant>
        <vt:i4>458786</vt:i4>
      </vt:variant>
      <vt:variant>
        <vt:i4>344</vt:i4>
      </vt:variant>
      <vt:variant>
        <vt:i4>0</vt:i4>
      </vt:variant>
      <vt:variant>
        <vt:i4>5</vt:i4>
      </vt:variant>
      <vt:variant>
        <vt:lpwstr>https://pubmed.ncbi.nlm.nih.gov/?term=Castell+C&amp;cauthor_id=30753540</vt:lpwstr>
      </vt:variant>
      <vt:variant>
        <vt:lpwstr/>
      </vt:variant>
      <vt:variant>
        <vt:i4>2162761</vt:i4>
      </vt:variant>
      <vt:variant>
        <vt:i4>341</vt:i4>
      </vt:variant>
      <vt:variant>
        <vt:i4>0</vt:i4>
      </vt:variant>
      <vt:variant>
        <vt:i4>5</vt:i4>
      </vt:variant>
      <vt:variant>
        <vt:lpwstr>https://pubmed.ncbi.nlm.nih.gov/?term=Pasar%C3%ADn+MI&amp;cauthor_id=30753540</vt:lpwstr>
      </vt:variant>
      <vt:variant>
        <vt:lpwstr/>
      </vt:variant>
      <vt:variant>
        <vt:i4>1638434</vt:i4>
      </vt:variant>
      <vt:variant>
        <vt:i4>338</vt:i4>
      </vt:variant>
      <vt:variant>
        <vt:i4>0</vt:i4>
      </vt:variant>
      <vt:variant>
        <vt:i4>5</vt:i4>
      </vt:variant>
      <vt:variant>
        <vt:lpwstr>https://pubmed.ncbi.nlm.nih.gov/?term=Ju%C3%A1rez+O&amp;cauthor_id=30753540</vt:lpwstr>
      </vt:variant>
      <vt:variant>
        <vt:lpwstr/>
      </vt:variant>
      <vt:variant>
        <vt:i4>1900651</vt:i4>
      </vt:variant>
      <vt:variant>
        <vt:i4>335</vt:i4>
      </vt:variant>
      <vt:variant>
        <vt:i4>0</vt:i4>
      </vt:variant>
      <vt:variant>
        <vt:i4>5</vt:i4>
      </vt:variant>
      <vt:variant>
        <vt:lpwstr>https://pubmed.ncbi.nlm.nih.gov/?term=Valmayor+S&amp;cauthor_id=30753540</vt:lpwstr>
      </vt:variant>
      <vt:variant>
        <vt:lpwstr/>
      </vt:variant>
      <vt:variant>
        <vt:i4>7667743</vt:i4>
      </vt:variant>
      <vt:variant>
        <vt:i4>332</vt:i4>
      </vt:variant>
      <vt:variant>
        <vt:i4>0</vt:i4>
      </vt:variant>
      <vt:variant>
        <vt:i4>5</vt:i4>
      </vt:variant>
      <vt:variant>
        <vt:lpwstr>https://pubmed.ncbi.nlm.nih.gov/?term=Serral+G&amp;cauthor_id=30753540</vt:lpwstr>
      </vt:variant>
      <vt:variant>
        <vt:lpwstr/>
      </vt:variant>
      <vt:variant>
        <vt:i4>7864322</vt:i4>
      </vt:variant>
      <vt:variant>
        <vt:i4>329</vt:i4>
      </vt:variant>
      <vt:variant>
        <vt:i4>0</vt:i4>
      </vt:variant>
      <vt:variant>
        <vt:i4>5</vt:i4>
      </vt:variant>
      <vt:variant>
        <vt:lpwstr>https://pubmed.ncbi.nlm.nih.gov/?term=S%C3%A1nchez-Mart%C3%ADnez+F&amp;cauthor_id=30753540</vt:lpwstr>
      </vt:variant>
      <vt:variant>
        <vt:lpwstr/>
      </vt:variant>
      <vt:variant>
        <vt:i4>7733330</vt:i4>
      </vt:variant>
      <vt:variant>
        <vt:i4>326</vt:i4>
      </vt:variant>
      <vt:variant>
        <vt:i4>0</vt:i4>
      </vt:variant>
      <vt:variant>
        <vt:i4>5</vt:i4>
      </vt:variant>
      <vt:variant>
        <vt:lpwstr>https://pubmed.ncbi.nlm.nih.gov/?term=Ariza+C&amp;cauthor_id=30753540</vt:lpwstr>
      </vt:variant>
      <vt:variant>
        <vt:lpwstr/>
      </vt:variant>
      <vt:variant>
        <vt:i4>983055</vt:i4>
      </vt:variant>
      <vt:variant>
        <vt:i4>323</vt:i4>
      </vt:variant>
      <vt:variant>
        <vt:i4>0</vt:i4>
      </vt:variant>
      <vt:variant>
        <vt:i4>5</vt:i4>
      </vt:variant>
      <vt:variant>
        <vt:lpwstr>https://pubmed.ncbi.nlm.nih.gov/27932011/</vt:lpwstr>
      </vt:variant>
      <vt:variant>
        <vt:lpwstr/>
      </vt:variant>
      <vt:variant>
        <vt:i4>524372</vt:i4>
      </vt:variant>
      <vt:variant>
        <vt:i4>320</vt:i4>
      </vt:variant>
      <vt:variant>
        <vt:i4>0</vt:i4>
      </vt:variant>
      <vt:variant>
        <vt:i4>5</vt:i4>
      </vt:variant>
      <vt:variant>
        <vt:lpwstr>https://www.ncbi.nlm.nih.gov/pubmed/27820152</vt:lpwstr>
      </vt:variant>
      <vt:variant>
        <vt:lpwstr/>
      </vt:variant>
      <vt:variant>
        <vt:i4>1048595</vt:i4>
      </vt:variant>
      <vt:variant>
        <vt:i4>317</vt:i4>
      </vt:variant>
      <vt:variant>
        <vt:i4>0</vt:i4>
      </vt:variant>
      <vt:variant>
        <vt:i4>5</vt:i4>
      </vt:variant>
      <vt:variant>
        <vt:lpwstr>https://doi.org/10.11124/jbisrir-2012-248</vt:lpwstr>
      </vt:variant>
      <vt:variant>
        <vt:lpwstr/>
      </vt:variant>
      <vt:variant>
        <vt:i4>524372</vt:i4>
      </vt:variant>
      <vt:variant>
        <vt:i4>314</vt:i4>
      </vt:variant>
      <vt:variant>
        <vt:i4>0</vt:i4>
      </vt:variant>
      <vt:variant>
        <vt:i4>5</vt:i4>
      </vt:variant>
      <vt:variant>
        <vt:lpwstr>https://www.ncbi.nlm.nih.gov/pubmed/27820152</vt:lpwstr>
      </vt:variant>
      <vt:variant>
        <vt:lpwstr/>
      </vt:variant>
      <vt:variant>
        <vt:i4>983093</vt:i4>
      </vt:variant>
      <vt:variant>
        <vt:i4>311</vt:i4>
      </vt:variant>
      <vt:variant>
        <vt:i4>0</vt:i4>
      </vt:variant>
      <vt:variant>
        <vt:i4>5</vt:i4>
      </vt:variant>
      <vt:variant>
        <vt:lpwstr>https://www.ncbi.nlm.nih.gov/pubmed/?term=Slyer%20JT%5BAuthor%5D&amp;cauthor=true&amp;cauthor_uid=27820152</vt:lpwstr>
      </vt:variant>
      <vt:variant>
        <vt:lpwstr/>
      </vt:variant>
      <vt:variant>
        <vt:i4>2818130</vt:i4>
      </vt:variant>
      <vt:variant>
        <vt:i4>308</vt:i4>
      </vt:variant>
      <vt:variant>
        <vt:i4>0</vt:i4>
      </vt:variant>
      <vt:variant>
        <vt:i4>5</vt:i4>
      </vt:variant>
      <vt:variant>
        <vt:lpwstr>https://www.ncbi.nlm.nih.gov/pubmed/?term=Rubiano%20R%5BAuthor%5D&amp;cauthor=true&amp;cauthor_uid=27820152</vt:lpwstr>
      </vt:variant>
      <vt:variant>
        <vt:lpwstr/>
      </vt:variant>
      <vt:variant>
        <vt:i4>5439540</vt:i4>
      </vt:variant>
      <vt:variant>
        <vt:i4>305</vt:i4>
      </vt:variant>
      <vt:variant>
        <vt:i4>0</vt:i4>
      </vt:variant>
      <vt:variant>
        <vt:i4>5</vt:i4>
      </vt:variant>
      <vt:variant>
        <vt:lpwstr>https://www.ncbi.nlm.nih.gov/pubmed/?term=Lopez%20L%5BAuthor%5D&amp;cauthor=true&amp;cauthor_uid=27820152</vt:lpwstr>
      </vt:variant>
      <vt:variant>
        <vt:lpwstr/>
      </vt:variant>
      <vt:variant>
        <vt:i4>8323072</vt:i4>
      </vt:variant>
      <vt:variant>
        <vt:i4>302</vt:i4>
      </vt:variant>
      <vt:variant>
        <vt:i4>0</vt:i4>
      </vt:variant>
      <vt:variant>
        <vt:i4>5</vt:i4>
      </vt:variant>
      <vt:variant>
        <vt:lpwstr>https://www.ncbi.nlm.nih.gov/pubmed/?term=Garcon%20MC%5BAuthor%5D&amp;cauthor=true&amp;cauthor_uid=27820152</vt:lpwstr>
      </vt:variant>
      <vt:variant>
        <vt:lpwstr/>
      </vt:variant>
      <vt:variant>
        <vt:i4>2949126</vt:i4>
      </vt:variant>
      <vt:variant>
        <vt:i4>299</vt:i4>
      </vt:variant>
      <vt:variant>
        <vt:i4>0</vt:i4>
      </vt:variant>
      <vt:variant>
        <vt:i4>5</vt:i4>
      </vt:variant>
      <vt:variant>
        <vt:lpwstr>https://www.ncbi.nlm.nih.gov/pubmed/?term=Fazylova%20N%5BAuthor%5D&amp;cauthor=true&amp;cauthor_uid=27820152</vt:lpwstr>
      </vt:variant>
      <vt:variant>
        <vt:lpwstr/>
      </vt:variant>
      <vt:variant>
        <vt:i4>4194340</vt:i4>
      </vt:variant>
      <vt:variant>
        <vt:i4>296</vt:i4>
      </vt:variant>
      <vt:variant>
        <vt:i4>0</vt:i4>
      </vt:variant>
      <vt:variant>
        <vt:i4>5</vt:i4>
      </vt:variant>
      <vt:variant>
        <vt:lpwstr>https://www.ncbi.nlm.nih.gov/pubmed/?term=Antwi%20F%5BAuthor%5D&amp;cauthor=true&amp;cauthor_uid=27820152</vt:lpwstr>
      </vt:variant>
      <vt:variant>
        <vt:lpwstr/>
      </vt:variant>
      <vt:variant>
        <vt:i4>786518</vt:i4>
      </vt:variant>
      <vt:variant>
        <vt:i4>293</vt:i4>
      </vt:variant>
      <vt:variant>
        <vt:i4>0</vt:i4>
      </vt:variant>
      <vt:variant>
        <vt:i4>5</vt:i4>
      </vt:variant>
      <vt:variant>
        <vt:lpwstr>https://www.ncbi.nlm.nih.gov/pubmed/29177599</vt:lpwstr>
      </vt:variant>
      <vt:variant>
        <vt:lpwstr/>
      </vt:variant>
      <vt:variant>
        <vt:i4>2621441</vt:i4>
      </vt:variant>
      <vt:variant>
        <vt:i4>290</vt:i4>
      </vt:variant>
      <vt:variant>
        <vt:i4>0</vt:i4>
      </vt:variant>
      <vt:variant>
        <vt:i4>5</vt:i4>
      </vt:variant>
      <vt:variant>
        <vt:lpwstr>https://www.ncbi.nlm.nih.gov/pubmed/?term=Jain%20V%5BAuthor%5D&amp;cauthor=true&amp;cauthor_uid=29177599</vt:lpwstr>
      </vt:variant>
      <vt:variant>
        <vt:lpwstr/>
      </vt:variant>
      <vt:variant>
        <vt:i4>3014679</vt:i4>
      </vt:variant>
      <vt:variant>
        <vt:i4>287</vt:i4>
      </vt:variant>
      <vt:variant>
        <vt:i4>0</vt:i4>
      </vt:variant>
      <vt:variant>
        <vt:i4>5</vt:i4>
      </vt:variant>
      <vt:variant>
        <vt:lpwstr>https://www.ncbi.nlm.nih.gov/pubmed/?term=Aggarwal%20B%5BAuthor%5D&amp;cauthor=true&amp;cauthor_uid=29177599</vt:lpwstr>
      </vt:variant>
      <vt:variant>
        <vt:lpwstr/>
      </vt:variant>
      <vt:variant>
        <vt:i4>86</vt:i4>
      </vt:variant>
      <vt:variant>
        <vt:i4>284</vt:i4>
      </vt:variant>
      <vt:variant>
        <vt:i4>0</vt:i4>
      </vt:variant>
      <vt:variant>
        <vt:i4>5</vt:i4>
      </vt:variant>
      <vt:variant>
        <vt:lpwstr>https://www.ncbi.nlm.nih.gov/pubmed/21568821</vt:lpwstr>
      </vt:variant>
      <vt:variant>
        <vt:lpwstr/>
      </vt:variant>
      <vt:variant>
        <vt:i4>86</vt:i4>
      </vt:variant>
      <vt:variant>
        <vt:i4>281</vt:i4>
      </vt:variant>
      <vt:variant>
        <vt:i4>0</vt:i4>
      </vt:variant>
      <vt:variant>
        <vt:i4>5</vt:i4>
      </vt:variant>
      <vt:variant>
        <vt:lpwstr>https://www.ncbi.nlm.nih.gov/pubmed/21568821</vt:lpwstr>
      </vt:variant>
      <vt:variant>
        <vt:lpwstr/>
      </vt:variant>
      <vt:variant>
        <vt:i4>7077912</vt:i4>
      </vt:variant>
      <vt:variant>
        <vt:i4>278</vt:i4>
      </vt:variant>
      <vt:variant>
        <vt:i4>0</vt:i4>
      </vt:variant>
      <vt:variant>
        <vt:i4>5</vt:i4>
      </vt:variant>
      <vt:variant>
        <vt:lpwstr>https://www.ncbi.nlm.nih.gov/pubmed/?term=Moussa%20MA%5BAuthor%5D&amp;cauthor=true&amp;cauthor_uid=21568821</vt:lpwstr>
      </vt:variant>
      <vt:variant>
        <vt:lpwstr/>
      </vt:variant>
      <vt:variant>
        <vt:i4>4915305</vt:i4>
      </vt:variant>
      <vt:variant>
        <vt:i4>275</vt:i4>
      </vt:variant>
      <vt:variant>
        <vt:i4>0</vt:i4>
      </vt:variant>
      <vt:variant>
        <vt:i4>5</vt:i4>
      </vt:variant>
      <vt:variant>
        <vt:lpwstr>https://www.ncbi.nlm.nih.gov/pubmed/?term=Nagelkerke%20N%5BAuthor%5D&amp;cauthor=true&amp;cauthor_uid=21568821</vt:lpwstr>
      </vt:variant>
      <vt:variant>
        <vt:lpwstr/>
      </vt:variant>
      <vt:variant>
        <vt:i4>6881375</vt:i4>
      </vt:variant>
      <vt:variant>
        <vt:i4>272</vt:i4>
      </vt:variant>
      <vt:variant>
        <vt:i4>0</vt:i4>
      </vt:variant>
      <vt:variant>
        <vt:i4>5</vt:i4>
      </vt:variant>
      <vt:variant>
        <vt:lpwstr>https://www.ncbi.nlm.nih.gov/pubmed/?term=Abdulrazzaq%20YM%5BAuthor%5D&amp;cauthor=true&amp;cauthor_uid=21568821</vt:lpwstr>
      </vt:variant>
      <vt:variant>
        <vt:lpwstr/>
      </vt:variant>
      <vt:variant>
        <vt:i4>4653071</vt:i4>
      </vt:variant>
      <vt:variant>
        <vt:i4>269</vt:i4>
      </vt:variant>
      <vt:variant>
        <vt:i4>0</vt:i4>
      </vt:variant>
      <vt:variant>
        <vt:i4>5</vt:i4>
      </vt:variant>
      <vt:variant>
        <vt:lpwstr>https://dspace.udpu.edu.ua/bitstream/6789/10068/1/Problema pidgotovky%60 obdarovany%60x ditej.pdf</vt:lpwstr>
      </vt:variant>
      <vt:variant>
        <vt:lpwstr/>
      </vt:variant>
      <vt:variant>
        <vt:i4>5177459</vt:i4>
      </vt:variant>
      <vt:variant>
        <vt:i4>266</vt:i4>
      </vt:variant>
      <vt:variant>
        <vt:i4>0</vt:i4>
      </vt:variant>
      <vt:variant>
        <vt:i4>5</vt:i4>
      </vt:variant>
      <vt:variant>
        <vt:lpwstr>https://www.google.com/url?sa=t&amp;rct=j&amp;q=&amp;esrc=s&amp;source=web&amp;cd=&amp;cad=rja&amp;uact=8&amp;ved=2ahUKEwjlzbDNw5DuAhUEgRoKHacwCAI4FBAWMAV6BAgLEAI&amp;url=http%3A%2F%2Frepository.ldufk.edu.ua%2Fbitstream%2F34606048%2F3118%2F1%2FZdorova_shkola_aspekty_monitoryngu.pdf&amp;usg=AOvVaw0FnvAV0OgOcMw7UUZHgHiL</vt:lpwstr>
      </vt:variant>
      <vt:variant>
        <vt:lpwstr/>
      </vt:variant>
      <vt:variant>
        <vt:i4>4063311</vt:i4>
      </vt:variant>
      <vt:variant>
        <vt:i4>263</vt:i4>
      </vt:variant>
      <vt:variant>
        <vt:i4>0</vt:i4>
      </vt:variant>
      <vt:variant>
        <vt:i4>5</vt:i4>
      </vt:variant>
      <vt:variant>
        <vt:lpwstr>http://nbuv.gov.ua/UJRN/dtz_2015_2_4</vt:lpwstr>
      </vt:variant>
      <vt:variant>
        <vt:lpwstr/>
      </vt:variant>
      <vt:variant>
        <vt:i4>3801213</vt:i4>
      </vt:variant>
      <vt:variant>
        <vt:i4>260</vt:i4>
      </vt:variant>
      <vt:variant>
        <vt:i4>0</vt:i4>
      </vt:variant>
      <vt:variant>
        <vt:i4>5</vt:i4>
      </vt:variant>
      <vt:variant>
        <vt:lpwstr>https://phsreda.com/ru/action/153/info</vt:lpwstr>
      </vt:variant>
      <vt:variant>
        <vt:lpwstr/>
      </vt:variant>
      <vt:variant>
        <vt:i4>1245197</vt:i4>
      </vt:variant>
      <vt:variant>
        <vt:i4>257</vt:i4>
      </vt:variant>
      <vt:variant>
        <vt:i4>0</vt:i4>
      </vt:variant>
      <vt:variant>
        <vt:i4>5</vt:i4>
      </vt:variant>
      <vt:variant>
        <vt:lpwstr>https://mon.gov.ua/ua/npa/pro-zatverdzhennya-tipovih-osvitnih-program-dlya-1-2-klasiv-zakladiv-zagalnoyi-serednoyi-osviti</vt:lpwstr>
      </vt:variant>
      <vt:variant>
        <vt:lpwstr/>
      </vt:variant>
      <vt:variant>
        <vt:i4>6029344</vt:i4>
      </vt:variant>
      <vt:variant>
        <vt:i4>254</vt:i4>
      </vt:variant>
      <vt:variant>
        <vt:i4>0</vt:i4>
      </vt:variant>
      <vt:variant>
        <vt:i4>5</vt:i4>
      </vt:variant>
      <vt:variant>
        <vt:lpwstr>http://search.ligazakon.ua/l_doc2.nsf/link1/RE24226.html</vt:lpwstr>
      </vt:variant>
      <vt:variant>
        <vt:lpwstr/>
      </vt:variant>
      <vt:variant>
        <vt:i4>1769474</vt:i4>
      </vt:variant>
      <vt:variant>
        <vt:i4>251</vt:i4>
      </vt:variant>
      <vt:variant>
        <vt:i4>0</vt:i4>
      </vt:variant>
      <vt:variant>
        <vt:i4>5</vt:i4>
      </vt:variant>
      <vt:variant>
        <vt:lpwstr>https://ips.ligazakon.net/document/view/KP150267?an=1&amp;ed=2019_11_27</vt:lpwstr>
      </vt:variant>
      <vt:variant>
        <vt:lpwstr/>
      </vt:variant>
      <vt:variant>
        <vt:i4>7602257</vt:i4>
      </vt:variant>
      <vt:variant>
        <vt:i4>248</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http://www.irbis-nbuv.gov.ua/cgi-bin/irbis_nbuv/cgiirbis_64.exe?Z21ID=&amp;I21DBN=UJRN&amp;P21DBN=UJRN&amp;S21STN=1&amp;S21REF=10&amp;S21FMT=JUU_all&amp;C21COM=S&amp;S21CNR=20&amp;S21P01=0&amp;S21P02=0&amp;S21P03=IJ=&amp;S21COLORTERMS=1&amp;S21STR=%D0%9614793</vt:lpwstr>
      </vt:variant>
      <vt:variant>
        <vt:lpwstr/>
      </vt:variant>
      <vt:variant>
        <vt:i4>1966153</vt:i4>
      </vt:variant>
      <vt:variant>
        <vt:i4>245</vt:i4>
      </vt:variant>
      <vt:variant>
        <vt:i4>0</vt:i4>
      </vt:variant>
      <vt:variant>
        <vt:i4>5</vt:i4>
      </vt:variant>
      <vt:variant>
        <vt:lpwstr>https://cyberleninka.ru/article/n/obosnovanie-primeneniya-dvigatelnoy-aktivnosti-detey-kak-kriteriya-effektivnosti-ozdorovleniya-i-rekreatsii</vt:lpwstr>
      </vt:variant>
      <vt:variant>
        <vt:lpwstr/>
      </vt:variant>
      <vt:variant>
        <vt:i4>3145774</vt:i4>
      </vt:variant>
      <vt:variant>
        <vt:i4>242</vt:i4>
      </vt:variant>
      <vt:variant>
        <vt:i4>0</vt:i4>
      </vt:variant>
      <vt:variant>
        <vt:i4>5</vt:i4>
      </vt:variant>
      <vt:variant>
        <vt:lpwstr>http://repo.knmu.edu.ua/bitstream/123456789/24216/1/%D0%9F%D0%B5%D1%82%D1%80%D0%B5%D0%BD%D0%BA%D0%BE %D0%90.pdf</vt:lpwstr>
      </vt:variant>
      <vt:variant>
        <vt:lpwstr/>
      </vt:variant>
      <vt:variant>
        <vt:i4>6750305</vt:i4>
      </vt:variant>
      <vt:variant>
        <vt:i4>239</vt:i4>
      </vt:variant>
      <vt:variant>
        <vt:i4>0</vt:i4>
      </vt:variant>
      <vt:variant>
        <vt:i4>5</vt:i4>
      </vt:variant>
      <vt:variant>
        <vt:lpwstr>https://nakrilahuspihu.com/</vt:lpwstr>
      </vt:variant>
      <vt:variant>
        <vt:lpwstr/>
      </vt:variant>
      <vt:variant>
        <vt:i4>2293869</vt:i4>
      </vt:variant>
      <vt:variant>
        <vt:i4>236</vt:i4>
      </vt:variant>
      <vt:variant>
        <vt:i4>0</vt:i4>
      </vt:variant>
      <vt:variant>
        <vt:i4>5</vt:i4>
      </vt:variant>
      <vt:variant>
        <vt:lpwstr>https://doi.org/10.15690/pf.v15i4.1948</vt:lpwstr>
      </vt:variant>
      <vt:variant>
        <vt:lpwstr/>
      </vt:variant>
      <vt:variant>
        <vt:i4>8257618</vt:i4>
      </vt:variant>
      <vt:variant>
        <vt:i4>233</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http://www.irbis-nbuv.gov.ua/cgi-bin/irbis_nbuv/cgiirbis_64.exe?Z21ID=&amp;I21DBN=UJRN&amp;P21DBN=UJRN&amp;S21STN=1&amp;S21REF=10&amp;S21FMT=JUU_all&amp;C21COM=S&amp;S21CNR=20&amp;S21P01=0&amp;S21P02=0&amp;S21P03=IJ=&amp;S21COLORTERMS=1&amp;S21STR=%D0%9625721</vt:lpwstr>
      </vt:variant>
      <vt:variant>
        <vt:lpwstr/>
      </vt:variant>
      <vt:variant>
        <vt:i4>7077950</vt:i4>
      </vt:variant>
      <vt:variant>
        <vt:i4>230</vt:i4>
      </vt:variant>
      <vt:variant>
        <vt:i4>0</vt:i4>
      </vt:variant>
      <vt:variant>
        <vt:i4>5</vt:i4>
      </vt:variant>
      <vt:variant>
        <vt:lpwstr>https://doi.org/10.32402/dovkil2018.01.073</vt:lpwstr>
      </vt:variant>
      <vt:variant>
        <vt:lpwstr/>
      </vt:variant>
      <vt:variant>
        <vt:i4>2883613</vt:i4>
      </vt:variant>
      <vt:variant>
        <vt:i4>227</vt:i4>
      </vt:variant>
      <vt:variant>
        <vt:i4>0</vt:i4>
      </vt:variant>
      <vt:variant>
        <vt:i4>5</vt:i4>
      </vt:variant>
      <vt:variant>
        <vt:lpwstr>http://www.irbis-nbuv.gov.ua/cgi-bin/irbis_nbuv/cgiirbis_64.exe?I21DBN=LINK&amp;P21DBN=UJRN&amp;Z21ID=&amp;S21REF=10&amp;S21CNR=20&amp;S21STN=1&amp;S21FMT=ASP_meta&amp;C21COM=S&amp;2_S21P03=FILA=&amp;2_S21STR=Znpsnmapo_2013_22%283%29__38</vt:lpwstr>
      </vt:variant>
      <vt:variant>
        <vt:lpwstr/>
      </vt:variant>
      <vt:variant>
        <vt:i4>7929939</vt:i4>
      </vt:variant>
      <vt:variant>
        <vt:i4>224</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http://www.irbis-nbuv.gov.ua/cgi-bin/irbis_nbuv/cgiirbis_64.exe?Z21ID=&amp;I21DBN=UJRN&amp;P21DBN=UJRN&amp;S21STN=1&amp;S21REF=10&amp;S21FMT=JUU_all&amp;C21COM=S&amp;S21CNR=20&amp;S21P01=0&amp;S21P02=0&amp;S21P03=IJ=&amp;S21COLORTERMS=1&amp;S21STR=%D0%9670307</vt:lpwstr>
      </vt:variant>
      <vt:variant>
        <vt:lpwstr/>
      </vt:variant>
      <vt:variant>
        <vt:i4>983156</vt:i4>
      </vt:variant>
      <vt:variant>
        <vt:i4>221</vt:i4>
      </vt:variant>
      <vt:variant>
        <vt:i4>0</vt:i4>
      </vt:variant>
      <vt:variant>
        <vt:i4>5</vt:i4>
      </vt:variant>
      <vt:variant>
        <vt:lpwstr>http://repo.knmu.edu.ua/bitstream/123456789/12274/1/%D0%90%D0%BA%D1%82%D1%83%D0%B0%D0%BB%D1%8C%D0%BD%D1%81%D1%82%D1%8C_%D0%BF%D1%80%D0%BE%D1%84%D0%BB%D0%B0%D0%BA%D1%82%D0%B8%D0%BA%D0%B8_%D1%88%D0%BA%D0%BB%D1%8C%D0%BD%D0%BE%D1%97_%D0%B4%D0%B5%D0%B7%D0%B0%D0%B4%D0%B0%D0%BF%D1%82%D0%B0%D1%86%D1%97 %281%29.PDF</vt:lpwstr>
      </vt:variant>
      <vt:variant>
        <vt:lpwstr/>
      </vt:variant>
      <vt:variant>
        <vt:i4>3014771</vt:i4>
      </vt:variant>
      <vt:variant>
        <vt:i4>218</vt:i4>
      </vt:variant>
      <vt:variant>
        <vt:i4>0</vt:i4>
      </vt:variant>
      <vt:variant>
        <vt:i4>5</vt:i4>
      </vt:variant>
      <vt:variant>
        <vt:lpwstr>https://cyberleninka.ru/journal/n/gigiena-i-sanitariya</vt:lpwstr>
      </vt:variant>
      <vt:variant>
        <vt:lpwstr/>
      </vt:variant>
      <vt:variant>
        <vt:i4>4915225</vt:i4>
      </vt:variant>
      <vt:variant>
        <vt:i4>215</vt:i4>
      </vt:variant>
      <vt:variant>
        <vt:i4>0</vt:i4>
      </vt:variant>
      <vt:variant>
        <vt:i4>5</vt:i4>
      </vt:variant>
      <vt:variant>
        <vt:lpwstr>https://cyberleninka.ru/journal/n/academy</vt:lpwstr>
      </vt:variant>
      <vt:variant>
        <vt:lpwstr/>
      </vt:variant>
      <vt:variant>
        <vt:i4>8323154</vt:i4>
      </vt:variant>
      <vt:variant>
        <vt:i4>212</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http://www.irbis-nbuv.gov.ua/cgi-bin/irbis_nbuv/cgiirbis_64.exe?Z21ID=&amp;I21DBN=UJRN&amp;P21DBN=UJRN&amp;S21STN=1&amp;S21REF=10&amp;S21FMT=JUU_all&amp;C21COM=S&amp;S21CNR=20&amp;S21P01=0&amp;S21P02=0&amp;S21P03=IJ=&amp;S21COLORTERMS=1&amp;S21STR=%D0%9622748</vt:lpwstr>
      </vt:variant>
      <vt:variant>
        <vt:lpwstr/>
      </vt:variant>
      <vt:variant>
        <vt:i4>8192004</vt:i4>
      </vt:variant>
      <vt:variant>
        <vt:i4>209</vt:i4>
      </vt:variant>
      <vt:variant>
        <vt:i4>0</vt:i4>
      </vt:variant>
      <vt:variant>
        <vt:i4>5</vt:i4>
      </vt:variant>
      <vt:variant>
        <vt:lpwstr>http://irbis-nbuv.gov.ua/cgi-bin/irbis_nbuv/cgiirbis_64.exe?Z21ID=&amp;I21DBN=UJRN&amp;P21DBN=UJRN&amp;S21STN=1&amp;S21REF=10&amp;S21FMT=JUU_all&amp;C21COM=S&amp;S21CNR=20&amp;S21P01=0&amp;S21P02=0&amp;S21P03=IJ=&amp;S21COLORTERMS=1&amp;S21STR=%D0%9621856</vt:lpwstr>
      </vt:variant>
      <vt:variant>
        <vt:lpwstr/>
      </vt:variant>
      <vt:variant>
        <vt:i4>6488094</vt:i4>
      </vt:variant>
      <vt:variant>
        <vt:i4>206</vt:i4>
      </vt:variant>
      <vt:variant>
        <vt:i4>0</vt:i4>
      </vt:variant>
      <vt:variant>
        <vt:i4>5</vt:i4>
      </vt:variant>
      <vt:variant>
        <vt:lpwstr>http://www.irbis-nbuv.gov.ua/cgi-bin/irbis_nbuv/cgiirbis_64.exe?I21DBN=LINK&amp;P21DBN=UJRN&amp;Z21ID=&amp;S21REF=10&amp;S21CNR=20&amp;S21STN=1&amp;S21FMT=ASP_meta&amp;C21COM=S&amp;2_S21P03=FILA=&amp;2_S21STR=VKhE_2014_1096_87_17</vt:lpwstr>
      </vt:variant>
      <vt:variant>
        <vt:lpwstr/>
      </vt:variant>
      <vt:variant>
        <vt:i4>1835064</vt:i4>
      </vt:variant>
      <vt:variant>
        <vt:i4>203</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9629137:%D0%95%D0%BA%D0%BE%D0%BD.</vt:lpwstr>
      </vt:variant>
      <vt:variant>
        <vt:lpwstr/>
      </vt:variant>
      <vt:variant>
        <vt:i4>1441803</vt:i4>
      </vt:variant>
      <vt:variant>
        <vt:i4>200</vt:i4>
      </vt:variant>
      <vt:variant>
        <vt:i4>0</vt:i4>
      </vt:variant>
      <vt:variant>
        <vt:i4>5</vt:i4>
      </vt:variant>
      <vt:variant>
        <vt:lpwstr>http://nbuv.gov.ua/UJRN/Znpsnmapo_2015_24%283%29__76</vt:lpwstr>
      </vt:variant>
      <vt:variant>
        <vt:lpwstr/>
      </vt:variant>
      <vt:variant>
        <vt:i4>7929866</vt:i4>
      </vt:variant>
      <vt:variant>
        <vt:i4>197</vt:i4>
      </vt:variant>
      <vt:variant>
        <vt:i4>0</vt:i4>
      </vt:variant>
      <vt:variant>
        <vt:i4>5</vt:i4>
      </vt:variant>
      <vt:variant>
        <vt:lpwstr>http://irbis-nbuv.gov.ua/cgi-bin/irbis_nbuv/cgiirbis_64.exe?Z21ID=&amp;I21DBN=UJRN&amp;P21DBN=UJRN&amp;S21STN=1&amp;S21REF=10&amp;S21FMT=JUU_all&amp;C21COM=S&amp;S21CNR=20&amp;S21P01=0&amp;S21P02=0&amp;S21P03=IJ=&amp;S21COLORTERMS=1&amp;S21STR=%D0%9670307</vt:lpwstr>
      </vt:variant>
      <vt:variant>
        <vt:lpwstr/>
      </vt:variant>
      <vt:variant>
        <vt:i4>1507330</vt:i4>
      </vt:variant>
      <vt:variant>
        <vt:i4>194</vt:i4>
      </vt:variant>
      <vt:variant>
        <vt:i4>0</vt:i4>
      </vt:variant>
      <vt:variant>
        <vt:i4>5</vt:i4>
      </vt:variant>
      <vt:variant>
        <vt:lpwstr>https://www.medlit.ru/journalsview/gigsan/%d0%b3%d0%bb%d0%b0%d0%b2%d0%bd%d0%b0%d1%8f/</vt:lpwstr>
      </vt:variant>
      <vt:variant>
        <vt:lpwstr/>
      </vt:variant>
      <vt:variant>
        <vt:i4>2359406</vt:i4>
      </vt:variant>
      <vt:variant>
        <vt:i4>191</vt:i4>
      </vt:variant>
      <vt:variant>
        <vt:i4>0</vt:i4>
      </vt:variant>
      <vt:variant>
        <vt:i4>5</vt:i4>
      </vt:variant>
      <vt:variant>
        <vt:lpwstr>https://www.medlit.ru/journalsview/gigsan/view/journal/2020/issue-1/4051-social-no-gigienicheskiy-monitoring-kak-osnova-upravleniya-v-kontrol-no-nadzornoy-deyatel-nosti-rospotrebnadzora/</vt:lpwstr>
      </vt:variant>
      <vt:variant>
        <vt:lpwstr/>
      </vt:variant>
      <vt:variant>
        <vt:i4>7602257</vt:i4>
      </vt:variant>
      <vt:variant>
        <vt:i4>188</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http://www.irbis-nbuv.gov.ua/cgi-bin/irbis_nbuv/cgiirbis_64.exe?Z21ID=&amp;I21DBN=UJRN&amp;P21DBN=UJRN&amp;S21STN=1&amp;S21REF=10&amp;S21FMT=JUU_all&amp;C21COM=S&amp;S21CNR=20&amp;S21P01=0&amp;S21P02=0&amp;S21P03=IJ=&amp;S21COLORTERMS=1&amp;S21STR=%D0%9615785</vt:lpwstr>
      </vt:variant>
      <vt:variant>
        <vt:lpwstr/>
      </vt:variant>
      <vt:variant>
        <vt:i4>7143537</vt:i4>
      </vt:variant>
      <vt:variant>
        <vt:i4>185</vt:i4>
      </vt:variant>
      <vt:variant>
        <vt:i4>0</vt:i4>
      </vt:variant>
      <vt:variant>
        <vt:i4>5</vt:i4>
      </vt:variant>
      <vt:variant>
        <vt:lpwstr>https://cyberleninka.ru/journal/n/voprosy-nauki-i-obrazovaniya</vt:lpwstr>
      </vt:variant>
      <vt:variant>
        <vt:lpwstr/>
      </vt:variant>
      <vt:variant>
        <vt:i4>1507432</vt:i4>
      </vt:variant>
      <vt:variant>
        <vt:i4>182</vt:i4>
      </vt:variant>
      <vt:variant>
        <vt:i4>0</vt:i4>
      </vt:variant>
      <vt:variant>
        <vt:i4>5</vt:i4>
      </vt:variant>
      <vt:variant>
        <vt:lpwstr>http://www.irbis-nbuv.gov.ua/cgi-bin/irbis_nbuv/cgiirbis_64.exe?I21DBN=LINK&amp;P21DBN=UJRN&amp;Z21ID=&amp;S21REF=10&amp;S21CNR=20&amp;S21STN=1&amp;S21FMT=ASP_meta&amp;C21COM=S&amp;2_S21P03=FILA=&amp;2_S21STR=molv_2017_9</vt:lpwstr>
      </vt:variant>
      <vt:variant>
        <vt:lpwstr/>
      </vt:variant>
      <vt:variant>
        <vt:i4>4718693</vt:i4>
      </vt:variant>
      <vt:variant>
        <vt:i4>179</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http://www.irbis-nbuv.gov.ua/cgi-bin/irbis_nbuv/cgiirbis_64.exe?Z21ID=&amp;I21DBN=UJRN&amp;P21DBN=UJRN&amp;S21STN=1&amp;S21REF=10&amp;S21FMT=JUU_all&amp;C21COM=S&amp;S21CNR=20&amp;S21P01=0&amp;S21P02=0&amp;S21P03=IJ=&amp;S21COLORTERMS=1&amp;S21STR=%D0%96101120</vt:lpwstr>
      </vt:variant>
      <vt:variant>
        <vt:lpwstr/>
      </vt:variant>
      <vt:variant>
        <vt:i4>7667773</vt:i4>
      </vt:variant>
      <vt:variant>
        <vt:i4>176</vt:i4>
      </vt:variant>
      <vt:variant>
        <vt:i4>0</vt:i4>
      </vt:variant>
      <vt:variant>
        <vt:i4>5</vt:i4>
      </vt:variant>
      <vt:variant>
        <vt:lpwstr>https://doi.org/10.17116/jnevro20181187178</vt:lpwstr>
      </vt:variant>
      <vt:variant>
        <vt:lpwstr/>
      </vt:variant>
      <vt:variant>
        <vt:i4>8192040</vt:i4>
      </vt:variant>
      <vt:variant>
        <vt:i4>173</vt:i4>
      </vt:variant>
      <vt:variant>
        <vt:i4>0</vt:i4>
      </vt:variant>
      <vt:variant>
        <vt:i4>5</vt:i4>
      </vt:variant>
      <vt:variant>
        <vt:lpwstr>http://neonatology.bsmu.edu.ua/issue/view/9096</vt:lpwstr>
      </vt:variant>
      <vt:variant>
        <vt:lpwstr/>
      </vt:variant>
      <vt:variant>
        <vt:i4>8257618</vt:i4>
      </vt:variant>
      <vt:variant>
        <vt:i4>170</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http://www.irbis-nbuv.gov.ua/cgi-bin/irbis_nbuv/cgiirbis_64.exe?Z21ID=&amp;I21DBN=UJRN&amp;P21DBN=UJRN&amp;S21STN=1&amp;S21REF=10&amp;S21FMT=JUU_all&amp;C21COM=S&amp;S21CNR=20&amp;S21P01=0&amp;S21P02=0&amp;S21P03=IJ=&amp;S21COLORTERMS=1&amp;S21STR=%D0%9625721</vt:lpwstr>
      </vt:variant>
      <vt:variant>
        <vt:lpwstr/>
      </vt:variant>
      <vt:variant>
        <vt:i4>7536652</vt:i4>
      </vt:variant>
      <vt:variant>
        <vt:i4>167</vt:i4>
      </vt:variant>
      <vt:variant>
        <vt:i4>0</vt:i4>
      </vt:variant>
      <vt:variant>
        <vt:i4>5</vt:i4>
      </vt:variant>
      <vt:variant>
        <vt:lpwstr>http://man.gov.ua/ua/resource_center/workshop/about_giftedness/_dumki-ta-poradi-pedagogiv-i-psikhologiv-shchodo-prirodi-obdarovanosti-ta-roboti-z-obdarovanimi-ditmi--541</vt:lpwstr>
      </vt:variant>
      <vt:variant>
        <vt:lpwstr/>
      </vt:variant>
      <vt:variant>
        <vt:i4>71697437</vt:i4>
      </vt:variant>
      <vt:variant>
        <vt:i4>164</vt:i4>
      </vt:variant>
      <vt:variant>
        <vt:i4>0</vt:i4>
      </vt:variant>
      <vt:variant>
        <vt:i4>5</vt:i4>
      </vt:variant>
      <vt:variant>
        <vt:lpwstr>http://гармонізуюча-освіта.org/index.html</vt:lpwstr>
      </vt:variant>
      <vt:variant>
        <vt:lpwstr/>
      </vt:variant>
      <vt:variant>
        <vt:i4>1376371</vt:i4>
      </vt:variant>
      <vt:variant>
        <vt:i4>161</vt:i4>
      </vt:variant>
      <vt:variant>
        <vt:i4>0</vt:i4>
      </vt:variant>
      <vt:variant>
        <vt:i4>5</vt:i4>
      </vt:variant>
      <vt:variant>
        <vt:lpwstr>https://pubmed.ncbi.nlm.nih.gov/?term=Zurita-Corvalan+N&amp;cauthor_id=30070877</vt:lpwstr>
      </vt:variant>
      <vt:variant>
        <vt:lpwstr/>
      </vt:variant>
      <vt:variant>
        <vt:i4>4849702</vt:i4>
      </vt:variant>
      <vt:variant>
        <vt:i4>158</vt:i4>
      </vt:variant>
      <vt:variant>
        <vt:i4>0</vt:i4>
      </vt:variant>
      <vt:variant>
        <vt:i4>5</vt:i4>
      </vt:variant>
      <vt:variant>
        <vt:lpwstr>https://pubmed.ncbi.nlm.nih.gov/?term=Saghafi-Asl+M&amp;cauthor_id=32032376</vt:lpwstr>
      </vt:variant>
      <vt:variant>
        <vt:lpwstr/>
      </vt:variant>
      <vt:variant>
        <vt:i4>8323075</vt:i4>
      </vt:variant>
      <vt:variant>
        <vt:i4>155</vt:i4>
      </vt:variant>
      <vt:variant>
        <vt:i4>0</vt:i4>
      </vt:variant>
      <vt:variant>
        <vt:i4>5</vt:i4>
      </vt:variant>
      <vt:variant>
        <vt:lpwstr>https://pubmed.ncbi.nlm.nih.gov/?term=Zammit+N&amp;cauthor_id=27732561</vt:lpwstr>
      </vt:variant>
      <vt:variant>
        <vt:lpwstr/>
      </vt:variant>
      <vt:variant>
        <vt:i4>1703999</vt:i4>
      </vt:variant>
      <vt:variant>
        <vt:i4>152</vt:i4>
      </vt:variant>
      <vt:variant>
        <vt:i4>0</vt:i4>
      </vt:variant>
      <vt:variant>
        <vt:i4>5</vt:i4>
      </vt:variant>
      <vt:variant>
        <vt:lpwstr>https://pubmed.ncbi.nlm.nih.gov/?term=Hubbard+K&amp;cauthor_id=27000400</vt:lpwstr>
      </vt:variant>
      <vt:variant>
        <vt:lpwstr/>
      </vt:variant>
      <vt:variant>
        <vt:i4>4849702</vt:i4>
      </vt:variant>
      <vt:variant>
        <vt:i4>149</vt:i4>
      </vt:variant>
      <vt:variant>
        <vt:i4>0</vt:i4>
      </vt:variant>
      <vt:variant>
        <vt:i4>5</vt:i4>
      </vt:variant>
      <vt:variant>
        <vt:lpwstr>https://pubmed.ncbi.nlm.nih.gov/?term=Saghafi-Asl+M&amp;cauthor_id=32032376</vt:lpwstr>
      </vt:variant>
      <vt:variant>
        <vt:lpwstr/>
      </vt:variant>
      <vt:variant>
        <vt:i4>655462</vt:i4>
      </vt:variant>
      <vt:variant>
        <vt:i4>146</vt:i4>
      </vt:variant>
      <vt:variant>
        <vt:i4>0</vt:i4>
      </vt:variant>
      <vt:variant>
        <vt:i4>5</vt:i4>
      </vt:variant>
      <vt:variant>
        <vt:lpwstr>https://pubmed.ncbi.nlm.nih.gov/?term=Constant+A&amp;cauthor_id=32539822</vt:lpwstr>
      </vt:variant>
      <vt:variant>
        <vt:lpwstr/>
      </vt:variant>
      <vt:variant>
        <vt:i4>7733330</vt:i4>
      </vt:variant>
      <vt:variant>
        <vt:i4>143</vt:i4>
      </vt:variant>
      <vt:variant>
        <vt:i4>0</vt:i4>
      </vt:variant>
      <vt:variant>
        <vt:i4>5</vt:i4>
      </vt:variant>
      <vt:variant>
        <vt:lpwstr>https://pubmed.ncbi.nlm.nih.gov/?term=Ariza+C&amp;cauthor_id=30753540</vt:lpwstr>
      </vt:variant>
      <vt:variant>
        <vt:lpwstr/>
      </vt:variant>
      <vt:variant>
        <vt:i4>2686999</vt:i4>
      </vt:variant>
      <vt:variant>
        <vt:i4>140</vt:i4>
      </vt:variant>
      <vt:variant>
        <vt:i4>0</vt:i4>
      </vt:variant>
      <vt:variant>
        <vt:i4>5</vt:i4>
      </vt:variant>
      <vt:variant>
        <vt:lpwstr>https://pubmed.ncbi.nlm.nih.gov/?term=Geertsen+SS&amp;cauthor_id=27560512</vt:lpwstr>
      </vt:variant>
      <vt:variant>
        <vt:lpwstr/>
      </vt:variant>
      <vt:variant>
        <vt:i4>1179761</vt:i4>
      </vt:variant>
      <vt:variant>
        <vt:i4>137</vt:i4>
      </vt:variant>
      <vt:variant>
        <vt:i4>0</vt:i4>
      </vt:variant>
      <vt:variant>
        <vt:i4>5</vt:i4>
      </vt:variant>
      <vt:variant>
        <vt:lpwstr>https://pubmed.ncbi.nlm.nih.gov/?term=Sastre-Riba+S&amp;cauthor_id=26922961</vt:lpwstr>
      </vt:variant>
      <vt:variant>
        <vt:lpwstr/>
      </vt:variant>
      <vt:variant>
        <vt:i4>6946841</vt:i4>
      </vt:variant>
      <vt:variant>
        <vt:i4>134</vt:i4>
      </vt:variant>
      <vt:variant>
        <vt:i4>0</vt:i4>
      </vt:variant>
      <vt:variant>
        <vt:i4>5</vt:i4>
      </vt:variant>
      <vt:variant>
        <vt:lpwstr>https://pubmed.ncbi.nlm.nih.gov/?term=Jansen+P&amp;cauthor_id=30640912</vt:lpwstr>
      </vt:variant>
      <vt:variant>
        <vt:lpwstr/>
      </vt:variant>
      <vt:variant>
        <vt:i4>6684680</vt:i4>
      </vt:variant>
      <vt:variant>
        <vt:i4>131</vt:i4>
      </vt:variant>
      <vt:variant>
        <vt:i4>0</vt:i4>
      </vt:variant>
      <vt:variant>
        <vt:i4>5</vt:i4>
      </vt:variant>
      <vt:variant>
        <vt:lpwstr>https://pubmed.ncbi.nlm.nih.gov/?term=Xu+R&amp;cauthor_id=30429822</vt:lpwstr>
      </vt:variant>
      <vt:variant>
        <vt:lpwstr/>
      </vt:variant>
      <vt:variant>
        <vt:i4>6291547</vt:i4>
      </vt:variant>
      <vt:variant>
        <vt:i4>128</vt:i4>
      </vt:variant>
      <vt:variant>
        <vt:i4>0</vt:i4>
      </vt:variant>
      <vt:variant>
        <vt:i4>5</vt:i4>
      </vt:variant>
      <vt:variant>
        <vt:lpwstr>https://pubmed.ncbi.nlm.nih.gov/?term=Ishii+A&amp;cauthor_id=29170440</vt:lpwstr>
      </vt:variant>
      <vt:variant>
        <vt:lpwstr/>
      </vt:variant>
      <vt:variant>
        <vt:i4>852089</vt:i4>
      </vt:variant>
      <vt:variant>
        <vt:i4>125</vt:i4>
      </vt:variant>
      <vt:variant>
        <vt:i4>0</vt:i4>
      </vt:variant>
      <vt:variant>
        <vt:i4>5</vt:i4>
      </vt:variant>
      <vt:variant>
        <vt:lpwstr>https://pubmed.ncbi.nlm.nih.gov/?term=Duan+T&amp;cauthor_id=30441867</vt:lpwstr>
      </vt:variant>
      <vt:variant>
        <vt:lpwstr/>
      </vt:variant>
      <vt:variant>
        <vt:i4>5177405</vt:i4>
      </vt:variant>
      <vt:variant>
        <vt:i4>122</vt:i4>
      </vt:variant>
      <vt:variant>
        <vt:i4>0</vt:i4>
      </vt:variant>
      <vt:variant>
        <vt:i4>5</vt:i4>
      </vt:variant>
      <vt:variant>
        <vt:lpwstr>https://www.ncbi.nlm.nih.gov/pubmed/?term=Ardic%20A%5BAuthor%5D&amp;cauthor=true&amp;cauthor_uid=26002620</vt:lpwstr>
      </vt:variant>
      <vt:variant>
        <vt:lpwstr/>
      </vt:variant>
      <vt:variant>
        <vt:i4>5505079</vt:i4>
      </vt:variant>
      <vt:variant>
        <vt:i4>119</vt:i4>
      </vt:variant>
      <vt:variant>
        <vt:i4>0</vt:i4>
      </vt:variant>
      <vt:variant>
        <vt:i4>5</vt:i4>
      </vt:variant>
      <vt:variant>
        <vt:lpwstr>https://www.ncbi.nlm.nih.gov/pubmed/?term=Ilhan%20N%5BAuthor%5D&amp;cauthor=true&amp;cauthor_uid=31793483</vt:lpwstr>
      </vt:variant>
      <vt:variant>
        <vt:lpwstr/>
      </vt:variant>
      <vt:variant>
        <vt:i4>5242917</vt:i4>
      </vt:variant>
      <vt:variant>
        <vt:i4>116</vt:i4>
      </vt:variant>
      <vt:variant>
        <vt:i4>0</vt:i4>
      </vt:variant>
      <vt:variant>
        <vt:i4>5</vt:i4>
      </vt:variant>
      <vt:variant>
        <vt:lpwstr>https://www.ncbi.nlm.nih.gov/pubmed/?term=Wolfenden%20L%5BAuthor%5D&amp;cauthor=true&amp;cauthor_uid=29185627</vt:lpwstr>
      </vt:variant>
      <vt:variant>
        <vt:lpwstr/>
      </vt:variant>
      <vt:variant>
        <vt:i4>2293858</vt:i4>
      </vt:variant>
      <vt:variant>
        <vt:i4>113</vt:i4>
      </vt:variant>
      <vt:variant>
        <vt:i4>0</vt:i4>
      </vt:variant>
      <vt:variant>
        <vt:i4>5</vt:i4>
      </vt:variant>
      <vt:variant>
        <vt:lpwstr>http://apps.webofknowledge.com/OutboundService.do?SID=F1RYV4SjUFk2zvtZ283&amp;mode=rrcAuthorRecordService&amp;action=go&amp;product=WOS&amp;daisIds=618979</vt:lpwstr>
      </vt:variant>
      <vt:variant>
        <vt:lpwstr/>
      </vt:variant>
      <vt:variant>
        <vt:i4>7733253</vt:i4>
      </vt:variant>
      <vt:variant>
        <vt:i4>110</vt:i4>
      </vt:variant>
      <vt:variant>
        <vt:i4>0</vt:i4>
      </vt:variant>
      <vt:variant>
        <vt:i4>5</vt:i4>
      </vt:variant>
      <vt:variant>
        <vt:lpwstr>https://www.ncbi.nlm.nih.gov/pubmed/?term=Str%C3%B8m%20HK%5BAuthor%5D&amp;cauthor=true&amp;cauthor_uid=25495012</vt:lpwstr>
      </vt:variant>
      <vt:variant>
        <vt:lpwstr/>
      </vt:variant>
      <vt:variant>
        <vt:i4>5898298</vt:i4>
      </vt:variant>
      <vt:variant>
        <vt:i4>107</vt:i4>
      </vt:variant>
      <vt:variant>
        <vt:i4>0</vt:i4>
      </vt:variant>
      <vt:variant>
        <vt:i4>5</vt:i4>
      </vt:variant>
      <vt:variant>
        <vt:lpwstr>https://www.ncbi.nlm.nih.gov/pubmed/?term=Weker%20H%5BAuthor%5D&amp;cauthor=true&amp;cauthor_uid=22006483</vt:lpwstr>
      </vt:variant>
      <vt:variant>
        <vt:lpwstr/>
      </vt:variant>
      <vt:variant>
        <vt:i4>2359393</vt:i4>
      </vt:variant>
      <vt:variant>
        <vt:i4>105</vt:i4>
      </vt:variant>
      <vt:variant>
        <vt:i4>0</vt:i4>
      </vt:variant>
      <vt:variant>
        <vt:i4>5</vt:i4>
      </vt:variant>
      <vt:variant>
        <vt:lpwstr>http://apps.webofknowledge.com/OutboundService.do?SID=F1RYV4SjUFk2zvtZ283&amp;mode=rrcAuthorRecordService&amp;action=go&amp;product=WOS&amp;daisIds=8172558</vt:lpwstr>
      </vt:variant>
      <vt:variant>
        <vt:lpwstr/>
      </vt:variant>
      <vt:variant>
        <vt:i4>2359393</vt:i4>
      </vt:variant>
      <vt:variant>
        <vt:i4>102</vt:i4>
      </vt:variant>
      <vt:variant>
        <vt:i4>0</vt:i4>
      </vt:variant>
      <vt:variant>
        <vt:i4>5</vt:i4>
      </vt:variant>
      <vt:variant>
        <vt:lpwstr>http://apps.webofknowledge.com/OutboundService.do?SID=F1RYV4SjUFk2zvtZ283&amp;mode=rrcAuthorRecordService&amp;action=go&amp;product=WOS&amp;daisIds=8172558</vt:lpwstr>
      </vt:variant>
      <vt:variant>
        <vt:lpwstr/>
      </vt:variant>
      <vt:variant>
        <vt:i4>2359389</vt:i4>
      </vt:variant>
      <vt:variant>
        <vt:i4>99</vt:i4>
      </vt:variant>
      <vt:variant>
        <vt:i4>0</vt:i4>
      </vt:variant>
      <vt:variant>
        <vt:i4>5</vt:i4>
      </vt:variant>
      <vt:variant>
        <vt:lpwstr>https://www.ncbi.nlm.nih.gov/pubmed/?term=Hamulka%20J%5BAuthor%5D&amp;cauthor=true&amp;cauthor_uid=30720795</vt:lpwstr>
      </vt:variant>
      <vt:variant>
        <vt:lpwstr/>
      </vt:variant>
      <vt:variant>
        <vt:i4>4980841</vt:i4>
      </vt:variant>
      <vt:variant>
        <vt:i4>96</vt:i4>
      </vt:variant>
      <vt:variant>
        <vt:i4>0</vt:i4>
      </vt:variant>
      <vt:variant>
        <vt:i4>5</vt:i4>
      </vt:variant>
      <vt:variant>
        <vt:lpwstr>https://www.ncbi.nlm.nih.gov/pubmed/?term=Wadolowska%20L%5BAuthor%5D&amp;cauthor=true&amp;cauthor_uid=30717465</vt:lpwstr>
      </vt:variant>
      <vt:variant>
        <vt:lpwstr/>
      </vt:variant>
      <vt:variant>
        <vt:i4>5242917</vt:i4>
      </vt:variant>
      <vt:variant>
        <vt:i4>93</vt:i4>
      </vt:variant>
      <vt:variant>
        <vt:i4>0</vt:i4>
      </vt:variant>
      <vt:variant>
        <vt:i4>5</vt:i4>
      </vt:variant>
      <vt:variant>
        <vt:lpwstr>https://www.ncbi.nlm.nih.gov/pubmed/?term=Wolfenden%20L%5BAuthor%5D&amp;cauthor=true&amp;cauthor_uid=29185627</vt:lpwstr>
      </vt:variant>
      <vt:variant>
        <vt:lpwstr/>
      </vt:variant>
      <vt:variant>
        <vt:i4>7733253</vt:i4>
      </vt:variant>
      <vt:variant>
        <vt:i4>90</vt:i4>
      </vt:variant>
      <vt:variant>
        <vt:i4>0</vt:i4>
      </vt:variant>
      <vt:variant>
        <vt:i4>5</vt:i4>
      </vt:variant>
      <vt:variant>
        <vt:lpwstr>https://www.ncbi.nlm.nih.gov/pubmed/?term=Str%C3%B8m%20HK%5BAuthor%5D&amp;cauthor=true&amp;cauthor_uid=25495012</vt:lpwstr>
      </vt:variant>
      <vt:variant>
        <vt:lpwstr/>
      </vt:variant>
      <vt:variant>
        <vt:i4>5111923</vt:i4>
      </vt:variant>
      <vt:variant>
        <vt:i4>87</vt:i4>
      </vt:variant>
      <vt:variant>
        <vt:i4>0</vt:i4>
      </vt:variant>
      <vt:variant>
        <vt:i4>5</vt:i4>
      </vt:variant>
      <vt:variant>
        <vt:lpwstr>https://pubmed.ncbi.nlm.nih.gov/?term=Jansen+EC&amp;cauthor_id=30055773</vt:lpwstr>
      </vt:variant>
      <vt:variant>
        <vt:lpwstr/>
      </vt:variant>
      <vt:variant>
        <vt:i4>4849705</vt:i4>
      </vt:variant>
      <vt:variant>
        <vt:i4>84</vt:i4>
      </vt:variant>
      <vt:variant>
        <vt:i4>0</vt:i4>
      </vt:variant>
      <vt:variant>
        <vt:i4>5</vt:i4>
      </vt:variant>
      <vt:variant>
        <vt:lpwstr>https://www.ncbi.nlm.nih.gov/pubmed/?term=Kuhle%20S%5BAuthor%5D&amp;cauthor=true&amp;cauthor_uid=27547554</vt:lpwstr>
      </vt:variant>
      <vt:variant>
        <vt:lpwstr/>
      </vt:variant>
      <vt:variant>
        <vt:i4>2490385</vt:i4>
      </vt:variant>
      <vt:variant>
        <vt:i4>81</vt:i4>
      </vt:variant>
      <vt:variant>
        <vt:i4>0</vt:i4>
      </vt:variant>
      <vt:variant>
        <vt:i4>5</vt:i4>
      </vt:variant>
      <vt:variant>
        <vt:lpwstr>https://www.ncbi.nlm.nih.gov/pubmed/?term=Song%20P%5BAuthor%5D&amp;cauthor=true&amp;cauthor_uid=27314368</vt:lpwstr>
      </vt:variant>
      <vt:variant>
        <vt:lpwstr/>
      </vt:variant>
      <vt:variant>
        <vt:i4>2490385</vt:i4>
      </vt:variant>
      <vt:variant>
        <vt:i4>78</vt:i4>
      </vt:variant>
      <vt:variant>
        <vt:i4>0</vt:i4>
      </vt:variant>
      <vt:variant>
        <vt:i4>5</vt:i4>
      </vt:variant>
      <vt:variant>
        <vt:lpwstr>https://www.ncbi.nlm.nih.gov/pubmed/?term=Song%20P%5BAuthor%5D&amp;cauthor=true&amp;cauthor_uid=27314368</vt:lpwstr>
      </vt:variant>
      <vt:variant>
        <vt:lpwstr/>
      </vt:variant>
      <vt:variant>
        <vt:i4>4390964</vt:i4>
      </vt:variant>
      <vt:variant>
        <vt:i4>75</vt:i4>
      </vt:variant>
      <vt:variant>
        <vt:i4>0</vt:i4>
      </vt:variant>
      <vt:variant>
        <vt:i4>5</vt:i4>
      </vt:variant>
      <vt:variant>
        <vt:lpwstr>https://www.ncbi.nlm.nih.gov/pubmed/?term=R%C3%B6nnecke%20E%5BAuthor%5D&amp;cauthor=true&amp;cauthor_uid=30673672</vt:lpwstr>
      </vt:variant>
      <vt:variant>
        <vt:lpwstr/>
      </vt:variant>
      <vt:variant>
        <vt:i4>4849705</vt:i4>
      </vt:variant>
      <vt:variant>
        <vt:i4>72</vt:i4>
      </vt:variant>
      <vt:variant>
        <vt:i4>0</vt:i4>
      </vt:variant>
      <vt:variant>
        <vt:i4>5</vt:i4>
      </vt:variant>
      <vt:variant>
        <vt:lpwstr>https://www.ncbi.nlm.nih.gov/pubmed/?term=Kuhle%20S%5BAuthor%5D&amp;cauthor=true&amp;cauthor_uid=27547554</vt:lpwstr>
      </vt:variant>
      <vt:variant>
        <vt:lpwstr/>
      </vt:variant>
      <vt:variant>
        <vt:i4>2949126</vt:i4>
      </vt:variant>
      <vt:variant>
        <vt:i4>69</vt:i4>
      </vt:variant>
      <vt:variant>
        <vt:i4>0</vt:i4>
      </vt:variant>
      <vt:variant>
        <vt:i4>5</vt:i4>
      </vt:variant>
      <vt:variant>
        <vt:lpwstr>https://www.ncbi.nlm.nih.gov/pubmed/?term=Fazylova%20N%5BAuthor%5D&amp;cauthor=true&amp;cauthor_uid=27820152</vt:lpwstr>
      </vt:variant>
      <vt:variant>
        <vt:lpwstr/>
      </vt:variant>
      <vt:variant>
        <vt:i4>4194340</vt:i4>
      </vt:variant>
      <vt:variant>
        <vt:i4>66</vt:i4>
      </vt:variant>
      <vt:variant>
        <vt:i4>0</vt:i4>
      </vt:variant>
      <vt:variant>
        <vt:i4>5</vt:i4>
      </vt:variant>
      <vt:variant>
        <vt:lpwstr>https://www.ncbi.nlm.nih.gov/pubmed/?term=Antwi%20F%5BAuthor%5D&amp;cauthor=true&amp;cauthor_uid=27820152</vt:lpwstr>
      </vt:variant>
      <vt:variant>
        <vt:lpwstr/>
      </vt:variant>
      <vt:variant>
        <vt:i4>4849702</vt:i4>
      </vt:variant>
      <vt:variant>
        <vt:i4>63</vt:i4>
      </vt:variant>
      <vt:variant>
        <vt:i4>0</vt:i4>
      </vt:variant>
      <vt:variant>
        <vt:i4>5</vt:i4>
      </vt:variant>
      <vt:variant>
        <vt:lpwstr>https://pubmed.ncbi.nlm.nih.gov/?term=Saghafi-Asl+M&amp;cauthor_id=32032376</vt:lpwstr>
      </vt:variant>
      <vt:variant>
        <vt:lpwstr/>
      </vt:variant>
      <vt:variant>
        <vt:i4>393249</vt:i4>
      </vt:variant>
      <vt:variant>
        <vt:i4>60</vt:i4>
      </vt:variant>
      <vt:variant>
        <vt:i4>0</vt:i4>
      </vt:variant>
      <vt:variant>
        <vt:i4>5</vt:i4>
      </vt:variant>
      <vt:variant>
        <vt:lpwstr>https://pubmed.ncbi.nlm.nih.gov/?term=Guo+P&amp;cauthor_id=30901153</vt:lpwstr>
      </vt:variant>
      <vt:variant>
        <vt:lpwstr/>
      </vt:variant>
      <vt:variant>
        <vt:i4>2097236</vt:i4>
      </vt:variant>
      <vt:variant>
        <vt:i4>57</vt:i4>
      </vt:variant>
      <vt:variant>
        <vt:i4>0</vt:i4>
      </vt:variant>
      <vt:variant>
        <vt:i4>5</vt:i4>
      </vt:variant>
      <vt:variant>
        <vt:lpwstr>https://pubmed.ncbi.nlm.nih.gov/?term=Yeung+DC&amp;cauthor_id=26582296</vt:lpwstr>
      </vt:variant>
      <vt:variant>
        <vt:lpwstr/>
      </vt:variant>
      <vt:variant>
        <vt:i4>126</vt:i4>
      </vt:variant>
      <vt:variant>
        <vt:i4>54</vt:i4>
      </vt:variant>
      <vt:variant>
        <vt:i4>0</vt:i4>
      </vt:variant>
      <vt:variant>
        <vt:i4>5</vt:i4>
      </vt:variant>
      <vt:variant>
        <vt:lpwstr>https://pubmed.ncbi.nlm.nih.gov/?term=Deng+L&amp;cauthor_id=29755388</vt:lpwstr>
      </vt:variant>
      <vt:variant>
        <vt:lpwstr/>
      </vt:variant>
      <vt:variant>
        <vt:i4>1376371</vt:i4>
      </vt:variant>
      <vt:variant>
        <vt:i4>51</vt:i4>
      </vt:variant>
      <vt:variant>
        <vt:i4>0</vt:i4>
      </vt:variant>
      <vt:variant>
        <vt:i4>5</vt:i4>
      </vt:variant>
      <vt:variant>
        <vt:lpwstr>https://pubmed.ncbi.nlm.nih.gov/?term=Zurita-Corvalan+N&amp;cauthor_id=30070877</vt:lpwstr>
      </vt:variant>
      <vt:variant>
        <vt:lpwstr/>
      </vt:variant>
      <vt:variant>
        <vt:i4>7733330</vt:i4>
      </vt:variant>
      <vt:variant>
        <vt:i4>48</vt:i4>
      </vt:variant>
      <vt:variant>
        <vt:i4>0</vt:i4>
      </vt:variant>
      <vt:variant>
        <vt:i4>5</vt:i4>
      </vt:variant>
      <vt:variant>
        <vt:lpwstr>https://pubmed.ncbi.nlm.nih.gov/?term=Ariza+C&amp;cauthor_id=30753540</vt:lpwstr>
      </vt:variant>
      <vt:variant>
        <vt:lpwstr/>
      </vt:variant>
      <vt:variant>
        <vt:i4>7208982</vt:i4>
      </vt:variant>
      <vt:variant>
        <vt:i4>45</vt:i4>
      </vt:variant>
      <vt:variant>
        <vt:i4>0</vt:i4>
      </vt:variant>
      <vt:variant>
        <vt:i4>5</vt:i4>
      </vt:variant>
      <vt:variant>
        <vt:lpwstr>https://pubmed.ncbi.nlm.nih.gov/?term=Matsuo+T&amp;cauthor_id=31363158</vt:lpwstr>
      </vt:variant>
      <vt:variant>
        <vt:lpwstr/>
      </vt:variant>
      <vt:variant>
        <vt:i4>6750302</vt:i4>
      </vt:variant>
      <vt:variant>
        <vt:i4>42</vt:i4>
      </vt:variant>
      <vt:variant>
        <vt:i4>0</vt:i4>
      </vt:variant>
      <vt:variant>
        <vt:i4>5</vt:i4>
      </vt:variant>
      <vt:variant>
        <vt:lpwstr>https://www.ncbi.nlm.nih.gov/pubmed/?term=Ribeiro%20EA%5BAuthor%5D&amp;cauthor=true&amp;cauthor_uid=24896796</vt:lpwstr>
      </vt:variant>
      <vt:variant>
        <vt:lpwstr/>
      </vt:variant>
      <vt:variant>
        <vt:i4>4980777</vt:i4>
      </vt:variant>
      <vt:variant>
        <vt:i4>39</vt:i4>
      </vt:variant>
      <vt:variant>
        <vt:i4>0</vt:i4>
      </vt:variant>
      <vt:variant>
        <vt:i4>5</vt:i4>
      </vt:variant>
      <vt:variant>
        <vt:lpwstr>https://www.ncbi.nlm.nih.gov/pubmed/?term=Kuhle%20S%5BAuthor%5D&amp;cauthor=true&amp;cauthor_uid=26176769</vt:lpwstr>
      </vt:variant>
      <vt:variant>
        <vt:lpwstr/>
      </vt:variant>
      <vt:variant>
        <vt:i4>3145747</vt:i4>
      </vt:variant>
      <vt:variant>
        <vt:i4>36</vt:i4>
      </vt:variant>
      <vt:variant>
        <vt:i4>0</vt:i4>
      </vt:variant>
      <vt:variant>
        <vt:i4>5</vt:i4>
      </vt:variant>
      <vt:variant>
        <vt:lpwstr>https://www.ncbi.nlm.nih.gov/pubmed/?term=Karklina%20H%5BAuthor%5D&amp;cauthor=true&amp;cauthor_uid=22186122</vt:lpwstr>
      </vt:variant>
      <vt:variant>
        <vt:lpwstr/>
      </vt:variant>
      <vt:variant>
        <vt:i4>3145747</vt:i4>
      </vt:variant>
      <vt:variant>
        <vt:i4>33</vt:i4>
      </vt:variant>
      <vt:variant>
        <vt:i4>0</vt:i4>
      </vt:variant>
      <vt:variant>
        <vt:i4>5</vt:i4>
      </vt:variant>
      <vt:variant>
        <vt:lpwstr>https://www.ncbi.nlm.nih.gov/pubmed/?term=Karklina%20H%5BAuthor%5D&amp;cauthor=true&amp;cauthor_uid=22186122</vt:lpwstr>
      </vt:variant>
      <vt:variant>
        <vt:lpwstr/>
      </vt:variant>
      <vt:variant>
        <vt:i4>7208997</vt:i4>
      </vt:variant>
      <vt:variant>
        <vt:i4>30</vt:i4>
      </vt:variant>
      <vt:variant>
        <vt:i4>0</vt:i4>
      </vt:variant>
      <vt:variant>
        <vt:i4>5</vt:i4>
      </vt:variant>
      <vt:variant>
        <vt:lpwstr>https://zakon.rada.gov.ua/laws/show/4004-12</vt:lpwstr>
      </vt:variant>
      <vt:variant>
        <vt:lpwstr/>
      </vt:variant>
      <vt:variant>
        <vt:i4>4980858</vt:i4>
      </vt:variant>
      <vt:variant>
        <vt:i4>27</vt:i4>
      </vt:variant>
      <vt:variant>
        <vt:i4>0</vt:i4>
      </vt:variant>
      <vt:variant>
        <vt:i4>5</vt:i4>
      </vt:variant>
      <vt:variant>
        <vt:lpwstr>https://www.ncbi.nlm.nih.gov/pubmed/?term=Martin%20A%5BAuthor%5D&amp;cauthor=true&amp;cauthor_uid=24627300</vt:lpwstr>
      </vt:variant>
      <vt:variant>
        <vt:lpwstr/>
      </vt:variant>
      <vt:variant>
        <vt:i4>7733253</vt:i4>
      </vt:variant>
      <vt:variant>
        <vt:i4>24</vt:i4>
      </vt:variant>
      <vt:variant>
        <vt:i4>0</vt:i4>
      </vt:variant>
      <vt:variant>
        <vt:i4>5</vt:i4>
      </vt:variant>
      <vt:variant>
        <vt:lpwstr>https://www.ncbi.nlm.nih.gov/pubmed/?term=Str%C3%B8m%20HK%5BAuthor%5D&amp;cauthor=true&amp;cauthor_uid=25495012</vt:lpwstr>
      </vt:variant>
      <vt:variant>
        <vt:lpwstr/>
      </vt:variant>
      <vt:variant>
        <vt:i4>2031659</vt:i4>
      </vt:variant>
      <vt:variant>
        <vt:i4>21</vt:i4>
      </vt:variant>
      <vt:variant>
        <vt:i4>0</vt:i4>
      </vt:variant>
      <vt:variant>
        <vt:i4>5</vt:i4>
      </vt:variant>
      <vt:variant>
        <vt:lpwstr>https://www.ncbi.nlm.nih.gov/pubmed/?term=Cohen%20AK%5BAuthor%5D&amp;cauthor=true&amp;cauthor_uid=23597373</vt:lpwstr>
      </vt:variant>
      <vt:variant>
        <vt:lpwstr/>
      </vt:variant>
      <vt:variant>
        <vt:i4>2359389</vt:i4>
      </vt:variant>
      <vt:variant>
        <vt:i4>18</vt:i4>
      </vt:variant>
      <vt:variant>
        <vt:i4>0</vt:i4>
      </vt:variant>
      <vt:variant>
        <vt:i4>5</vt:i4>
      </vt:variant>
      <vt:variant>
        <vt:lpwstr>https://www.ncbi.nlm.nih.gov/pubmed/?term=Hamulka%20J%5BAuthor%5D&amp;cauthor=true&amp;cauthor_uid=30720795</vt:lpwstr>
      </vt:variant>
      <vt:variant>
        <vt:lpwstr/>
      </vt:variant>
      <vt:variant>
        <vt:i4>3145818</vt:i4>
      </vt:variant>
      <vt:variant>
        <vt:i4>15</vt:i4>
      </vt:variant>
      <vt:variant>
        <vt:i4>0</vt:i4>
      </vt:variant>
      <vt:variant>
        <vt:i4>5</vt:i4>
      </vt:variant>
      <vt:variant>
        <vt:lpwstr>https://www.ncbi.nlm.nih.gov/pubmed/?term=Shi%20Y%5BAuthor%5D&amp;cauthor=true&amp;cauthor_uid=31752788</vt:lpwstr>
      </vt:variant>
      <vt:variant>
        <vt:lpwstr/>
      </vt:variant>
      <vt:variant>
        <vt:i4>3014763</vt:i4>
      </vt:variant>
      <vt:variant>
        <vt:i4>12</vt:i4>
      </vt:variant>
      <vt:variant>
        <vt:i4>0</vt:i4>
      </vt:variant>
      <vt:variant>
        <vt:i4>5</vt:i4>
      </vt:variant>
      <vt:variant>
        <vt:lpwstr>http://apps.webofknowledge.com/OutboundService.do?SID=F1RYV4SjUFk2zvtZ283&amp;mode=rrcAuthorRecordService&amp;action=go&amp;product=WOS&amp;daisIds=1228361</vt:lpwstr>
      </vt:variant>
      <vt:variant>
        <vt:lpwstr/>
      </vt:variant>
      <vt:variant>
        <vt:i4>4980858</vt:i4>
      </vt:variant>
      <vt:variant>
        <vt:i4>9</vt:i4>
      </vt:variant>
      <vt:variant>
        <vt:i4>0</vt:i4>
      </vt:variant>
      <vt:variant>
        <vt:i4>5</vt:i4>
      </vt:variant>
      <vt:variant>
        <vt:lpwstr>https://www.ncbi.nlm.nih.gov/pubmed/?term=Martin%20A%5BAuthor%5D&amp;cauthor=true&amp;cauthor_uid=24627300</vt:lpwstr>
      </vt:variant>
      <vt:variant>
        <vt:lpwstr/>
      </vt:variant>
      <vt:variant>
        <vt:i4>1245226</vt:i4>
      </vt:variant>
      <vt:variant>
        <vt:i4>6</vt:i4>
      </vt:variant>
      <vt:variant>
        <vt:i4>0</vt:i4>
      </vt:variant>
      <vt:variant>
        <vt:i4>5</vt:i4>
      </vt:variant>
      <vt:variant>
        <vt:lpwstr>https://www.ncbi.nlm.nih.gov/pubmed/?term=Mayne%20SL%5BAuthor%5D&amp;cauthor=true&amp;cauthor_uid=31715216</vt:lpwstr>
      </vt:variant>
      <vt:variant>
        <vt:lpwstr/>
      </vt:variant>
      <vt:variant>
        <vt:i4>5111887</vt:i4>
      </vt:variant>
      <vt:variant>
        <vt:i4>3</vt:i4>
      </vt:variant>
      <vt:variant>
        <vt:i4>0</vt:i4>
      </vt:variant>
      <vt:variant>
        <vt:i4>5</vt:i4>
      </vt:variant>
      <vt:variant>
        <vt:lpwstr>http://dx.doi.org/10.29254/2077-4214-2020-4-158-88-92</vt:lpwstr>
      </vt:variant>
      <vt:variant>
        <vt:lpwstr/>
      </vt:variant>
      <vt:variant>
        <vt:i4>2883683</vt:i4>
      </vt:variant>
      <vt:variant>
        <vt:i4>0</vt:i4>
      </vt:variant>
      <vt:variant>
        <vt:i4>0</vt:i4>
      </vt:variant>
      <vt:variant>
        <vt:i4>5</vt:i4>
      </vt:variant>
      <vt:variant>
        <vt:lpwstr>https://doi.org/10.11603/1681-2786.2020.3.11618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dell5520</dc:creator>
  <cp:lastModifiedBy>dell5520</cp:lastModifiedBy>
  <cp:revision>4</cp:revision>
  <cp:lastPrinted>2021-04-23T10:35:00Z</cp:lastPrinted>
  <dcterms:created xsi:type="dcterms:W3CDTF">2021-04-23T10:19:00Z</dcterms:created>
  <dcterms:modified xsi:type="dcterms:W3CDTF">2021-04-23T10:37:00Z</dcterms:modified>
</cp:coreProperties>
</file>