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2B" w:rsidRPr="006F562B" w:rsidRDefault="006F562B" w:rsidP="007646DD">
      <w:pPr>
        <w:widowControl w:val="0"/>
        <w:spacing w:after="0" w:line="360" w:lineRule="auto"/>
        <w:ind w:left="113" w:right="85"/>
        <w:jc w:val="center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  <w:t xml:space="preserve">МЄЛІХОВА Т.В., 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  <w:t>ЛАЗУРЕНКО В.В.</w:t>
      </w:r>
    </w:p>
    <w:p w:rsidR="006F562B" w:rsidRPr="006F562B" w:rsidRDefault="00692DDB" w:rsidP="007646DD">
      <w:pPr>
        <w:widowControl w:val="0"/>
        <w:spacing w:after="0" w:line="360" w:lineRule="auto"/>
        <w:ind w:left="113" w:right="85" w:firstLine="720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  <w:t>ВИЗНАЧЕННЯ</w:t>
      </w:r>
      <w:r w:rsidR="006F562B" w:rsidRPr="006F562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ІМУНОГІСТО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ХІМІЧНИХ МАРКЕРІВ ПРОГРЕСУВАННЯ </w:t>
      </w:r>
      <w:r w:rsidR="006F562B" w:rsidRPr="006F562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  <w:t>АДЕНОМІОЗУ</w:t>
      </w:r>
    </w:p>
    <w:p w:rsidR="006F562B" w:rsidRPr="006F562B" w:rsidRDefault="006F562B" w:rsidP="007646DD">
      <w:pPr>
        <w:widowControl w:val="0"/>
        <w:spacing w:after="0" w:line="360" w:lineRule="auto"/>
        <w:ind w:left="113" w:right="85"/>
        <w:jc w:val="center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  <w:t>Харківський національний медичний університет,</w:t>
      </w:r>
    </w:p>
    <w:p w:rsidR="006F562B" w:rsidRPr="006F562B" w:rsidRDefault="006F562B" w:rsidP="007646DD">
      <w:pPr>
        <w:widowControl w:val="0"/>
        <w:spacing w:after="0" w:line="360" w:lineRule="auto"/>
        <w:ind w:left="113" w:right="85"/>
        <w:jc w:val="center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  <w:t xml:space="preserve">кафедра акушерства 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  <w:t>та</w:t>
      </w:r>
      <w:r w:rsidRPr="006F562B">
        <w:rPr>
          <w:rFonts w:ascii="Times New Roman" w:eastAsia="Calibri" w:hAnsi="Times New Roman" w:cs="Times New Roman"/>
          <w:bCs/>
          <w:kern w:val="36"/>
          <w:sz w:val="28"/>
          <w:szCs w:val="28"/>
          <w:lang w:val="uk-UA" w:eastAsia="ru-RU"/>
        </w:rPr>
        <w:t xml:space="preserve"> гінекології №2, м. Харків</w:t>
      </w:r>
    </w:p>
    <w:p w:rsidR="006F562B" w:rsidRPr="006F562B" w:rsidRDefault="006F562B" w:rsidP="007646DD">
      <w:pPr>
        <w:widowControl w:val="0"/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ВСТУП. </w:t>
      </w:r>
      <w:proofErr w:type="spellStart"/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</w:t>
      </w:r>
      <w:proofErr w:type="spellEnd"/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представляє собою </w:t>
      </w:r>
      <w:proofErr w:type="spellStart"/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гормон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залежну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доброякісну інвазію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міометрій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що призводить до гіперплазії та гіпертрофії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гладк</w:t>
      </w:r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ом’язових</w:t>
      </w:r>
      <w:proofErr w:type="spellEnd"/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тканин [1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 36-42;</w:t>
      </w:r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 133</w:t>
      </w:r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]. Ч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астота ураження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аденоміозом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складає 70–90%</w:t>
      </w:r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 загальній структурі </w:t>
      </w:r>
      <w:proofErr w:type="spellStart"/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генітального</w:t>
      </w:r>
      <w:proofErr w:type="spellEnd"/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ендометріозу</w:t>
      </w:r>
      <w:proofErr w:type="spellEnd"/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[3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 2;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4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 848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].</w:t>
      </w:r>
      <w:r w:rsidRPr="006F562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</w:t>
      </w:r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Також в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ідомо, що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зустрічається у 12–50% жінок репродуктивного віку</w:t>
      </w:r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проте виявляється він переважно на пізніх стадіях, оскільки захворюванню притаманне </w:t>
      </w:r>
      <w:proofErr w:type="spellStart"/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різномаїтті</w:t>
      </w:r>
      <w:proofErr w:type="spellEnd"/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клінічних проявів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[</w:t>
      </w:r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 109-111</w:t>
      </w:r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]. «З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олот</w:t>
      </w:r>
      <w:r w:rsidR="0067091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им стандартом» діагностики вваж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ається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лапаро</w:t>
      </w:r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копічне</w:t>
      </w:r>
      <w:proofErr w:type="spellEnd"/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оперативне втручання [6 с. 1686-1690;</w:t>
      </w:r>
      <w:r w:rsidR="00F9690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7</w:t>
      </w:r>
      <w:r w:rsidR="007646D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с. 1369-1375</w:t>
      </w:r>
      <w:bookmarkStart w:id="0" w:name="_GoBack"/>
      <w:bookmarkEnd w:id="0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]. Саме тому </w:t>
      </w:r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актуальним є 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пошук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малоінвазивних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методик та маркерів </w:t>
      </w:r>
      <w:proofErr w:type="spellStart"/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ранної</w:t>
      </w:r>
      <w:proofErr w:type="spellEnd"/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діагностики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6F562B" w:rsidRPr="006F562B" w:rsidRDefault="006F562B" w:rsidP="007646DD">
      <w:pPr>
        <w:widowControl w:val="0"/>
        <w:spacing w:after="0" w:line="360" w:lineRule="auto"/>
        <w:ind w:left="113" w:right="85" w:firstLine="60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МЕТА ДОСЛІДЖЕННЯ. </w:t>
      </w:r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Виявлення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специфічних </w:t>
      </w:r>
      <w:proofErr w:type="spellStart"/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імуногістохімічних</w:t>
      </w:r>
      <w:proofErr w:type="spellEnd"/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маркерів з метою вдосконалення ранньої діагностики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а саме </w:t>
      </w:r>
      <w:r w:rsidR="0040089A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показника проліферації Ki-67</w:t>
      </w:r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судинного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ендотеліального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фактору росту (</w:t>
      </w:r>
      <w:r w:rsidRPr="006F562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VEGF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vascular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endothelial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growth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F562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factor</w:t>
      </w:r>
      <w:r w:rsidR="004008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).</w:t>
      </w:r>
    </w:p>
    <w:p w:rsidR="006F562B" w:rsidRPr="006F562B" w:rsidRDefault="006F562B" w:rsidP="007646DD">
      <w:pPr>
        <w:widowControl w:val="0"/>
        <w:spacing w:after="0" w:line="360" w:lineRule="auto"/>
        <w:ind w:left="113" w:right="85" w:firstLine="60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МАТЕРІАЛИ І МЕТОДИ. 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 дослідженні приймали участь 61 жінка, віком від 27 до 53 років</w:t>
      </w:r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 котрих 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було р</w:t>
      </w:r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озподілено на наступні групи: I -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16 пацієнток з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</w:t>
      </w:r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еноміозом</w:t>
      </w:r>
      <w:proofErr w:type="spellEnd"/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I–II ступеня; II група співставлення –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18 пацієнток з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аденоміозом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 поєднанні з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гіперпластичними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процесами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(поліп, гіперплазія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); II</w:t>
      </w:r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 група співставлення –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17 випадків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гіперпластичн</w:t>
      </w:r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процесів </w:t>
      </w:r>
      <w:proofErr w:type="spellStart"/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 IV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</w:t>
      </w:r>
      <w:r w:rsidR="00AC024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група контролю - </w:t>
      </w:r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10 пацієнток з діагнозом: безпліддя I (ендокринного ґенезу, синдром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полікістозних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яєчників, перетинки порожнини матки). </w:t>
      </w:r>
    </w:p>
    <w:p w:rsidR="006F562B" w:rsidRPr="006F562B" w:rsidRDefault="00AC0242" w:rsidP="007646DD">
      <w:pPr>
        <w:widowControl w:val="0"/>
        <w:spacing w:after="0" w:line="360" w:lineRule="auto"/>
        <w:ind w:left="113" w:right="85" w:firstLine="60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Першим етапом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дослідження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було проведення стандартного клініко-лабораторного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обстеження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(скарги, анамнез, оцінка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об’єктивного статусу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бімануальне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дослідження, ультразвукове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оцінку гормонального статусу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)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</w:p>
    <w:p w:rsidR="006F562B" w:rsidRPr="006F562B" w:rsidRDefault="00AC0242" w:rsidP="007646DD">
      <w:pPr>
        <w:widowControl w:val="0"/>
        <w:spacing w:after="0" w:line="360" w:lineRule="auto"/>
        <w:ind w:left="113" w:right="85" w:firstLine="60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 другому етапі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проводилось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гістероскопічне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оперативне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втручання,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 видаленням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гіперпластичних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осередків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</w:t>
      </w:r>
      <w:r w:rsidR="00257A8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подальшим взяттям прицільної біопсії</w:t>
      </w:r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підлягаючою частиною </w:t>
      </w:r>
      <w:proofErr w:type="spellStart"/>
      <w:r w:rsidR="006F562B" w:rsidRPr="006F56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міометрію</w:t>
      </w:r>
      <w:proofErr w:type="spellEnd"/>
      <w:r w:rsidR="00257A8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334F6B" w:rsidRPr="00334F6B" w:rsidRDefault="006F562B" w:rsidP="007646DD">
      <w:pPr>
        <w:spacing w:line="360" w:lineRule="auto"/>
        <w:ind w:left="113" w:right="85"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562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РЕЗУЛЬТАТИ І ОБГОВОРЕННЯ. </w:t>
      </w:r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пацієнток I досліджуваної групи було встановлено середній вік 38,2 ± 1,1 років. У клінічній картині переважали больовий синдром і порушення менструального циклу. У 18,8% жінок перебіг захворювання був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безсимптомним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Скарги на періодичні болі в області малого тазу, що непов'язані з менструацією або статевим актом, пред'являли 81,3% (n = 13),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дисменорея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спостерігалась у 75% (n = 12),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диспареунія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68,8% (n = 11).</w:t>
      </w:r>
    </w:p>
    <w:p w:rsidR="00334F6B" w:rsidRPr="00334F6B" w:rsidRDefault="00334F6B" w:rsidP="007646DD">
      <w:pPr>
        <w:spacing w:after="200" w:line="360" w:lineRule="auto"/>
        <w:ind w:left="113" w:right="85"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пацієнток II досліджуваної групи середній вік складав 42,2 ± 1,1 роки. Скарги на періодичні болі в області малого тазу, що непов'язані з менструацією або статевим актом, пред'являли 66,6% (n = 12),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дисменорея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спостерігалась у 72,2% (n  = 13),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диспареунія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61,1% (n = 11). При цьому 94,4% з них відзначали рясні кров'янисті виділення зі статевих шляхів під час менструацій, 77,7% – рясні кров'янисті виділення зі згустками, у 72,2% менструації тривали більше 7 днів.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Міжменструальні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кров’яні виділення відзначали 55,5% жінок.</w:t>
      </w:r>
    </w:p>
    <w:p w:rsidR="00334F6B" w:rsidRPr="00334F6B" w:rsidRDefault="00334F6B" w:rsidP="007646DD">
      <w:pPr>
        <w:spacing w:after="200" w:line="360" w:lineRule="auto"/>
        <w:ind w:left="113" w:right="85"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пацієнток III досліджуваної групи було встановлено середній вік 43,8 ± 1,1 рік. У клінічній картині переважали порушення менструального циклу.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Дисменорея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спостерігалась у 58,8% (n = 10), 94,1% відзначали рясні кров'янисті виділення зі статевих шляхів підчас менструацій, 76,4% – рясні кров'янисті виділення зі згустками, у 82,3% менструації тривали більше 7 днів.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>Міжменструальні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кров’яні виділення відзначали 58,8% жінок.</w:t>
      </w:r>
    </w:p>
    <w:p w:rsidR="00334F6B" w:rsidRPr="00334F6B" w:rsidRDefault="00334F6B" w:rsidP="007646DD">
      <w:pPr>
        <w:widowControl w:val="0"/>
        <w:spacing w:after="0" w:line="360" w:lineRule="auto"/>
        <w:ind w:left="113" w:right="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Експресія антигену Ki-67 була позитивна в ядрах епітеліальних клітин залоз вогнищ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і в меншій мірі клітин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цитогенної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строми. Більше значення експресії зазначалося в епітелії залоз поверхнево розташованих гетеротопій – при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аденоміозі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I–II ступенів, у порівнянні з іншими досліджуваними групами.</w:t>
      </w:r>
    </w:p>
    <w:p w:rsidR="006F562B" w:rsidRPr="006F562B" w:rsidRDefault="00334F6B" w:rsidP="007646DD">
      <w:pPr>
        <w:widowControl w:val="0"/>
        <w:spacing w:after="0" w:line="360" w:lineRule="auto"/>
        <w:ind w:left="113" w:right="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За результатами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проведеного нами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імуногістохімічного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дослідження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виявлено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ек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спресію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судинного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ендотеліального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фактора росту в базальному шарі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і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ендометріоїдних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гетеротопій, що є підтвердженням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односпрямованості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змін, котрі 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відбуваються в осередках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і в базальному шарі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еутопічного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Крім того, дослідження експресії антигену Ki-67, переважання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проліферативних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змін в епітелії залоз і клітинах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цитогенної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строми гетеротопій, розташованих у глибоких відділах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міометрію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висока частота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гіперпластичних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процесів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показують значення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проліферативної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активності в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ендометріоїдних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гетеротопіях та в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ендометрії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при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аденоміозі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у порівнянні з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гіперпластичними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процесами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334F6B" w:rsidRPr="00334F6B" w:rsidRDefault="006F562B" w:rsidP="007646DD">
      <w:pPr>
        <w:widowControl w:val="0"/>
        <w:spacing w:line="360" w:lineRule="auto"/>
        <w:ind w:left="113" w:right="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ВИСНОВКИ. </w:t>
      </w:r>
      <w:r w:rsid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</w:t>
      </w:r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підставі отриманих </w:t>
      </w:r>
      <w:r w:rsid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нами даних, котрі</w:t>
      </w:r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свідчать про підвищення експресії білка проліферації Ki-67 і інтенсифікацію процесу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неоваскуляризації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біоптатах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ендометрію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підлягаючим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міометрієм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при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аденоміозі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за умов поєднання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гіперпластичними</w:t>
      </w:r>
      <w:proofErr w:type="spellEnd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процесами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ендометрі</w:t>
      </w:r>
      <w:r w:rsid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ю</w:t>
      </w:r>
      <w:proofErr w:type="spellEnd"/>
      <w:r w:rsid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можна стверджувати, що вищезазначені маркери</w:t>
      </w:r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можуть використовуватися в якості діагностичних у виявленні </w:t>
      </w:r>
      <w:proofErr w:type="spellStart"/>
      <w:r w:rsidR="00334F6B"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334F6B" w:rsidRPr="00334F6B" w:rsidRDefault="00334F6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Перспективним також є 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вивчення інших маркерів прогресування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аденоміозу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метою вдосконал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ення його ранньої діагностики у матеріалах, отриманих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неінвазивним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шляхом, таких як сироватка крові</w:t>
      </w:r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а також пошук методів діагностування </w:t>
      </w:r>
      <w:proofErr w:type="spellStart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доклінічної</w:t>
      </w:r>
      <w:proofErr w:type="spellEnd"/>
      <w:r w:rsidRPr="00334F6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стадії захворювання.</w:t>
      </w:r>
    </w:p>
    <w:p w:rsidR="006F562B" w:rsidRPr="006F562B" w:rsidRDefault="006F562B" w:rsidP="007646DD">
      <w:pPr>
        <w:widowControl w:val="0"/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F6B" w:rsidRDefault="00334F6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F6B" w:rsidRDefault="00334F6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F6B" w:rsidRDefault="00334F6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6F562B" w:rsidRPr="006F562B" w:rsidRDefault="006F562B" w:rsidP="007646DD">
      <w:pPr>
        <w:widowControl w:val="0"/>
        <w:tabs>
          <w:tab w:val="left" w:pos="4440"/>
        </w:tabs>
        <w:spacing w:after="0" w:line="360" w:lineRule="auto"/>
        <w:ind w:left="113" w:right="85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6F562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Список літератури:</w:t>
      </w:r>
    </w:p>
    <w:p w:rsidR="006F562B" w:rsidRPr="006F562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F562B">
        <w:rPr>
          <w:rFonts w:ascii="Times New Roman" w:eastAsia="Calibri" w:hAnsi="Times New Roman" w:cs="Times New Roman"/>
          <w:sz w:val="28"/>
          <w:szCs w:val="28"/>
        </w:rPr>
        <w:t>Татарчук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 Т. Ф. Новые подходы к проблемным вопросам лечения генитального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</w:rPr>
        <w:t>эндометриоза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6F562B">
        <w:rPr>
          <w:rFonts w:ascii="Calibri" w:eastAsia="Calibri" w:hAnsi="Calibri" w:cs="Times New Roman"/>
        </w:rPr>
        <w:t xml:space="preserve"> </w:t>
      </w:r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Т. Ф.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</w:rPr>
        <w:t>Татарчук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, Н. Ф. Захаренко, Т. Н.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</w:rPr>
        <w:t>Тутченко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 // Репродуктивная эндокринология. – 2013. – №3. – С. 36-42.</w:t>
      </w:r>
    </w:p>
    <w:p w:rsidR="006F562B" w:rsidRPr="00692DD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Сенчук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Я.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Деякі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особливості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внутрішнього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ендометріозу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92DDB">
        <w:rPr>
          <w:rFonts w:ascii="Times New Roman" w:eastAsia="Calibri" w:hAnsi="Times New Roman" w:cs="Times New Roman"/>
          <w:sz w:val="28"/>
          <w:szCs w:val="28"/>
        </w:rPr>
        <w:t>А.</w:t>
      </w: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Я.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Сенчук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>, І.</w:t>
      </w: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І. Чермак //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Тези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доповідей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ІХ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конгресу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світової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Федерації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Українського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лікарського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92DDB">
        <w:rPr>
          <w:rFonts w:ascii="Times New Roman" w:eastAsia="Calibri" w:hAnsi="Times New Roman" w:cs="Times New Roman"/>
          <w:sz w:val="28"/>
          <w:szCs w:val="28"/>
        </w:rPr>
        <w:t>товариства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>. – К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>иїв</w:t>
      </w:r>
      <w:proofErr w:type="spellEnd"/>
      <w:r w:rsidRPr="00692DDB">
        <w:rPr>
          <w:rFonts w:ascii="Times New Roman" w:eastAsia="Calibri" w:hAnsi="Times New Roman" w:cs="Times New Roman"/>
          <w:sz w:val="28"/>
          <w:szCs w:val="28"/>
        </w:rPr>
        <w:t>, 2012. – С. 133.</w:t>
      </w:r>
    </w:p>
    <w:p w:rsidR="006F562B" w:rsidRPr="006F562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>Пат. №46489 Україна, МПК</w:t>
      </w:r>
      <w:r w:rsidRPr="006F562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5</w:t>
      </w: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G01N 33/00. Спосіб кількісного визначення вмісту антигену в біологічних тканинах / Губіна-Вакулик Г. І., Сорокіна І. В.,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>Марковський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Д., Купріянова Л. С., Сидоренко Р. В. ; заявник та патентовласник Харківський національний медичний університет. – № </w:t>
      </w: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200906730 ; заяв. 26.06.2009 ;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>опубл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25.12.2009. –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>Бюл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uk-UA"/>
        </w:rPr>
        <w:t>. № 24. – 2 с.</w:t>
      </w:r>
    </w:p>
    <w:p w:rsidR="006F562B" w:rsidRPr="006F562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Diagnostic immunohistochemistry / ed. D. J. Dabbs. – [Edinburgh</w:t>
      </w:r>
      <w:proofErr w:type="gramStart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] :</w:t>
      </w:r>
      <w:proofErr w:type="gramEnd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Churchill Livingstone, 200</w:t>
      </w:r>
      <w:r w:rsidR="00692DDB" w:rsidRPr="00692DDB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6. – 848p.</w:t>
      </w:r>
    </w:p>
    <w:p w:rsidR="006F562B" w:rsidRPr="006F562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Колесник А. В. Клинические аспекты сочетания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</w:rPr>
        <w:t>аденомиоза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</w:rPr>
        <w:t xml:space="preserve"> и гиперпластических процессов эндометрия у женщин репродуктивного возраста / А. В. Колесник // Здоровье женщины. – 2013. – № 4. – С. 109-111.</w:t>
      </w:r>
    </w:p>
    <w:p w:rsidR="006F562B" w:rsidRPr="006F562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Vascular endothelial growth factor (VEGF) in endometriosis / J.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Donnez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P.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Smoes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Gillerot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[et al.] // Hum.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Reprod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. – 1998. – Vol. 13. – P. 1686–1690.</w:t>
      </w:r>
    </w:p>
    <w:p w:rsidR="006F562B" w:rsidRPr="006F562B" w:rsidRDefault="006F562B" w:rsidP="007646DD">
      <w:pPr>
        <w:numPr>
          <w:ilvl w:val="0"/>
          <w:numId w:val="1"/>
        </w:numPr>
        <w:spacing w:after="0" w:line="360" w:lineRule="auto"/>
        <w:ind w:left="113" w:right="85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Vascular endothelial growth factor A and C gene expression in endometriosis / M. </w:t>
      </w:r>
      <w:proofErr w:type="spellStart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Тakehara</w:t>
      </w:r>
      <w:proofErr w:type="spellEnd"/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, M. Ueda, Y. Yamashita</w:t>
      </w:r>
      <w:r w:rsidR="00692D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[et al.] // Hum. </w:t>
      </w:r>
      <w:proofErr w:type="spellStart"/>
      <w:r w:rsidR="00692DDB">
        <w:rPr>
          <w:rFonts w:ascii="Times New Roman" w:eastAsia="Calibri" w:hAnsi="Times New Roman" w:cs="Times New Roman"/>
          <w:sz w:val="28"/>
          <w:szCs w:val="28"/>
          <w:lang w:val="en-US"/>
        </w:rPr>
        <w:t>Pathol</w:t>
      </w:r>
      <w:proofErr w:type="spellEnd"/>
      <w:r w:rsidR="00692DDB">
        <w:rPr>
          <w:rFonts w:ascii="Times New Roman" w:eastAsia="Calibri" w:hAnsi="Times New Roman" w:cs="Times New Roman"/>
          <w:sz w:val="28"/>
          <w:szCs w:val="28"/>
          <w:lang w:val="en-US"/>
        </w:rPr>
        <w:t>. – 2014</w:t>
      </w: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Vol. 35, № 11. – </w:t>
      </w:r>
      <w:r w:rsidRPr="006F562B">
        <w:rPr>
          <w:rFonts w:ascii="Times New Roman" w:eastAsia="Calibri" w:hAnsi="Times New Roman" w:cs="Times New Roman"/>
          <w:sz w:val="28"/>
          <w:szCs w:val="28"/>
        </w:rPr>
        <w:t>Р</w:t>
      </w:r>
      <w:r w:rsidRPr="006F562B">
        <w:rPr>
          <w:rFonts w:ascii="Times New Roman" w:eastAsia="Calibri" w:hAnsi="Times New Roman" w:cs="Times New Roman"/>
          <w:sz w:val="28"/>
          <w:szCs w:val="28"/>
          <w:lang w:val="en-US"/>
        </w:rPr>
        <w:t>. 1369-1375.</w:t>
      </w:r>
    </w:p>
    <w:p w:rsidR="00FC2CDD" w:rsidRDefault="00FC2CDD" w:rsidP="007646DD">
      <w:pPr>
        <w:spacing w:line="360" w:lineRule="auto"/>
        <w:ind w:left="113" w:right="85"/>
      </w:pPr>
    </w:p>
    <w:sectPr w:rsidR="00FC2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B1FBC"/>
    <w:multiLevelType w:val="hybridMultilevel"/>
    <w:tmpl w:val="36082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6B"/>
    <w:rsid w:val="00257A81"/>
    <w:rsid w:val="003258C8"/>
    <w:rsid w:val="00334F6B"/>
    <w:rsid w:val="0040089A"/>
    <w:rsid w:val="0067091A"/>
    <w:rsid w:val="00692DDB"/>
    <w:rsid w:val="006F562B"/>
    <w:rsid w:val="007646DD"/>
    <w:rsid w:val="00AC0242"/>
    <w:rsid w:val="00C0106B"/>
    <w:rsid w:val="00F96908"/>
    <w:rsid w:val="00FC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dcterms:created xsi:type="dcterms:W3CDTF">2019-09-10T08:06:00Z</dcterms:created>
  <dcterms:modified xsi:type="dcterms:W3CDTF">2019-09-24T17:50:00Z</dcterms:modified>
</cp:coreProperties>
</file>