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763" w:rsidRDefault="003C0F05" w:rsidP="003C0F0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Лекція 6</w:t>
      </w:r>
    </w:p>
    <w:p w:rsidR="003C0F05" w:rsidRDefault="003C0F05" w:rsidP="003C0F0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медичної та біоорганічної хімії</w:t>
      </w:r>
    </w:p>
    <w:p w:rsidR="003C0F05" w:rsidRDefault="003C0F05" w:rsidP="003C0F0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C0F05" w:rsidRDefault="003C0F05" w:rsidP="003C0F05">
      <w:pPr>
        <w:spacing w:after="0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b/>
          <w:caps/>
          <w:sz w:val="28"/>
          <w:szCs w:val="28"/>
        </w:rPr>
        <w:t>Буферні системи, класифікація та механізм дії</w:t>
      </w:r>
    </w:p>
    <w:p w:rsidR="003C0F05" w:rsidRDefault="003C0F05" w:rsidP="003C0F05">
      <w:pPr>
        <w:spacing w:after="0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Буферні розчини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— це розчини, які здатні досить стійко зберігати сталість концентрації іонів гідрогену при додаванні до них деякої кількості сильної кислоти або лугу, при розведенні або концентруванні. Здатність стійко зберігати сталість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буферною дією.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Буферні системи бувають кислотні, основні та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амфолітні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. Кислотні складаються зі слабкої кислоти і її солі із сильною основою. Основні — зі слабкої основи і її солі із сильною кислотою. Наприклад, ацетатний буферний розчин містить слабку оцтову кислоту й ацетат натрію; аміачний буферний розчин — слабку основу гідроксид амонію й хлорид амонію.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Амфолітні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– розчини амінокислот або білків.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b/>
          <w:sz w:val="28"/>
          <w:szCs w:val="28"/>
          <w:lang w:val="uk-UA"/>
        </w:rPr>
        <w:t>Процеси, які протікають в ацетатному буферн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ому розчині і їх взаємний вплив</w:t>
      </w:r>
    </w:p>
    <w:p w:rsidR="003C0F05" w:rsidRPr="003C0F05" w:rsidRDefault="003C0F05" w:rsidP="003C0F05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СООNa – сіль, сильний електроліт, який повністю дисоціює на іони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C0F05" w:rsidRDefault="003C0F05" w:rsidP="003C0F05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СООNa ↔ СН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СОО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Na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proofErr w:type="spellEnd"/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</w:p>
    <w:p w:rsidR="003C0F05" w:rsidRPr="003C0F05" w:rsidRDefault="003C0F05" w:rsidP="003C0F05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C0F05" w:rsidRDefault="003C0F05" w:rsidP="003C0F05">
      <w:pPr>
        <w:tabs>
          <w:tab w:val="left" w:pos="-212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Так як ацетат-іон – іон слабкої кислоти, то у водному розчині він піддається гідролізу з утворенням оцтової кислоти.</w:t>
      </w:r>
    </w:p>
    <w:p w:rsidR="003C0F05" w:rsidRPr="003C0F05" w:rsidRDefault="003C0F05" w:rsidP="003C0F05">
      <w:pPr>
        <w:tabs>
          <w:tab w:val="left" w:pos="-2127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0F05" w:rsidRDefault="003C0F05" w:rsidP="003C0F05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СОО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+ Н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↔ СН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СООН</w:t>
      </w:r>
    </w:p>
    <w:p w:rsidR="003C0F05" w:rsidRPr="003C0F05" w:rsidRDefault="003C0F05" w:rsidP="003C0F05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C0F05" w:rsidRDefault="003C0F05" w:rsidP="003C0F05">
      <w:pPr>
        <w:tabs>
          <w:tab w:val="left" w:pos="-1701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Оцтова кислота – слабка кислота, дисоціює в незначній мірі:</w:t>
      </w:r>
    </w:p>
    <w:p w:rsidR="003C0F05" w:rsidRPr="003C0F05" w:rsidRDefault="003C0F05" w:rsidP="003C0F05">
      <w:pPr>
        <w:tabs>
          <w:tab w:val="left" w:pos="-1701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C0F05" w:rsidRPr="003C0F05" w:rsidRDefault="003C0F05" w:rsidP="003C0F05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СООН ↔ СН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СОО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+ Н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</w:p>
    <w:p w:rsidR="003C0F05" w:rsidRPr="003C0F05" w:rsidRDefault="003C0F05" w:rsidP="003C0F05">
      <w:pPr>
        <w:tabs>
          <w:tab w:val="left" w:pos="-170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 xml:space="preserve">Дисоціація її ще більш пригнічується присутністю ацетат-іонів від солі, тому концентрацію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непродисоційованої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оцтової кислоти можна вважати рівною її молярній концентрації у буферному розчині.</w:t>
      </w:r>
    </w:p>
    <w:p w:rsidR="003C0F05" w:rsidRPr="003C0F05" w:rsidRDefault="003C0F05" w:rsidP="003C0F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Константна дисоціації оцтової кислоти згідно закону діючих мас піддається рівнянню:</w:t>
      </w:r>
    </w:p>
    <w:p w:rsidR="003C0F05" w:rsidRPr="003C0F05" w:rsidRDefault="003C0F05" w:rsidP="003C0F0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K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a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</m:sup>
                </m:sSup>
              </m:e>
            </m:d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COO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]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COOH]</m:t>
            </m:r>
          </m:den>
        </m:f>
      </m:oMath>
    </w:p>
    <w:p w:rsidR="003C0F05" w:rsidRPr="003C0F05" w:rsidRDefault="003C0F05" w:rsidP="003C0F0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C0F05" w:rsidRPr="003C0F05" w:rsidRDefault="003C0F05" w:rsidP="003C0F0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Звідси: [H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] =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K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a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COOH]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COO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]</m:t>
            </m:r>
          </m:den>
        </m:f>
      </m:oMath>
      <w:r w:rsidRPr="003C0F05">
        <w:rPr>
          <w:rFonts w:ascii="Times New Roman" w:hAnsi="Times New Roman" w:cs="Times New Roman"/>
          <w:sz w:val="28"/>
          <w:szCs w:val="28"/>
          <w:lang w:val="uk-UA"/>
        </w:rPr>
        <w:t>, тобто [H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] =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Ka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</m:den>
        </m:f>
      </m:oMath>
      <w:r w:rsidRPr="003C0F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0F05" w:rsidRPr="003C0F05" w:rsidRDefault="003C0F05" w:rsidP="003C0F0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Знаходимо від’ємний десятинний логарифм цього виразу:</w:t>
      </w:r>
    </w:p>
    <w:p w:rsidR="003C0F05" w:rsidRPr="003C0F05" w:rsidRDefault="003C0F05" w:rsidP="003C0F0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[H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] = -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lgKa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</m:den>
        </m:f>
      </m:oMath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або</w:t>
      </w:r>
    </w:p>
    <w:p w:rsidR="003C0F05" w:rsidRPr="003C0F05" w:rsidRDefault="003C0F05" w:rsidP="003C0F0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рКа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</m:den>
        </m:f>
      </m:oMath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 = рКа – lg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</m:den>
        </m:f>
      </m:oMath>
    </w:p>
    <w:p w:rsidR="003C0F05" w:rsidRPr="003C0F05" w:rsidRDefault="003C0F05" w:rsidP="003C0F0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Це є рівняння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Гендерсона-Хассельбалха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для розрахунку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кислотного буферного розчину.</w:t>
      </w:r>
    </w:p>
    <w:p w:rsidR="003C0F05" w:rsidRPr="003C0F05" w:rsidRDefault="003C0F05" w:rsidP="003C0F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Процеси, які протікають в </w:t>
      </w:r>
      <w:proofErr w:type="spellStart"/>
      <w:r w:rsidRPr="003C0F05">
        <w:rPr>
          <w:rFonts w:ascii="Times New Roman" w:hAnsi="Times New Roman" w:cs="Times New Roman"/>
          <w:b/>
          <w:sz w:val="28"/>
          <w:szCs w:val="28"/>
          <w:lang w:val="uk-UA"/>
        </w:rPr>
        <w:t>амоніачному</w:t>
      </w:r>
      <w:proofErr w:type="spellEnd"/>
      <w:r w:rsidRPr="003C0F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буферному розчині і їх взаємний вплив.</w:t>
      </w:r>
    </w:p>
    <w:p w:rsidR="003C0F05" w:rsidRPr="003C0F05" w:rsidRDefault="003C0F05" w:rsidP="003C0F05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Амоніачний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буферний розчин складається із слабкої основи – амонію гідроксиду та солі – амонію хлориду. Амоній гідроксид дисоціює частково, а амоній хлорид – повністю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OH = 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+ OH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(1)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Cl = 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+ Cl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(2)</w:t>
      </w:r>
    </w:p>
    <w:p w:rsidR="003C0F05" w:rsidRPr="003C0F05" w:rsidRDefault="003C0F05" w:rsidP="003C0F0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Для першої рівноваги записуємо константу дисоціації: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b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NH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</m:sup>
                </m:sSubSup>
              </m:e>
            </m:d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OH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]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OH]</m:t>
            </m:r>
          </m:den>
        </m:f>
      </m:oMath>
    </w:p>
    <w:p w:rsidR="003C0F05" w:rsidRPr="003C0F05" w:rsidRDefault="003C0F05" w:rsidP="003C0F0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Для другого процесу справедливий вираз: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[NH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] = [Cl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] =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c</w:t>
      </w:r>
      <w:proofErr w:type="spellEnd"/>
    </w:p>
    <w:p w:rsidR="003C0F05" w:rsidRPr="003C0F05" w:rsidRDefault="003C0F05" w:rsidP="003C0F0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lastRenderedPageBreak/>
        <w:t>З виразу для константи дисоціації визначаємо концентрацію гідроксид-іонів: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[OH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] =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K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b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OH]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Sup>
              <m:sSubSup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NH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]</m:t>
            </m:r>
          </m:den>
        </m:f>
      </m:oMath>
      <w:r w:rsidRPr="003C0F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0F05" w:rsidRPr="003C0F05" w:rsidRDefault="003C0F05" w:rsidP="003C0F0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Так як сіль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продисоціювала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повністю концентрація 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дорівнює молярній концентрації солі, а концентрація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непродисоційованих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молекул амоній гідроксиду – вихідній концентрації основи, оскільки дисоціація пригнічена присутністю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одноіменних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катіонів.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Прологарифмувавши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вираз, отримуємо рівняння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Гендерсона-Хассельбалха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для основних буферних систем: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рOН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рКb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осн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</m:den>
        </m:f>
      </m:oMath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рК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b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осн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осн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</m:den>
        </m:f>
      </m:oMath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14 –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pOH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14 –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рК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b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 +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осн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осн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</m:den>
        </m:f>
      </m:oMath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рівняння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Гендерсона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Хассельбалха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, доходимо висновку, що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буферного розчину залежить від сили кислоти (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рК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), а також від співвідношення концентрацій компонентів. Виходячи із цього, розведення й концентрування буферного розчину до відомих меж не змінює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>. Цю властивість буферних розчинів використовують при аналізі плазми крові, лімфи, сечі.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Слід відмітити, що рівняння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Гендельсона-Хассельбалха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не можна застосовувати, якщо:</w:t>
      </w:r>
    </w:p>
    <w:p w:rsidR="003C0F05" w:rsidRPr="003C0F05" w:rsidRDefault="003C0F05" w:rsidP="003C0F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- концентрація кислоти (основи) і солі відрізняються більш ніж у 100 разів;</w:t>
      </w:r>
    </w:p>
    <w:p w:rsidR="003C0F05" w:rsidRPr="003C0F05" w:rsidRDefault="003C0F05" w:rsidP="003C0F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- кислота (основа) сильні, так як у цьому випадку не можна нехтувати її дисоціацією;</w:t>
      </w:r>
    </w:p>
    <w:p w:rsidR="003C0F05" w:rsidRPr="003C0F05" w:rsidRDefault="003C0F05" w:rsidP="003C0F0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- кислота (основа) дуже слабка, так як у цьому випадку не можна нехтувати гідролізом солі.</w:t>
      </w:r>
    </w:p>
    <w:p w:rsidR="003C0F05" w:rsidRPr="003C0F05" w:rsidRDefault="003C0F05" w:rsidP="003C0F0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Механізм буферної дії.</w:t>
      </w:r>
    </w:p>
    <w:p w:rsidR="003C0F05" w:rsidRDefault="003C0F05" w:rsidP="003C0F0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При додаванні сильної кислоти до кислої буферної системи вона реагує із сіллю (акцептор протонів) і витісняє еквівалентну кількість слабкої кислоти:</w:t>
      </w:r>
    </w:p>
    <w:p w:rsidR="003C0F05" w:rsidRPr="003C0F05" w:rsidRDefault="003C0F05" w:rsidP="003C0F0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0F05" w:rsidRPr="003C0F05" w:rsidRDefault="003C0F05" w:rsidP="003C0F05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CH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COONa + HCl 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 CH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COOH +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NaCl</w:t>
      </w:r>
      <w:proofErr w:type="spellEnd"/>
    </w:p>
    <w:p w:rsidR="003C0F05" w:rsidRPr="003C0F05" w:rsidRDefault="003C0F05" w:rsidP="003C0F05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CH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COO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 + H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 CH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COOH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У розчині замість сильної кислоти утворюється слабка кислота й тому величина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зменшується незначно.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При додаванні до такого ж розчину лугу вона нейтралізується слабкою кислотою (донор протонів) і в розчині з'являється еквівалентна кількість солі, гідроліз якої загальмований присутністю кислоти:</w:t>
      </w:r>
    </w:p>
    <w:p w:rsidR="003C0F05" w:rsidRPr="003C0F05" w:rsidRDefault="003C0F05" w:rsidP="003C0F05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CH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COOH + NaOH 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 CH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COONa + H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О</w:t>
      </w:r>
    </w:p>
    <w:p w:rsidR="003C0F05" w:rsidRPr="003C0F05" w:rsidRDefault="003C0F05" w:rsidP="003C0F05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CH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COOH + OH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 CH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COO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 + H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О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майже не збільшується. 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При додаванні до основного буферного розчину сильної кислоти вона буде нейтралізована основою:</w:t>
      </w:r>
    </w:p>
    <w:p w:rsidR="003C0F05" w:rsidRPr="003C0F05" w:rsidRDefault="003C0F05" w:rsidP="003C0F05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OH + HCl 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Cl + H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О</w:t>
      </w:r>
    </w:p>
    <w:p w:rsidR="003C0F05" w:rsidRPr="003C0F05" w:rsidRDefault="003C0F05" w:rsidP="003C0F05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OH + H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 + H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О</w:t>
      </w:r>
    </w:p>
    <w:p w:rsidR="003C0F05" w:rsidRPr="003C0F05" w:rsidRDefault="003C0F05" w:rsidP="003C0F0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Якщо ж до розчину додати луг, то він взаємодіє із сіллю й у результаті замість сильної основи в розчині утвориться еквівалентна кількість слабкої основи:</w:t>
      </w:r>
    </w:p>
    <w:p w:rsidR="003C0F05" w:rsidRPr="003C0F05" w:rsidRDefault="003C0F05" w:rsidP="003C0F05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Cl + NaOH 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ОН +NaCl</w:t>
      </w:r>
    </w:p>
    <w:p w:rsidR="003C0F05" w:rsidRPr="003C0F05" w:rsidRDefault="003C0F05" w:rsidP="003C0F05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 + OH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ОН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У підсумку величина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в обох випадках змінюється незначно.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Розрахунок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буферного розчину після додавання до нього сильної кислоти або лугу випливає з механізму буферної дії.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Додавання сильної кислоти: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NaHCO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HCl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NaCl</w:t>
      </w:r>
      <w:proofErr w:type="spellEnd"/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lastRenderedPageBreak/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рКа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С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HCl</m:t>
                </m:r>
              </m:sub>
            </m:sSub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HCl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С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HCl</m:t>
                </m:r>
              </m:sub>
            </m:sSub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HCl</m:t>
                </m:r>
              </m:sub>
            </m:sSub>
          </m:den>
        </m:f>
      </m:oMath>
    </w:p>
    <w:p w:rsidR="003C0F05" w:rsidRPr="003C0F05" w:rsidRDefault="003C0F05" w:rsidP="003C0F0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Додавання лугу:</w:t>
      </w:r>
    </w:p>
    <w:p w:rsidR="003C0F05" w:rsidRPr="003C0F05" w:rsidRDefault="003C0F05" w:rsidP="003C0F05">
      <w:pPr>
        <w:spacing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NaOH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NaHCO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 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O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eastAsia="Calibri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= </w:t>
      </w:r>
      <w:proofErr w:type="spellStart"/>
      <w:r w:rsidRPr="003C0F05">
        <w:rPr>
          <w:rFonts w:ascii="Times New Roman" w:eastAsia="Calibri" w:hAnsi="Times New Roman" w:cs="Times New Roman"/>
          <w:sz w:val="28"/>
          <w:szCs w:val="28"/>
          <w:lang w:val="uk-UA"/>
        </w:rPr>
        <w:t>рКа</w:t>
      </w:r>
      <w:proofErr w:type="spellEnd"/>
      <w:r w:rsidRPr="003C0F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3C0F05">
        <w:rPr>
          <w:rFonts w:ascii="Times New Roman" w:eastAsia="Calibri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m:oMath>
        <m:f>
          <m:fPr>
            <m:ctrlPr>
              <w:rPr>
                <w:rFonts w:ascii="Cambria Math" w:eastAsia="Calibri" w:hAnsi="Cambria Math" w:cs="Times New Roman"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k</m:t>
                </m:r>
              </m:sub>
            </m:sSub>
            <m:r>
              <w:rPr>
                <w:rFonts w:ascii="Cambria Math" w:eastAsia="Calibri" w:hAnsi="Cambria Math" w:cs="Times New Roman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С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NaOH</m:t>
                </m:r>
              </m:sub>
            </m:sSub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NaOH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c</m:t>
                </m:r>
              </m:sub>
            </m:sSub>
            <m:r>
              <w:rPr>
                <w:rFonts w:ascii="Cambria Math" w:eastAsia="Calibri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С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NaOH</m:t>
                </m:r>
              </m:sub>
            </m:sSub>
            <m:sSub>
              <m:sSubPr>
                <m:ctrl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 w:cs="Times New Roman"/>
                    <w:sz w:val="28"/>
                    <w:szCs w:val="28"/>
                    <w:lang w:val="uk-UA"/>
                  </w:rPr>
                  <m:t>NaOH</m:t>
                </m:r>
              </m:sub>
            </m:sSub>
          </m:den>
        </m:f>
      </m:oMath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Із буферних систем організму найбільшою буферною ємністю характеризуються буферні системи крові. Найважливішими буферними системами крові є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гідрокарбонатна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>, гемоглобінові, оксигемоглобінові та фосфатна.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обміну речовин в організмі щодобово утворюється кількість кислот еквівалентна </w:t>
      </w:r>
      <w:smartTag w:uri="urn:schemas-microsoft-com:office:smarttags" w:element="metricconverter">
        <w:smartTagPr>
          <w:attr w:name="ProductID" w:val="2,5 л"/>
        </w:smartTagPr>
        <w:r w:rsidRPr="003C0F05">
          <w:rPr>
            <w:rFonts w:ascii="Times New Roman" w:hAnsi="Times New Roman" w:cs="Times New Roman"/>
            <w:sz w:val="28"/>
            <w:szCs w:val="28"/>
            <w:lang w:val="uk-UA"/>
          </w:rPr>
          <w:t>2,5 л</w:t>
        </w:r>
      </w:smartTag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концентрованої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HCl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. Тим не менш, буферні системи підтримують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на рівні 7,4 ± 0,04.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Гідрокарбонатна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бікарбонатна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>) буферна система (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6,0-8,0) складається зі слабкої карбонатної кислоти та гідрокарбонат іонів: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Н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+ НСО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NaHCO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Na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+ НСО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</w:p>
    <w:p w:rsidR="003C0F05" w:rsidRPr="003C0F05" w:rsidRDefault="003C0F05" w:rsidP="003C0F0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Величина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крові залежить від співвідношення концентрацій вільної карбонатної кислоти і натрію гідрокарбонату: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рК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HCO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</m:sup>
                </m:sSubSup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]</m:t>
            </m:r>
          </m:den>
        </m:f>
      </m:oMath>
    </w:p>
    <w:p w:rsidR="003C0F05" w:rsidRPr="003C0F05" w:rsidRDefault="003C0F05" w:rsidP="003C0F0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В умовах плазми крові (при 37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С) рК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6,1. Згідно рівняння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Гендельсона-Хассельбалха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розраховуємо співвідношення концентрацій при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7,4: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7,4 = 6,1 +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HCO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</m:sup>
                </m:sSubSup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]</m:t>
            </m:r>
          </m:den>
        </m:f>
      </m:oMath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7,4 – 6,1 = 1,3 =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HCO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</m:sup>
                </m:sSubSup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]</m:t>
            </m:r>
          </m:den>
        </m:f>
      </m:oMath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HCO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</m:sup>
                </m:sSubSup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]</m:t>
            </m:r>
          </m:den>
        </m:f>
      </m:oMath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20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den>
        </m:f>
      </m:oMath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Надлишок гідрокарбонат-іонів – лужний резерв крові. При появі у плазмі крові надлишкової кількості кислоти протікає реакція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НСО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+ Н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О + СО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</w:p>
    <w:p w:rsidR="003C0F05" w:rsidRPr="003C0F05" w:rsidRDefault="003C0F05" w:rsidP="003C0F0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Надлишок СО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виводиться з крові через легені. Таким чином, співвідношення  </w:t>
      </w: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uk-UA"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HCO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</m:sup>
                </m:sSubSup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CO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]</m:t>
            </m:r>
          </m:den>
        </m:f>
      </m:oMath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і значення рН крові не змінюються.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b/>
          <w:sz w:val="28"/>
          <w:szCs w:val="28"/>
          <w:lang w:val="uk-UA"/>
        </w:rPr>
        <w:t>Фосфатна буферна система</w:t>
      </w:r>
    </w:p>
    <w:p w:rsidR="003C0F05" w:rsidRPr="003C0F05" w:rsidRDefault="003C0F05" w:rsidP="003C0F0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Фосфатна буферна система складається із двох солей —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дигідрофосфату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натрію (слабка кислота) і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гідрофосфату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натрію (сіль). Міститься у клітинах, сечі, соках травних залоз. Механізм буферної дії можна представити наступною схемою:</w:t>
      </w:r>
    </w:p>
    <w:p w:rsidR="003C0F05" w:rsidRPr="003C0F05" w:rsidRDefault="003C0F05" w:rsidP="003C0F0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додавання кислоти: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Na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HPO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 + HCl 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 NaН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 +NaCl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HPO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 + H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</w:p>
    <w:p w:rsidR="003C0F05" w:rsidRPr="003C0F05" w:rsidRDefault="003C0F05" w:rsidP="003C0F0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додавання лугу: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NaН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 + NaОН 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 Na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HPO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 + H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O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PO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 +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 OH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sym w:font="Symbol" w:char="F0AE"/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HPO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2–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 + 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O</w:t>
      </w:r>
    </w:p>
    <w:p w:rsidR="003C0F05" w:rsidRPr="003C0F05" w:rsidRDefault="003C0F05" w:rsidP="003C0F05">
      <w:pPr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Розрахунок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фосфатного буфера проводять за рівнянням: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6,8 +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lg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0F05">
        <w:rPr>
          <w:rFonts w:ascii="Times New Roman" w:hAnsi="Times New Roman" w:cs="Times New Roman"/>
          <w:position w:val="-30"/>
          <w:sz w:val="28"/>
          <w:szCs w:val="28"/>
          <w:vertAlign w:val="superscript"/>
        </w:rPr>
        <w:object w:dxaOrig="102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3" type="#_x0000_t75" style="width:42pt;height:30pt" o:ole="">
            <v:imagedata r:id="rId8" o:title=""/>
          </v:shape>
          <o:OLEObject Type="Embed" ProgID="Equation.3" ShapeID="_x0000_i1063" DrawAspect="Content" ObjectID="_1474291936" r:id="rId9"/>
        </w:object>
      </w:r>
    </w:p>
    <w:p w:rsidR="003C0F05" w:rsidRDefault="003C0F05" w:rsidP="003C0F05">
      <w:pPr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Відношення </w:t>
      </w:r>
      <w:r w:rsidRPr="003C0F05">
        <w:rPr>
          <w:rFonts w:ascii="Times New Roman" w:hAnsi="Times New Roman" w:cs="Times New Roman"/>
          <w:position w:val="-30"/>
          <w:sz w:val="28"/>
          <w:szCs w:val="28"/>
          <w:lang w:val="uk-UA"/>
        </w:rPr>
        <w:object w:dxaOrig="1020" w:dyaOrig="720">
          <v:shape id="_x0000_i1064" type="#_x0000_t75" style="width:47.25pt;height:33pt" o:ole="">
            <v:imagedata r:id="rId10" o:title=""/>
          </v:shape>
          <o:OLEObject Type="Embed" ProgID="Equation.3" ShapeID="_x0000_i1064" DrawAspect="Content" ObjectID="_1474291937" r:id="rId11"/>
        </w:objec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 в плазмі крові дорівнює 4:1 і не змінюється, тому що при надлишковому нагромадженні будь-якого з компонентів він виділяється із сечею.</w:t>
      </w:r>
    </w:p>
    <w:p w:rsidR="003C0F05" w:rsidRPr="003C0F05" w:rsidRDefault="003C0F05" w:rsidP="003C0F05">
      <w:pPr>
        <w:spacing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b/>
          <w:iCs/>
          <w:sz w:val="28"/>
          <w:szCs w:val="28"/>
          <w:lang w:val="uk-UA"/>
        </w:rPr>
        <w:t>Буферні в</w:t>
      </w:r>
      <w:r>
        <w:rPr>
          <w:rFonts w:ascii="Times New Roman" w:hAnsi="Times New Roman" w:cs="Times New Roman"/>
          <w:b/>
          <w:iCs/>
          <w:sz w:val="28"/>
          <w:szCs w:val="28"/>
          <w:lang w:val="uk-UA"/>
        </w:rPr>
        <w:t>ластивості амінокислот і білків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Амінокислоти й білки —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амфоліти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>, тому що містять у своєму складі групи, які є донорами протонів (–СООН) і акцепторами протонів (–NH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В водних розчинах амінокислоти й білки існують у вигляді внутрішніх солей (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цвіттеріонів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>):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</w:rPr>
        <w:object w:dxaOrig="6195" w:dyaOrig="1200">
          <v:shape id="_x0000_i1065" type="#_x0000_t75" style="width:309.75pt;height:60pt" o:ole="">
            <v:imagedata r:id="rId12" o:title=""/>
          </v:shape>
          <o:OLEObject Type="Embed" ProgID="ISISServer" ShapeID="_x0000_i1065" DrawAspect="Content" ObjectID="_1474291938" r:id="rId13"/>
        </w:object>
      </w:r>
    </w:p>
    <w:p w:rsidR="003C0F05" w:rsidRPr="003C0F05" w:rsidRDefault="003C0F05" w:rsidP="003C0F05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Механізм буферної дії амінокислот і білків відповідає схемі:</w: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0F05">
        <w:rPr>
          <w:rFonts w:ascii="Times New Roman" w:hAnsi="Times New Roman" w:cs="Times New Roman"/>
          <w:sz w:val="28"/>
          <w:szCs w:val="28"/>
        </w:rPr>
        <w:object w:dxaOrig="6825" w:dyaOrig="2760">
          <v:shape id="_x0000_i1066" type="#_x0000_t75" style="width:306pt;height:123.75pt" o:ole="">
            <v:imagedata r:id="rId14" o:title=""/>
          </v:shape>
          <o:OLEObject Type="Embed" ProgID="ISISServer" ShapeID="_x0000_i1066" DrawAspect="Content" ObjectID="_1474291939" r:id="rId15"/>
        </w:object>
      </w:r>
    </w:p>
    <w:p w:rsidR="003C0F05" w:rsidRPr="003C0F05" w:rsidRDefault="003C0F05" w:rsidP="003C0F0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0F05">
        <w:rPr>
          <w:rFonts w:ascii="Times New Roman" w:hAnsi="Times New Roman" w:cs="Times New Roman"/>
          <w:sz w:val="28"/>
          <w:szCs w:val="28"/>
        </w:rPr>
        <w:object w:dxaOrig="7020" w:dyaOrig="2415">
          <v:shape id="_x0000_i1067" type="#_x0000_t75" style="width:319.5pt;height:110.25pt" o:ole="">
            <v:imagedata r:id="rId16" o:title=""/>
          </v:shape>
          <o:OLEObject Type="Embed" ProgID="ISISServer" ShapeID="_x0000_i1067" DrawAspect="Content" ObjectID="_1474291940" r:id="rId17"/>
        </w:object>
      </w:r>
    </w:p>
    <w:p w:rsidR="003C0F05" w:rsidRPr="003C0F05" w:rsidRDefault="003C0F05" w:rsidP="003C0F05">
      <w:pPr>
        <w:spacing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Значення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, при якому амінокислота або білок існують у вигляді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цвіттеріонів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і при цьому кількість </w:t>
      </w:r>
      <w:r w:rsidRPr="003C0F05">
        <w:rPr>
          <w:rFonts w:ascii="Times New Roman" w:hAnsi="Times New Roman" w:cs="Times New Roman"/>
          <w:sz w:val="28"/>
          <w:szCs w:val="28"/>
        </w:rPr>
        <w:t>NH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3C0F05">
        <w:rPr>
          <w:rFonts w:ascii="Times New Roman" w:hAnsi="Times New Roman" w:cs="Times New Roman"/>
          <w:sz w:val="28"/>
          <w:szCs w:val="28"/>
        </w:rPr>
        <w:t>COO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-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груп однакові, називається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ізоелектричною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точкою (ІЕТ). Якщо у молекулі амінокислоти або білка 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однакова кількість аміногруп і карбоксилів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ІЕТ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0F05">
        <w:rPr>
          <w:rFonts w:ascii="Times New Roman" w:eastAsia="MS Mincho" w:hAnsi="Times New Roman" w:cs="Times New Roman"/>
          <w:spacing w:val="-1"/>
          <w:sz w:val="28"/>
          <w:szCs w:val="28"/>
          <w:lang w:val="uk-UA"/>
        </w:rPr>
        <w:t>≈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7. Якщо переважають аміногрупи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ІЕТ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&gt; 7; якщо переважають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карбоксильні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групи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ІЕТ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&lt; 7.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ізоелектричному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стані розчини білків дуже нестійкі й легко випадають в осад. При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середовища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&gt;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ІЕТ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білок перебуває у формі багатовалентних аніонів, при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середовища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&lt;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ІЕТ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у формі багатовалентних катіонів.</w:t>
      </w:r>
    </w:p>
    <w:p w:rsidR="003C0F05" w:rsidRPr="003C0F05" w:rsidRDefault="003C0F05" w:rsidP="003C0F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крові зсунуто у лужну область від ІЕТ білків плазми й гемоглобіну, тому ці білки перебувають у крові у вигляді полівалентних аніонів, тобто мають негативний заряд.</w:t>
      </w:r>
    </w:p>
    <w:p w:rsidR="003C0F05" w:rsidRPr="003C0F05" w:rsidRDefault="003C0F05" w:rsidP="003C0F05">
      <w:pPr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pacing w:val="-3"/>
          <w:sz w:val="28"/>
          <w:szCs w:val="28"/>
          <w:lang w:val="uk-UA"/>
        </w:rPr>
        <w:t>З дією буферних систем тісно взаємопов’язане поняття про кисло</w:t>
      </w:r>
      <w:r w:rsidRPr="003C0F05">
        <w:rPr>
          <w:rFonts w:ascii="Times New Roman" w:hAnsi="Times New Roman" w:cs="Times New Roman"/>
          <w:spacing w:val="-3"/>
          <w:sz w:val="28"/>
          <w:szCs w:val="28"/>
          <w:lang w:val="uk-UA"/>
        </w:rPr>
        <w:t>т</w:t>
      </w:r>
      <w:r w:rsidRPr="003C0F05">
        <w:rPr>
          <w:rFonts w:ascii="Times New Roman" w:hAnsi="Times New Roman" w:cs="Times New Roman"/>
          <w:spacing w:val="-3"/>
          <w:sz w:val="28"/>
          <w:szCs w:val="28"/>
          <w:lang w:val="uk-UA"/>
        </w:rPr>
        <w:t>но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pacing w:val="-3"/>
          <w:sz w:val="28"/>
          <w:szCs w:val="28"/>
          <w:lang w:val="uk-UA"/>
        </w:rPr>
        <w:t>основний стан. Кислотно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основний стан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це невід'ємна складова частина гомеостазу внутрішнього середовища організму, яка забезпечує оптимальні умови правильного плину обміну речовин.</w:t>
      </w:r>
    </w:p>
    <w:p w:rsidR="003C0F05" w:rsidRPr="003C0F05" w:rsidRDefault="003C0F05" w:rsidP="003C0F05">
      <w:pPr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Кислотно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основний стан організму медики оцінюють за допомогою рівняння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Гендерсона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Хассельбалха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гідрокарбонатного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буфера крові:</w:t>
      </w:r>
    </w:p>
    <w:p w:rsidR="003C0F05" w:rsidRPr="003C0F05" w:rsidRDefault="003C0F05" w:rsidP="003C0F05">
      <w:pPr>
        <w:tabs>
          <w:tab w:val="center" w:pos="3200"/>
          <w:tab w:val="right" w:pos="6380"/>
        </w:tabs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= 6,1 + lg [HCO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]/pCO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,</w:t>
      </w:r>
    </w:p>
    <w:p w:rsidR="003C0F05" w:rsidRPr="003C0F05" w:rsidRDefault="003C0F05" w:rsidP="003C0F05">
      <w:pPr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де рК = 6,1 (усереднена величина при Т = 311 К), pCO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тиск вуглекислого газу в крові.</w:t>
      </w:r>
    </w:p>
    <w:p w:rsidR="003C0F05" w:rsidRPr="003C0F05" w:rsidRDefault="003C0F05" w:rsidP="003C0F05">
      <w:pPr>
        <w:autoSpaceDE w:val="0"/>
        <w:autoSpaceDN w:val="0"/>
        <w:adjustRightInd w:val="0"/>
        <w:spacing w:after="0" w:line="360" w:lineRule="auto"/>
        <w:ind w:firstLine="709"/>
        <w:jc w:val="distribute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Якщо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крові дорівнює 7,4, то співвідношення між вмістом гідрокарбонат-іонів у плазмі крові й тиском CO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повинне бути 20 :1.</w:t>
      </w:r>
    </w:p>
    <w:p w:rsidR="003C0F05" w:rsidRPr="003C0F05" w:rsidRDefault="003C0F05" w:rsidP="003C0F05">
      <w:pPr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гідрокарбонатної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буферної системи найбільший взаємозв'язок з усіма буферними системами організму. Порушення в будь-якій буферній системі впливає на концентрації складових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гідрокарбонатної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буферної системи, тому зміна її параметрів може досить точно характеризувати стан дихальних або метаболічних порушень, тобто кислотно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основний стан організму. Порушення кислотно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основного стану в організмі компенсуються насамперед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гідрокарбонатною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буферною системою. Цей буфер забезпечує 55 % буферної ємності крові.</w:t>
      </w:r>
    </w:p>
    <w:p w:rsidR="003C0F05" w:rsidRPr="003C0F05" w:rsidRDefault="003C0F05" w:rsidP="003C0F05">
      <w:pPr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Оскільки в регуляції кислотно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>основного стану беруть участь нирки й легені, розрізняють метаболічний і респіраторний ацидоз і алкалоз.</w:t>
      </w:r>
    </w:p>
    <w:p w:rsidR="003C0F05" w:rsidRPr="003C0F05" w:rsidRDefault="003C0F05" w:rsidP="00437261">
      <w:pPr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lastRenderedPageBreak/>
        <w:t xml:space="preserve">Метаболічний ацидоз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 метаболізму, що призводить до падіння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крові внаслідок:</w:t>
      </w:r>
    </w:p>
    <w:p w:rsidR="003C0F05" w:rsidRPr="003C0F05" w:rsidRDefault="003C0F05" w:rsidP="003C0F05">
      <w:pPr>
        <w:tabs>
          <w:tab w:val="left" w:pos="360"/>
        </w:tabs>
        <w:autoSpaceDE w:val="0"/>
        <w:autoSpaceDN w:val="0"/>
        <w:adjustRightInd w:val="0"/>
        <w:spacing w:after="0" w:line="360" w:lineRule="auto"/>
        <w:ind w:left="720" w:hanging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 xml:space="preserve">надлишкового введення або утворення стійких кислот (надходження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кетонокислот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при голодуванні й діабеті, підвищене утворення молочної кислоти при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шоці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, підвищене утворення сульфатної кислоти в процесі посиленого розпаду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біомолекул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та ін.);</w:t>
      </w:r>
    </w:p>
    <w:p w:rsidR="003C0F05" w:rsidRPr="003C0F05" w:rsidRDefault="003C0F05" w:rsidP="003C0F05">
      <w:pPr>
        <w:tabs>
          <w:tab w:val="left" w:pos="360"/>
        </w:tabs>
        <w:autoSpaceDE w:val="0"/>
        <w:autoSpaceDN w:val="0"/>
        <w:adjustRightInd w:val="0"/>
        <w:spacing w:after="0" w:line="360" w:lineRule="auto"/>
        <w:ind w:left="720" w:hanging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неповне видалення кислот при нирковій недостатності;</w:t>
      </w:r>
    </w:p>
    <w:p w:rsidR="003C0F05" w:rsidRPr="003C0F05" w:rsidRDefault="003C0F05" w:rsidP="003C0F05">
      <w:pPr>
        <w:tabs>
          <w:tab w:val="left" w:pos="360"/>
        </w:tabs>
        <w:autoSpaceDE w:val="0"/>
        <w:autoSpaceDN w:val="0"/>
        <w:adjustRightInd w:val="0"/>
        <w:spacing w:after="0" w:line="360" w:lineRule="auto"/>
        <w:ind w:left="720" w:hanging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надлишкова втрата НСО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при поносі, коліті, виразці кишечнику.</w:t>
      </w:r>
    </w:p>
    <w:p w:rsidR="003C0F05" w:rsidRPr="003C0F05" w:rsidRDefault="003C0F05" w:rsidP="00437261">
      <w:pPr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Метаболічний алкалоз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 метаболізму, що приводить до підвищення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крові внаслідок:</w:t>
      </w:r>
    </w:p>
    <w:p w:rsidR="003C0F05" w:rsidRPr="003C0F05" w:rsidRDefault="003C0F05" w:rsidP="003C0F05">
      <w:pPr>
        <w:tabs>
          <w:tab w:val="left" w:pos="360"/>
        </w:tabs>
        <w:autoSpaceDE w:val="0"/>
        <w:autoSpaceDN w:val="0"/>
        <w:adjustRightInd w:val="0"/>
        <w:spacing w:after="0" w:line="360" w:lineRule="auto"/>
        <w:ind w:left="720" w:hanging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втрати Н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(блювота, кишкова непрохідність);</w:t>
      </w:r>
    </w:p>
    <w:p w:rsidR="003C0F05" w:rsidRPr="003C0F05" w:rsidRDefault="003C0F05" w:rsidP="003C0F05">
      <w:pPr>
        <w:tabs>
          <w:tab w:val="left" w:pos="360"/>
        </w:tabs>
        <w:autoSpaceDE w:val="0"/>
        <w:autoSpaceDN w:val="0"/>
        <w:adjustRightInd w:val="0"/>
        <w:spacing w:after="0" w:line="360" w:lineRule="auto"/>
        <w:ind w:left="720" w:hanging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збільшення концентрації НСО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(втрата води, надлишкове введення НСО</w:t>
      </w:r>
      <w:r w:rsidRPr="003C0F0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при метаболічному ацидозі, введення солей молочної, оцтової, лимонної та ін. органічних кислот, які приєднують Н</w:t>
      </w:r>
      <w:r w:rsidRPr="003C0F0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).</w:t>
      </w:r>
    </w:p>
    <w:p w:rsidR="003C0F05" w:rsidRPr="003C0F05" w:rsidRDefault="003C0F05" w:rsidP="00437261">
      <w:pPr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Дихальний ацидоз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некомпенсоване або частково компенсоване зниження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крові внаслідок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гіповентиляції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C0F05" w:rsidRPr="003C0F05" w:rsidRDefault="003C0F05" w:rsidP="003C0F05">
      <w:pPr>
        <w:tabs>
          <w:tab w:val="left" w:pos="360"/>
        </w:tabs>
        <w:autoSpaceDE w:val="0"/>
        <w:autoSpaceDN w:val="0"/>
        <w:adjustRightInd w:val="0"/>
        <w:spacing w:after="0" w:line="360" w:lineRule="auto"/>
        <w:ind w:left="720" w:hanging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захворювання легень і дихальних шляхів (пневмонія, набряк легенів, сторонні предмети у верхніх дихальних шляхах);</w:t>
      </w:r>
    </w:p>
    <w:p w:rsidR="003C0F05" w:rsidRPr="003C0F05" w:rsidRDefault="003C0F05" w:rsidP="003C0F05">
      <w:pPr>
        <w:tabs>
          <w:tab w:val="left" w:pos="360"/>
        </w:tabs>
        <w:autoSpaceDE w:val="0"/>
        <w:autoSpaceDN w:val="0"/>
        <w:adjustRightInd w:val="0"/>
        <w:spacing w:after="0" w:line="360" w:lineRule="auto"/>
        <w:ind w:left="720" w:hanging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ушкодження дихальної мускулатури;</w:t>
      </w:r>
    </w:p>
    <w:p w:rsidR="003C0F05" w:rsidRPr="003C0F05" w:rsidRDefault="003C0F05" w:rsidP="003C0F05">
      <w:pPr>
        <w:tabs>
          <w:tab w:val="left" w:pos="360"/>
        </w:tabs>
        <w:autoSpaceDE w:val="0"/>
        <w:autoSpaceDN w:val="0"/>
        <w:adjustRightInd w:val="0"/>
        <w:spacing w:after="0" w:line="360" w:lineRule="auto"/>
        <w:ind w:left="720" w:hanging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ab/>
        <w:t>гноблення дихального центру ліками або наркотиками (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опіати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>, барбітурати та ін.).</w:t>
      </w:r>
    </w:p>
    <w:p w:rsidR="003C0F05" w:rsidRPr="003C0F05" w:rsidRDefault="003C0F05" w:rsidP="00437261">
      <w:pPr>
        <w:autoSpaceDE w:val="0"/>
        <w:autoSpaceDN w:val="0"/>
        <w:adjustRightInd w:val="0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Дихальний алкалоз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некомпенсоване або частково компенсоване збільшення </w:t>
      </w:r>
      <w:proofErr w:type="spellStart"/>
      <w:r w:rsidRPr="003C0F05">
        <w:rPr>
          <w:rFonts w:ascii="Times New Roman" w:hAnsi="Times New Roman" w:cs="Times New Roman"/>
          <w:i/>
          <w:iCs/>
          <w:sz w:val="28"/>
          <w:szCs w:val="28"/>
          <w:lang w:val="uk-UA"/>
        </w:rPr>
        <w:t>рН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крові внаслідок гіпервентиляції через гарячковий стан або істерію.</w:t>
      </w:r>
    </w:p>
    <w:p w:rsidR="003C0F05" w:rsidRPr="003C0F05" w:rsidRDefault="003C0F05" w:rsidP="004372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F05">
        <w:rPr>
          <w:rFonts w:ascii="Times New Roman" w:hAnsi="Times New Roman" w:cs="Times New Roman"/>
          <w:sz w:val="28"/>
          <w:szCs w:val="28"/>
          <w:lang w:val="uk-UA"/>
        </w:rPr>
        <w:t>Для корекції кислотно</w:t>
      </w:r>
      <w:r w:rsidRPr="003C0F05">
        <w:rPr>
          <w:rFonts w:ascii="Times New Roman" w:eastAsia="MS Mincho" w:hAnsi="Times New Roman" w:cs="Times New Roman"/>
          <w:sz w:val="28"/>
          <w:szCs w:val="28"/>
          <w:lang w:val="uk-UA"/>
        </w:rPr>
        <w:t>–</w:t>
      </w:r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основної рівноваги при ацидозах </w:t>
      </w:r>
      <w:proofErr w:type="spellStart"/>
      <w:r w:rsidRPr="003C0F05">
        <w:rPr>
          <w:rFonts w:ascii="Times New Roman" w:hAnsi="Times New Roman" w:cs="Times New Roman"/>
          <w:sz w:val="28"/>
          <w:szCs w:val="28"/>
          <w:lang w:val="uk-UA"/>
        </w:rPr>
        <w:t>внутрівенно</w:t>
      </w:r>
      <w:proofErr w:type="spellEnd"/>
      <w:r w:rsidRPr="003C0F05">
        <w:rPr>
          <w:rFonts w:ascii="Times New Roman" w:hAnsi="Times New Roman" w:cs="Times New Roman"/>
          <w:sz w:val="28"/>
          <w:szCs w:val="28"/>
          <w:lang w:val="uk-UA"/>
        </w:rPr>
        <w:t xml:space="preserve"> вливають 4 % розчин гідрокарбонату натрію, при алкалозах –  5 % розчин аскорбінової кислоти.</w:t>
      </w:r>
      <w:bookmarkStart w:id="0" w:name="_GoBack"/>
      <w:bookmarkEnd w:id="0"/>
    </w:p>
    <w:p w:rsidR="003C0F05" w:rsidRPr="003C0F05" w:rsidRDefault="003C0F05" w:rsidP="003C0F05">
      <w:pPr>
        <w:spacing w:after="0" w:line="360" w:lineRule="auto"/>
        <w:jc w:val="both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sectPr w:rsidR="003C0F05" w:rsidRPr="003C0F05">
      <w:headerReference w:type="defaul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7261" w:rsidRDefault="00437261" w:rsidP="00437261">
      <w:pPr>
        <w:spacing w:after="0" w:line="240" w:lineRule="auto"/>
      </w:pPr>
      <w:r>
        <w:separator/>
      </w:r>
    </w:p>
  </w:endnote>
  <w:endnote w:type="continuationSeparator" w:id="0">
    <w:p w:rsidR="00437261" w:rsidRDefault="00437261" w:rsidP="004372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7261" w:rsidRDefault="00437261" w:rsidP="00437261">
      <w:pPr>
        <w:spacing w:after="0" w:line="240" w:lineRule="auto"/>
      </w:pPr>
      <w:r>
        <w:separator/>
      </w:r>
    </w:p>
  </w:footnote>
  <w:footnote w:type="continuationSeparator" w:id="0">
    <w:p w:rsidR="00437261" w:rsidRDefault="00437261" w:rsidP="004372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55375989"/>
      <w:docPartObj>
        <w:docPartGallery w:val="Page Numbers (Top of Page)"/>
        <w:docPartUnique/>
      </w:docPartObj>
    </w:sdtPr>
    <w:sdtContent>
      <w:p w:rsidR="00437261" w:rsidRDefault="00437261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437261" w:rsidRDefault="00437261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1C3FE2"/>
    <w:multiLevelType w:val="hybridMultilevel"/>
    <w:tmpl w:val="AD2CE1AE"/>
    <w:lvl w:ilvl="0" w:tplc="E9FE6B94">
      <w:start w:val="6"/>
      <w:numFmt w:val="bullet"/>
      <w:lvlText w:val="–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F05"/>
    <w:rsid w:val="00304763"/>
    <w:rsid w:val="003C0F05"/>
    <w:rsid w:val="00437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0F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C0F05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372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37261"/>
  </w:style>
  <w:style w:type="paragraph" w:styleId="a7">
    <w:name w:val="footer"/>
    <w:basedOn w:val="a"/>
    <w:link w:val="a8"/>
    <w:uiPriority w:val="99"/>
    <w:unhideWhenUsed/>
    <w:rsid w:val="004372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372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0F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C0F05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4372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37261"/>
  </w:style>
  <w:style w:type="paragraph" w:styleId="a7">
    <w:name w:val="footer"/>
    <w:basedOn w:val="a"/>
    <w:link w:val="a8"/>
    <w:uiPriority w:val="99"/>
    <w:unhideWhenUsed/>
    <w:rsid w:val="004372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372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w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9</Pages>
  <Words>1594</Words>
  <Characters>9086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место5</dc:creator>
  <cp:lastModifiedBy>место5</cp:lastModifiedBy>
  <cp:revision>1</cp:revision>
  <dcterms:created xsi:type="dcterms:W3CDTF">2014-10-08T13:34:00Z</dcterms:created>
  <dcterms:modified xsi:type="dcterms:W3CDTF">2014-10-08T13:45:00Z</dcterms:modified>
</cp:coreProperties>
</file>