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Style w:val="Heading3"/>
        <w:keepNext w:val="0"/>
        <w:keepLines w:val="0"/>
        <w:spacing w:before="280" w:line="240" w:lineRule="auto"/>
        <w:jc w:val="both"/>
        <w:rPr>
          <w:rFonts w:ascii="Times New Roman" w:cs="Times New Roman" w:eastAsia="Times New Roman" w:hAnsi="Times New Roman"/>
          <w:color w:val="000000"/>
        </w:rPr>
      </w:pPr>
      <w:bookmarkStart w:colFirst="0" w:colLast="0" w:name="_ehnzeotzvvos" w:id="0"/>
      <w:bookmarkEnd w:id="0"/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Секція №1:Педагогіка та психологія </w:t>
      </w:r>
    </w:p>
    <w:p w:rsidR="00000000" w:rsidDel="00000000" w:rsidP="00000000" w:rsidRDefault="00000000" w:rsidRPr="00000000" w14:paraId="00000002">
      <w:pPr>
        <w:pStyle w:val="Heading3"/>
        <w:keepNext w:val="0"/>
        <w:keepLines w:val="0"/>
        <w:spacing w:after="0" w:before="0" w:line="240" w:lineRule="auto"/>
        <w:jc w:val="both"/>
        <w:rPr>
          <w:rFonts w:ascii="Times New Roman" w:cs="Times New Roman" w:eastAsia="Times New Roman" w:hAnsi="Times New Roman"/>
          <w:b w:val="1"/>
          <w:color w:val="000000"/>
        </w:rPr>
      </w:pPr>
      <w:bookmarkStart w:colFirst="0" w:colLast="0" w:name="_xmyivcgnr6yj" w:id="1"/>
      <w:bookmarkEnd w:id="1"/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rtl w:val="0"/>
        </w:rPr>
        <w:t xml:space="preserve">Ризики застосування здобувачами вищої освіти он-лайн перекладачів та штучного інтелекту для перекладу термінів на заняттях з латинської мови та медичної термінології</w:t>
      </w:r>
    </w:p>
    <w:p w:rsidR="00000000" w:rsidDel="00000000" w:rsidP="00000000" w:rsidRDefault="00000000" w:rsidRPr="00000000" w14:paraId="00000003">
      <w:pPr>
        <w:spacing w:line="240" w:lineRule="auto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Колісник М.І</w:t>
      </w:r>
    </w:p>
    <w:p w:rsidR="00000000" w:rsidDel="00000000" w:rsidP="00000000" w:rsidRDefault="00000000" w:rsidRPr="00000000" w14:paraId="00000004">
      <w:pPr>
        <w:pStyle w:val="Heading3"/>
        <w:keepNext w:val="0"/>
        <w:keepLines w:val="0"/>
        <w:spacing w:after="0" w:before="0" w:line="240" w:lineRule="auto"/>
        <w:jc w:val="both"/>
        <w:rPr>
          <w:rFonts w:ascii="Times New Roman" w:cs="Times New Roman" w:eastAsia="Times New Roman" w:hAnsi="Times New Roman"/>
          <w:b w:val="1"/>
          <w:color w:val="000000"/>
        </w:rPr>
      </w:pPr>
      <w:bookmarkStart w:colFirst="0" w:colLast="0" w:name="_iizo743tk3nb" w:id="2"/>
      <w:bookmarkEnd w:id="2"/>
      <w:r w:rsidDel="00000000" w:rsidR="00000000" w:rsidRPr="00000000">
        <w:rPr>
          <w:rFonts w:ascii="Times New Roman" w:cs="Times New Roman" w:eastAsia="Times New Roman" w:hAnsi="Times New Roman"/>
          <w:i w:val="1"/>
          <w:color w:val="000000"/>
          <w:rtl w:val="0"/>
        </w:rPr>
        <w:t xml:space="preserve">Харківський національний медичний університет, м. Харків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rtl w:val="0"/>
        </w:rPr>
        <w:t xml:space="preserve"> </w:t>
      </w:r>
    </w:p>
    <w:p w:rsidR="00000000" w:rsidDel="00000000" w:rsidP="00000000" w:rsidRDefault="00000000" w:rsidRPr="00000000" w14:paraId="00000005">
      <w:pPr>
        <w:pStyle w:val="Heading3"/>
        <w:keepNext w:val="0"/>
        <w:keepLines w:val="0"/>
        <w:spacing w:after="0" w:before="0" w:line="240" w:lineRule="auto"/>
        <w:jc w:val="both"/>
        <w:rPr>
          <w:rFonts w:ascii="Times New Roman" w:cs="Times New Roman" w:eastAsia="Times New Roman" w:hAnsi="Times New Roman"/>
          <w:b w:val="1"/>
          <w:color w:val="000000"/>
        </w:rPr>
      </w:pPr>
      <w:bookmarkStart w:colFirst="0" w:colLast="0" w:name="_macr7srf0t6f" w:id="3"/>
      <w:bookmarkEnd w:id="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Style w:val="Heading3"/>
        <w:keepNext w:val="0"/>
        <w:keepLines w:val="0"/>
        <w:spacing w:after="0" w:before="0" w:line="360" w:lineRule="auto"/>
        <w:ind w:firstLine="720"/>
        <w:jc w:val="both"/>
        <w:rPr>
          <w:rFonts w:ascii="Times New Roman" w:cs="Times New Roman" w:eastAsia="Times New Roman" w:hAnsi="Times New Roman"/>
          <w:b w:val="1"/>
          <w:color w:val="000000"/>
        </w:rPr>
      </w:pPr>
      <w:bookmarkStart w:colFirst="0" w:colLast="0" w:name="_4ubigxqru1q7" w:id="4"/>
      <w:bookmarkEnd w:id="4"/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У дослідженні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розглядаються проблеми, пов’язані із використанням здобувачами вищої освіти онлайн-перекладачів та штучного інтелекту для перекладу анатомо-гістологічних, клінічних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та фармацевтичних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 термінів. Наведено результати аналізу точності перекладу, здійсненого за допомогою Google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-п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ерекладача, ChatGPT та ШІ Gemini, які демонструють значні ризики некоректного перекладу спеціалізованої термінології.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br w:type="textWrapping"/>
        <w:tab/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Сучасні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здобувачі вищої освіти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 активно інтегрують сучасні технології в освітній процес.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Однак, п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опри зручність сучасних технологій, точність перекладу спеціалізованих термінів залишається недостатньою, що створює труднощі у навчанні та засвоєнні греко-латинської медичної термінології.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rtl w:val="0"/>
        </w:rPr>
        <w:t xml:space="preserve"> </w:t>
      </w:r>
    </w:p>
    <w:p w:rsidR="00000000" w:rsidDel="00000000" w:rsidP="00000000" w:rsidRDefault="00000000" w:rsidRPr="00000000" w14:paraId="00000007">
      <w:pPr>
        <w:pStyle w:val="Heading3"/>
        <w:keepNext w:val="0"/>
        <w:keepLines w:val="0"/>
        <w:spacing w:after="0" w:before="0" w:line="360" w:lineRule="auto"/>
        <w:ind w:firstLine="720"/>
        <w:jc w:val="both"/>
        <w:rPr>
          <w:rFonts w:ascii="Times New Roman" w:cs="Times New Roman" w:eastAsia="Times New Roman" w:hAnsi="Times New Roman"/>
          <w:b w:val="1"/>
          <w:color w:val="000000"/>
        </w:rPr>
      </w:pPr>
      <w:bookmarkStart w:colFirst="0" w:colLast="0" w:name="_qd9wdgw77rep" w:id="5"/>
      <w:bookmarkEnd w:id="5"/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У межах дослідження було проаналізовано точність перекладу близько 100 анатомо-гістологічних клінічних і фармацевтичних термінів (назви органів, тканин, патологічних станів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та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 процесів) за допомогою трьох інструментів: Google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-п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ерекладач, ChatGPT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та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 ШІ Gemini.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Style w:val="Heading3"/>
        <w:keepNext w:val="0"/>
        <w:keepLines w:val="0"/>
        <w:spacing w:after="0" w:before="0" w:line="360" w:lineRule="auto"/>
        <w:ind w:firstLine="720"/>
        <w:jc w:val="both"/>
        <w:rPr>
          <w:rFonts w:ascii="Times New Roman" w:cs="Times New Roman" w:eastAsia="Times New Roman" w:hAnsi="Times New Roman"/>
          <w:color w:val="000000"/>
        </w:rPr>
      </w:pPr>
      <w:bookmarkStart w:colFirst="0" w:colLast="0" w:name="_bh2dp5uzp050" w:id="6"/>
      <w:bookmarkEnd w:id="6"/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Точність перекладу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rtl w:val="0"/>
        </w:rPr>
        <w:t xml:space="preserve">Google Перекладач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 склала 65%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; н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айбільше помилок спостерігалося у складних анатомо-гістологічних термінах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; було помічено, що с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туденти з низьким рівнем володіння лексичного матеріалу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частіше використовували цей інструмент і допускали більше помилок.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ChatGPT.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Точність перекладу становила 78%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; н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езважаючи на вищу точність, інколи зустрічалися помилки в інтерпретації контексту.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Точність перекладу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rtl w:val="0"/>
        </w:rPr>
        <w:t xml:space="preserve">ШІ Gemini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 досягла 85%, однак помилки все одно виникали при перекладі термінів із подвійним значенням.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Style w:val="Heading3"/>
        <w:keepNext w:val="0"/>
        <w:keepLines w:val="0"/>
        <w:spacing w:after="0" w:before="0" w:line="360" w:lineRule="auto"/>
        <w:ind w:firstLine="720"/>
        <w:jc w:val="both"/>
        <w:rPr>
          <w:rFonts w:ascii="Times New Roman" w:cs="Times New Roman" w:eastAsia="Times New Roman" w:hAnsi="Times New Roman"/>
          <w:color w:val="000000"/>
        </w:rPr>
      </w:pPr>
      <w:bookmarkStart w:colFirst="0" w:colLast="0" w:name="_c260uxqkzjyo" w:id="7"/>
      <w:bookmarkEnd w:id="7"/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Результати дослідження демонструють, що сучасні онлайн-інструменти перекладу можуть бути корисними для початкового ознайомлення з термінологією, однак їхня ефективність є обмеженою, особливо у випадку складних і специфічних термінів. Надмірна залежність від таких інструментів знижує мотивацію до вивчення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термінології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, що може призводити до збільшення помилок.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pStyle w:val="Heading3"/>
        <w:keepNext w:val="0"/>
        <w:keepLines w:val="0"/>
        <w:spacing w:after="0" w:before="0" w:line="360" w:lineRule="auto"/>
        <w:ind w:firstLine="720"/>
        <w:jc w:val="both"/>
        <w:rPr>
          <w:rFonts w:ascii="Times New Roman" w:cs="Times New Roman" w:eastAsia="Times New Roman" w:hAnsi="Times New Roman"/>
          <w:color w:val="000000"/>
        </w:rPr>
      </w:pPr>
      <w:bookmarkStart w:colFirst="0" w:colLast="0" w:name="_otsmnt39285u" w:id="8"/>
      <w:bookmarkEnd w:id="8"/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Рекомендується використовувати онлайн-перекладачі виключно як допоміжний інструмент.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Необхідно поєднувати використання сучасних технологій із традиційними методами навчання (словники, консультації викладачів).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Для підвищення ефективності навчання слід акцентувати увагу на розвитку критичного мислення у студентів та їх навичок роботи з термінологічними джерелами.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Результати дослідження засвідчили, що використання онлайн-перекладачів і штучного інтелекту для перекладу анатомо-гістологічних, клінічних та фармацевтичних термінів має як переваги, так і значні ризики.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Важливу роль у процесі навчання відіграють викладачі, які мають допомагати студентам інтерпретувати та перевіряти результати перекладу, пояснюючи можливі помилки та особливості термінології.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Навчальні програми мають акцентувати увагу на розвитку критичного мислення, зокрема вмінні аналізувати достовірність отриманого перекладу та порівнювати його з авторитетними джерелами.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Доцільно продовжити аналіз ефективності нових поколінь систем штучного інтелекту в перекладі спеціалізованих термінів.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pStyle w:val="Heading3"/>
        <w:keepNext w:val="0"/>
        <w:keepLines w:val="0"/>
        <w:spacing w:after="0" w:before="0" w:line="360" w:lineRule="auto"/>
        <w:ind w:firstLine="720"/>
        <w:jc w:val="both"/>
        <w:rPr>
          <w:rFonts w:ascii="Times New Roman" w:cs="Times New Roman" w:eastAsia="Times New Roman" w:hAnsi="Times New Roman"/>
          <w:color w:val="000000"/>
        </w:rPr>
      </w:pPr>
      <w:bookmarkStart w:colFirst="0" w:colLast="0" w:name="_jubj6r7ycp6v" w:id="9"/>
      <w:bookmarkEnd w:id="9"/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Варто оцінити, як інтеграція цих інструментів у навчальний процес може впливати на довгострокову успішність студентів у вивченні латинської мови та медичної термінології.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pStyle w:val="Heading3"/>
        <w:keepNext w:val="0"/>
        <w:keepLines w:val="0"/>
        <w:spacing w:after="0" w:before="0" w:line="360" w:lineRule="auto"/>
        <w:ind w:firstLine="720"/>
        <w:jc w:val="both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bookmarkStart w:colFirst="0" w:colLast="0" w:name="_438oe3f00fv3" w:id="10"/>
      <w:bookmarkEnd w:id="1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360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uk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