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614E4" w:rsidRPr="002614E4" w:rsidRDefault="002614E4" w:rsidP="002614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2614E4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40D80126" wp14:editId="39B0DEC1">
            <wp:extent cx="704215" cy="420370"/>
            <wp:effectExtent l="0" t="0" r="635" b="0"/>
            <wp:docPr id="1" name="Рисунок 1" descr="Издательский дом &quot;Заславский&quot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Издательский дом &quot;Заславский&quot;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4215" cy="4203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614E4" w:rsidRPr="002614E4" w:rsidRDefault="002614E4" w:rsidP="002614E4">
      <w:pPr>
        <w:spacing w:before="375" w:after="330" w:line="240" w:lineRule="auto"/>
        <w:outlineLvl w:val="0"/>
        <w:rPr>
          <w:rFonts w:ascii="Verdana" w:eastAsia="Times New Roman" w:hAnsi="Verdana" w:cs="Times New Roman"/>
          <w:b/>
          <w:bCs/>
          <w:color w:val="000000"/>
          <w:kern w:val="36"/>
          <w:sz w:val="24"/>
          <w:szCs w:val="24"/>
          <w:lang w:val="ru-RU"/>
        </w:rPr>
      </w:pPr>
      <w:bookmarkStart w:id="0" w:name="_GoBack"/>
      <w:bookmarkEnd w:id="0"/>
      <w:r w:rsidRPr="002614E4">
        <w:rPr>
          <w:rFonts w:ascii="Verdana" w:eastAsia="Times New Roman" w:hAnsi="Verdana" w:cs="Times New Roman"/>
          <w:b/>
          <w:bCs/>
          <w:color w:val="000000"/>
          <w:kern w:val="36"/>
          <w:sz w:val="24"/>
          <w:szCs w:val="24"/>
          <w:lang w:val="ru-RU"/>
        </w:rPr>
        <w:t>Журнал «Здоровье ребенка» Том 13, №1, 2018</w:t>
      </w:r>
    </w:p>
    <w:p w:rsidR="002614E4" w:rsidRPr="002614E4" w:rsidRDefault="002614E4" w:rsidP="002614E4">
      <w:pPr>
        <w:spacing w:before="375" w:after="330" w:line="240" w:lineRule="auto"/>
        <w:outlineLvl w:val="0"/>
        <w:rPr>
          <w:rFonts w:ascii="Verdana" w:eastAsia="Times New Roman" w:hAnsi="Verdana" w:cs="Times New Roman"/>
          <w:b/>
          <w:bCs/>
          <w:color w:val="000000"/>
          <w:kern w:val="36"/>
          <w:sz w:val="24"/>
          <w:szCs w:val="24"/>
          <w:lang w:val="ru-RU"/>
        </w:rPr>
      </w:pPr>
      <w:r w:rsidRPr="002614E4">
        <w:rPr>
          <w:rFonts w:ascii="Verdana" w:eastAsia="Times New Roman" w:hAnsi="Verdana" w:cs="Times New Roman"/>
          <w:b/>
          <w:bCs/>
          <w:color w:val="000000"/>
          <w:kern w:val="36"/>
          <w:sz w:val="24"/>
          <w:szCs w:val="24"/>
          <w:lang w:val="ru-RU"/>
        </w:rPr>
        <w:t xml:space="preserve">Хронічна гранулематозна </w:t>
      </w:r>
      <w:proofErr w:type="gramStart"/>
      <w:r w:rsidRPr="002614E4">
        <w:rPr>
          <w:rFonts w:ascii="Verdana" w:eastAsia="Times New Roman" w:hAnsi="Verdana" w:cs="Times New Roman"/>
          <w:b/>
          <w:bCs/>
          <w:color w:val="000000"/>
          <w:kern w:val="36"/>
          <w:sz w:val="24"/>
          <w:szCs w:val="24"/>
          <w:lang w:val="ru-RU"/>
        </w:rPr>
        <w:t>хвороба</w:t>
      </w:r>
      <w:proofErr w:type="gramEnd"/>
      <w:r w:rsidRPr="002614E4">
        <w:rPr>
          <w:rFonts w:ascii="Verdana" w:eastAsia="Times New Roman" w:hAnsi="Verdana" w:cs="Times New Roman"/>
          <w:b/>
          <w:bCs/>
          <w:color w:val="000000"/>
          <w:kern w:val="36"/>
          <w:sz w:val="24"/>
          <w:szCs w:val="24"/>
          <w:lang w:val="ru-RU"/>
        </w:rPr>
        <w:t>: діагностика та ведення хворих на сучасному етапі</w:t>
      </w:r>
    </w:p>
    <w:p w:rsidR="002614E4" w:rsidRPr="002614E4" w:rsidRDefault="002614E4" w:rsidP="002614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2614E4">
        <w:rPr>
          <w:rFonts w:ascii="Verdana" w:eastAsia="Times New Roman" w:hAnsi="Verdana" w:cs="Times New Roman"/>
          <w:b/>
          <w:bCs/>
          <w:color w:val="000000"/>
          <w:sz w:val="17"/>
          <w:szCs w:val="17"/>
          <w:lang w:val="ru-RU"/>
        </w:rPr>
        <w:t>Авторы:</w:t>
      </w:r>
      <w:r w:rsidRPr="002614E4">
        <w:rPr>
          <w:rFonts w:ascii="Verdana" w:eastAsia="Times New Roman" w:hAnsi="Verdana" w:cs="Times New Roman"/>
          <w:color w:val="000000"/>
          <w:sz w:val="17"/>
          <w:szCs w:val="17"/>
          <w:lang w:val="ru-RU"/>
        </w:rPr>
        <w:t xml:space="preserve"> Клименко В.А., </w:t>
      </w:r>
      <w:proofErr w:type="gramStart"/>
      <w:r w:rsidRPr="002614E4">
        <w:rPr>
          <w:rFonts w:ascii="Verdana" w:eastAsia="Times New Roman" w:hAnsi="Verdana" w:cs="Times New Roman"/>
          <w:color w:val="000000"/>
          <w:sz w:val="17"/>
          <w:szCs w:val="17"/>
          <w:lang w:val="ru-RU"/>
        </w:rPr>
        <w:t>П</w:t>
      </w:r>
      <w:proofErr w:type="gramEnd"/>
      <w:r w:rsidRPr="002614E4">
        <w:rPr>
          <w:rFonts w:ascii="Verdana" w:eastAsia="Times New Roman" w:hAnsi="Verdana" w:cs="Times New Roman"/>
          <w:color w:val="000000"/>
          <w:sz w:val="17"/>
          <w:szCs w:val="17"/>
          <w:lang w:val="ru-RU"/>
        </w:rPr>
        <w:t>іонтковська О.В., Лупальцова О.С., Халтурина Т.О., Савво О.М., Тімохіна</w:t>
      </w:r>
      <w:r w:rsidRPr="002614E4">
        <w:rPr>
          <w:rFonts w:ascii="Verdana" w:eastAsia="Times New Roman" w:hAnsi="Verdana" w:cs="Times New Roman"/>
          <w:color w:val="000000"/>
          <w:sz w:val="17"/>
          <w:szCs w:val="17"/>
        </w:rPr>
        <w:t> </w:t>
      </w:r>
      <w:r w:rsidRPr="002614E4">
        <w:rPr>
          <w:rFonts w:ascii="Verdana" w:eastAsia="Times New Roman" w:hAnsi="Verdana" w:cs="Times New Roman"/>
          <w:color w:val="000000"/>
          <w:sz w:val="17"/>
          <w:szCs w:val="17"/>
          <w:lang w:val="ru-RU"/>
        </w:rPr>
        <w:t>Н.І., Соболєва Г.М.</w:t>
      </w:r>
      <w:r w:rsidRPr="002614E4">
        <w:rPr>
          <w:rFonts w:ascii="Verdana" w:eastAsia="Times New Roman" w:hAnsi="Verdana" w:cs="Times New Roman"/>
          <w:color w:val="000000"/>
          <w:sz w:val="17"/>
          <w:szCs w:val="17"/>
          <w:lang w:val="ru-RU"/>
        </w:rPr>
        <w:br/>
        <w:t xml:space="preserve">Харківський національний медичний університет МОЗ України, м. Харків, Україна </w:t>
      </w:r>
      <w:r w:rsidRPr="002614E4">
        <w:rPr>
          <w:rFonts w:ascii="Verdana" w:eastAsia="Times New Roman" w:hAnsi="Verdana" w:cs="Times New Roman"/>
          <w:color w:val="000000"/>
          <w:sz w:val="17"/>
          <w:szCs w:val="17"/>
          <w:lang w:val="ru-RU"/>
        </w:rPr>
        <w:br/>
      </w:r>
      <w:r w:rsidRPr="002614E4">
        <w:rPr>
          <w:rFonts w:ascii="Verdana" w:eastAsia="Times New Roman" w:hAnsi="Verdana" w:cs="Times New Roman"/>
          <w:b/>
          <w:bCs/>
          <w:color w:val="000000"/>
          <w:sz w:val="17"/>
          <w:szCs w:val="17"/>
          <w:lang w:val="ru-RU"/>
        </w:rPr>
        <w:t>Рубрики:</w:t>
      </w:r>
      <w:r w:rsidRPr="002614E4">
        <w:rPr>
          <w:rFonts w:ascii="Verdana" w:eastAsia="Times New Roman" w:hAnsi="Verdana" w:cs="Times New Roman"/>
          <w:color w:val="000000"/>
          <w:sz w:val="17"/>
          <w:szCs w:val="17"/>
          <w:lang w:val="ru-RU"/>
        </w:rPr>
        <w:t xml:space="preserve"> Педиатрия/Неонатология </w:t>
      </w:r>
      <w:r w:rsidRPr="002614E4">
        <w:rPr>
          <w:rFonts w:ascii="Verdana" w:eastAsia="Times New Roman" w:hAnsi="Verdana" w:cs="Times New Roman"/>
          <w:color w:val="000000"/>
          <w:sz w:val="17"/>
          <w:szCs w:val="17"/>
          <w:lang w:val="ru-RU"/>
        </w:rPr>
        <w:br/>
      </w:r>
      <w:r w:rsidRPr="002614E4">
        <w:rPr>
          <w:rFonts w:ascii="Verdana" w:eastAsia="Times New Roman" w:hAnsi="Verdana" w:cs="Times New Roman"/>
          <w:b/>
          <w:bCs/>
          <w:color w:val="000000"/>
          <w:sz w:val="17"/>
          <w:szCs w:val="17"/>
          <w:lang w:val="ru-RU"/>
        </w:rPr>
        <w:t>Разделы:</w:t>
      </w:r>
      <w:r w:rsidRPr="002614E4">
        <w:rPr>
          <w:rFonts w:ascii="Verdana" w:eastAsia="Times New Roman" w:hAnsi="Verdana" w:cs="Times New Roman"/>
          <w:color w:val="000000"/>
          <w:sz w:val="17"/>
          <w:szCs w:val="17"/>
          <w:lang w:val="ru-RU"/>
        </w:rPr>
        <w:t xml:space="preserve"> Справочник специалиста </w:t>
      </w:r>
      <w:r w:rsidRPr="002614E4">
        <w:rPr>
          <w:rFonts w:ascii="Verdana" w:eastAsia="Times New Roman" w:hAnsi="Verdana" w:cs="Times New Roman"/>
          <w:color w:val="000000"/>
          <w:sz w:val="17"/>
          <w:szCs w:val="17"/>
          <w:lang w:val="ru-RU"/>
        </w:rPr>
        <w:br/>
      </w:r>
      <w:r w:rsidRPr="002614E4">
        <w:rPr>
          <w:rFonts w:ascii="Verdana" w:eastAsia="Times New Roman" w:hAnsi="Verdana" w:cs="Times New Roman"/>
          <w:color w:val="000000"/>
          <w:sz w:val="17"/>
          <w:szCs w:val="17"/>
          <w:lang w:val="ru-RU"/>
        </w:rPr>
        <w:br/>
      </w:r>
    </w:p>
    <w:p w:rsidR="002614E4" w:rsidRPr="002614E4" w:rsidRDefault="002614E4" w:rsidP="002614E4">
      <w:pPr>
        <w:spacing w:after="240" w:line="240" w:lineRule="auto"/>
        <w:rPr>
          <w:rFonts w:ascii="Verdana" w:eastAsia="Times New Roman" w:hAnsi="Verdana" w:cs="Times New Roman"/>
          <w:color w:val="000000"/>
          <w:sz w:val="17"/>
          <w:szCs w:val="17"/>
          <w:lang w:val="ru-RU"/>
        </w:rPr>
      </w:pPr>
      <w:r w:rsidRPr="002614E4">
        <w:rPr>
          <w:rFonts w:ascii="Verdana" w:eastAsia="Times New Roman" w:hAnsi="Verdana" w:cs="Times New Roman"/>
          <w:b/>
          <w:bCs/>
          <w:color w:val="000000"/>
          <w:sz w:val="17"/>
          <w:szCs w:val="17"/>
          <w:lang w:val="ru-RU"/>
        </w:rPr>
        <w:t>Резюме</w:t>
      </w:r>
    </w:p>
    <w:p w:rsidR="002614E4" w:rsidRPr="002614E4" w:rsidRDefault="002614E4" w:rsidP="002614E4">
      <w:pPr>
        <w:spacing w:before="165" w:line="240" w:lineRule="auto"/>
        <w:rPr>
          <w:rFonts w:ascii="Verdana" w:eastAsia="Times New Roman" w:hAnsi="Verdana" w:cs="Times New Roman"/>
          <w:color w:val="000000"/>
          <w:sz w:val="17"/>
          <w:szCs w:val="17"/>
          <w:lang w:val="ru-RU"/>
        </w:rPr>
      </w:pPr>
      <w:r w:rsidRPr="002614E4">
        <w:rPr>
          <w:rFonts w:ascii="Verdana" w:eastAsia="Times New Roman" w:hAnsi="Verdana" w:cs="Times New Roman"/>
          <w:color w:val="000000"/>
          <w:sz w:val="17"/>
          <w:szCs w:val="17"/>
          <w:lang w:val="ru-RU"/>
        </w:rPr>
        <w:t>В статье представлены сведения о распространенности, диагностике, лечении, профилактике бактериальных и грибковых инфекций у детей с хронической гранулематозной болезнью.</w:t>
      </w:r>
    </w:p>
    <w:p w:rsidR="002614E4" w:rsidRPr="002614E4" w:rsidRDefault="002614E4" w:rsidP="002614E4">
      <w:pPr>
        <w:spacing w:after="240" w:line="240" w:lineRule="auto"/>
        <w:rPr>
          <w:rFonts w:ascii="Verdana" w:eastAsia="Times New Roman" w:hAnsi="Verdana" w:cs="Times New Roman"/>
          <w:color w:val="000000"/>
          <w:sz w:val="17"/>
          <w:szCs w:val="17"/>
          <w:lang w:val="ru-RU"/>
        </w:rPr>
      </w:pPr>
      <w:r w:rsidRPr="002614E4">
        <w:rPr>
          <w:rFonts w:ascii="Verdana" w:eastAsia="Times New Roman" w:hAnsi="Verdana" w:cs="Times New Roman"/>
          <w:b/>
          <w:bCs/>
          <w:color w:val="000000"/>
          <w:sz w:val="17"/>
          <w:szCs w:val="17"/>
          <w:lang w:val="ru-RU"/>
        </w:rPr>
        <w:t>Ключевые слова</w:t>
      </w:r>
    </w:p>
    <w:p w:rsidR="002614E4" w:rsidRPr="002614E4" w:rsidRDefault="002614E4" w:rsidP="002614E4">
      <w:pPr>
        <w:spacing w:before="165" w:line="240" w:lineRule="auto"/>
        <w:rPr>
          <w:rFonts w:ascii="Verdana" w:eastAsia="Times New Roman" w:hAnsi="Verdana" w:cs="Times New Roman"/>
          <w:color w:val="000000"/>
          <w:sz w:val="17"/>
          <w:szCs w:val="17"/>
          <w:lang w:val="ru-RU"/>
        </w:rPr>
      </w:pPr>
      <w:r w:rsidRPr="002614E4">
        <w:rPr>
          <w:rFonts w:ascii="Verdana" w:eastAsia="Times New Roman" w:hAnsi="Verdana" w:cs="Times New Roman"/>
          <w:color w:val="000000"/>
          <w:sz w:val="17"/>
          <w:szCs w:val="17"/>
          <w:lang w:val="ru-RU"/>
        </w:rPr>
        <w:t>хроническая гранулематозная болезнь; дети</w:t>
      </w:r>
    </w:p>
    <w:p w:rsidR="002614E4" w:rsidRPr="002614E4" w:rsidRDefault="002614E4" w:rsidP="002614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2614E4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24C72DBB" wp14:editId="08321D81">
            <wp:extent cx="1902460" cy="1628140"/>
            <wp:effectExtent l="0" t="0" r="2540" b="0"/>
            <wp:docPr id="2" name="Рисунок 2" descr="Хронічна гранулематозна хвороба:  діагностика та ведення хворих на сучасному етапі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Хронічна гранулематозна хвороба:  діагностика та ведення хворих на сучасному етапі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2460" cy="1628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614E4" w:rsidRPr="002614E4" w:rsidRDefault="002614E4" w:rsidP="002614E4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</w:rPr>
      </w:pP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</w:rPr>
        <w:t>Хронічна гранулематозна хвороба (ХГХ) є рідкісним, спадковим захворюванням імунної системи, основою якої є дефект фагоцитів, що призводить до неефективного знищення бактеріальної і грибкової флори.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</w:rPr>
        <w:t xml:space="preserve"> 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</w:rPr>
        <w:t>Саме тому хворі на ХГХ спри–йнятливі до серйозних, потенційно небезпечних для життя бактеріальних і грибкових інфекцій та мають нормальний імунітет до вірусних інфекцій.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</w:rPr>
        <w:t> </w:t>
      </w:r>
    </w:p>
    <w:p w:rsidR="002614E4" w:rsidRPr="002614E4" w:rsidRDefault="002614E4" w:rsidP="002614E4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</w:pPr>
      <w:r w:rsidRPr="002614E4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val="ru-RU"/>
        </w:rPr>
        <w:t>Біохі</w:t>
      </w:r>
      <w:proofErr w:type="gramStart"/>
      <w:r w:rsidRPr="002614E4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val="ru-RU"/>
        </w:rPr>
        <w:t>м</w:t>
      </w:r>
      <w:proofErr w:type="gramEnd"/>
      <w:r w:rsidRPr="002614E4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val="ru-RU"/>
        </w:rPr>
        <w:t>ічні основи ХГХ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. До основних порушень, що лежать 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в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 основі ХГХ, відносяться зміни процесу окисного метаболізму і вироблення окислювальних реактивних радикалів 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п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ід час фагоцитозу. У хворих НАД і НАДФ присутні в фагоцитуючих клітинах, однак в процесі фагоцитозу активність цих коферменті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в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 не збільшується. Це відбувається через відсутність одного з компонентів НАДФН-оксидази, яка каталізує утворення супероксиду, попередника генерації потужних сполук-окислювачів шляхом трансмембранного проходження електронів 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в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ід НАДФН-оксидази на молекулярний кисень [1].</w:t>
      </w:r>
    </w:p>
    <w:p w:rsidR="002614E4" w:rsidRPr="002614E4" w:rsidRDefault="002614E4" w:rsidP="002614E4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</w:rPr>
      </w:pPr>
      <w:r w:rsidRPr="002614E4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val="ru-RU"/>
        </w:rPr>
        <w:t>Захворюваність і поширеність ХГХ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. Точна частота поширення ХГХ невідома. За даними літератури, поширеність ХГХ становить від 1 : 4 000 000 в США до 8,5 : 1 000 000 населення Великої Британії та Ірландії. Незважаючи на існуючу антибактеріальну і протигрибкову 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проф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ілактику у цих хворих на сучасному етапі, захворюваність на тяжкі інфекційні ускладнення залишається високою. За ретроспективними даними, зібраними у 2001 р., можливість виживання до 30 рокі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в становила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 50 %. Враховуючи досягнення сучасної медицини в галузі ранньої діагностики і кращого лікування, ці показники будуть поліпшуватися з кожним роком. При 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п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ідозрі на ХГХ важливим є направлення хворого до спеціалізованого імунологічного центру для подальшого специфічного лабораторного дослідження, генетичного тестування та консультації усіх членів сім’ї. Серед особливостей успадкування ХГХ слід зазначити, що дефекти, зчеплені з Х-хромосомою, найчастіше зустрічаються у західних країнах, на відміну від країн Близького Сходу, де частіше спостерігається автосомно-рецесивна форма захворювання [1–3]. 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</w:rPr>
        <w:t>Поширеність генетичних дефектів і тип успадкування наведено в табл.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</w:rPr>
        <w:t xml:space="preserve"> 1.</w:t>
      </w:r>
    </w:p>
    <w:p w:rsidR="002614E4" w:rsidRDefault="002614E4" w:rsidP="002614E4">
      <w:pPr>
        <w:spacing w:after="0" w:line="240" w:lineRule="auto"/>
        <w:jc w:val="center"/>
        <w:rPr>
          <w:rFonts w:ascii="Verdana" w:eastAsia="Times New Roman" w:hAnsi="Verdana" w:cs="Times New Roman"/>
          <w:color w:val="000000"/>
          <w:sz w:val="18"/>
          <w:szCs w:val="18"/>
          <w:lang w:val="uk-UA"/>
        </w:rPr>
      </w:pPr>
      <w:r w:rsidRPr="002614E4">
        <w:rPr>
          <w:rFonts w:ascii="Verdana" w:eastAsia="Times New Roman" w:hAnsi="Verdana" w:cs="Times New Roman"/>
          <w:noProof/>
          <w:color w:val="0000FF"/>
          <w:sz w:val="18"/>
          <w:szCs w:val="18"/>
        </w:rPr>
        <w:lastRenderedPageBreak/>
        <w:drawing>
          <wp:inline distT="0" distB="0" distL="0" distR="0" wp14:anchorId="40B8CA5D" wp14:editId="0C383B5D">
            <wp:extent cx="6249215" cy="1977405"/>
            <wp:effectExtent l="0" t="0" r="0" b="3810"/>
            <wp:docPr id="3" name="Рисунок 3" descr="http://www.mif-ua.com/media/uploads/arhiv/zr/2018/1(13)/148-1.jpg">
              <a:hlinkClick xmlns:a="http://schemas.openxmlformats.org/drawingml/2006/main" r:id="rId7" tgtFrame="&quot;_blank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http://www.mif-ua.com/media/uploads/arhiv/zr/2018/1(13)/148-1.jpg">
                      <a:hlinkClick r:id="rId7" tgtFrame="&quot;_blank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56564" cy="1979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614E4" w:rsidRPr="002614E4" w:rsidRDefault="002614E4" w:rsidP="002614E4">
      <w:pPr>
        <w:spacing w:after="0" w:line="240" w:lineRule="auto"/>
        <w:jc w:val="center"/>
        <w:rPr>
          <w:rFonts w:ascii="Verdana" w:eastAsia="Times New Roman" w:hAnsi="Verdana" w:cs="Times New Roman"/>
          <w:color w:val="000000"/>
          <w:sz w:val="18"/>
          <w:szCs w:val="18"/>
          <w:lang w:val="uk-UA"/>
        </w:rPr>
      </w:pPr>
    </w:p>
    <w:p w:rsidR="002614E4" w:rsidRPr="002614E4" w:rsidRDefault="002614E4" w:rsidP="002614E4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</w:rPr>
      </w:pPr>
      <w:proofErr w:type="gramStart"/>
      <w:r w:rsidRPr="002614E4">
        <w:rPr>
          <w:rFonts w:ascii="Verdana" w:eastAsia="Times New Roman" w:hAnsi="Verdana" w:cs="Times New Roman"/>
          <w:i/>
          <w:iCs/>
          <w:color w:val="000000"/>
          <w:sz w:val="18"/>
          <w:szCs w:val="18"/>
        </w:rPr>
        <w:t>Клінічні прояви.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</w:rPr>
        <w:t xml:space="preserve"> 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</w:rPr>
        <w:t>Відмінною рисою клінічних проявів є рецидивні інфекції, що перебігають на поверхні епітелію при безпосередньому контакті з чинниками навколишнього середовища, саме тому найпоширенішими є інфекції шкіри, легенів і кишечника.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</w:rPr>
        <w:t xml:space="preserve"> 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</w:rPr>
        <w:t>Інфекції цих органів, що повторюються та тяжко піддаються лікуванню, повинні викликати підозру на імунний дефіцит, у тому числі ХГХ.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</w:rPr>
        <w:t xml:space="preserve"> 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</w:rPr>
        <w:t>Ознаки та симптоми спочатку спостерігаються як і при звичайних інфекціях, і мають незначно виражені клінічні прояви, але особливістю цих клінічних змін є прогресування та резистентність до звичайної терапії.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</w:rPr>
        <w:t xml:space="preserve"> 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</w:rPr>
        <w:t>У носіїв гена ХГХ з формою, зчепленою з Х-хромосомою, також можуть виникати рецидивні інфекційні захворювання.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</w:rPr>
        <w:t> </w:t>
      </w:r>
    </w:p>
    <w:p w:rsidR="002614E4" w:rsidRPr="002614E4" w:rsidRDefault="002614E4" w:rsidP="002614E4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</w:pP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</w:rPr>
        <w:t>Серед особливостей клінічних проявів носіїв гена ХГХ з Х-зчепленим дефектом слід зазначити схильність до розвитку низки симптомів, що клінічно нагадують системний червоний вовчак, особливо з ураженням шкіри.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</w:rPr>
        <w:t xml:space="preserve"> 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За опублікованими даними, у носіїв гена ХГХ результати тестування на системний червоний вовчак можуть бути негативними, але гіподіагностика у цьому випадку може привести до необоротних змін, тому до симптомів у 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таких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 хворих необхідно ставитися дуже уважно. Носії гена ХГХ з афтозними виразками, висипаннями на шкі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р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і, болями у суглобах повинні бути направлені до відповідних фахівців для лікування вовчакоподібних симптомів незалежно від результатів тесту на системну червону вовчанку [10, 11].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</w:rPr>
        <w:t> </w:t>
      </w:r>
    </w:p>
    <w:p w:rsidR="002614E4" w:rsidRPr="002614E4" w:rsidRDefault="002614E4" w:rsidP="002614E4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</w:pP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Більшість хворих на ХГХ мають клінічні прояви з раннього віку, захворювання найчастіше діагностується у віці до 2 років. Враховуючи гіподіагностику, такі пацієнти можуть залишатися невиявленими до дорослого життя, незважаючи на ранній початок симптомів. Типові ураження у вигляді абсцесів шкіри, періанальних абсцесів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, пневмонії, абсцесів печінки, остеомієліту, сепсису, діареї, лімфаденітів є ознакою імунодефіцитного стану у дитини і потребують подальшого імунологічного та генетичного 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досл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ідження.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</w:rPr>
        <w:t> </w:t>
      </w:r>
    </w:p>
    <w:p w:rsidR="002614E4" w:rsidRPr="002614E4" w:rsidRDefault="002614E4" w:rsidP="002614E4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</w:pP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Треба звернути увагу, що щоденна антибактеріальна і протигрибкова 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проф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ілактика є єдиним фактором для підтримки хворих на ХГХ та ключовим моментом скорочення числа і тяжкості інфекцій. У той же час ця терапія не дає 100% гарантії захисту від інфекцій, з якими зустрічається хворий.</w:t>
      </w:r>
    </w:p>
    <w:p w:rsidR="002614E4" w:rsidRPr="002614E4" w:rsidRDefault="002614E4" w:rsidP="002614E4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</w:pP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Бактеріальними збудниками, які найчастіше зустрічаються у хворих на ХГХ, є </w:t>
      </w:r>
      <w:r w:rsidRPr="002614E4">
        <w:rPr>
          <w:rFonts w:ascii="Verdana" w:eastAsia="Times New Roman" w:hAnsi="Verdana" w:cs="Times New Roman"/>
          <w:i/>
          <w:iCs/>
          <w:color w:val="000000"/>
          <w:sz w:val="18"/>
          <w:szCs w:val="18"/>
        </w:rPr>
        <w:t>Staphylococcus</w:t>
      </w:r>
      <w:r w:rsidRPr="002614E4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val="ru-RU"/>
        </w:rPr>
        <w:t xml:space="preserve"> </w:t>
      </w:r>
      <w:r w:rsidRPr="002614E4">
        <w:rPr>
          <w:rFonts w:ascii="Verdana" w:eastAsia="Times New Roman" w:hAnsi="Verdana" w:cs="Times New Roman"/>
          <w:i/>
          <w:iCs/>
          <w:color w:val="000000"/>
          <w:sz w:val="18"/>
          <w:szCs w:val="18"/>
        </w:rPr>
        <w:t>aureus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 та грамнегативна флора: </w:t>
      </w:r>
      <w:proofErr w:type="gramStart"/>
      <w:r w:rsidRPr="002614E4">
        <w:rPr>
          <w:rFonts w:ascii="Verdana" w:eastAsia="Times New Roman" w:hAnsi="Verdana" w:cs="Times New Roman"/>
          <w:i/>
          <w:iCs/>
          <w:color w:val="000000"/>
          <w:sz w:val="18"/>
          <w:szCs w:val="18"/>
        </w:rPr>
        <w:t>Enterobacteriaceae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, включаючи </w:t>
      </w:r>
      <w:r w:rsidRPr="002614E4">
        <w:rPr>
          <w:rFonts w:ascii="Verdana" w:eastAsia="Times New Roman" w:hAnsi="Verdana" w:cs="Times New Roman"/>
          <w:i/>
          <w:iCs/>
          <w:color w:val="000000"/>
          <w:sz w:val="18"/>
          <w:szCs w:val="18"/>
        </w:rPr>
        <w:t>Salmonella</w:t>
      </w:r>
      <w:r w:rsidRPr="002614E4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val="ru-RU"/>
        </w:rPr>
        <w:t xml:space="preserve">, </w:t>
      </w:r>
      <w:r w:rsidRPr="002614E4">
        <w:rPr>
          <w:rFonts w:ascii="Verdana" w:eastAsia="Times New Roman" w:hAnsi="Verdana" w:cs="Times New Roman"/>
          <w:i/>
          <w:iCs/>
          <w:color w:val="000000"/>
          <w:sz w:val="18"/>
          <w:szCs w:val="18"/>
        </w:rPr>
        <w:t>Klebsiella</w:t>
      </w:r>
      <w:r w:rsidRPr="002614E4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val="ru-RU"/>
        </w:rPr>
        <w:t xml:space="preserve">, </w:t>
      </w:r>
      <w:r w:rsidRPr="002614E4">
        <w:rPr>
          <w:rFonts w:ascii="Verdana" w:eastAsia="Times New Roman" w:hAnsi="Verdana" w:cs="Times New Roman"/>
          <w:i/>
          <w:iCs/>
          <w:color w:val="000000"/>
          <w:sz w:val="18"/>
          <w:szCs w:val="18"/>
        </w:rPr>
        <w:t>Aerobacter</w:t>
      </w:r>
      <w:r w:rsidRPr="002614E4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val="ru-RU"/>
        </w:rPr>
        <w:t xml:space="preserve"> та </w:t>
      </w:r>
      <w:r w:rsidRPr="002614E4">
        <w:rPr>
          <w:rFonts w:ascii="Verdana" w:eastAsia="Times New Roman" w:hAnsi="Verdana" w:cs="Times New Roman"/>
          <w:i/>
          <w:iCs/>
          <w:color w:val="000000"/>
          <w:sz w:val="18"/>
          <w:szCs w:val="18"/>
        </w:rPr>
        <w:t>Serratia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.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 Усе частіше як важливі патогени при ХГХ визначаються </w:t>
      </w:r>
      <w:r w:rsidRPr="002614E4">
        <w:rPr>
          <w:rFonts w:ascii="Verdana" w:eastAsia="Times New Roman" w:hAnsi="Verdana" w:cs="Times New Roman"/>
          <w:i/>
          <w:iCs/>
          <w:color w:val="000000"/>
          <w:sz w:val="18"/>
          <w:szCs w:val="18"/>
        </w:rPr>
        <w:t>Pseudomonas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 (</w:t>
      </w:r>
      <w:r w:rsidRPr="002614E4">
        <w:rPr>
          <w:rFonts w:ascii="Verdana" w:eastAsia="Times New Roman" w:hAnsi="Verdana" w:cs="Times New Roman"/>
          <w:i/>
          <w:iCs/>
          <w:color w:val="000000"/>
          <w:sz w:val="18"/>
          <w:szCs w:val="18"/>
        </w:rPr>
        <w:t>Burkholderia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) 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</w:rPr>
        <w:t>cepacia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, </w:t>
      </w:r>
      <w:r w:rsidRPr="002614E4">
        <w:rPr>
          <w:rFonts w:ascii="Verdana" w:eastAsia="Times New Roman" w:hAnsi="Verdana" w:cs="Times New Roman"/>
          <w:i/>
          <w:iCs/>
          <w:color w:val="000000"/>
          <w:sz w:val="18"/>
          <w:szCs w:val="18"/>
        </w:rPr>
        <w:t>Actinomyces</w:t>
      </w:r>
      <w:r w:rsidRPr="002614E4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val="ru-RU"/>
        </w:rPr>
        <w:t xml:space="preserve"> і </w:t>
      </w:r>
      <w:r w:rsidRPr="002614E4">
        <w:rPr>
          <w:rFonts w:ascii="Verdana" w:eastAsia="Times New Roman" w:hAnsi="Verdana" w:cs="Times New Roman"/>
          <w:i/>
          <w:iCs/>
          <w:color w:val="000000"/>
          <w:sz w:val="18"/>
          <w:szCs w:val="18"/>
        </w:rPr>
        <w:t>Nocardia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. Каталазанегативні бактерії, такі як стрептококи, 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р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ідко викликають інфекційні захворювання у цих хворих. Серед представників грибкової флори найчастішою причиною грибкової інфекції є </w:t>
      </w:r>
      <w:r w:rsidRPr="002614E4">
        <w:rPr>
          <w:rFonts w:ascii="Verdana" w:eastAsia="Times New Roman" w:hAnsi="Verdana" w:cs="Times New Roman"/>
          <w:i/>
          <w:iCs/>
          <w:color w:val="000000"/>
          <w:sz w:val="18"/>
          <w:szCs w:val="18"/>
        </w:rPr>
        <w:t>Aspergillus</w:t>
      </w:r>
      <w:r w:rsidRPr="002614E4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val="ru-RU"/>
        </w:rPr>
        <w:t xml:space="preserve"> </w:t>
      </w:r>
      <w:r w:rsidRPr="002614E4">
        <w:rPr>
          <w:rFonts w:ascii="Verdana" w:eastAsia="Times New Roman" w:hAnsi="Verdana" w:cs="Times New Roman"/>
          <w:i/>
          <w:iCs/>
          <w:color w:val="000000"/>
          <w:sz w:val="18"/>
          <w:szCs w:val="18"/>
        </w:rPr>
        <w:t>fumigatus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, також поширені 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</w:rPr>
        <w:t>A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.</w:t>
      </w:r>
      <w:r w:rsidRPr="002614E4">
        <w:rPr>
          <w:rFonts w:ascii="Verdana" w:eastAsia="Times New Roman" w:hAnsi="Verdana" w:cs="Times New Roman"/>
          <w:i/>
          <w:iCs/>
          <w:color w:val="000000"/>
          <w:sz w:val="18"/>
          <w:szCs w:val="18"/>
        </w:rPr>
        <w:t>nidulans</w:t>
      </w:r>
      <w:r w:rsidRPr="002614E4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val="ru-RU"/>
        </w:rPr>
        <w:t xml:space="preserve">, </w:t>
      </w:r>
      <w:r w:rsidRPr="002614E4">
        <w:rPr>
          <w:rFonts w:ascii="Verdana" w:eastAsia="Times New Roman" w:hAnsi="Verdana" w:cs="Times New Roman"/>
          <w:i/>
          <w:iCs/>
          <w:color w:val="000000"/>
          <w:sz w:val="18"/>
          <w:szCs w:val="18"/>
        </w:rPr>
        <w:t>Scedosporium</w:t>
      </w:r>
      <w:r w:rsidRPr="002614E4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val="ru-RU"/>
        </w:rPr>
        <w:t xml:space="preserve"> </w:t>
      </w:r>
      <w:r w:rsidRPr="002614E4">
        <w:rPr>
          <w:rFonts w:ascii="Verdana" w:eastAsia="Times New Roman" w:hAnsi="Verdana" w:cs="Times New Roman"/>
          <w:i/>
          <w:iCs/>
          <w:color w:val="000000"/>
          <w:sz w:val="18"/>
          <w:szCs w:val="18"/>
        </w:rPr>
        <w:t>apiospermum</w:t>
      </w:r>
      <w:r w:rsidRPr="002614E4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val="ru-RU"/>
        </w:rPr>
        <w:t xml:space="preserve"> і </w:t>
      </w:r>
      <w:r w:rsidRPr="002614E4">
        <w:rPr>
          <w:rFonts w:ascii="Verdana" w:eastAsia="Times New Roman" w:hAnsi="Verdana" w:cs="Times New Roman"/>
          <w:i/>
          <w:iCs/>
          <w:color w:val="000000"/>
          <w:sz w:val="18"/>
          <w:szCs w:val="18"/>
        </w:rPr>
        <w:t>Chrysosporium</w:t>
      </w:r>
      <w:r w:rsidRPr="002614E4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val="ru-RU"/>
        </w:rPr>
        <w:t xml:space="preserve"> </w:t>
      </w:r>
      <w:r w:rsidRPr="002614E4">
        <w:rPr>
          <w:rFonts w:ascii="Verdana" w:eastAsia="Times New Roman" w:hAnsi="Verdana" w:cs="Times New Roman"/>
          <w:i/>
          <w:iCs/>
          <w:color w:val="000000"/>
          <w:sz w:val="18"/>
          <w:szCs w:val="18"/>
        </w:rPr>
        <w:t>zonatum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. Грибкові інфекції за клінічними ознаками дуже складно ві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др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ізнити від бактеріальних інфекцій, але цей фактор завжди слід враховувати в цій групі пацієнтів, якщо вони не відповідають на емпіричну антибактеріальну терапію [7, 8].</w:t>
      </w:r>
    </w:p>
    <w:p w:rsidR="002614E4" w:rsidRPr="002614E4" w:rsidRDefault="002614E4" w:rsidP="002614E4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</w:pPr>
      <w:r w:rsidRPr="002614E4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val="ru-RU"/>
        </w:rPr>
        <w:t>Діагностика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. Діагноз встановлюється на 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п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ідставі клінічної картини і підтверджується виявленням зниженої активності киснезалежної бактерицидної функції нейтрофілів, за допомогою НСТ-тесту та дослідженням оксидації дигідрородаміну-1, -2, -3 методом проточної цитометрії, який також дає змогу виявити носіїв мутації [4–6].</w:t>
      </w:r>
    </w:p>
    <w:p w:rsidR="002614E4" w:rsidRPr="002614E4" w:rsidRDefault="002614E4" w:rsidP="002614E4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</w:pPr>
      <w:proofErr w:type="gramStart"/>
      <w:r w:rsidRPr="002614E4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val="ru-RU"/>
        </w:rPr>
        <w:t>Проф</w:t>
      </w:r>
      <w:proofErr w:type="gramEnd"/>
      <w:r w:rsidRPr="002614E4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val="ru-RU"/>
        </w:rPr>
        <w:t>ілактична терапія.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 Для зменшення частоти тяжких інфекцій усім пацієнтам профілактичну антибактеріальну терапію необхідно розпочинати з ко-тримоксазолу, який має широку активність щодо патогенних мікроорганізмів, які зустрічаються, і не впливає на анаеробну флору кишечника.</w:t>
      </w:r>
    </w:p>
    <w:p w:rsidR="002614E4" w:rsidRPr="002614E4" w:rsidRDefault="002614E4" w:rsidP="002614E4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</w:rPr>
      </w:pP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Рекомендовані дози ко-тримоксазолу наведено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 у табл. 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</w:rPr>
        <w:t>2.</w:t>
      </w:r>
    </w:p>
    <w:p w:rsidR="002614E4" w:rsidRPr="002614E4" w:rsidRDefault="002614E4" w:rsidP="002614E4">
      <w:pPr>
        <w:spacing w:after="0" w:line="240" w:lineRule="auto"/>
        <w:jc w:val="center"/>
        <w:rPr>
          <w:rFonts w:ascii="Verdana" w:eastAsia="Times New Roman" w:hAnsi="Verdana" w:cs="Times New Roman"/>
          <w:color w:val="000000"/>
          <w:sz w:val="18"/>
          <w:szCs w:val="18"/>
        </w:rPr>
      </w:pPr>
      <w:r w:rsidRPr="002614E4">
        <w:rPr>
          <w:rFonts w:ascii="Verdana" w:eastAsia="Times New Roman" w:hAnsi="Verdana" w:cs="Times New Roman"/>
          <w:noProof/>
          <w:color w:val="0000FF"/>
          <w:sz w:val="18"/>
          <w:szCs w:val="18"/>
        </w:rPr>
        <w:lastRenderedPageBreak/>
        <w:drawing>
          <wp:inline distT="0" distB="0" distL="0" distR="0" wp14:anchorId="203512C1" wp14:editId="2F1D361A">
            <wp:extent cx="2914344" cy="1364877"/>
            <wp:effectExtent l="0" t="0" r="635" b="6985"/>
            <wp:docPr id="4" name="Рисунок 4" descr="http://www.mif-ua.com/media/uploads/arhiv/zr/2018/1(13)/149-1.jpg">
              <a:hlinkClick xmlns:a="http://schemas.openxmlformats.org/drawingml/2006/main" r:id="rId9" tgtFrame="&quot;_blank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://www.mif-ua.com/media/uploads/arhiv/zr/2018/1(13)/149-1.jpg">
                      <a:hlinkClick r:id="rId9" tgtFrame="&quot;_blank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14472" cy="13649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614E4" w:rsidRPr="002614E4" w:rsidRDefault="002614E4" w:rsidP="002614E4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</w:pP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</w:rPr>
        <w:t xml:space="preserve">Протигрибкова профілактика всім пацієнтам повинна розпочинатися ітраконазолом (з розрахунку 5 мг/кг за добу), який має хорошу активність щодо </w:t>
      </w:r>
      <w:r w:rsidRPr="002614E4">
        <w:rPr>
          <w:rFonts w:ascii="Verdana" w:eastAsia="Times New Roman" w:hAnsi="Verdana" w:cs="Times New Roman"/>
          <w:i/>
          <w:iCs/>
          <w:color w:val="000000"/>
          <w:sz w:val="18"/>
          <w:szCs w:val="18"/>
        </w:rPr>
        <w:t>Aspergillus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</w:rPr>
        <w:t>.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</w:rPr>
        <w:t xml:space="preserve"> 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</w:rPr>
        <w:t>Ураховуючи побічні ефекти протигрибкової терапії, такі як підвищення ферментів печінки, можливість виникнення периферичної нейропатії та синдрому Стівенса — Джонсона, необхідний динамічний контроль рівня ферментів печінки до початку лікування, а потім кожні 6 місяців.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</w:rPr>
        <w:t xml:space="preserve"> 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Зазвичай ітраконазол добре переноситься хворими на ХГХ та, за даними 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р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ізних досліджень, є ефективним у зниженні захворюваності на грибкову інфекцію.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</w:rPr>
        <w:t> </w:t>
      </w:r>
    </w:p>
    <w:p w:rsidR="002614E4" w:rsidRPr="002614E4" w:rsidRDefault="002614E4" w:rsidP="002614E4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</w:pP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Важливим серед запобіжних заходів у повсякденному житті є розуміння 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проф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ілактики інгаляційного зараження грибковими інфекціями, до яких відноситься уникання хворими перебування у коморах, печерах з підвищеною вологістю та іншого контакту з побутовою цвіллю.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</w:rPr>
        <w:t> </w:t>
      </w:r>
    </w:p>
    <w:p w:rsidR="002614E4" w:rsidRPr="002614E4" w:rsidRDefault="002614E4" w:rsidP="002614E4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</w:pP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Антибактеріальна терапія рекомендована хворим на ХГХ за необхідності проведення всіх інвазивних процедур, у тому числі колоноскопії, езофагоскопії, бронхоскопії, біопсії печінки/легень та ін. 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Проф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ілактичне використання ципрофлоксацину (і додавання метронідазолу, якщо інвазивне дослідження стосується органів черевної порожнини) повинне розпочинатися до процедури і продовжувати протягом не менше 24 годин після нього. При хірургічному втручанні можуть знадобитися більш тривалі курси з 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р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ізною комбінацією антибіотиків [1].</w:t>
      </w:r>
    </w:p>
    <w:p w:rsidR="002614E4" w:rsidRPr="002614E4" w:rsidRDefault="002614E4" w:rsidP="002614E4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</w:pP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Необхідність регулярної стоматологічної допомоги низці пацієнтів обумовлена постійними гінгівітами і виразками ротової порожнини. Слід підкреслити важливість у хворих на ХГХ доброї зубної гі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г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ієни порожнини рота та необхідність обов’язкового чищення зубів два рази на день. Додаткову терапію антибактеріальними препаратами слід призначити хворим перед стоматологічною процедурою, через 12 і 24 години 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п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ісля втручання у вигляді ципрофлоксацину перорально із разрахунку (7,5 мг/кг/разово) [9].</w:t>
      </w:r>
    </w:p>
    <w:p w:rsidR="002614E4" w:rsidRPr="002614E4" w:rsidRDefault="002614E4" w:rsidP="002614E4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</w:pPr>
      <w:r w:rsidRPr="002614E4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val="ru-RU"/>
        </w:rPr>
        <w:t>Лікування гострих інфекцій у хворих на ХГХ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. Препаратами вибору при лікуванні гострих інфекцій у хворих на ХГХ (та будь-якого захворювання, що супроводжується лихоманкою) є антибактеріальні препарати, швидке призначення яких та своєчасна необхідність внутрішньовенного введення можуть запобігти розвитку 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тяжких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 інфекцій. Надмірне використання антибіотиків може викликати певне занепокоєння з приводу суперечливості питання про неналежне лікування вірусних інфекцій у таких хворих, але необхідність основних 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проф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ілактичних патогенетичних моментів у терапії є обов’язковою тактикою ведення хворих з уродженими дефектами фагоцитозу. Спектр бактерій, які викликають інфекції при ХГХ, завжди слід брати до уваги при розгляданні питання вибору антибактеріальних препаратів. Використання ципрофлоксацину як антибактеріального препарату першої лінії при ХГХ 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пов’язано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 з широким спектром його активності та здатності проникати внутрішньоклітинно. Переваги використання ципрофлоксацину у дітей переважують ризики розвитку артропатії. Дозування ципрофлоксацину для 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л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ікування гострих інфекцій у дітей із розрахунку 7,5 мг/кг кожні 12 годин пер–орально.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</w:rPr>
        <w:t> </w:t>
      </w:r>
    </w:p>
    <w:p w:rsidR="002614E4" w:rsidRPr="002614E4" w:rsidRDefault="002614E4" w:rsidP="002614E4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</w:pP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Добрим вибором для терапії першої лінії при тяжкому сепсисі є тейкопланін і ципрофлоксацин з додаванням метронідазолу, якщо інфекція 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п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ідозрюється в органах черевної порожнини. Якщо діагностовано ізольований стафілококовий інфекційний процес, можуть використовуватися флуклоксацилін і фуцидин (або інші антистафілококові антибактеріальні препарати, наприклад кліндаміцин і кларитроміцин). Грибкові інфекції завжди слід розглядати в диференціальній діагностиці будь-якого синдрому сепсису, особливо якщо швидка реакція (протягом 7–10 днів) на антибактеріальну терапію не отримана.</w:t>
      </w:r>
    </w:p>
    <w:p w:rsidR="002614E4" w:rsidRPr="002614E4" w:rsidRDefault="002614E4" w:rsidP="002614E4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</w:pPr>
      <w:r w:rsidRPr="002614E4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val="ru-RU"/>
        </w:rPr>
        <w:t xml:space="preserve">Імунізація. 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Рекомендована планова імунізація дітей, хворих на ХГХ, 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окр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ім вакцинації БЦЖ, яка протипоказана цим хворим у зв’язку з можливістю виникнення генералізованої БЦЖ-інфекції. Ураховуючи можливі вторинні бактеріальні ускладнення грипу, щорічна вакцинація проти грипу є одним із профілактичних заходів.</w:t>
      </w:r>
    </w:p>
    <w:p w:rsidR="002614E4" w:rsidRPr="002614E4" w:rsidRDefault="002614E4" w:rsidP="002614E4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</w:pPr>
      <w:r w:rsidRPr="002614E4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val="ru-RU"/>
        </w:rPr>
        <w:t>Запальні ускладнення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 при ХГХ включають розвиток хронічного захворювання легенів, коліту, перикардиту, 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г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інгівіту, пневмоніту, хоріоретиніту. Важливо відзначити, що пневмоніт при ХГХ має швидкий, блискавичний перебіг та вимагає лікування антимікотичними препаратами і глюкокортикостероїдами.</w:t>
      </w:r>
    </w:p>
    <w:p w:rsidR="002614E4" w:rsidRPr="002614E4" w:rsidRDefault="002614E4" w:rsidP="002614E4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</w:pPr>
      <w:r w:rsidRPr="002614E4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val="ru-RU"/>
        </w:rPr>
        <w:t xml:space="preserve">Гранулематозне ураження </w:t>
      </w:r>
      <w:proofErr w:type="gramStart"/>
      <w:r w:rsidRPr="002614E4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val="ru-RU"/>
        </w:rPr>
        <w:t>травного</w:t>
      </w:r>
      <w:proofErr w:type="gramEnd"/>
      <w:r w:rsidRPr="002614E4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val="ru-RU"/>
        </w:rPr>
        <w:t xml:space="preserve"> тракту.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 Тривале спостереження хворих на ХГХ показало, що з використанням 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проф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ілактичної терапії збільшилась можливість виживання хворих і тривалість життя. При цьому гранулематозні обструктивні ураження являють собою надлишкову запальну реакцію на незначні подразнюючі стимули, такі як персистування умовно-патогенної флори, і у більшості випадків не 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пов’язан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і з гострим запальним інфекційним процесом. Це 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п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ідтверджується дослідженнями, які 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lastRenderedPageBreak/>
        <w:t>виявили підвищення швидкості осідання еритроцитів (ШОЕ) та зниження гемоглобіну навіть у хворих без клінічних проявів гострого інфекційного процесу, що пов’язано з наявністю субклінічного запалення.</w:t>
      </w:r>
    </w:p>
    <w:p w:rsidR="002614E4" w:rsidRPr="002614E4" w:rsidRDefault="002614E4" w:rsidP="002614E4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</w:pP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Гранулематозне ураження травного тракту, що має кліні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ку кол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іту, є найбільш поширеним запальним ускладненням ХГХ. При гістологічному 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досл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ідженні виявляють виснаження нейтрофілів, еозинофільну інфільтрацію і макрофаги. Гранульоми можуть бути присутніми або відсутніми. Саме тому коліт при ХГХ неправильно діагностується як 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хвороба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 Крона, що має схожі клінічні симптоми. При 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п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ідозрі на ураження травного тракту необхідно проводити не тільки ендоскопічне дослідження, але і біопсію, тому що макроскопічний зовнішній вигляд може бути неінформативним.</w:t>
      </w:r>
    </w:p>
    <w:p w:rsidR="002614E4" w:rsidRPr="002614E4" w:rsidRDefault="002614E4" w:rsidP="002614E4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</w:pP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Корисними препаратами першої лінії в лікуванні коліту при ХГХ є препарати 5-аміносаліцилової кислоти (такі як сульфасалазин і месалазин). Кортико–стероїди та інші імунодепресанти, такі як азатіоприн, можуть бути використані у тому випадку, коли препарати 5-аміносаліцилової кислоти не змогли викликати або 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п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ідтримувати ремісію. Проте ці препарати слід використовувати з обережністю особливо у тих хворих, у яких є інша супутня грибкова інфекція. При поєднанні цих препаратів з ко-тримоксазолом клінічний аналіз крові треба контролювати щомісяця протягом перших 3 місяців і кожні 3 місяці 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п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ісля цього у зв’язку з потенційним ризиком формування патологічних змін крові [1, 12–14].</w:t>
      </w:r>
    </w:p>
    <w:p w:rsidR="002614E4" w:rsidRPr="002614E4" w:rsidRDefault="002614E4" w:rsidP="002614E4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</w:pP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Розвиток непрохідності травного тракту або сечовивідних шляхів внаслідок гранулематозного запалення у хворих на ХГХ може клінічно проявлятися як труднощі при ковтанні при непрохідності стравоходу, блювання 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при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 обструкції шлунка, болі в животі при непрохідності кишечника або труднощі при сечовипусканні при обструкції сечоводу. Все це є показанням до проведення кортикостероїдної терапії. Перед застосуванням кортикостероїдів необхідно виключити інфекційну причину, 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у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 тому числі і грибкову інфекцію.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</w:rPr>
        <w:t> </w:t>
      </w:r>
    </w:p>
    <w:p w:rsidR="002614E4" w:rsidRPr="002614E4" w:rsidRDefault="002614E4" w:rsidP="002614E4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</w:pPr>
      <w:r w:rsidRPr="002614E4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val="ru-RU"/>
        </w:rPr>
        <w:t xml:space="preserve">Трансплантація стовбурових клітин. 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Ураховуючи, що використання антибактеріальної і протигрибкової 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проф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ілактики протягом усього життя підвищує тривалість і якість життя пацієнтів, а лікування кортикостероїдними препаратами і аміносаліцилатами призводить до зниження запальних ускладнень, ці терапевтичні дії не змінюють основний генетичний дефект. Трансплантація стовбурових клітин є одним із методів корекції, завдяки якому 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проф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ілактичне лікування може бути припинено у більшості хворих. Виживання і ефективність лікування на даному етапі досягає 85–90 %. Конкретні терміни для проведення трансплантації відсутні, але слід зазначити, що найгірші результати пересадки спостерігаються у пацієнтів з 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рефрактерною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 інфекцією або значними запальними ураженнями. Необхідність проведення трансплантації стовбурових клітин в ранні терміни після встановлення діагнозу не викликає сумніві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в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 [17–20].</w:t>
      </w:r>
    </w:p>
    <w:p w:rsidR="002614E4" w:rsidRPr="002614E4" w:rsidRDefault="002614E4" w:rsidP="002614E4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</w:pPr>
      <w:r w:rsidRPr="002614E4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val="ru-RU"/>
        </w:rPr>
        <w:t>Генна терапія.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 Суттєвою проблемою транс–плантації кісткового мозку є 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</w:rPr>
        <w:t>HLA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-сумісність. Це обумовлює ризик відторгнення. На відміну від трансплантації кісткового мозку 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основною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 стратегією генної терапії є виправлення дефектів власного кісткового мозку пацієнта, використовуючи віруси, що транспортують функціонуючий ген в стовбурові клітини замість дефектного. Ця методика є 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перспективною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 і для лікування хворих на ХГХ, бо дозволяє власному кістковому мозку хворого виробляти нормально функціонуючі клітини-нейтрофіли. Багато 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досл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іджень показали ефективність цього методу не тільки в лабораторних умовах, але і в клініці. Навіть короткострокова корекція дефекту у хворих на ХГХ призвела до позбавлення їх від інфекцій, загрозливих для життя, які були стійкі до інших засобів лікування. Проте ця технологія є відносно 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новою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. Клінічні випробування з використанням сучасних генетичних технологій для лікування пацієнтів з ХГХ у минулі роки та розпочаті у 2012 році сприяють перевірці і 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п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ідтвердженню принципу дії і відкривають шлях до реалістичної та безпечної альтернативної терапії для пацієнтів [1, 21, 22].</w:t>
      </w:r>
    </w:p>
    <w:p w:rsidR="002614E4" w:rsidRPr="002614E4" w:rsidRDefault="002614E4" w:rsidP="002614E4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</w:pPr>
      <w:r w:rsidRPr="002614E4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val="ru-RU"/>
        </w:rPr>
        <w:t xml:space="preserve">Диспансерне спостереження. 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Клінічний моніторинг включає диспансерне спостереження у педіатра й імунолога. Регулярне амбулаторне обстеження кожні 6 місяців, якщо пацієнт має добре контрольований перебіг захворювання. Рекомендується регулярно проводити аналізи крові (клінічні і імунологічні), функціональні печінкові тести кожні 6 місяців. 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Р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івень С-реактивного протеїну і ШОЕ слід проводити в плановому порядку і щоразу, коли пацієнт має погіршення стану. Мікроцитарна, гіпохромна анемія, що виявляється у хворих на ХГХ, дуже часто залишається 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рефрактерною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 до терапії залізом.</w:t>
      </w:r>
    </w:p>
    <w:p w:rsidR="002614E4" w:rsidRPr="002614E4" w:rsidRDefault="002614E4" w:rsidP="002614E4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</w:pP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Одним із ускладнень у хворих і носіїв гена ХГХ є хоріоретиніт, етіологія якого у наш час залишається 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неясною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. Тому офтальмологічне обстеження рекомендовано кожні 1–2 роки. Особам, які не мають ураження на момент встановлення діагнозу, очне дно необхідно обстежувати кожні 2–3 роки [15, 16].</w:t>
      </w:r>
    </w:p>
    <w:p w:rsidR="002614E4" w:rsidRPr="002614E4" w:rsidRDefault="002614E4" w:rsidP="002614E4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</w:pPr>
      <w:r w:rsidRPr="002614E4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val="ru-RU"/>
        </w:rPr>
        <w:t>Харчування і фізичний розвиток.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 У деяких дітей з ХГХ відмічається зниження темпів фізичного розвитку порівняно з однолітками, відмічається затримка в досягненні статевої зрілості. Порушення у фізичному розвитку 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пов’язано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 з мультифакторними причинами. 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Наявність постійних бактеріальних і грибкових інфекцій, які зазвичай мають хронічний перебіг, постійна антибактеріальна та протигрибкова терапія, курси кортикостероїдної терапії, недостатнє споживання поживних речовин, необхідність їх збільшення в умовах субклінічного запального процесу впливають на фізичний розвиток дитини.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 Тому 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при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 кожному огляді лікар повинен оцінювати фізичний розвиток та раціон дитини, з подальшою корекцією виявлених змін.</w:t>
      </w:r>
    </w:p>
    <w:p w:rsidR="002614E4" w:rsidRPr="002614E4" w:rsidRDefault="002614E4" w:rsidP="002614E4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</w:pPr>
      <w:r w:rsidRPr="002614E4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val="ru-RU"/>
        </w:rPr>
        <w:t>Емоційний вплив ХГБ.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 ХГХ спричиняє 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безл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іч проблем для пацієнтів і їх близьких, що включають не тільки фізичні зміни стану дитини, а також і психологічні проблеми, які, з одного боку, пов’язані з 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lastRenderedPageBreak/>
        <w:t>подоланням складних умов перебігу захворювання, а з іншого — з намаганням зберегти психологічний комфорт у сім’ї та підвищити якість життя хворого.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</w:rPr>
        <w:t> </w:t>
      </w:r>
    </w:p>
    <w:p w:rsidR="002614E4" w:rsidRPr="002614E4" w:rsidRDefault="002614E4" w:rsidP="002614E4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</w:pP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Необхідність психологічної 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п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ідтримки не тільки хворого, але й інших членів сім’ї дозволяє не тільки сформувати терапевтичний комплайєнс, але сприяє також встановленню найкращого психологічного контакту, необхідного для одужання хворого.</w:t>
      </w:r>
    </w:p>
    <w:p w:rsidR="002614E4" w:rsidRPr="002614E4" w:rsidRDefault="002614E4" w:rsidP="002614E4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</w:pP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Незважаючи на ранній початок клінічних симптомів, 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г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іподіагностика цього захворювання є значною проблемою. Наведений випадок клінічного спостереження відображає складність диференціальної діагностики інфекційних процесі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в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 у цієї категорії хворих.</w:t>
      </w:r>
    </w:p>
    <w:p w:rsidR="002614E4" w:rsidRPr="002614E4" w:rsidRDefault="002614E4" w:rsidP="002614E4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</w:pP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Хлопчик Н., 15 років, народився від першої вагітності, на тлі гестозу першої половини вагітності, анемії. Пологи 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в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 строк. Маса при народженні 3300 г. Асфіксія легкого ступеня. Вакцинований БЦЖ у пологовому будинку. Період новонародженості був без особливостей.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</w:rPr>
        <w:t> </w:t>
      </w:r>
    </w:p>
    <w:p w:rsidR="002614E4" w:rsidRPr="002614E4" w:rsidRDefault="002614E4" w:rsidP="002614E4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</w:pP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Спадковий анамнез 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хворого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 був обтяжений: у 2 молодших братів хворого діагностовано первинний імунодефіцит, дефект фагоцитозу. Молодший брат помер у 8-місячному віці від ускладнень пневмонії, мав клінічні прояви імунодефіциту: у 2 міс. — наполегливі попрілості, у 3 міс. — отит, у 4 мі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с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. — стрептостафілодермію, у імунолога дитина не спостерігалась.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</w:rPr>
        <w:t> </w:t>
      </w:r>
    </w:p>
    <w:p w:rsidR="002614E4" w:rsidRPr="002614E4" w:rsidRDefault="002614E4" w:rsidP="002614E4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</w:pP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У віці 1 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р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ік переніс абсцедуючий фурункул привушної ділянки, отит, ларингіт, стрептодермію, рецидивуючий абсцедуючий підщелепний лімфаденіт. У 2 роки при рецидиві абсцедуючого підщелепного лімфаденіту при проведенні біопсії і гістологічного дослідження діагностовано туберкульоз лімфатичних вузлів. Проведена терапія протитуберкульозними препаратами. У 4-річному віці діагностовано первинний імунодефіцит, дефект фагоцитозу. Генералізована БЦ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Ж-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інфекція з ураженням підщелепних, шийних, підключичних і внутрішньогрудних лімфовузлів, хронічний перебіг. У 5-річному віці гнійний блефарокон’юнктивіт, абсцедуючий лімфаденіт справа привушної ділянки.</w:t>
      </w:r>
    </w:p>
    <w:p w:rsidR="002614E4" w:rsidRPr="002614E4" w:rsidRDefault="002614E4" w:rsidP="002614E4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</w:pP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У 6-річному віці дитина лікувалася з приводу туберкульозу внутрішньогрудних лімфовузлів, деструктивної фази інфільтрації, туберкульозу правого нижньодолевого бронха, ускладненого ателектазом 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</w:rPr>
        <w:t>S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8, 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</w:rPr>
        <w:t>S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9.</w:t>
      </w:r>
    </w:p>
    <w:p w:rsidR="002614E4" w:rsidRPr="002614E4" w:rsidRDefault="002614E4" w:rsidP="002614E4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</w:pP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У 7-річному віці проходив 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л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ікування з приводу туберкульозу внутрішньогрудних лімфовузлів, туберкульозу правого нижньочасточкового бронха з залишковими явищами у вигляді пневмосклерозу 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</w:rPr>
        <w:t>S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8, 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</w:rPr>
        <w:t>S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9. При рентгенологічному дослідженні легень справа в базальному відділі посилення легеневого рисунка з нечіткими контурами, корінь подовжений, деформований, в нижньозовнішньому відділі 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л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інійна тінь костальної плеври. 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У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 синусі спайка, зліва без інфільтративних змін. У пахвовій ділянці лімфовузол із звапнінням. Проведена протитуберкульозна терапія.</w:t>
      </w:r>
    </w:p>
    <w:p w:rsidR="002614E4" w:rsidRPr="002614E4" w:rsidRDefault="002614E4" w:rsidP="002614E4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</w:pP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У 9 років стан дитини знову погіршився, відзначалося 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п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ідвищення температури тіла, зрідка кашель, була проведена рентгенографія органів грудної клітки та діагностована позагоспітальна первинна лівостороння пневмонія. При проведенні комп’ютерної томографії: лівостороння пневмонія, постзапальний фіброз правої легені. Проведено курс антибактеріальної (цефалоспорини, фторхінолони, карбапенеми, нітроімідазоли), протигрибкової терапії. Проведена контрольна рентгенографія, 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при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 якій встановлене повне розсмоктування інфільтрації.</w:t>
      </w:r>
    </w:p>
    <w:p w:rsidR="002614E4" w:rsidRPr="002614E4" w:rsidRDefault="002614E4" w:rsidP="002614E4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</w:pP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У 11-річному віці при огляді дільничним лікарем з приводу підвищення температури тіла до 39,0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 °С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, сухого нав’язливого кашлю діагностована правостороння вогнищева нижньочасткова пневмонія. Для подальшого лікування дитина направлена в Регіональний центр дитячої імунології обласної дитячої клінічної лікарні № 1 м. Харкова, де проведена антибактеріальна та протигрибкова терапія.</w:t>
      </w:r>
    </w:p>
    <w:p w:rsidR="002614E4" w:rsidRPr="002614E4" w:rsidRDefault="002614E4" w:rsidP="002614E4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</w:pP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При контрольній рентгенографії органів грудної клітини — повне розсмоктування пневмонічної інфільтрації.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</w:rPr>
        <w:t> </w:t>
      </w:r>
    </w:p>
    <w:p w:rsidR="002614E4" w:rsidRPr="002614E4" w:rsidRDefault="002614E4" w:rsidP="002614E4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</w:pP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У 12 років проведена торакоскопія, розтин абсцесу легені. При бактеріологічному 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досл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ідженні матеріалу з порожнини абсцесу легені: </w:t>
      </w:r>
      <w:proofErr w:type="gramStart"/>
      <w:r w:rsidRPr="002614E4">
        <w:rPr>
          <w:rFonts w:ascii="Verdana" w:eastAsia="Times New Roman" w:hAnsi="Verdana" w:cs="Times New Roman"/>
          <w:i/>
          <w:iCs/>
          <w:color w:val="000000"/>
          <w:sz w:val="18"/>
          <w:szCs w:val="18"/>
        </w:rPr>
        <w:t>M</w:t>
      </w:r>
      <w:r w:rsidRPr="002614E4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val="ru-RU"/>
        </w:rPr>
        <w:t>у</w:t>
      </w:r>
      <w:r w:rsidRPr="002614E4">
        <w:rPr>
          <w:rFonts w:ascii="Verdana" w:eastAsia="Times New Roman" w:hAnsi="Verdana" w:cs="Times New Roman"/>
          <w:i/>
          <w:iCs/>
          <w:color w:val="000000"/>
          <w:sz w:val="18"/>
          <w:szCs w:val="18"/>
        </w:rPr>
        <w:t>cobacterium</w:t>
      </w:r>
      <w:r w:rsidRPr="002614E4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val="ru-RU"/>
        </w:rPr>
        <w:t xml:space="preserve"> </w:t>
      </w:r>
      <w:r w:rsidRPr="002614E4">
        <w:rPr>
          <w:rFonts w:ascii="Verdana" w:eastAsia="Times New Roman" w:hAnsi="Verdana" w:cs="Times New Roman"/>
          <w:i/>
          <w:iCs/>
          <w:color w:val="000000"/>
          <w:sz w:val="18"/>
          <w:szCs w:val="18"/>
        </w:rPr>
        <w:t>tuberculosis</w:t>
      </w:r>
      <w:r w:rsidRPr="002614E4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val="ru-RU"/>
        </w:rPr>
        <w:t xml:space="preserve"> і </w:t>
      </w:r>
      <w:r w:rsidRPr="002614E4">
        <w:rPr>
          <w:rFonts w:ascii="Verdana" w:eastAsia="Times New Roman" w:hAnsi="Verdana" w:cs="Times New Roman"/>
          <w:i/>
          <w:iCs/>
          <w:color w:val="000000"/>
          <w:sz w:val="18"/>
          <w:szCs w:val="18"/>
        </w:rPr>
        <w:t>Ps</w:t>
      </w:r>
      <w:r w:rsidRPr="002614E4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val="ru-RU"/>
        </w:rPr>
        <w:t>.</w:t>
      </w:r>
      <w:r w:rsidRPr="002614E4">
        <w:rPr>
          <w:rFonts w:ascii="Verdana" w:eastAsia="Times New Roman" w:hAnsi="Verdana" w:cs="Times New Roman"/>
          <w:i/>
          <w:iCs/>
          <w:color w:val="000000"/>
          <w:sz w:val="18"/>
          <w:szCs w:val="18"/>
        </w:rPr>
        <w:t>aeruginosa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.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 Проведена традиційна протитуберкульозна терапія.</w:t>
      </w:r>
    </w:p>
    <w:p w:rsidR="002614E4" w:rsidRPr="002614E4" w:rsidRDefault="002614E4" w:rsidP="002614E4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</w:pP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Призначена постійна 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проф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ілактична антибактеріальну терапія ко-тримоксазолом та ітраконазолом, у зв’язку з чим протягом 2 років стан дитини залишався задовільним, респіраторні захворювання не мали ускладнень.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</w:rPr>
        <w:t> </w:t>
      </w:r>
    </w:p>
    <w:p w:rsidR="002614E4" w:rsidRPr="002614E4" w:rsidRDefault="002614E4" w:rsidP="002614E4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</w:pP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Останнє погіршення з’явилося у 14-річному віці у вигляді лихоманки 39,0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 °С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, малопродуктивного кашлю. При рентгенологічному 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досл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ідженні під час вступу: зліва в середньому відділі визначається великих розмірів ділянка інфільтрації легеневої тканини. Лівостороння зливна пневмонія 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</w:rPr>
        <w:t>S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3, 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</w:rPr>
        <w:t>S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6. Враховуючи відсутність позитивної рентгенологічної динаміки, незважаючи на використання курсу антибактеріальної (цефалоспорини, фторхінолони, карбапенеми, нітроімідазоли), протигрибкової терапії препаратами широкого спектра дії, проведена комп’ютерна томографія (КТ), де встановлена лівостороння деструктивна пневмонія 4-го, 6-го, 9-го сегменті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в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.</w:t>
      </w:r>
    </w:p>
    <w:p w:rsidR="002614E4" w:rsidRPr="002614E4" w:rsidRDefault="002614E4" w:rsidP="002614E4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</w:pP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У клінічному аналізі крові анемія легкого ступеня тяжкості, лейкоцитоз. ВІ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Л-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інфекцію було виключено неодноразово.</w:t>
      </w:r>
    </w:p>
    <w:p w:rsidR="002614E4" w:rsidRPr="002614E4" w:rsidRDefault="002614E4" w:rsidP="002614E4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</w:pP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При імунологічному дослідженні крові показники субпопуляцій лімфоцитів 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в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ідповідали віковій нормі, при вивченні показників гуморальної ланки встановлено підвищення рівнів 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</w:rPr>
        <w:t>IgM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 та 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</w:rPr>
        <w:t>IgG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: лейкоцити — 5,9 • 10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vertAlign w:val="superscript"/>
          <w:lang w:val="ru-RU"/>
        </w:rPr>
        <w:t>9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/л (норма — 4,0–7,6 • 10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vertAlign w:val="superscript"/>
          <w:lang w:val="ru-RU"/>
        </w:rPr>
        <w:t>9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/л), лімфоцити — 37 % (норма — 19–37 %), лімфоцити — 2,18 • 10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vertAlign w:val="superscript"/>
          <w:lang w:val="ru-RU"/>
        </w:rPr>
        <w:t>9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/л (норма — 1,76–2,8 • 10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vertAlign w:val="superscript"/>
          <w:lang w:val="ru-RU"/>
        </w:rPr>
        <w:t>9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/л), 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</w:rPr>
        <w:t>CD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3+-лі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мфоцити — 68 % (норма — 66–76 %); 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</w:rPr>
        <w:t>CD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3+-лімфоцити — 1,48 • 10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vertAlign w:val="superscript"/>
          <w:lang w:val="ru-RU"/>
        </w:rPr>
        <w:t>9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/л (норма — 1,4–2,0 • 10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vertAlign w:val="superscript"/>
          <w:lang w:val="ru-RU"/>
        </w:rPr>
        <w:t>9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/л), 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</w:rPr>
        <w:t>CD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4+-лімфоцити — 39 % (норма — 33–41 %); 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</w:rPr>
        <w:t>CD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4+-лімфоцити — 0,85 • 10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vertAlign w:val="superscript"/>
          <w:lang w:val="ru-RU"/>
        </w:rPr>
        <w:t>9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/л (норма — 0,7–1,1 • 10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vertAlign w:val="superscript"/>
          <w:lang w:val="ru-RU"/>
        </w:rPr>
        <w:t>9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/л), 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</w:rPr>
        <w:t>CD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8+-лімфоцити — 28 % (норма — 27–35 %); 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</w:rPr>
        <w:t>CD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8+-лімфоцити — 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lastRenderedPageBreak/>
        <w:t>0,61 • 10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vertAlign w:val="superscript"/>
          <w:lang w:val="ru-RU"/>
        </w:rPr>
        <w:t>9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/л (норма — 0,6–0,9 • 10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vertAlign w:val="superscript"/>
          <w:lang w:val="ru-RU"/>
        </w:rPr>
        <w:t>9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/л), 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</w:rPr>
        <w:t>CD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16+-лімфоцити — 14 % (норма — 9–16 %);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 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</w:rPr>
        <w:t>CD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16+-лімфоцити — 0,30 • 10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vertAlign w:val="superscript"/>
          <w:lang w:val="ru-RU"/>
        </w:rPr>
        <w:t>9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/л (норма — 0,2–0,3 • 10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vertAlign w:val="superscript"/>
          <w:lang w:val="ru-RU"/>
        </w:rPr>
        <w:t>9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/л), 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</w:rPr>
        <w:t>CD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22+-лімфоцити — 17 % (норма — 11–20 %); 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</w:rPr>
        <w:t>CD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22+-лімфоцити — 0,37 • 10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vertAlign w:val="superscript"/>
          <w:lang w:val="ru-RU"/>
        </w:rPr>
        <w:t>9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/л (норма — 0,28–0,58 • 10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vertAlign w:val="superscript"/>
          <w:lang w:val="ru-RU"/>
        </w:rPr>
        <w:t>9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/л), 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</w:rPr>
        <w:t>CD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25+-лімфоцити — 40 % (норма — 32–41 %); 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</w:rPr>
        <w:t>CD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25+-лімфоцити — 0,87 • 10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vertAlign w:val="superscript"/>
          <w:lang w:val="ru-RU"/>
        </w:rPr>
        <w:t>9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/л (норма — 0,24–1,11 • 10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vertAlign w:val="superscript"/>
          <w:lang w:val="ru-RU"/>
        </w:rPr>
        <w:t>9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/л), 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</w:rPr>
        <w:t>IgA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 — 1,12 г/л (норма — 1,48 ± 0,63 г/л); 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</w:rPr>
        <w:t>IgM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 — 0,94 г/л (норма — 0,59 ± 0,20 г/л); 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</w:rPr>
        <w:t>IgG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 — 10,93 г/л (норма — 9,46 ± 1,24 г/л), комплемент СН50 — 59 (норма — 40–80).</w:t>
      </w:r>
    </w:p>
    <w:p w:rsidR="002614E4" w:rsidRPr="002614E4" w:rsidRDefault="002614E4" w:rsidP="002614E4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</w:pP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Необхідно зазначити, що виявлене зниження показників бактеріальної і фагоцитарної активності є патогенетичними маркерами захворювання: НСТ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vertAlign w:val="subscript"/>
          <w:lang w:val="ru-RU"/>
        </w:rPr>
        <w:t>спонт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 — 3 % (норма — 9,34–0,4 %), ІАН, од. — 0,04 (норма — 0,130 ± 0,006), НСТ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vertAlign w:val="subscript"/>
          <w:lang w:val="ru-RU"/>
        </w:rPr>
        <w:t>стим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 — 12 % (норма — 40–80 %), ІАН, од. — 0,16 (норма — 0,5 ± 1,5); фагоцитоз з латексом — 55 % (норма — 60–80 %). Також визначалися 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р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івні ЛКБ, од. — 1,22 (норма — 1,23–0,015), підвищення рівня ЦІК — 3,5 %, ПЕГ — 15,3 (норма — 10 ± 2), СРП — 24, РФ — негативний.</w:t>
      </w:r>
    </w:p>
    <w:p w:rsidR="002614E4" w:rsidRPr="002614E4" w:rsidRDefault="002614E4" w:rsidP="002614E4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</w:pP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При спірографічному 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досл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ідженні встановлені легкі рестриктивні порушення: ЖЄЛ — 70 % (норма — 79–112 %), ФЖЄЛ — 72 % (норма — 78–113 %), ПШВ — 91 % (норма — 72–117 %), МОШ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vertAlign w:val="subscript"/>
          <w:lang w:val="ru-RU"/>
        </w:rPr>
        <w:t>25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 — 92 % (норма — 73–117 %), МОШ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vertAlign w:val="subscript"/>
          <w:lang w:val="ru-RU"/>
        </w:rPr>
        <w:t>50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 — 87 % (норма — 73–117 %), МОШ75 — 105 % (норма — 61–124 %), ОФВ1 — 78 % (норма — 78–113 %), тест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 Т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іффно — 111 % (норма — 84–110 %).</w:t>
      </w:r>
    </w:p>
    <w:p w:rsidR="002614E4" w:rsidRPr="002614E4" w:rsidRDefault="002614E4" w:rsidP="002614E4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</w:pP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При 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досл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ідженні білкової фракції сироватки крові: загальний білок — 74 г/л (норма — 65–85 г/л), альбумін — 53,6 % (норма — 50–65 %), глобуліни: 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</w:rPr>
        <w:t>α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1 — 5,5 % (норма — 3–6 %), 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</w:rPr>
        <w:t>α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2 — 11,5 % (норма — 6–12 %), 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</w:rPr>
        <w:t>β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 — 6,8 % (норма — 8–12 %), 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</w:rPr>
        <w:t>γ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 — 22,6 % (норма — 15–20 %), А/Г коеф. — 1,15 (норма — 1,5–2,3 %).</w:t>
      </w:r>
    </w:p>
    <w:p w:rsidR="002614E4" w:rsidRPr="002614E4" w:rsidRDefault="002614E4" w:rsidP="002614E4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</w:pP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Враховуючи наявність у хворого хронічного стоматиту, неодноразово проводилося 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досл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ідження на флору з афт у ротовій порожнині: виявлено 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</w:rPr>
        <w:t>Staphylococcus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 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</w:rPr>
        <w:t>aureus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. При бактеріологічному 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досл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ідженні слизу зіву та носа — </w:t>
      </w:r>
      <w:r w:rsidRPr="002614E4">
        <w:rPr>
          <w:rFonts w:ascii="Verdana" w:eastAsia="Times New Roman" w:hAnsi="Verdana" w:cs="Times New Roman"/>
          <w:i/>
          <w:iCs/>
          <w:color w:val="000000"/>
          <w:sz w:val="18"/>
          <w:szCs w:val="18"/>
        </w:rPr>
        <w:t>Streptococcus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 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</w:rPr>
        <w:t>spp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 • 10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vertAlign w:val="superscript"/>
          <w:lang w:val="ru-RU"/>
        </w:rPr>
        <w:t>4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; </w:t>
      </w:r>
      <w:r w:rsidRPr="002614E4">
        <w:rPr>
          <w:rFonts w:ascii="Verdana" w:eastAsia="Times New Roman" w:hAnsi="Verdana" w:cs="Times New Roman"/>
          <w:i/>
          <w:iCs/>
          <w:color w:val="000000"/>
          <w:sz w:val="18"/>
          <w:szCs w:val="18"/>
        </w:rPr>
        <w:t>Staphylococcus</w:t>
      </w:r>
      <w:r w:rsidRPr="002614E4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val="ru-RU"/>
        </w:rPr>
        <w:t xml:space="preserve"> </w:t>
      </w:r>
      <w:r w:rsidRPr="002614E4">
        <w:rPr>
          <w:rFonts w:ascii="Verdana" w:eastAsia="Times New Roman" w:hAnsi="Verdana" w:cs="Times New Roman"/>
          <w:i/>
          <w:iCs/>
          <w:color w:val="000000"/>
          <w:sz w:val="18"/>
          <w:szCs w:val="18"/>
        </w:rPr>
        <w:t>epidermidis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 • 10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vertAlign w:val="superscript"/>
          <w:lang w:val="ru-RU"/>
        </w:rPr>
        <w:t>4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.</w:t>
      </w:r>
    </w:p>
    <w:p w:rsidR="002614E4" w:rsidRPr="002614E4" w:rsidRDefault="002614E4" w:rsidP="002614E4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</w:pP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Результати імунофлюоресцентного аналізу носоглоткового змиву антигенів 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в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ірусів грипу та респіраторних вірусів — не знайдено.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</w:rPr>
        <w:t> </w:t>
      </w:r>
    </w:p>
    <w:p w:rsidR="002614E4" w:rsidRPr="002614E4" w:rsidRDefault="002614E4" w:rsidP="002614E4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</w:pP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При клінічному аналізі мокротиння ознаки запального процесу: лейкоцити — на 1/4 поля зору (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п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/з), еритроцити — 0–3 клітини у п/з, елементи епітелію бронхів — на 1/4 п/з, альвеолярні клітини — на 0–3 п/з,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</w:rPr>
        <w:t> </w:t>
      </w:r>
      <w:r w:rsidRPr="002614E4">
        <w:rPr>
          <w:rFonts w:ascii="Verdana" w:eastAsia="Times New Roman" w:hAnsi="Verdana" w:cs="Times New Roman"/>
          <w:i/>
          <w:iCs/>
          <w:color w:val="000000"/>
          <w:sz w:val="18"/>
          <w:szCs w:val="18"/>
        </w:rPr>
        <w:t>M</w:t>
      </w:r>
      <w:r w:rsidRPr="002614E4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val="ru-RU"/>
        </w:rPr>
        <w:t>у</w:t>
      </w:r>
      <w:r w:rsidRPr="002614E4">
        <w:rPr>
          <w:rFonts w:ascii="Verdana" w:eastAsia="Times New Roman" w:hAnsi="Verdana" w:cs="Times New Roman"/>
          <w:i/>
          <w:iCs/>
          <w:color w:val="000000"/>
          <w:sz w:val="18"/>
          <w:szCs w:val="18"/>
        </w:rPr>
        <w:t>cobacterium</w:t>
      </w:r>
      <w:r w:rsidRPr="002614E4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val="ru-RU"/>
        </w:rPr>
        <w:t xml:space="preserve"> </w:t>
      </w:r>
      <w:r w:rsidRPr="002614E4">
        <w:rPr>
          <w:rFonts w:ascii="Verdana" w:eastAsia="Times New Roman" w:hAnsi="Verdana" w:cs="Times New Roman"/>
          <w:i/>
          <w:iCs/>
          <w:color w:val="000000"/>
          <w:sz w:val="18"/>
          <w:szCs w:val="18"/>
        </w:rPr>
        <w:t>tuberculosis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</w:rPr>
        <w:t> 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не виявлена.</w:t>
      </w:r>
    </w:p>
    <w:p w:rsidR="002614E4" w:rsidRPr="002614E4" w:rsidRDefault="002614E4" w:rsidP="002614E4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</w:pP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При клінічному 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досл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ідженні промивних вод бронхів встановлені запальні зміни: лейкоцити — на 3/4 п/з, еритроцити — 20 клітин у п/з, елементи епітелію бронхів — на 1/4 п/з, кристали — місцями,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</w:rPr>
        <w:t> </w:t>
      </w:r>
      <w:r w:rsidRPr="002614E4">
        <w:rPr>
          <w:rFonts w:ascii="Verdana" w:eastAsia="Times New Roman" w:hAnsi="Verdana" w:cs="Times New Roman"/>
          <w:i/>
          <w:iCs/>
          <w:color w:val="000000"/>
          <w:sz w:val="18"/>
          <w:szCs w:val="18"/>
        </w:rPr>
        <w:t>M</w:t>
      </w:r>
      <w:r w:rsidRPr="002614E4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val="ru-RU"/>
        </w:rPr>
        <w:t>у</w:t>
      </w:r>
      <w:r w:rsidRPr="002614E4">
        <w:rPr>
          <w:rFonts w:ascii="Verdana" w:eastAsia="Times New Roman" w:hAnsi="Verdana" w:cs="Times New Roman"/>
          <w:i/>
          <w:iCs/>
          <w:color w:val="000000"/>
          <w:sz w:val="18"/>
          <w:szCs w:val="18"/>
        </w:rPr>
        <w:t>cobacterium</w:t>
      </w:r>
      <w:r w:rsidRPr="002614E4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val="ru-RU"/>
        </w:rPr>
        <w:t xml:space="preserve"> </w:t>
      </w:r>
      <w:r w:rsidRPr="002614E4">
        <w:rPr>
          <w:rFonts w:ascii="Verdana" w:eastAsia="Times New Roman" w:hAnsi="Verdana" w:cs="Times New Roman"/>
          <w:i/>
          <w:iCs/>
          <w:color w:val="000000"/>
          <w:sz w:val="18"/>
          <w:szCs w:val="18"/>
        </w:rPr>
        <w:t>tuberculosis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</w:rPr>
        <w:t> 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не виявлена.</w:t>
      </w:r>
    </w:p>
    <w:p w:rsidR="002614E4" w:rsidRPr="002614E4" w:rsidRDefault="002614E4" w:rsidP="002614E4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</w:pP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При бактеріологічному 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досл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ідженні лаважу бронхіального дерева виявлений рост </w:t>
      </w:r>
      <w:r w:rsidRPr="002614E4">
        <w:rPr>
          <w:rFonts w:ascii="Verdana" w:eastAsia="Times New Roman" w:hAnsi="Verdana" w:cs="Times New Roman"/>
          <w:i/>
          <w:iCs/>
          <w:color w:val="000000"/>
          <w:sz w:val="18"/>
          <w:szCs w:val="18"/>
        </w:rPr>
        <w:t>M</w:t>
      </w:r>
      <w:r w:rsidRPr="002614E4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val="ru-RU"/>
        </w:rPr>
        <w:t>у</w:t>
      </w:r>
      <w:r w:rsidRPr="002614E4">
        <w:rPr>
          <w:rFonts w:ascii="Verdana" w:eastAsia="Times New Roman" w:hAnsi="Verdana" w:cs="Times New Roman"/>
          <w:i/>
          <w:iCs/>
          <w:color w:val="000000"/>
          <w:sz w:val="18"/>
          <w:szCs w:val="18"/>
        </w:rPr>
        <w:t>cobacterium</w:t>
      </w:r>
      <w:r w:rsidRPr="002614E4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val="ru-RU"/>
        </w:rPr>
        <w:t xml:space="preserve"> </w:t>
      </w:r>
      <w:r w:rsidRPr="002614E4">
        <w:rPr>
          <w:rFonts w:ascii="Verdana" w:eastAsia="Times New Roman" w:hAnsi="Verdana" w:cs="Times New Roman"/>
          <w:i/>
          <w:iCs/>
          <w:color w:val="000000"/>
          <w:sz w:val="18"/>
          <w:szCs w:val="18"/>
        </w:rPr>
        <w:t>tuberculosis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, у зв’язку з чим дитині проводилася протитуберкульозна терапія.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</w:rPr>
        <w:t> </w:t>
      </w:r>
    </w:p>
    <w:p w:rsidR="002614E4" w:rsidRPr="002614E4" w:rsidRDefault="002614E4" w:rsidP="002614E4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</w:pP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Останнє погіршення стану через 2 місяці пов’язано з малоінтенсивним кашлем, болем у грудній клітці, 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п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ідвищенням температури до фебрильних цифр, наростанням задухи. При рентгенологічному 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досл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ідженні: у середньому та нижніх відділах з обох сторін визначалися великих розмірів ділянки інфільтрації легеневої тканини.</w:t>
      </w:r>
    </w:p>
    <w:p w:rsidR="002614E4" w:rsidRPr="002614E4" w:rsidRDefault="002614E4" w:rsidP="002614E4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</w:pP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Враховуючи, що на фоні 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проф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ілактичної антибактеріальної, протигрибкової та протитуберкульозної терапії у хворого з’явилися інфільтративні зміни в легенях, необхідність проведення додаткових методів дослідження для диференціальної діагностики інфекційних ускладнень при ХГХ зростала. Неефективне знищення грибкової флори у цієї групи пацієнті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в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 є 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одним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 із патогенетичних моментів захворювання, схожа клінічна симптоматика при ураженні легенів ускладнює діагностичний процес між бактеріальними і грибковими інфекціями. Ранніми ознаками аспергільозу при проведенні комп’ютерної томографії легенів є 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др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ібні (&lt; 2 см), пов’язані з судинами округлі вогнища, зазвичай розташовані субплеврально, симптом «ореолу», а також ущільнення трикутної форми, що примикають підставою до плеври. При прогресуванні захворювання при КТ легенів визначають 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п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ізні ознаки: вогнища деструкції, а також порожнини з вмістом і прошарком повітря (симптом «півмісяця»). Початкові легеневі зміни на 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серіях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 томограм, що виконані у спірографічному режимі томографічним шагом 5 мм, наведено на рис. 1, 2.</w:t>
      </w:r>
    </w:p>
    <w:p w:rsidR="002614E4" w:rsidRPr="002614E4" w:rsidRDefault="002614E4" w:rsidP="002614E4">
      <w:pPr>
        <w:spacing w:after="0" w:line="240" w:lineRule="auto"/>
        <w:jc w:val="center"/>
        <w:rPr>
          <w:rFonts w:ascii="Verdana" w:eastAsia="Times New Roman" w:hAnsi="Verdana" w:cs="Times New Roman"/>
          <w:color w:val="000000"/>
          <w:sz w:val="18"/>
          <w:szCs w:val="18"/>
        </w:rPr>
      </w:pPr>
      <w:r w:rsidRPr="002614E4">
        <w:rPr>
          <w:rFonts w:ascii="Verdana" w:eastAsia="Times New Roman" w:hAnsi="Verdana" w:cs="Times New Roman"/>
          <w:noProof/>
          <w:color w:val="0000FF"/>
          <w:sz w:val="18"/>
          <w:szCs w:val="18"/>
        </w:rPr>
        <w:lastRenderedPageBreak/>
        <w:drawing>
          <wp:inline distT="0" distB="0" distL="0" distR="0" wp14:anchorId="1261FE4C" wp14:editId="546574C3">
            <wp:extent cx="5090323" cy="2823614"/>
            <wp:effectExtent l="0" t="0" r="0" b="0"/>
            <wp:docPr id="5" name="Рисунок 5" descr="http://www.mif-ua.com/media/uploads/arhiv/zr/2018/1(13)/152-1.jpg">
              <a:hlinkClick xmlns:a="http://schemas.openxmlformats.org/drawingml/2006/main" r:id="rId11" tgtFrame="&quot;_blank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http://www.mif-ua.com/media/uploads/arhiv/zr/2018/1(13)/152-1.jpg">
                      <a:hlinkClick r:id="rId11" tgtFrame="&quot;_blank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98416" cy="28281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614E4" w:rsidRPr="002614E4" w:rsidRDefault="002614E4" w:rsidP="002614E4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</w:rPr>
      </w:pP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</w:rPr>
        <w:t>Прогресуючі клінічні зміни, наростання ознак дихальної недостатності потребувало лікування хворого у відділенні реанімації та інтенсивної терапії.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</w:rPr>
        <w:t xml:space="preserve"> 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</w:rPr>
        <w:t>При повторній комп’ютерній томографії встановлена негативна динаміка (рис. 3, 4).</w:t>
      </w:r>
      <w:proofErr w:type="gramEnd"/>
    </w:p>
    <w:p w:rsidR="002614E4" w:rsidRPr="002614E4" w:rsidRDefault="002614E4" w:rsidP="002614E4">
      <w:pPr>
        <w:spacing w:after="0" w:line="240" w:lineRule="auto"/>
        <w:jc w:val="center"/>
        <w:rPr>
          <w:rFonts w:ascii="Verdana" w:eastAsia="Times New Roman" w:hAnsi="Verdana" w:cs="Times New Roman"/>
          <w:color w:val="000000"/>
          <w:sz w:val="18"/>
          <w:szCs w:val="18"/>
        </w:rPr>
      </w:pPr>
      <w:r w:rsidRPr="002614E4">
        <w:rPr>
          <w:rFonts w:ascii="Verdana" w:eastAsia="Times New Roman" w:hAnsi="Verdana" w:cs="Times New Roman"/>
          <w:noProof/>
          <w:color w:val="0000FF"/>
          <w:sz w:val="18"/>
          <w:szCs w:val="18"/>
        </w:rPr>
        <w:drawing>
          <wp:inline distT="0" distB="0" distL="0" distR="0" wp14:anchorId="00363D1C" wp14:editId="3BD30043">
            <wp:extent cx="4523101" cy="2531454"/>
            <wp:effectExtent l="0" t="0" r="0" b="2540"/>
            <wp:docPr id="6" name="Рисунок 6" descr="http://www.mif-ua.com/media/uploads/arhiv/zr/2018/1(13)/153-1.jpg">
              <a:hlinkClick xmlns:a="http://schemas.openxmlformats.org/drawingml/2006/main" r:id="rId13" tgtFrame="&quot;_blank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http://www.mif-ua.com/media/uploads/arhiv/zr/2018/1(13)/153-1.jpg">
                      <a:hlinkClick r:id="rId13" tgtFrame="&quot;_blank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25662" cy="25328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614E4" w:rsidRPr="002614E4" w:rsidRDefault="002614E4" w:rsidP="002614E4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</w:rPr>
      </w:pP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</w:rPr>
        <w:t>Остаточним специфічним дослідженням для підтвердження аспергільозу є виявлення збудника при мікроскопії та посіві мокротиння чи лаважу з бронхіального дерева.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</w:rPr>
        <w:t xml:space="preserve"> 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</w:rPr>
        <w:t xml:space="preserve">При повторному дослідженні мокротиння хворого виявлені </w:t>
      </w:r>
      <w:r w:rsidRPr="002614E4">
        <w:rPr>
          <w:rFonts w:ascii="Verdana" w:eastAsia="Times New Roman" w:hAnsi="Verdana" w:cs="Times New Roman"/>
          <w:i/>
          <w:iCs/>
          <w:color w:val="000000"/>
          <w:sz w:val="18"/>
          <w:szCs w:val="18"/>
        </w:rPr>
        <w:t>Aspergillus fumigatu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</w:rPr>
        <w:t>s.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</w:rPr>
        <w:t xml:space="preserve"> 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</w:rPr>
        <w:t>Комплекс лікувальних заходів включав внутрішньовенну антифунгальну терапію.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</w:rPr>
        <w:t xml:space="preserve"> 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</w:rPr>
        <w:t>Стан хворого покращився, відмічалася позитивна динаміка.</w:t>
      </w:r>
      <w:proofErr w:type="gramEnd"/>
    </w:p>
    <w:p w:rsidR="002614E4" w:rsidRPr="002614E4" w:rsidRDefault="002614E4" w:rsidP="002614E4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</w:pP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</w:rPr>
        <w:t>Враховуючи відсутність на сучасному етапі патогенетичної терапії, що коректувала б імунну відповідь, даний клінічний випадок підтверджує складність виявлення збудників інфекційних процесів у хворих на ХГХ.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</w:rPr>
        <w:t xml:space="preserve"> 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Від своєчасного встановлення етіології інфекційних ускладнень залежить тактика ведення хворого, що, у 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свою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 чергу, обумовлює прогноз захворювання.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</w:rPr>
        <w:t> </w:t>
      </w:r>
    </w:p>
    <w:p w:rsidR="002614E4" w:rsidRPr="002614E4" w:rsidRDefault="002614E4" w:rsidP="002614E4">
      <w:pPr>
        <w:spacing w:after="180" w:line="240" w:lineRule="auto"/>
        <w:jc w:val="both"/>
        <w:outlineLvl w:val="1"/>
        <w:rPr>
          <w:rFonts w:ascii="Verdana" w:eastAsia="Times New Roman" w:hAnsi="Verdana" w:cs="Times New Roman"/>
          <w:b/>
          <w:bCs/>
          <w:color w:val="000000"/>
          <w:sz w:val="17"/>
          <w:szCs w:val="17"/>
        </w:rPr>
      </w:pPr>
      <w:r w:rsidRPr="002614E4">
        <w:rPr>
          <w:rFonts w:ascii="Verdana" w:eastAsia="Times New Roman" w:hAnsi="Verdana" w:cs="Times New Roman"/>
          <w:b/>
          <w:bCs/>
          <w:color w:val="000000"/>
          <w:sz w:val="17"/>
          <w:szCs w:val="17"/>
        </w:rPr>
        <w:t>Висновки</w:t>
      </w:r>
    </w:p>
    <w:p w:rsidR="002614E4" w:rsidRPr="002614E4" w:rsidRDefault="002614E4" w:rsidP="002614E4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</w:rPr>
      </w:pP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</w:rPr>
        <w:t>Кожне клінічне спостереження дитини з рідкісною патологією в національних умовах (відмінності у протоколах лікування, можливостях профілактичної терапії, наявність туберкульозної інфекції) є важливим з наукової точки зору.</w:t>
      </w:r>
      <w:proofErr w:type="gramEnd"/>
    </w:p>
    <w:p w:rsidR="002614E4" w:rsidRPr="002614E4" w:rsidRDefault="002614E4" w:rsidP="002614E4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</w:rPr>
      </w:pP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</w:rPr>
        <w:t>Поширеність знань щодо ексвізитних клінічних форм має практичне значення для лікарів загальної практики, педіатрів щодо покращення ранньої діагностики.</w:t>
      </w:r>
      <w:proofErr w:type="gramEnd"/>
    </w:p>
    <w:p w:rsidR="002614E4" w:rsidRPr="002614E4" w:rsidRDefault="002614E4" w:rsidP="002614E4">
      <w:pPr>
        <w:spacing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</w:pPr>
      <w:r w:rsidRPr="002614E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val="ru-RU"/>
        </w:rPr>
        <w:t>Конфлікт інтересів.</w:t>
      </w:r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 xml:space="preserve"> Автори заявляють про відсутність конфлікту інтересів при </w:t>
      </w:r>
      <w:proofErr w:type="gramStart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п</w:t>
      </w:r>
      <w:proofErr w:type="gramEnd"/>
      <w:r w:rsidRPr="002614E4">
        <w:rPr>
          <w:rFonts w:ascii="Verdana" w:eastAsia="Times New Roman" w:hAnsi="Verdana" w:cs="Times New Roman"/>
          <w:color w:val="000000"/>
          <w:sz w:val="18"/>
          <w:szCs w:val="18"/>
          <w:lang w:val="ru-RU"/>
        </w:rPr>
        <w:t>ідготовці даної статті.</w:t>
      </w:r>
    </w:p>
    <w:p w:rsidR="002614E4" w:rsidRPr="002614E4" w:rsidRDefault="002614E4" w:rsidP="002614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2614E4">
        <w:rPr>
          <w:rFonts w:ascii="Verdana" w:eastAsia="Times New Roman" w:hAnsi="Verdana" w:cs="Times New Roman"/>
          <w:color w:val="000000"/>
          <w:sz w:val="17"/>
          <w:szCs w:val="17"/>
          <w:lang w:val="ru-RU"/>
        </w:rPr>
        <w:br/>
      </w:r>
    </w:p>
    <w:p w:rsidR="002614E4" w:rsidRPr="002614E4" w:rsidRDefault="002614E4" w:rsidP="002614E4">
      <w:pPr>
        <w:spacing w:after="240" w:line="240" w:lineRule="auto"/>
        <w:rPr>
          <w:rFonts w:ascii="Verdana" w:eastAsia="Times New Roman" w:hAnsi="Verdana" w:cs="Times New Roman"/>
          <w:color w:val="000000"/>
          <w:sz w:val="17"/>
          <w:szCs w:val="17"/>
        </w:rPr>
      </w:pPr>
      <w:r w:rsidRPr="002614E4">
        <w:rPr>
          <w:rFonts w:ascii="Verdana" w:eastAsia="Times New Roman" w:hAnsi="Verdana" w:cs="Times New Roman"/>
          <w:b/>
          <w:bCs/>
          <w:color w:val="000000"/>
          <w:sz w:val="17"/>
          <w:szCs w:val="17"/>
        </w:rPr>
        <w:t>Список литературы</w:t>
      </w:r>
    </w:p>
    <w:p w:rsidR="002614E4" w:rsidRPr="002614E4" w:rsidRDefault="002614E4" w:rsidP="002614E4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7"/>
          <w:szCs w:val="17"/>
        </w:rPr>
      </w:pPr>
      <w:r w:rsidRPr="002614E4">
        <w:rPr>
          <w:rFonts w:ascii="Verdana" w:eastAsia="Times New Roman" w:hAnsi="Verdana" w:cs="Times New Roman"/>
          <w:color w:val="000000"/>
          <w:sz w:val="17"/>
          <w:szCs w:val="17"/>
        </w:rPr>
        <w:t>1. Chronic granulomatous disorder: a guide for medical professionals. — UK, London, 2015. — Доступ до електронної версії: www.cgdsociety.org.</w:t>
      </w:r>
    </w:p>
    <w:p w:rsidR="002614E4" w:rsidRPr="002614E4" w:rsidRDefault="002614E4" w:rsidP="002614E4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7"/>
          <w:szCs w:val="17"/>
        </w:rPr>
      </w:pPr>
      <w:r w:rsidRPr="002614E4">
        <w:rPr>
          <w:rFonts w:ascii="Verdana" w:eastAsia="Times New Roman" w:hAnsi="Verdana" w:cs="Times New Roman"/>
          <w:color w:val="000000"/>
          <w:sz w:val="17"/>
          <w:szCs w:val="17"/>
        </w:rPr>
        <w:lastRenderedPageBreak/>
        <w:t>2. Special article: chronic granulomatous disease in the United Kingdom and Ireland: a comprehensive national patient-based re–gistry / Jones L.B., McGrogan P., Flood T.J., Gennery A.R. et al. // Clinical and Experimental Immunology. — 2008. — № 152(2). — Р. 211-18.</w:t>
      </w:r>
    </w:p>
    <w:p w:rsidR="002614E4" w:rsidRPr="002614E4" w:rsidRDefault="002614E4" w:rsidP="002614E4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7"/>
          <w:szCs w:val="17"/>
        </w:rPr>
      </w:pPr>
      <w:r w:rsidRPr="002614E4">
        <w:rPr>
          <w:rFonts w:ascii="Verdana" w:eastAsia="Times New Roman" w:hAnsi="Verdana" w:cs="Times New Roman"/>
          <w:color w:val="000000"/>
          <w:sz w:val="17"/>
          <w:szCs w:val="17"/>
        </w:rPr>
        <w:t>3. Chronic granulomatous disease: the European experience / Van den Berg J.M., van Koppen E., Ahlin A., Belohradsky B.H. // The Public Library of Science One. — 2009. — № 4(4). — P. 5234.</w:t>
      </w:r>
    </w:p>
    <w:p w:rsidR="002614E4" w:rsidRPr="002614E4" w:rsidRDefault="002614E4" w:rsidP="002614E4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7"/>
          <w:szCs w:val="17"/>
        </w:rPr>
      </w:pPr>
      <w:r w:rsidRPr="002614E4">
        <w:rPr>
          <w:rFonts w:ascii="Verdana" w:eastAsia="Times New Roman" w:hAnsi="Verdana" w:cs="Times New Roman"/>
          <w:color w:val="000000"/>
          <w:sz w:val="17"/>
          <w:szCs w:val="17"/>
        </w:rPr>
        <w:t>4. Modern management of chronic granulomatous di–sease / Seger R.A. // British Journal of Haematology. — 2008. — № 140(3). — P. 255-66.</w:t>
      </w:r>
    </w:p>
    <w:p w:rsidR="002614E4" w:rsidRPr="002614E4" w:rsidRDefault="002614E4" w:rsidP="002614E4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7"/>
          <w:szCs w:val="17"/>
        </w:rPr>
      </w:pPr>
      <w:r w:rsidRPr="002614E4">
        <w:rPr>
          <w:rFonts w:ascii="Verdana" w:eastAsia="Times New Roman" w:hAnsi="Verdana" w:cs="Times New Roman"/>
          <w:color w:val="000000"/>
          <w:sz w:val="17"/>
          <w:szCs w:val="17"/>
        </w:rPr>
        <w:t>5. Chronic granulomatous disease: complications and management / Rosenzweig S.D. // Expert Review of Clinical Immunology. — 2009. — № 5(1). — P. 45-53.</w:t>
      </w:r>
    </w:p>
    <w:p w:rsidR="002614E4" w:rsidRPr="002614E4" w:rsidRDefault="002614E4" w:rsidP="002614E4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7"/>
          <w:szCs w:val="17"/>
        </w:rPr>
      </w:pPr>
      <w:r w:rsidRPr="002614E4">
        <w:rPr>
          <w:rFonts w:ascii="Verdana" w:eastAsia="Times New Roman" w:hAnsi="Verdana" w:cs="Times New Roman"/>
          <w:color w:val="000000"/>
          <w:sz w:val="17"/>
          <w:szCs w:val="17"/>
        </w:rPr>
        <w:t>6. Chronic granulomatous disease / Holland S.M. // Clinical Reviews in Allergy and Immunology. — 2010. — № 38(1). — P. 3-10.</w:t>
      </w:r>
    </w:p>
    <w:p w:rsidR="002614E4" w:rsidRPr="002614E4" w:rsidRDefault="002614E4" w:rsidP="002614E4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7"/>
          <w:szCs w:val="17"/>
        </w:rPr>
      </w:pPr>
      <w:r w:rsidRPr="002614E4">
        <w:rPr>
          <w:rFonts w:ascii="Verdana" w:eastAsia="Times New Roman" w:hAnsi="Verdana" w:cs="Times New Roman"/>
          <w:color w:val="000000"/>
          <w:sz w:val="17"/>
          <w:szCs w:val="17"/>
        </w:rPr>
        <w:t>7. Invasive aspergillosis in chronic granulomatous disease / Segal B.H., Romani L.R. // Medical Mycology. — 2009. — № 47(1). — P. 282-290.</w:t>
      </w:r>
    </w:p>
    <w:p w:rsidR="002614E4" w:rsidRPr="002614E4" w:rsidRDefault="002614E4" w:rsidP="002614E4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7"/>
          <w:szCs w:val="17"/>
        </w:rPr>
      </w:pPr>
      <w:r w:rsidRPr="002614E4">
        <w:rPr>
          <w:rFonts w:ascii="Verdana" w:eastAsia="Times New Roman" w:hAnsi="Verdana" w:cs="Times New Roman"/>
          <w:color w:val="000000"/>
          <w:sz w:val="17"/>
          <w:szCs w:val="17"/>
        </w:rPr>
        <w:t>8. Epidemiology and outcome of invasive fungal diseases in patients with chronic granulomatous disease: a multicenter study in France / Beaute J., Obenga G., Le Mignot L., Mahlaoui N. // Pediatric Infectious Disease Journal. — 2011. — № 30(1). — P. 57-62.</w:t>
      </w:r>
    </w:p>
    <w:p w:rsidR="002614E4" w:rsidRPr="002614E4" w:rsidRDefault="002614E4" w:rsidP="002614E4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7"/>
          <w:szCs w:val="17"/>
        </w:rPr>
      </w:pPr>
      <w:r w:rsidRPr="002614E4">
        <w:rPr>
          <w:rFonts w:ascii="Verdana" w:eastAsia="Times New Roman" w:hAnsi="Verdana" w:cs="Times New Roman"/>
          <w:color w:val="000000"/>
          <w:sz w:val="17"/>
          <w:szCs w:val="17"/>
        </w:rPr>
        <w:t>9. The NADPH oxidase NOX2 plays a role in periodontal pathologies / Giannopoulou C., Krause K.H., Müller F. // Seminars in Immunopathology. — 2008. — № 30(3). —P. 273-278.</w:t>
      </w:r>
    </w:p>
    <w:p w:rsidR="002614E4" w:rsidRPr="002614E4" w:rsidRDefault="002614E4" w:rsidP="002614E4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7"/>
          <w:szCs w:val="17"/>
        </w:rPr>
      </w:pPr>
      <w:r w:rsidRPr="002614E4">
        <w:rPr>
          <w:rFonts w:ascii="Verdana" w:eastAsia="Times New Roman" w:hAnsi="Verdana" w:cs="Times New Roman"/>
          <w:color w:val="000000"/>
          <w:sz w:val="17"/>
          <w:szCs w:val="17"/>
        </w:rPr>
        <w:t>10. Abnormal apoptosis in chronic granulomatous disease and autoantibody production characteristic of lupus /Sanford A.N., Suriano A.R., Herche D., Dietzmann K. // Rheumatology. — 2006. — № 45(2). — P. 178-81.</w:t>
      </w:r>
    </w:p>
    <w:p w:rsidR="002614E4" w:rsidRPr="002614E4" w:rsidRDefault="002614E4" w:rsidP="002614E4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7"/>
          <w:szCs w:val="17"/>
        </w:rPr>
      </w:pPr>
      <w:r w:rsidRPr="002614E4">
        <w:rPr>
          <w:rFonts w:ascii="Verdana" w:eastAsia="Times New Roman" w:hAnsi="Verdana" w:cs="Times New Roman"/>
          <w:color w:val="000000"/>
          <w:sz w:val="17"/>
          <w:szCs w:val="17"/>
        </w:rPr>
        <w:t xml:space="preserve">11. Cutaneous and other lupus-like symptoms in carriers of X-linked chronic granulomatous disease: incidence and autoimmune serology / Cale C.M., Morton L., Goldblatt D. // Clinical and Experimental Immunology. — 2007. — № 148(1). — </w:t>
      </w:r>
      <w:proofErr w:type="gramStart"/>
      <w:r w:rsidRPr="002614E4">
        <w:rPr>
          <w:rFonts w:ascii="Verdana" w:eastAsia="Times New Roman" w:hAnsi="Verdana" w:cs="Times New Roman"/>
          <w:color w:val="000000"/>
          <w:sz w:val="17"/>
          <w:szCs w:val="17"/>
        </w:rPr>
        <w:t>Р. 79</w:t>
      </w:r>
      <w:proofErr w:type="gramEnd"/>
      <w:r w:rsidRPr="002614E4">
        <w:rPr>
          <w:rFonts w:ascii="Verdana" w:eastAsia="Times New Roman" w:hAnsi="Verdana" w:cs="Times New Roman"/>
          <w:color w:val="000000"/>
          <w:sz w:val="17"/>
          <w:szCs w:val="17"/>
        </w:rPr>
        <w:t>-84.</w:t>
      </w:r>
    </w:p>
    <w:p w:rsidR="002614E4" w:rsidRPr="002614E4" w:rsidRDefault="002614E4" w:rsidP="002614E4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7"/>
          <w:szCs w:val="17"/>
        </w:rPr>
      </w:pPr>
      <w:r w:rsidRPr="002614E4">
        <w:rPr>
          <w:rFonts w:ascii="Verdana" w:eastAsia="Times New Roman" w:hAnsi="Verdana" w:cs="Times New Roman"/>
          <w:color w:val="000000"/>
          <w:sz w:val="17"/>
          <w:szCs w:val="17"/>
        </w:rPr>
        <w:t>12. Inflammatory bowel disease in CGD reproduces the clinicopathological features of Crohn’s disease / Marks D.J., Miyagi K., Rahman F.Z., Novelli M. // American Journal of Gastroenterology. — 2009. — № 104(1). — P. 117-24.</w:t>
      </w:r>
    </w:p>
    <w:p w:rsidR="002614E4" w:rsidRPr="002614E4" w:rsidRDefault="002614E4" w:rsidP="002614E4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7"/>
          <w:szCs w:val="17"/>
        </w:rPr>
      </w:pPr>
      <w:r w:rsidRPr="002614E4">
        <w:rPr>
          <w:rFonts w:ascii="Verdana" w:eastAsia="Times New Roman" w:hAnsi="Verdana" w:cs="Times New Roman"/>
          <w:color w:val="000000"/>
          <w:sz w:val="17"/>
          <w:szCs w:val="17"/>
        </w:rPr>
        <w:t>13. Overlap, common features, and essential differences in pediatric granulomatous inflammatory bowel disease / Damen G.M., Krieken J.H., Hoppenreijs E., van Os E. // Journal of Pediatric Gastroenterology and Nutrition. — 2010 Dec. — № 51(6). — Р. 690-7.</w:t>
      </w:r>
    </w:p>
    <w:p w:rsidR="002614E4" w:rsidRPr="002614E4" w:rsidRDefault="002614E4" w:rsidP="002614E4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7"/>
          <w:szCs w:val="17"/>
        </w:rPr>
      </w:pPr>
      <w:r w:rsidRPr="002614E4">
        <w:rPr>
          <w:rFonts w:ascii="Verdana" w:eastAsia="Times New Roman" w:hAnsi="Verdana" w:cs="Times New Roman"/>
          <w:color w:val="000000"/>
          <w:sz w:val="17"/>
          <w:szCs w:val="17"/>
        </w:rPr>
        <w:t>14. Gastrointestinal involvement in chronic granulomatous di–sease / Marciano B.E., Rosenzweig S.D., Kleiner D.E., Anderson V.L. // Paediatrics. — 2004. — № 114(2). — Р. 462-8.</w:t>
      </w:r>
    </w:p>
    <w:p w:rsidR="002614E4" w:rsidRPr="002614E4" w:rsidRDefault="002614E4" w:rsidP="002614E4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7"/>
          <w:szCs w:val="17"/>
        </w:rPr>
      </w:pPr>
      <w:r w:rsidRPr="002614E4">
        <w:rPr>
          <w:rFonts w:ascii="Verdana" w:eastAsia="Times New Roman" w:hAnsi="Verdana" w:cs="Times New Roman"/>
          <w:color w:val="000000"/>
          <w:sz w:val="17"/>
          <w:szCs w:val="17"/>
        </w:rPr>
        <w:t>15. Chorioretinal lesions in patients and carriers of chronic granulomatous disease / Goldblatt D., Butcher J., Thrasher A.J., Russell-Eggitt I. // Journal of Pediatrics. — 1999. — № 134(6). — P. 780-3.</w:t>
      </w:r>
    </w:p>
    <w:p w:rsidR="002614E4" w:rsidRPr="002614E4" w:rsidRDefault="002614E4" w:rsidP="002614E4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7"/>
          <w:szCs w:val="17"/>
        </w:rPr>
      </w:pPr>
      <w:r w:rsidRPr="002614E4">
        <w:rPr>
          <w:rFonts w:ascii="Verdana" w:eastAsia="Times New Roman" w:hAnsi="Verdana" w:cs="Times New Roman"/>
          <w:color w:val="000000"/>
          <w:sz w:val="17"/>
          <w:szCs w:val="17"/>
        </w:rPr>
        <w:t>16. Chorioretinal lesions in patients with chronic granulomatous disease / Kim S.J., Kim J.G., Yu Y.S. // Retina. — 2003. — № 23(3). — P. 360-5.</w:t>
      </w:r>
    </w:p>
    <w:p w:rsidR="002614E4" w:rsidRPr="002614E4" w:rsidRDefault="002614E4" w:rsidP="002614E4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7"/>
          <w:szCs w:val="17"/>
        </w:rPr>
      </w:pPr>
      <w:r w:rsidRPr="002614E4">
        <w:rPr>
          <w:rFonts w:ascii="Verdana" w:eastAsia="Times New Roman" w:hAnsi="Verdana" w:cs="Times New Roman"/>
          <w:color w:val="000000"/>
          <w:sz w:val="17"/>
          <w:szCs w:val="17"/>
        </w:rPr>
        <w:t>17. Successful low toxicity hematopoietic stem cell transplantation for high-risk adult chronic granulomatous disease patients / Güngör T., Halter J., Klink A., Junge S. // Transplantation. — 2005. — № 79(11). — P. 1596-606.</w:t>
      </w:r>
    </w:p>
    <w:p w:rsidR="002614E4" w:rsidRPr="002614E4" w:rsidRDefault="002614E4" w:rsidP="002614E4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7"/>
          <w:szCs w:val="17"/>
        </w:rPr>
      </w:pPr>
      <w:r w:rsidRPr="002614E4">
        <w:rPr>
          <w:rFonts w:ascii="Verdana" w:eastAsia="Times New Roman" w:hAnsi="Verdana" w:cs="Times New Roman"/>
          <w:color w:val="000000"/>
          <w:sz w:val="17"/>
          <w:szCs w:val="17"/>
        </w:rPr>
        <w:t>18. Unrelated donor and HLA-identical sibling haematopoietic stem cell transplantation cure chronic granulomatous disease with good long-term outcome and growth / Soncini E., Slatter M.A., Jones L.B., Hughes S. // British Journal of Haematology. — 2009. — № 145(1). — P. 73-83.</w:t>
      </w:r>
    </w:p>
    <w:p w:rsidR="002614E4" w:rsidRPr="002614E4" w:rsidRDefault="002614E4" w:rsidP="002614E4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7"/>
          <w:szCs w:val="17"/>
        </w:rPr>
      </w:pPr>
      <w:r w:rsidRPr="002614E4">
        <w:rPr>
          <w:rFonts w:ascii="Verdana" w:eastAsia="Times New Roman" w:hAnsi="Verdana" w:cs="Times New Roman"/>
          <w:color w:val="000000"/>
          <w:sz w:val="17"/>
          <w:szCs w:val="17"/>
        </w:rPr>
        <w:t>19. Hematopoietic stem cell transplantation for chronic granulomatous disease / Seger R.A. // Immunology and Allergy Clinics of North America. — 2010. — № 30(2). — P. 195-208.</w:t>
      </w:r>
    </w:p>
    <w:p w:rsidR="002614E4" w:rsidRPr="002614E4" w:rsidRDefault="002614E4" w:rsidP="002614E4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7"/>
          <w:szCs w:val="17"/>
        </w:rPr>
      </w:pPr>
      <w:r w:rsidRPr="002614E4">
        <w:rPr>
          <w:rFonts w:ascii="Verdana" w:eastAsia="Times New Roman" w:hAnsi="Verdana" w:cs="Times New Roman"/>
          <w:color w:val="000000"/>
          <w:sz w:val="17"/>
          <w:szCs w:val="17"/>
        </w:rPr>
        <w:t>20. Excellent survival after sibling or unrelated donor stem cell transplantation for chronic granulomatous disease / Martinez C.A., Shah S., Shearer W.T., Rosenblatt H.M. // Journal of Allergy and Clinical Immunology. — 2012. — № 129(1). — P. 176-83.</w:t>
      </w:r>
    </w:p>
    <w:p w:rsidR="002614E4" w:rsidRPr="002614E4" w:rsidRDefault="002614E4" w:rsidP="002614E4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7"/>
          <w:szCs w:val="17"/>
        </w:rPr>
      </w:pPr>
      <w:r w:rsidRPr="002614E4">
        <w:rPr>
          <w:rFonts w:ascii="Verdana" w:eastAsia="Times New Roman" w:hAnsi="Verdana" w:cs="Times New Roman"/>
          <w:color w:val="000000"/>
          <w:sz w:val="17"/>
          <w:szCs w:val="17"/>
        </w:rPr>
        <w:t xml:space="preserve">21. Gene therapy of chronic granulomatous disease: the engraftment dilemma / Grez M., Reichenbach J., Schwäble J., Seger R. // Molecular Therapy. — 2011. — № 19(1). — </w:t>
      </w:r>
      <w:proofErr w:type="gramStart"/>
      <w:r w:rsidRPr="002614E4">
        <w:rPr>
          <w:rFonts w:ascii="Verdana" w:eastAsia="Times New Roman" w:hAnsi="Verdana" w:cs="Times New Roman"/>
          <w:color w:val="000000"/>
          <w:sz w:val="17"/>
          <w:szCs w:val="17"/>
        </w:rPr>
        <w:t>Р. 28</w:t>
      </w:r>
      <w:proofErr w:type="gramEnd"/>
      <w:r w:rsidRPr="002614E4">
        <w:rPr>
          <w:rFonts w:ascii="Verdana" w:eastAsia="Times New Roman" w:hAnsi="Verdana" w:cs="Times New Roman"/>
          <w:color w:val="000000"/>
          <w:sz w:val="17"/>
          <w:szCs w:val="17"/>
        </w:rPr>
        <w:t>-35.</w:t>
      </w:r>
    </w:p>
    <w:p w:rsidR="002614E4" w:rsidRPr="002614E4" w:rsidRDefault="002614E4" w:rsidP="002614E4">
      <w:pPr>
        <w:spacing w:line="240" w:lineRule="auto"/>
        <w:jc w:val="both"/>
        <w:rPr>
          <w:rFonts w:ascii="Verdana" w:eastAsia="Times New Roman" w:hAnsi="Verdana" w:cs="Times New Roman"/>
          <w:color w:val="000000"/>
          <w:sz w:val="17"/>
          <w:szCs w:val="17"/>
        </w:rPr>
      </w:pPr>
      <w:r w:rsidRPr="002614E4">
        <w:rPr>
          <w:rFonts w:ascii="Verdana" w:eastAsia="Times New Roman" w:hAnsi="Verdana" w:cs="Times New Roman"/>
          <w:color w:val="000000"/>
          <w:sz w:val="17"/>
          <w:szCs w:val="17"/>
        </w:rPr>
        <w:t>22. Gene therapy matures in the clinic / Seymour L., Thra–sher A.J. // Nature Biotechnology. — 2012. — № 30(7). — P. 588-93.</w:t>
      </w:r>
    </w:p>
    <w:p w:rsidR="009468C0" w:rsidRDefault="009468C0"/>
    <w:sectPr w:rsidR="009468C0">
      <w:pgSz w:w="12240" w:h="15840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hideSpellingErrors/>
  <w:proofState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79DF"/>
    <w:rsid w:val="000104BF"/>
    <w:rsid w:val="002614E4"/>
    <w:rsid w:val="004779DF"/>
    <w:rsid w:val="00687421"/>
    <w:rsid w:val="009468C0"/>
    <w:rsid w:val="00F17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614E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614E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614E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614E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9992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5174306">
          <w:marLeft w:val="0"/>
          <w:marRight w:val="0"/>
          <w:marTop w:val="0"/>
          <w:marBottom w:val="270"/>
          <w:divBdr>
            <w:top w:val="none" w:sz="0" w:space="0" w:color="auto"/>
            <w:left w:val="none" w:sz="0" w:space="0" w:color="auto"/>
            <w:bottom w:val="single" w:sz="6" w:space="8" w:color="000000"/>
            <w:right w:val="none" w:sz="0" w:space="0" w:color="auto"/>
          </w:divBdr>
        </w:div>
        <w:div w:id="807822616">
          <w:marLeft w:val="0"/>
          <w:marRight w:val="0"/>
          <w:marTop w:val="0"/>
          <w:marBottom w:val="270"/>
          <w:divBdr>
            <w:top w:val="none" w:sz="0" w:space="0" w:color="auto"/>
            <w:left w:val="none" w:sz="0" w:space="0" w:color="auto"/>
            <w:bottom w:val="single" w:sz="6" w:space="8" w:color="000000"/>
            <w:right w:val="none" w:sz="0" w:space="0" w:color="auto"/>
          </w:divBdr>
        </w:div>
        <w:div w:id="42221661">
          <w:marLeft w:val="0"/>
          <w:marRight w:val="0"/>
          <w:marTop w:val="0"/>
          <w:marBottom w:val="270"/>
          <w:divBdr>
            <w:top w:val="none" w:sz="0" w:space="0" w:color="auto"/>
            <w:left w:val="none" w:sz="0" w:space="0" w:color="auto"/>
            <w:bottom w:val="single" w:sz="6" w:space="8" w:color="000000"/>
            <w:right w:val="none" w:sz="0" w:space="0" w:color="auto"/>
          </w:divBdr>
        </w:div>
        <w:div w:id="1138185237">
          <w:marLeft w:val="0"/>
          <w:marRight w:val="0"/>
          <w:marTop w:val="0"/>
          <w:marBottom w:val="270"/>
          <w:divBdr>
            <w:top w:val="none" w:sz="0" w:space="0" w:color="auto"/>
            <w:left w:val="none" w:sz="0" w:space="0" w:color="auto"/>
            <w:bottom w:val="single" w:sz="6" w:space="8" w:color="000000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hyperlink" Target="http://www.mif-ua.com/media/uploads/arhiv/zr/2018/1(13)/153-1.jpg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mif-ua.com/media/uploads/arhiv/zr/2018/1(13)/148-1.jpg" TargetMode="External"/><Relationship Id="rId12" Type="http://schemas.openxmlformats.org/officeDocument/2006/relationships/image" Target="media/image5.jpeg"/><Relationship Id="rId2" Type="http://schemas.microsoft.com/office/2007/relationships/stylesWithEffects" Target="stylesWithEffect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hyperlink" Target="http://www.mif-ua.com/media/uploads/arhiv/zr/2018/1(13)/152-1.jpg" TargetMode="External"/><Relationship Id="rId5" Type="http://schemas.openxmlformats.org/officeDocument/2006/relationships/image" Target="media/image1.gif"/><Relationship Id="rId15" Type="http://schemas.openxmlformats.org/officeDocument/2006/relationships/fontTable" Target="fontTable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hyperlink" Target="http://www.mif-ua.com/media/uploads/arhiv/zr/2018/1(13)/149-1.jpg" TargetMode="External"/><Relationship Id="rId14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8</Pages>
  <Words>4751</Words>
  <Characters>27085</Characters>
  <Application>Microsoft Office Word</Application>
  <DocSecurity>0</DocSecurity>
  <Lines>225</Lines>
  <Paragraphs>63</Paragraphs>
  <ScaleCrop>false</ScaleCrop>
  <Company/>
  <LinksUpToDate>false</LinksUpToDate>
  <CharactersWithSpaces>31773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Vika</dc:creator>
  <cp:keywords/>
  <dc:description/>
  <cp:lastModifiedBy>Vika</cp:lastModifiedBy>
  <cp:revision>3</cp:revision>
  <dcterms:created xsi:type="dcterms:W3CDTF">2018-11-23T23:48:00Z</dcterms:created>
  <dcterms:modified xsi:type="dcterms:W3CDTF">2018-11-23T23:50:00Z</dcterms:modified>
</cp:coreProperties>
</file>