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E4" w:rsidRPr="002614E4" w:rsidRDefault="002614E4" w:rsidP="00261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4E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D80126" wp14:editId="39B0DEC1">
            <wp:extent cx="704215" cy="420370"/>
            <wp:effectExtent l="0" t="0" r="635" b="0"/>
            <wp:docPr id="1" name="Рисунок 1" descr="Издательский дом &quot;Заславски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дательский дом &quot;Заславский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E4" w:rsidRPr="002614E4" w:rsidRDefault="002614E4" w:rsidP="002614E4">
      <w:pPr>
        <w:spacing w:before="375" w:after="33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ru-RU"/>
        </w:rPr>
      </w:pPr>
      <w:bookmarkStart w:id="0" w:name="_GoBack"/>
      <w:bookmarkEnd w:id="0"/>
      <w:r w:rsidRPr="002614E4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ru-RU"/>
        </w:rPr>
        <w:t>Журнал «Здоровье ребенка» Том 13, №1, 2018</w:t>
      </w:r>
    </w:p>
    <w:p w:rsidR="002614E4" w:rsidRPr="002614E4" w:rsidRDefault="002614E4" w:rsidP="002614E4">
      <w:pPr>
        <w:spacing w:before="375" w:after="33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ru-RU"/>
        </w:rPr>
      </w:pPr>
      <w:r w:rsidRPr="002614E4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ru-RU"/>
        </w:rPr>
        <w:t xml:space="preserve">Хронічна гранулематозна </w:t>
      </w:r>
      <w:proofErr w:type="gramStart"/>
      <w:r w:rsidRPr="002614E4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ru-RU"/>
        </w:rPr>
        <w:t>хвороба</w:t>
      </w:r>
      <w:proofErr w:type="gramEnd"/>
      <w:r w:rsidRPr="002614E4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ru-RU"/>
        </w:rPr>
        <w:t>: діагностика та ведення хворих на сучасному етапі</w:t>
      </w:r>
    </w:p>
    <w:p w:rsidR="002614E4" w:rsidRPr="002614E4" w:rsidRDefault="002614E4" w:rsidP="00261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4E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ru-RU"/>
        </w:rPr>
        <w:t>Авторы:</w:t>
      </w: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t xml:space="preserve"> Клименко В.А., </w:t>
      </w:r>
      <w:proofErr w:type="gramStart"/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t>іонтковська О.В., Лупальцова О.С., Халтурина Т.О., Савво О.М., Тімохіна</w:t>
      </w: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t>Н.І., Соболєва Г.М.</w:t>
      </w: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br/>
        <w:t xml:space="preserve">Харківський національний медичний університет МОЗ України, м. Харків, Україна </w:t>
      </w: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br/>
      </w:r>
      <w:r w:rsidRPr="002614E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ru-RU"/>
        </w:rPr>
        <w:t>Рубрики:</w:t>
      </w: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t xml:space="preserve"> Педиатрия/Неонатология </w:t>
      </w: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br/>
      </w:r>
      <w:r w:rsidRPr="002614E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ru-RU"/>
        </w:rPr>
        <w:t>Разделы:</w:t>
      </w: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t xml:space="preserve"> Справочник специалиста </w:t>
      </w: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br/>
      </w: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br/>
      </w:r>
    </w:p>
    <w:p w:rsidR="002614E4" w:rsidRPr="002614E4" w:rsidRDefault="002614E4" w:rsidP="002614E4">
      <w:pPr>
        <w:spacing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</w:pPr>
      <w:r w:rsidRPr="002614E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ru-RU"/>
        </w:rPr>
        <w:t>Резюме</w:t>
      </w:r>
    </w:p>
    <w:p w:rsidR="002614E4" w:rsidRPr="002614E4" w:rsidRDefault="002614E4" w:rsidP="002614E4">
      <w:pPr>
        <w:spacing w:before="165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t>В статье представлены сведения о распространенности, диагностике, лечении, профилактике бактериальных и грибковых инфекций у детей с хронической гранулематозной болезнью.</w:t>
      </w:r>
    </w:p>
    <w:p w:rsidR="002614E4" w:rsidRPr="002614E4" w:rsidRDefault="002614E4" w:rsidP="002614E4">
      <w:pPr>
        <w:spacing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</w:pPr>
      <w:r w:rsidRPr="002614E4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ru-RU"/>
        </w:rPr>
        <w:t>Ключевые слова</w:t>
      </w:r>
    </w:p>
    <w:p w:rsidR="002614E4" w:rsidRPr="002614E4" w:rsidRDefault="002614E4" w:rsidP="002614E4">
      <w:pPr>
        <w:spacing w:before="165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t>хроническая гранулематозная болезнь; дети</w:t>
      </w:r>
    </w:p>
    <w:p w:rsidR="002614E4" w:rsidRPr="002614E4" w:rsidRDefault="002614E4" w:rsidP="00261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4E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C72DBB" wp14:editId="08321D81">
            <wp:extent cx="1902460" cy="1628140"/>
            <wp:effectExtent l="0" t="0" r="2540" b="0"/>
            <wp:docPr id="2" name="Рисунок 2" descr="Хронічна гранулематозна хвороба:  діагностика та ведення хворих на сучасному етап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ронічна гранулематозна хвороба:  діагностика та ведення хворих на сучасному етап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Хронічна гранулематозна хвороба (ХГХ) є рідкісним, спадковим захворюванням імунної системи, основою якої є дефект фагоцитів, що призводить до неефективного знищення бактеріальної і грибкової флори.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Саме тому хворі на ХГХ спри–йнятливі до серйозних, потенційно небезпечних для життя бактеріальних і грибкових інфекцій та мають нормальний імунітет до вірусних інфекцій.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Біохі</w:t>
      </w:r>
      <w:proofErr w:type="gramStart"/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м</w:t>
      </w:r>
      <w:proofErr w:type="gramEnd"/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ічні основи ХГХ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. До основних порушень, що лежать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основі ХГХ, відносяться зміни процесу окисного метаболізму і вироблення окислювальних реактивних радикалів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 час фагоцитозу. У хворих НАД і НАДФ присутні в фагоцитуючих клітинах, однак в процесі фагоцитозу активність цих коферменті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не збільшується. Це відбувається через відсутність одного з компонентів НАДФН-оксидази, яка каталізує утворення супероксиду, попередника генерації потужних сполук-окислювачів шляхом трансмембранного проходження електронів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 НАДФН-оксидази на молекулярний кисень [1].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Захворюваність і поширеність ХГХ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. Точна частота поширення ХГХ невідома. За даними літератури, поширеність ХГХ становить від 1 : 4 000 000 в США до 8,5 : 1 000 000 населення Великої Британії та Ірландії. Незважаючи на існуючу антибактеріальну і протигрибкову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ілактику у цих хворих на сучасному етапі, захворюваність на тяжкі інфекційні ускладнення залишається високою. За ретроспективними даними, зібраними у 2001 р., можливість виживання до 30 рокі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 становила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50 %. Враховуючи досягнення сучасної медицини в галузі ранньої діагностики і кращого лікування, ці показники будуть поліпшуватися з кожним роком. При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ідозрі на ХГХ важливим є направлення хворого до спеціалізованого імунологічного центру для подальшого специфічного лабораторного дослідження, генетичного тестування та консультації усіх членів сім’ї. Серед особливостей успадкування ХГХ слід зазначити, що дефекти, зчеплені з Х-хромосомою, найчастіше зустрічаються у західних країнах, на відміну від країн Близького Сходу, де частіше спостерігається автосомно-рецесивна форма захворювання [1–3].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Поширеність генетичних дефектів і тип успадкування наведено в табл.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1.</w:t>
      </w:r>
    </w:p>
    <w:p w:rsidR="002614E4" w:rsidRDefault="002614E4" w:rsidP="002614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val="uk-UA"/>
        </w:rPr>
      </w:pPr>
      <w:r w:rsidRPr="002614E4">
        <w:rPr>
          <w:rFonts w:ascii="Verdana" w:eastAsia="Times New Roman" w:hAnsi="Verdana" w:cs="Times New Roman"/>
          <w:noProof/>
          <w:color w:val="0000FF"/>
          <w:sz w:val="18"/>
          <w:szCs w:val="18"/>
        </w:rPr>
        <w:lastRenderedPageBreak/>
        <w:drawing>
          <wp:inline distT="0" distB="0" distL="0" distR="0" wp14:anchorId="40B8CA5D" wp14:editId="0C383B5D">
            <wp:extent cx="6249215" cy="1977405"/>
            <wp:effectExtent l="0" t="0" r="0" b="3810"/>
            <wp:docPr id="3" name="Рисунок 3" descr="http://www.mif-ua.com/media/uploads/arhiv/zr/2018/1(13)/148-1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if-ua.com/media/uploads/arhiv/zr/2018/1(13)/148-1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564" cy="19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E4" w:rsidRPr="002614E4" w:rsidRDefault="002614E4" w:rsidP="002614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val="uk-UA"/>
        </w:rPr>
      </w:pP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Клінічні прояви.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Відмінною рисою клінічних проявів є рецидивні інфекції, що перебігають на поверхні епітелію при безпосередньому контакті з чинниками навколишнього середовища, саме тому найпоширенішими є інфекції шкіри, легенів і кишечника.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Інфекції цих органів, що повторюються та тяжко піддаються лікуванню, повинні викликати підозру на імунний дефіцит, у тому числі ХГХ.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Ознаки та симптоми спочатку спостерігаються як і при звичайних інфекціях, і мають незначно виражені клінічні прояви, але особливістю цих клінічних змін є прогресування та резистентність до звичайної терапії.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У носіїв гена ХГХ з формою, зчепленою з Х-хромосомою, також можуть виникати рецидивні інфекційні захворювання.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Серед особливостей клінічних проявів носіїв гена ХГХ з Х-зчепленим дефектом слід зазначити схильність до розвитку низки симптомів, що клінічно нагадують системний червоний вовчак, особливо з ураженням шкіри.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За опублікованими даними, у носіїв гена ХГХ результати тестування на системний червоний вовчак можуть бути негативними, але гіподіагностика у цьому випадку може привести до необоротних змін, тому до симптомів 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таких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хворих необхідно ставитися дуже уважно. Носії гена ХГХ з афтозними виразками, висипаннями на шкі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і, болями у суглобах повинні бути направлені до відповідних фахівців для лікування вовчакоподібних симптомів незалежно від результатів тесту на системну червону вовчанку [10, 11].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Більшість хворих на ХГХ мають клінічні прояви з раннього віку, захворювання найчастіше діагностується у віці до 2 років. Враховуючи гіподіагностику, такі пацієнти можуть залишатися невиявленими до дорослого життя, незважаючи на ранній початок симптомів. Типові ураження у вигляді абсцесів шкіри, періанальних абсцесів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, пневмонії, абсцесів печінки, остеомієліту, сепсису, діареї, лімфаденітів є ознакою імунодефіцитного стану у дитини і потребують подальшого імунологічного та генетичного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ідження.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Треба звернути увагу, що щоденна антибактеріальна і протигрибкова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ілактика є єдиним фактором для підтримки хворих на ХГХ та ключовим моментом скорочення числа і тяжкості інфекцій. У той же час ця терапія не дає 100% гарантії захисту від інфекцій, з якими зустрічається хворий.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Бактеріальними збудниками, які найчастіше зустрічаються у хворих на ХГХ, є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Staphylococcus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aureus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та грамнегативна флора: </w:t>
      </w:r>
      <w:proofErr w:type="gramStart"/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Enterobacteriaceae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, включаючи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Salmonella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,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Klebsiella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,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Aerobacter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та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Serratia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Усе частіше як важливі патогени при ХГХ визначаються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Pseudomonas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(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Burkholderia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)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cepacia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,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Actinomyces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і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Nocardia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. Каталазанегативні бактерії, такі як стрептококи,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ідко викликають інфекційні захворювання у цих хворих. Серед представників грибкової флори найчастішою причиною грибкової інфекції є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Aspergillus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fumigatus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, також поширені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A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nidulans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,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Scedosporium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apiospermum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і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Chrysosporium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zonatum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 Грибкові інфекції за клінічними ознаками дуже складно ві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ізнити від бактеріальних інфекцій, але цей фактор завжди слід враховувати в цій групі пацієнтів, якщо вони не відповідають на емпіричну антибактеріальну терапію [7, 8].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Діагностика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. Діагноз встановлюється на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ідставі клінічної картини і підтверджується виявленням зниженої активності киснезалежної бактерицидної функції нейтрофілів, за допомогою НСТ-тесту та дослідженням оксидації дигідрородаміну-1, -2, -3 методом проточної цитометрії, який також дає змогу виявити носіїв мутації [4–6].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proofErr w:type="gramStart"/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ілактична терапія.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Для зменшення частоти тяжких інфекцій усім пацієнтам профілактичну антибактеріальну терапію необхідно розпочинати з ко-тримоксазолу, який має широку активність щодо патогенних мікроорганізмів, які зустрічаються, і не впливає на анаеробну флору кишечника.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Рекомендовані дози ко-тримоксазолу наведено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у табл.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2.</w:t>
      </w:r>
    </w:p>
    <w:p w:rsidR="002614E4" w:rsidRPr="002614E4" w:rsidRDefault="002614E4" w:rsidP="002614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614E4">
        <w:rPr>
          <w:rFonts w:ascii="Verdana" w:eastAsia="Times New Roman" w:hAnsi="Verdana" w:cs="Times New Roman"/>
          <w:noProof/>
          <w:color w:val="0000FF"/>
          <w:sz w:val="18"/>
          <w:szCs w:val="18"/>
        </w:rPr>
        <w:lastRenderedPageBreak/>
        <w:drawing>
          <wp:inline distT="0" distB="0" distL="0" distR="0" wp14:anchorId="203512C1" wp14:editId="2F1D361A">
            <wp:extent cx="2914344" cy="1364877"/>
            <wp:effectExtent l="0" t="0" r="635" b="6985"/>
            <wp:docPr id="4" name="Рисунок 4" descr="http://www.mif-ua.com/media/uploads/arhiv/zr/2018/1(13)/149-1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if-ua.com/media/uploads/arhiv/zr/2018/1(13)/149-1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472" cy="136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Протигрибкова профілактика всім пацієнтам повинна розпочинатися ітраконазолом (з розрахунку 5 мг/кг за добу), який має хорошу активність щодо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Aspergillus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Ураховуючи побічні ефекти протигрибкової терапії, такі як підвищення ферментів печінки, можливість виникнення периферичної нейропатії та синдрому Стівенса — Джонсона, необхідний динамічний контроль рівня ферментів печінки до початку лікування, а потім кожні 6 місяців.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Зазвичай ітраконазол добре переноситься хворими на ХГХ та, за даними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ізних досліджень, є ефективним у зниженні захворюваності на грибкову інфекцію.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Важливим серед запобіжних заходів у повсякденному житті є розуміння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ілактики інгаляційного зараження грибковими інфекціями, до яких відноситься уникання хворими перебування у коморах, печерах з підвищеною вологістю та іншого контакту з побутовою цвіллю.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Антибактеріальна терапія рекомендована хворим на ХГХ за необхідності проведення всіх інвазивних процедур, у тому числі колоноскопії, езофагоскопії, бронхоскопії, біопсії печінки/легень та ін.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ілактичне використання ципрофлоксацину (і додавання метронідазолу, якщо інвазивне дослідження стосується органів черевної порожнини) повинне розпочинатися до процедури і продовжувати протягом не менше 24 годин після нього. При хірургічному втручанні можуть знадобитися більш тривалі курси з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ізною комбінацією антибіотиків [1].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Необхідність регулярної стоматологічної допомоги низці пацієнтів обумовлена постійними гінгівітами і виразками ротової порожнини. Слід підкреслити важливість у хворих на ХГХ доброї зубної гі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г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ієни порожнини рота та необхідність обов’язкового чищення зубів два рази на день. Додаткову терапію антибактеріальними препаратами слід призначити хворим перед стоматологічною процедурою, через 12 і 24 години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ісля втручання у вигляді ципрофлоксацину перорально із разрахунку (7,5 мг/кг/разово) [9].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Лікування гострих інфекцій у хворих на ХГХ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. Препаратами вибору при лікуванні гострих інфекцій у хворих на ХГХ (та будь-якого захворювання, що супроводжується лихоманкою) є антибактеріальні препарати, швидке призначення яких та своєчасна необхідність внутрішньовенного введення можуть запобігти розвитку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тяжких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інфекцій. Надмірне використання антибіотиків може викликати певне занепокоєння з приводу суперечливості питання про неналежне лікування вірусних інфекцій у таких хворих, але необхідність основних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ілактичних патогенетичних моментів у терапії є обов’язковою тактикою ведення хворих з уродженими дефектами фагоцитозу. Спектр бактерій, які викликають інфекції при ХГХ, завжди слід брати до уваги при розгляданні питання вибору антибактеріальних препаратів. Використання ципрофлоксацину як антибактеріального препарату першої лінії при ХГХ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пов’язано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з широким спектром його активності та здатності проникати внутрішньоклітинно. Переваги використання ципрофлоксацину у дітей переважують ризики розвитку артропатії. Дозування ципрофлоксацину для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ікування гострих інфекцій у дітей із розрахунку 7,5 мг/кг кожні 12 годин пер–орально.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Добрим вибором для терапії першої лінії при тяжкому сепсисі є тейкопланін і ципрофлоксацин з додаванням метронідазолу, якщо інфекція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ідозрюється в органах черевної порожнини. Якщо діагностовано ізольований стафілококовий інфекційний процес, можуть використовуватися флуклоксацилін і фуцидин (або інші антистафілококові антибактеріальні препарати, наприклад кліндаміцин і кларитроміцин). Грибкові інфекції завжди слід розглядати в диференціальній діагностиці будь-якого синдрому сепсису, особливо якщо швидка реакція (протягом 7–10 днів) на антибактеріальну терапію не отримана.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Імунізація.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Рекомендована планова імунізація дітей, хворих на ХГХ,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окр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ім вакцинації БЦЖ, яка протипоказана цим хворим у зв’язку з можливістю виникнення генералізованої БЦЖ-інфекції. Ураховуючи можливі вторинні бактеріальні ускладнення грипу, щорічна вакцинація проти грипу є одним із профілактичних заходів.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Запальні ускладнення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при ХГХ включають розвиток хронічного захворювання легенів, коліту, перикардиту,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г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інгівіту, пневмоніту, хоріоретиніту. Важливо відзначити, що пневмоніт при ХГХ має швидкий, блискавичний перебіг та вимагає лікування антимікотичними препаратами і глюкокортикостероїдами.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Гранулематозне ураження </w:t>
      </w:r>
      <w:proofErr w:type="gramStart"/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травного</w:t>
      </w:r>
      <w:proofErr w:type="gramEnd"/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тракту.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Тривале спостереження хворих на ХГХ показало, що з використанням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ілактичної терапії збільшилась можливість виживання хворих і тривалість життя. При цьому гранулематозні обструктивні ураження являють собою надлишкову запальну реакцію на незначні подразнюючі стимули, такі як персистування умовно-патогенної флори, і у більшості випадків не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пов’язан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 з гострим запальним інфекційним процесом. Це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ідтверджується дослідженнями, які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lastRenderedPageBreak/>
        <w:t>виявили підвищення швидкості осідання еритроцитів (ШОЕ) та зниження гемоглобіну навіть у хворих без клінічних проявів гострого інфекційного процесу, що пов’язано з наявністю субклінічного запалення.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Гранулематозне ураження травного тракту, що має кліні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ку кол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іту, є найбільш поширеним запальним ускладненням ХГХ. При гістологічному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ідженні виявляють виснаження нейтрофілів, еозинофільну інфільтрацію і макрофаги. Гранульоми можуть бути присутніми або відсутніми. Саме тому коліт при ХГХ неправильно діагностується як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хвороба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Крона, що має схожі клінічні симптоми. При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ідозрі на ураження травного тракту необхідно проводити не тільки ендоскопічне дослідження, але і біопсію, тому що макроскопічний зовнішній вигляд може бути неінформативним.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Корисними препаратами першої лінії в лікуванні коліту при ХГХ є препарати 5-аміносаліцилової кислоти (такі як сульфасалазин і месалазин). Кортико–стероїди та інші імунодепресанти, такі як азатіоприн, можуть бути використані у тому випадку, коли препарати 5-аміносаліцилової кислоти не змогли викликати або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ідтримувати ремісію. Проте ці препарати слід використовувати з обережністю особливо у тих хворих, у яких є інша супутня грибкова інфекція. При поєднанні цих препаратів з ко-тримоксазолом клінічний аналіз крові треба контролювати щомісяця протягом перших 3 місяців і кожні 3 місяці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ісля цього у зв’язку з потенційним ризиком формування патологічних змін крові [1, 12–14].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Розвиток непрохідності травного тракту або сечовивідних шляхів внаслідок гранулематозного запалення у хворих на ХГХ може клінічно проявлятися як труднощі при ковтанні при непрохідності стравоходу, блювання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при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обструкції шлунка, болі в животі при непрохідності кишечника або труднощі при сечовипусканні при обструкції сечоводу. Все це є показанням до проведення кортикостероїдної терапії. Перед застосуванням кортикостероїдів необхідно виключити інфекційну причину,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у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тому числі і грибкову інфекцію.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Трансплантація стовбурових клітин.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Ураховуючи, що використання антибактеріальної і протигрибкової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ілактики протягом усього життя підвищує тривалість і якість життя пацієнтів, а лікування кортикостероїдними препаратами і аміносаліцилатами призводить до зниження запальних ускладнень, ці терапевтичні дії не змінюють основний генетичний дефект. Трансплантація стовбурових клітин є одним із методів корекції, завдяки якому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ілактичне лікування може бути припинено у більшості хворих. Виживання і ефективність лікування на даному етапі досягає 85–90 %. Конкретні терміни для проведення трансплантації відсутні, але слід зазначити, що найгірші результати пересадки спостерігаються у пацієнтів з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рефрактерною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інфекцією або значними запальними ураженнями. Необхідність проведення трансплантації стовбурових клітин в ранні терміни після встановлення діагнозу не викликає сумніві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[17–20].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Генна терапія.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Суттєвою проблемою транс–плантації кісткового мозку є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HLA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-сумісність. Це обумовлює ризик відторгнення. На відміну від трансплантації кісткового мозку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основною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стратегією генної терапії є виправлення дефектів власного кісткового мозку пацієнта, використовуючи віруси, що транспортують функціонуючий ген в стовбурові клітини замість дефектного. Ця методика є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перспективною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і для лікування хворих на ХГХ, бо дозволяє власному кістковому мозку хворого виробляти нормально функціонуючі клітини-нейтрофіли. Багато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іджень показали ефективність цього методу не тільки в лабораторних умовах, але і в клініці. Навіть короткострокова корекція дефекту у хворих на ХГХ призвела до позбавлення їх від інфекцій, загрозливих для життя, які були стійкі до інших засобів лікування. Проте ця технологія є відносно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новою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. Клінічні випробування з використанням сучасних генетичних технологій для лікування пацієнтів з ХГХ у минулі роки та розпочаті у 2012 році сприяють перевірці і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ідтвердженню принципу дії і відкривають шлях до реалістичної та безпечної альтернативної терапії для пацієнтів [1, 21, 22].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Диспансерне спостереження.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Клінічний моніторинг включає диспансерне спостереження у педіатра й імунолога. Регулярне амбулаторне обстеження кожні 6 місяців, якщо пацієнт має добре контрольований перебіг захворювання. Рекомендується регулярно проводити аналізи крові (клінічні і імунологічні), функціональні печінкові тести кожні 6 місяців.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івень С-реактивного протеїну і ШОЕ слід проводити в плановому порядку і щоразу, коли пацієнт має погіршення стану. Мікроцитарна, гіпохромна анемія, що виявляється у хворих на ХГХ, дуже часто залишається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рефрактерною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до терапії залізом.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Одним із ускладнень у хворих і носіїв гена ХГХ є хоріоретиніт, етіологія якого у наш час залишається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неясною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 Тому офтальмологічне обстеження рекомендовано кожні 1–2 роки. Особам, які не мають ураження на момент встановлення діагнозу, очне дно необхідно обстежувати кожні 2–3 роки [15, 16].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Харчування і фізичний розвиток.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У деяких дітей з ХГХ відмічається зниження темпів фізичного розвитку порівняно з однолітками, відмічається затримка в досягненні статевої зрілості. Порушення у фізичному розвитку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пов’язано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з мультифакторними причинами.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Наявність постійних бактеріальних і грибкових інфекцій, які зазвичай мають хронічний перебіг, постійна антибактеріальна та протигрибкова терапія, курси кортикостероїдної терапії, недостатнє споживання поживних речовин, необхідність їх збільшення в умовах субклінічного запального процесу впливають на фізичний розвиток дитини.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Тому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при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кожному огляді лікар повинен оцінювати фізичний розвиток та раціон дитини, з подальшою корекцією виявлених змін.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Емоційний вплив ХГБ.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ХГХ спричиняє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безл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іч проблем для пацієнтів і їх близьких, що включають не тільки фізичні зміни стану дитини, а також і психологічні проблеми, які, з одного боку, пов’язані з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lastRenderedPageBreak/>
        <w:t>подоланням складних умов перебігу захворювання, а з іншого — з намаганням зберегти психологічний комфорт у сім’ї та підвищити якість життя хворого.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Необхідність психологічної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ідтримки не тільки хворого, але й інших членів сім’ї дозволяє не тільки сформувати терапевтичний комплайєнс, але сприяє також встановленню найкращого психологічного контакту, необхідного для одужання хворого.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Незважаючи на ранній початок клінічних симптомів,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г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іподіагностика цього захворювання є значною проблемою. Наведений випадок клінічного спостереження відображає складність диференціальної діагностики інфекційних процесі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у цієї категорії хворих.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Хлопчик Н., 15 років, народився від першої вагітності, на тлі гестозу першої половини вагітності, анемії. Пологи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строк. Маса при народженні 3300 г. Асфіксія легкого ступеня. Вакцинований БЦЖ у пологовому будинку. Період новонародженості був без особливостей.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Спадковий анамнез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хворого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був обтяжений: у 2 молодших братів хворого діагностовано первинний імунодефіцит, дефект фагоцитозу. Молодший брат помер у 8-місячному віці від ускладнень пневмонії, мав клінічні прояви імунодефіциту: у 2 міс. — наполегливі попрілості, у 3 міс. — отит, у 4 мі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с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 — стрептостафілодермію, у імунолога дитина не спостерігалась.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У віці 1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ік переніс абсцедуючий фурункул привушної ділянки, отит, ларингіт, стрептодермію, рецидивуючий абсцедуючий підщелепний лімфаденіт. У 2 роки при рецидиві абсцедуючого підщелепного лімфаденіту при проведенні біопсії і гістологічного дослідження діагностовано туберкульоз лімфатичних вузлів. Проведена терапія протитуберкульозними препаратами. У 4-річному віці діагностовано первинний імунодефіцит, дефект фагоцитозу. Генералізована БЦ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Ж-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інфекція з ураженням підщелепних, шийних, підключичних і внутрішньогрудних лімфовузлів, хронічний перебіг. У 5-річному віці гнійний блефарокон’юнктивіт, абсцедуючий лімфаденіт справа привушної ділянки.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У 6-річному віці дитина лікувалася з приводу туберкульозу внутрішньогрудних лімфовузлів, деструктивної фази інфільтрації, туберкульозу правого нижньодолевого бронха, ускладненого ателектазом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8,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9.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У 7-річному віці проходив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ікування з приводу туберкульозу внутрішньогрудних лімфовузлів, туберкульозу правого нижньочасточкового бронха з залишковими явищами у вигляді пневмосклерозу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8,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9. При рентгенологічному дослідженні легень справа в базальному відділі посилення легеневого рисунка з нечіткими контурами, корінь подовжений, деформований, в нижньозовнішньому відділі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інійна тінь костальної плеври.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У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синусі спайка, зліва без інфільтративних змін. У пахвовій ділянці лімфовузол із звапнінням. Проведена протитуберкульозна терапія.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У 9 років стан дитини знову погіршився, відзначалося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ідвищення температури тіла, зрідка кашель, була проведена рентгенографія органів грудної клітки та діагностована позагоспітальна первинна лівостороння пневмонія. При проведенні комп’ютерної томографії: лівостороння пневмонія, постзапальний фіброз правої легені. Проведено курс антибактеріальної (цефалоспорини, фторхінолони, карбапенеми, нітроімідазоли), протигрибкової терапії. Проведена контрольна рентгенографія,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при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якій встановлене повне розсмоктування інфільтрації.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У 11-річному віці при огляді дільничним лікарем з приводу підвищення температури тіла до 39,0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°С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, сухого нав’язливого кашлю діагностована правостороння вогнищева нижньочасткова пневмонія. Для подальшого лікування дитина направлена в Регіональний центр дитячої імунології обласної дитячої клінічної лікарні № 1 м. Харкова, де проведена антибактеріальна та протигрибкова терапія.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При контрольній рентгенографії органів грудної клітини — повне розсмоктування пневмонічної інфільтрації.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У 12 років проведена торакоскопія, розтин абсцесу легені. При бактеріологічному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ідженні матеріалу з порожнини абсцесу легені: </w:t>
      </w:r>
      <w:proofErr w:type="gramStart"/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у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cobacterium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tuberculosis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і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Ps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.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aeruginosa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Проведена традиційна протитуберкульозна терапія.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Призначена постійна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ілактична антибактеріальну терапія ко-тримоксазолом та ітраконазолом, у зв’язку з чим протягом 2 років стан дитини залишався задовільним, респіраторні захворювання не мали ускладнень.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Останнє погіршення з’явилося у 14-річному віці у вигляді лихоманки 39,0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°С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, малопродуктивного кашлю. При рентгенологічному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ідженні під час вступу: зліва в середньому відділі визначається великих розмірів ділянка інфільтрації легеневої тканини. Лівостороння зливна пневмонія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3,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6. Враховуючи відсутність позитивної рентгенологічної динаміки, незважаючи на використання курсу антибактеріальної (цефалоспорини, фторхінолони, карбапенеми, нітроімідазоли), протигрибкової терапії препаратами широкого спектра дії, проведена комп’ютерна томографія (КТ), де встановлена лівостороння деструктивна пневмонія 4-го, 6-го, 9-го сегменті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У клінічному аналізі крові анемія легкого ступеня тяжкості, лейкоцитоз. ВІ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Л-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інфекцію було виключено неодноразово.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При імунологічному дослідженні крові показники субпопуляцій лімфоцитів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ідповідали віковій нормі, при вивченні показників гуморальної ланки встановлено підвищення рівнів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IgM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та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IgG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: лейкоцити — 5,9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/л (норма — 4,0–7,6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/л), лімфоцити — 37 % (норма — 19–37 %), лімфоцити — 2,18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/л (норма — 1,76–2,8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/л),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3+-лі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мфоцити — 68 % (норма — 66–76 %);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3+-лімфоцити — 1,48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/л (норма — 1,4–2,0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/л),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4+-лімфоцити — 39 % (норма — 33–41 %);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4+-лімфоцити — 0,85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/л (норма — 0,7–1,1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/л),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8+-лімфоцити — 28 % (норма — 27–35 %);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8+-лімфоцити —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lastRenderedPageBreak/>
        <w:t>0,61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/л (норма — 0,6–0,9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/л),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16+-лімфоцити — 14 % (норма — 9–16 %);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16+-лімфоцити — 0,30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/л (норма — 0,2–0,3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/л),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22+-лімфоцити — 17 % (норма — 11–20 %);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22+-лімфоцити — 0,37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/л (норма — 0,28–0,58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/л),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25+-лімфоцити — 40 % (норма — 32–41 %);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CD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25+-лімфоцити — 0,87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/л (норма — 0,24–1,11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9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/л),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IgA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— 1,12 г/л (норма — 1,48 ± 0,63 г/л);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IgM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— 0,94 г/л (норма — 0,59 ± 0,20 г/л);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IgG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— 10,93 г/л (норма — 9,46 ± 1,24 г/л), комплемент СН50 — 59 (норма — 40–80).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Необхідно зазначити, що виявлене зниження показників бактеріальної і фагоцитарної активності є патогенетичними маркерами захворювання: НСТ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bscript"/>
          <w:lang w:val="ru-RU"/>
        </w:rPr>
        <w:t>спонт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— 3 % (норма — 9,34–0,4 %), ІАН, од. — 0,04 (норма — 0,130 ± 0,006), НСТ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bscript"/>
          <w:lang w:val="ru-RU"/>
        </w:rPr>
        <w:t>стим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— 12 % (норма — 40–80 %), ІАН, од. — 0,16 (норма — 0,5 ± 1,5); фагоцитоз з латексом — 55 % (норма — 60–80 %). Також визначалися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івні ЛКБ, од. — 1,22 (норма — 1,23–0,015), підвищення рівня ЦІК — 3,5 %, ПЕГ — 15,3 (норма — 10 ± 2), СРП — 24, РФ — негативний.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При спірографічному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ідженні встановлені легкі рестриктивні порушення: ЖЄЛ — 70 % (норма — 79–112 %), ФЖЄЛ — 72 % (норма — 78–113 %), ПШВ — 91 % (норма — 72–117 %), МОШ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bscript"/>
          <w:lang w:val="ru-RU"/>
        </w:rPr>
        <w:t>25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— 92 % (норма — 73–117 %), МОШ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bscript"/>
          <w:lang w:val="ru-RU"/>
        </w:rPr>
        <w:t>50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— 87 % (норма — 73–117 %), МОШ75 — 105 % (норма — 61–124 %), ОФВ1 — 78 % (норма — 78–113 %), тест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Т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іффно — 111 % (норма — 84–110 %).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При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ідженні білкової фракції сироватки крові: загальний білок — 74 г/л (норма — 65–85 г/л), альбумін — 53,6 % (норма — 50–65 %), глобуліни: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α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1 — 5,5 % (норма — 3–6 %),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α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2 — 11,5 % (норма — 6–12 %),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β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— 6,8 % (норма — 8–12 %),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γ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— 22,6 % (норма — 15–20 %), А/Г коеф. — 1,15 (норма — 1,5–2,3 %).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Враховуючи наявність у хворого хронічного стоматиту, неодноразово проводилося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ідження на флору з афт у ротовій порожнині: виявлено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Staphylococcus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aureus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. При бактеріологічному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ідженні слизу зіву та носа —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Streptococcus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spp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4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;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Staphylococcus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epidermidis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• 10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val="ru-RU"/>
        </w:rPr>
        <w:t>4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Результати імунофлюоресцентного аналізу носоглоткового змиву антигенів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ірусів грипу та респіраторних вірусів — не знайдено.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При клінічному аналізі мокротиння ознаки запального процесу: лейкоцити — на 1/4 поля зору (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/з), еритроцити — 0–3 клітини у п/з, елементи епітелію бронхів — на 1/4 п/з, альвеолярні клітини — на 0–3 п/з,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у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cobacterium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tuberculosis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не виявлена.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При клінічному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ідженні промивних вод бронхів встановлені запальні зміни: лейкоцити — на 3/4 п/з, еритроцити — 20 клітин у п/з, елементи епітелію бронхів — на 1/4 п/з, кристали — місцями,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у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cobacterium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tuberculosis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не виявлена.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При бактеріологічному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ідженні лаважу бронхіального дерева виявлений рост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>у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cobacterium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ru-RU"/>
        </w:rPr>
        <w:t xml:space="preserve">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tuberculosis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, у зв’язку з чим дитині проводилася протитуберкульозна терапія.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Останнє погіршення стану через 2 місяці пов’язано з малоінтенсивним кашлем, болем у грудній клітці,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ідвищенням температури до фебрильних цифр, наростанням задухи. При рентгенологічному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досл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ідженні: у середньому та нижніх відділах з обох сторін визначалися великих розмірів ділянки інфільтрації легеневої тканини.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Враховуючи, що на фоні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проф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ілактичної антибактеріальної, протигрибкової та протитуберкульозної терапії у хворого з’явилися інфільтративні зміни в легенях, необхідність проведення додаткових методів дослідження для диференціальної діагностики інфекційних ускладнень при ХГХ зростала. Неефективне знищення грибкової флори у цієї групи пацієнті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в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є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одним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із патогенетичних моментів захворювання, схожа клінічна симптоматика при ураженні легенів ускладнює діагностичний процес між бактеріальними і грибковими інфекціями. Ранніми ознаками аспергільозу при проведенні комп’ютерної томографії легенів є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др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ібні (&lt; 2 см), пов’язані з судинами округлі вогнища, зазвичай розташовані субплеврально, симптом «ореолу», а також ущільнення трикутної форми, що примикають підставою до плеври. При прогресуванні захворювання при КТ легенів визначають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ізні ознаки: вогнища деструкції, а також порожнини з вмістом і прошарком повітря (симптом «півмісяця»). Початкові легеневі зміни на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серіях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томограм, що виконані у спірографічному режимі томографічним шагом 5 мм, наведено на рис. 1, 2.</w:t>
      </w:r>
    </w:p>
    <w:p w:rsidR="002614E4" w:rsidRPr="002614E4" w:rsidRDefault="002614E4" w:rsidP="002614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614E4">
        <w:rPr>
          <w:rFonts w:ascii="Verdana" w:eastAsia="Times New Roman" w:hAnsi="Verdana" w:cs="Times New Roman"/>
          <w:noProof/>
          <w:color w:val="0000FF"/>
          <w:sz w:val="18"/>
          <w:szCs w:val="18"/>
        </w:rPr>
        <w:lastRenderedPageBreak/>
        <w:drawing>
          <wp:inline distT="0" distB="0" distL="0" distR="0" wp14:anchorId="1261FE4C" wp14:editId="546574C3">
            <wp:extent cx="5090323" cy="2823614"/>
            <wp:effectExtent l="0" t="0" r="0" b="0"/>
            <wp:docPr id="5" name="Рисунок 5" descr="http://www.mif-ua.com/media/uploads/arhiv/zr/2018/1(13)/152-1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if-ua.com/media/uploads/arhiv/zr/2018/1(13)/152-1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6" cy="282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Прогресуючі клінічні зміни, наростання ознак дихальної недостатності потребувало лікування хворого у відділенні реанімації та інтенсивної терапії.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При повторній комп’ютерній томографії встановлена негативна динаміка (рис. 3, 4).</w:t>
      </w:r>
      <w:proofErr w:type="gramEnd"/>
    </w:p>
    <w:p w:rsidR="002614E4" w:rsidRPr="002614E4" w:rsidRDefault="002614E4" w:rsidP="002614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614E4">
        <w:rPr>
          <w:rFonts w:ascii="Verdana" w:eastAsia="Times New Roman" w:hAnsi="Verdana" w:cs="Times New Roman"/>
          <w:noProof/>
          <w:color w:val="0000FF"/>
          <w:sz w:val="18"/>
          <w:szCs w:val="18"/>
        </w:rPr>
        <w:drawing>
          <wp:inline distT="0" distB="0" distL="0" distR="0" wp14:anchorId="00363D1C" wp14:editId="3BD30043">
            <wp:extent cx="4523101" cy="2531454"/>
            <wp:effectExtent l="0" t="0" r="0" b="2540"/>
            <wp:docPr id="6" name="Рисунок 6" descr="http://www.mif-ua.com/media/uploads/arhiv/zr/2018/1(13)/153-1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if-ua.com/media/uploads/arhiv/zr/2018/1(13)/153-1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62" cy="253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Остаточним специфічним дослідженням для підтвердження аспергільозу є виявлення збудника при мікроскопії та посіві мокротиння чи лаважу з бронхіального дерева.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При повторному дослідженні мокротиння хворого виявлені </w:t>
      </w:r>
      <w:r w:rsidRPr="002614E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Aspergillus fumigatu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s.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Комплекс лікувальних заходів включав внутрішньовенну антифунгальну терапію.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Стан хворого покращився, відмічалася позитивна динаміка.</w:t>
      </w:r>
      <w:proofErr w:type="gramEnd"/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Враховуючи відсутність на сучасному етапі патогенетичної терапії, що коректувала б імунну відповідь, даний клінічний випадок підтверджує складність виявлення збудників інфекційних процесів у хворих на ХГХ.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Від своєчасного встановлення етіології інфекційних ускладнень залежить тактика ведення хворого, що, у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свою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чергу, обумовлює прогноз захворювання.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2614E4" w:rsidRPr="002614E4" w:rsidRDefault="002614E4" w:rsidP="002614E4">
      <w:pPr>
        <w:spacing w:after="18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  <w:t>Висновки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Кожне клінічне спостереження дитини з рідкісною патологією в національних умовах (відмінності у протоколах лікування, можливостях профілактичної терапії, наявність туберкульозної інфекції) є важливим з наукової точки зору.</w:t>
      </w:r>
      <w:proofErr w:type="gramEnd"/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</w:rPr>
        <w:t>Поширеність знань щодо ексвізитних клінічних форм має практичне значення для лікарів загальної практики, педіатрів щодо покращення ранньої діагностики.</w:t>
      </w:r>
      <w:proofErr w:type="gramEnd"/>
    </w:p>
    <w:p w:rsidR="002614E4" w:rsidRPr="002614E4" w:rsidRDefault="002614E4" w:rsidP="002614E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2614E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ru-RU"/>
        </w:rPr>
        <w:t>Конфлікт інтересів.</w:t>
      </w:r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Автори заявляють про відсутність конфлікту інтересів при </w:t>
      </w:r>
      <w:proofErr w:type="gramStart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п</w:t>
      </w:r>
      <w:proofErr w:type="gramEnd"/>
      <w:r w:rsidRPr="002614E4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ідготовці даної статті.</w:t>
      </w:r>
    </w:p>
    <w:p w:rsidR="002614E4" w:rsidRPr="002614E4" w:rsidRDefault="002614E4" w:rsidP="00261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  <w:lang w:val="ru-RU"/>
        </w:rPr>
        <w:br/>
      </w:r>
    </w:p>
    <w:p w:rsidR="002614E4" w:rsidRPr="002614E4" w:rsidRDefault="002614E4" w:rsidP="002614E4">
      <w:pPr>
        <w:spacing w:after="24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  <w:t>Список литературы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1. Chronic granulomatous disorder: a guide for medical professionals. — UK, London, 2015. — Доступ до електронної версії: www.cgdsociety.org.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lastRenderedPageBreak/>
        <w:t>2. Special article: chronic granulomatous disease in the United Kingdom and Ireland: a comprehensive national patient-based re–gistry / Jones L.B., McGrogan P., Flood T.J., Gennery A.R. et al. // Clinical and Experimental Immunology. — 2008. — № 152(2). — Р. 211-18.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3. Chronic granulomatous disease: the European experience / Van den Berg J.M., van Koppen E., Ahlin A., Belohradsky B.H. // The Public Library of Science One. — 2009. — № 4(4). — P. 5234.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4. Modern management of chronic granulomatous di–sease / Seger R.A. // British Journal of Haematology. — 2008. — № 140(3). — P. 255-66.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5. Chronic granulomatous disease: complications and management / Rosenzweig S.D. // Expert Review of Clinical Immunology. — 2009. — № 5(1). — P. 45-53.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6. Chronic granulomatous disease / Holland S.M. // Clinical Reviews in Allergy and Immunology. — 2010. — № 38(1). — P. 3-10.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7. Invasive aspergillosis in chronic granulomatous disease / Segal B.H., Romani L.R. // Medical Mycology. — 2009. — № 47(1). — P. 282-290.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8. Epidemiology and outcome of invasive fungal diseases in patients with chronic granulomatous disease: a multicenter study in France / Beaute J., Obenga G., Le Mignot L., Mahlaoui N. // Pediatric Infectious Disease Journal. — 2011. — № 30(1). — P. 57-62.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9. The NADPH oxidase NOX2 plays a role in periodontal pathologies / Giannopoulou C., Krause K.H., Müller F. // Seminars in Immunopathology. — 2008. — № 30(3). —P. 273-278.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10. Abnormal apoptosis in chronic granulomatous disease and autoantibody production characteristic of lupus /Sanford A.N., Suriano A.R., Herche D., Dietzmann K. // Rheumatology. — 2006. — № 45(2). — P. 178-81.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 xml:space="preserve">11. Cutaneous and other lupus-like symptoms in carriers of X-linked chronic granulomatous disease: incidence and autoimmune serology / Cale C.M., Morton L., Goldblatt D. // Clinical and Experimental Immunology. — 2007. — № 148(1). — </w:t>
      </w:r>
      <w:proofErr w:type="gramStart"/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Р. 79</w:t>
      </w:r>
      <w:proofErr w:type="gramEnd"/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-84.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12. Inflammatory bowel disease in CGD reproduces the clinicopathological features of Crohn’s disease / Marks D.J., Miyagi K., Rahman F.Z., Novelli M. // American Journal of Gastroenterology. — 2009. — № 104(1). — P. 117-24.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13. Overlap, common features, and essential differences in pediatric granulomatous inflammatory bowel disease / Damen G.M., Krieken J.H., Hoppenreijs E., van Os E. // Journal of Pediatric Gastroenterology and Nutrition. — 2010 Dec. — № 51(6). — Р. 690-7.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14. Gastrointestinal involvement in chronic granulomatous di–sease / Marciano B.E., Rosenzweig S.D., Kleiner D.E., Anderson V.L. // Paediatrics. — 2004. — № 114(2). — Р. 462-8.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15. Chorioretinal lesions in patients and carriers of chronic granulomatous disease / Goldblatt D., Butcher J., Thrasher A.J., Russell-Eggitt I. // Journal of Pediatrics. — 1999. — № 134(6). — P. 780-3.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16. Chorioretinal lesions in patients with chronic granulomatous disease / Kim S.J., Kim J.G., Yu Y.S. // Retina. — 2003. — № 23(3). — P. 360-5.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17. Successful low toxicity hematopoietic stem cell transplantation for high-risk adult chronic granulomatous disease patients / Güngör T., Halter J., Klink A., Junge S. // Transplantation. — 2005. — № 79(11). — P. 1596-606.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18. Unrelated donor and HLA-identical sibling haematopoietic stem cell transplantation cure chronic granulomatous disease with good long-term outcome and growth / Soncini E., Slatter M.A., Jones L.B., Hughes S. // British Journal of Haematology. — 2009. — № 145(1). — P. 73-83.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19. Hematopoietic stem cell transplantation for chronic granulomatous disease / Seger R.A. // Immunology and Allergy Clinics of North America. — 2010. — № 30(2). — P. 195-208.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20. Excellent survival after sibling or unrelated donor stem cell transplantation for chronic granulomatous disease / Martinez C.A., Shah S., Shearer W.T., Rosenblatt H.M. // Journal of Allergy and Clinical Immunology. — 2012. — № 129(1). — P. 176-83.</w:t>
      </w:r>
    </w:p>
    <w:p w:rsidR="002614E4" w:rsidRPr="002614E4" w:rsidRDefault="002614E4" w:rsidP="002614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 xml:space="preserve">21. Gene therapy of chronic granulomatous disease: the engraftment dilemma / Grez M., Reichenbach J., Schwäble J., Seger R. // Molecular Therapy. — 2011. — № 19(1). — </w:t>
      </w:r>
      <w:proofErr w:type="gramStart"/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Р. 28</w:t>
      </w:r>
      <w:proofErr w:type="gramEnd"/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-35.</w:t>
      </w:r>
    </w:p>
    <w:p w:rsidR="002614E4" w:rsidRPr="002614E4" w:rsidRDefault="002614E4" w:rsidP="002614E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614E4">
        <w:rPr>
          <w:rFonts w:ascii="Verdana" w:eastAsia="Times New Roman" w:hAnsi="Verdana" w:cs="Times New Roman"/>
          <w:color w:val="000000"/>
          <w:sz w:val="17"/>
          <w:szCs w:val="17"/>
        </w:rPr>
        <w:t>22. Gene therapy matures in the clinic / Seymour L., Thra–sher A.J. // Nature Biotechnology. — 2012. — № 30(7). — P. 588-93.</w:t>
      </w:r>
    </w:p>
    <w:p w:rsidR="009468C0" w:rsidRDefault="009468C0"/>
    <w:sectPr w:rsidR="009468C0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DF"/>
    <w:rsid w:val="000104BF"/>
    <w:rsid w:val="002614E4"/>
    <w:rsid w:val="004779DF"/>
    <w:rsid w:val="00687421"/>
    <w:rsid w:val="009468C0"/>
    <w:rsid w:val="00F1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43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000000"/>
            <w:right w:val="none" w:sz="0" w:space="0" w:color="auto"/>
          </w:divBdr>
        </w:div>
        <w:div w:id="80782261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000000"/>
            <w:right w:val="none" w:sz="0" w:space="0" w:color="auto"/>
          </w:divBdr>
        </w:div>
        <w:div w:id="422216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000000"/>
            <w:right w:val="none" w:sz="0" w:space="0" w:color="auto"/>
          </w:divBdr>
        </w:div>
        <w:div w:id="113818523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mif-ua.com/media/uploads/arhiv/zr/2018/1(13)/153-1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f-ua.com/media/uploads/arhiv/zr/2018/1(13)/148-1.jpg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mif-ua.com/media/uploads/arhiv/zr/2018/1(13)/152-1.jpg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mif-ua.com/media/uploads/arhiv/zr/2018/1(13)/149-1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4751</Words>
  <Characters>27085</Characters>
  <Application>Microsoft Office Word</Application>
  <DocSecurity>0</DocSecurity>
  <Lines>225</Lines>
  <Paragraphs>63</Paragraphs>
  <ScaleCrop>false</ScaleCrop>
  <Company/>
  <LinksUpToDate>false</LinksUpToDate>
  <CharactersWithSpaces>31773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3</cp:revision>
  <dcterms:created xsi:type="dcterms:W3CDTF">2018-11-23T23:48:00Z</dcterms:created>
  <dcterms:modified xsi:type="dcterms:W3CDTF">2018-11-23T23:50:00Z</dcterms:modified>
</cp:coreProperties>
</file>