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74ED" w:rsidRDefault="001174ED" w:rsidP="00037F34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Абдуллаєва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Нубар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Азад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кизи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, Деревянко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Валерія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Валентинівна</w:t>
      </w:r>
      <w:proofErr w:type="spellEnd"/>
    </w:p>
    <w:p w:rsidR="001174ED" w:rsidRPr="00037F34" w:rsidRDefault="001174ED" w:rsidP="00037F34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37F34">
        <w:rPr>
          <w:rFonts w:ascii="Times New Roman" w:hAnsi="Times New Roman" w:cs="Times New Roman"/>
          <w:b/>
          <w:sz w:val="28"/>
          <w:szCs w:val="28"/>
        </w:rPr>
        <w:t>ПАТОГЕНЕЗ ЦЕРЕБРО-ВАСКУЛЯРНИХ ПОРУШЕНЬ У ВАГІТНИХ ЖІНОК</w:t>
      </w:r>
    </w:p>
    <w:p w:rsidR="001174ED" w:rsidRPr="001174ED" w:rsidRDefault="001174ED" w:rsidP="00037F34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Кафедра акушерства та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№2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Украї</w:t>
      </w:r>
      <w:proofErr w:type="gramStart"/>
      <w:r w:rsidRPr="001174ED">
        <w:rPr>
          <w:rFonts w:ascii="Times New Roman" w:hAnsi="Times New Roman" w:cs="Times New Roman"/>
          <w:sz w:val="28"/>
          <w:szCs w:val="28"/>
        </w:rPr>
        <w:t>на</w:t>
      </w:r>
      <w:proofErr w:type="spellEnd"/>
      <w:proofErr w:type="gramEnd"/>
    </w:p>
    <w:p w:rsidR="001174ED" w:rsidRPr="001174ED" w:rsidRDefault="001174ED" w:rsidP="001174ED">
      <w:pPr>
        <w:rPr>
          <w:rFonts w:ascii="Times New Roman" w:hAnsi="Times New Roman" w:cs="Times New Roman"/>
          <w:sz w:val="28"/>
          <w:szCs w:val="28"/>
        </w:rPr>
      </w:pPr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37F34" w:rsidRDefault="001174ED" w:rsidP="001174ED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37F34">
        <w:rPr>
          <w:rFonts w:ascii="Times New Roman" w:hAnsi="Times New Roman" w:cs="Times New Roman"/>
          <w:b/>
          <w:sz w:val="28"/>
          <w:szCs w:val="28"/>
        </w:rPr>
        <w:t>Актуальність</w:t>
      </w:r>
      <w:proofErr w:type="spellEnd"/>
      <w:r w:rsidRPr="00037F34">
        <w:rPr>
          <w:rFonts w:ascii="Times New Roman" w:hAnsi="Times New Roman" w:cs="Times New Roman"/>
          <w:b/>
          <w:sz w:val="28"/>
          <w:szCs w:val="28"/>
        </w:rPr>
        <w:t>.</w:t>
      </w:r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Особливе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структурі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екстрагенітальної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займають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цереброваскулярні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ускладнюють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створюють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загрозу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матері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та плоду.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Незважаючи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зростаючий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інтерес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багато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питань</w:t>
      </w:r>
      <w:proofErr w:type="spellEnd"/>
      <w:proofErr w:type="gramStart"/>
      <w:r w:rsidRPr="001174ED">
        <w:rPr>
          <w:rFonts w:ascii="Times New Roman" w:hAnsi="Times New Roman" w:cs="Times New Roman"/>
          <w:sz w:val="28"/>
          <w:szCs w:val="28"/>
        </w:rPr>
        <w:t xml:space="preserve">  ,</w:t>
      </w:r>
      <w:proofErr w:type="spellStart"/>
      <w:proofErr w:type="gramEnd"/>
      <w:r w:rsidRPr="001174E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стосуються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,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механізмів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патогенезу та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розродження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даної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категорії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,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залишаються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недостатньо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розкритими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.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Встановлено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вагітність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підвищує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гострого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мозкового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в 8-12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разів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(В.И.Курман,2010). За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протоколу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американської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асоціації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кардіологів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асоціації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інсульту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2014 року (AHA / ASA),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спостерігається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частоти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інсульту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174E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1174ED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гестації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- 34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на 100 000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з числом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інсультів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того ж репродуктивного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поза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вагітністю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- 21 на 100 000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proofErr w:type="gramStart"/>
      <w:r w:rsidRPr="001174ED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37F34" w:rsidRDefault="001174ED" w:rsidP="001174ED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037F34">
        <w:rPr>
          <w:rFonts w:ascii="Times New Roman" w:hAnsi="Times New Roman" w:cs="Times New Roman"/>
          <w:b/>
          <w:sz w:val="28"/>
          <w:szCs w:val="28"/>
        </w:rPr>
        <w:t xml:space="preserve">Мета </w:t>
      </w:r>
      <w:proofErr w:type="spellStart"/>
      <w:proofErr w:type="gramStart"/>
      <w:r w:rsidRPr="00037F34">
        <w:rPr>
          <w:rFonts w:ascii="Times New Roman" w:hAnsi="Times New Roman" w:cs="Times New Roman"/>
          <w:b/>
          <w:sz w:val="28"/>
          <w:szCs w:val="28"/>
        </w:rPr>
        <w:t>досл</w:t>
      </w:r>
      <w:proofErr w:type="gramEnd"/>
      <w:r w:rsidRPr="00037F34">
        <w:rPr>
          <w:rFonts w:ascii="Times New Roman" w:hAnsi="Times New Roman" w:cs="Times New Roman"/>
          <w:b/>
          <w:sz w:val="28"/>
          <w:szCs w:val="28"/>
        </w:rPr>
        <w:t>ідження</w:t>
      </w:r>
      <w:proofErr w:type="spellEnd"/>
      <w:r w:rsidRPr="00037F34">
        <w:rPr>
          <w:rFonts w:ascii="Times New Roman" w:hAnsi="Times New Roman" w:cs="Times New Roman"/>
          <w:b/>
          <w:sz w:val="28"/>
          <w:szCs w:val="28"/>
        </w:rPr>
        <w:t>.</w:t>
      </w:r>
      <w:r w:rsidRPr="001174ED">
        <w:rPr>
          <w:rFonts w:ascii="Times New Roman" w:hAnsi="Times New Roman" w:cs="Times New Roman"/>
          <w:sz w:val="28"/>
          <w:szCs w:val="28"/>
        </w:rPr>
        <w:t xml:space="preserve"> Провести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літературних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вітчизняних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(100) і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зарубіжних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(40)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авторів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ЦВП у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механізми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патогенезу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37F34" w:rsidRDefault="001174ED" w:rsidP="001174ED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037F34">
        <w:rPr>
          <w:rFonts w:ascii="Times New Roman" w:hAnsi="Times New Roman" w:cs="Times New Roman"/>
          <w:b/>
          <w:sz w:val="28"/>
          <w:szCs w:val="28"/>
        </w:rPr>
        <w:t>Матер</w:t>
      </w:r>
      <w:proofErr w:type="gramEnd"/>
      <w:r w:rsidRPr="00037F34">
        <w:rPr>
          <w:rFonts w:ascii="Times New Roman" w:hAnsi="Times New Roman" w:cs="Times New Roman"/>
          <w:b/>
          <w:sz w:val="28"/>
          <w:szCs w:val="28"/>
        </w:rPr>
        <w:t>іали</w:t>
      </w:r>
      <w:proofErr w:type="spellEnd"/>
      <w:r w:rsidRPr="00037F34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037F34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037F34">
        <w:rPr>
          <w:rFonts w:ascii="Times New Roman" w:hAnsi="Times New Roman" w:cs="Times New Roman"/>
          <w:b/>
          <w:sz w:val="28"/>
          <w:szCs w:val="28"/>
        </w:rPr>
        <w:t>.</w:t>
      </w:r>
      <w:r w:rsidRPr="001174ED">
        <w:rPr>
          <w:rFonts w:ascii="Times New Roman" w:hAnsi="Times New Roman" w:cs="Times New Roman"/>
          <w:sz w:val="28"/>
          <w:szCs w:val="28"/>
        </w:rPr>
        <w:t xml:space="preserve"> Проведено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вітчизняних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зарубіжних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літературних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опублікованих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літературних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базах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ELibrary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PubMed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Medline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Cochrane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Library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Cochrane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Review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відображають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вивченні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механізмі</w:t>
      </w:r>
      <w:proofErr w:type="gramStart"/>
      <w:r w:rsidRPr="001174ED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1174ED">
        <w:rPr>
          <w:rFonts w:ascii="Times New Roman" w:hAnsi="Times New Roman" w:cs="Times New Roman"/>
          <w:sz w:val="28"/>
          <w:szCs w:val="28"/>
        </w:rPr>
        <w:t xml:space="preserve"> патогенезу ЦВП,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асоційованих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вагітністю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37F34" w:rsidRDefault="001174ED" w:rsidP="001174ED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37F34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037F34">
        <w:rPr>
          <w:rFonts w:ascii="Times New Roman" w:hAnsi="Times New Roman" w:cs="Times New Roman"/>
          <w:b/>
          <w:sz w:val="28"/>
          <w:szCs w:val="28"/>
        </w:rPr>
        <w:t>.</w:t>
      </w:r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Велике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акушерської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, так і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цереброваскулярної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належить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ендотелію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Ендотеліальні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клітини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утворюють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інтиму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внутрішній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шар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судинної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174ED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1174ED">
        <w:rPr>
          <w:rFonts w:ascii="Times New Roman" w:hAnsi="Times New Roman" w:cs="Times New Roman"/>
          <w:sz w:val="28"/>
          <w:szCs w:val="28"/>
        </w:rPr>
        <w:t>інки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. Структура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ендотелію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забезпечує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174E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1174ED">
        <w:rPr>
          <w:rFonts w:ascii="Times New Roman" w:hAnsi="Times New Roman" w:cs="Times New Roman"/>
          <w:sz w:val="28"/>
          <w:szCs w:val="28"/>
        </w:rPr>
        <w:t>ідтримку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цілості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судинної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стінки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селективну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проникність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різноманітних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субстанцій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(Л.Б.Маркін,2011). В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органах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ендотелій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регулює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транспорт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розчинів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поживних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речовин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ліпідів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гормонів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1174ED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інтерстиціальні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тканини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внутрішньоклітинний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шлях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міжклітинні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з’єднання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ендотеліальній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призводять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proofErr w:type="gramStart"/>
      <w:r w:rsidRPr="001174E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1174ED"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lastRenderedPageBreak/>
        <w:t>проникливості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чутливості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вазоактивних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речовин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втрати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тромборезистентних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властивостей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формуванням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гіперкоагуляції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умов для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генералізованного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вазоспазму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(Е.К.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Айламазян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, 2010).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Відомо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прееклапсія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виникає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з початком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активної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плаценти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в другому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триместрі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вказує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ендотеліальної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вже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ранніх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термінах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Прееклампсія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174E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1174ED">
        <w:rPr>
          <w:rFonts w:ascii="Times New Roman" w:hAnsi="Times New Roman" w:cs="Times New Roman"/>
          <w:sz w:val="28"/>
          <w:szCs w:val="28"/>
        </w:rPr>
        <w:t>ідвищенню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церебро-васкулярних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, особливо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внутрішньомозкових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гематом,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приводять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материнської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(58-63%) та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перинатальної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смертності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(27-30%) (L.Hacein-Bey,2016). </w:t>
      </w:r>
    </w:p>
    <w:p w:rsidR="00ED3986" w:rsidRPr="001174ED" w:rsidRDefault="001174ED" w:rsidP="001174ED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37F34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037F34">
        <w:rPr>
          <w:rFonts w:ascii="Times New Roman" w:hAnsi="Times New Roman" w:cs="Times New Roman"/>
          <w:b/>
          <w:sz w:val="28"/>
          <w:szCs w:val="28"/>
        </w:rPr>
        <w:t xml:space="preserve">.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проведених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174ED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1174ED">
        <w:rPr>
          <w:rFonts w:ascii="Times New Roman" w:hAnsi="Times New Roman" w:cs="Times New Roman"/>
          <w:sz w:val="28"/>
          <w:szCs w:val="28"/>
        </w:rPr>
        <w:t>іджень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свідчать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про </w:t>
      </w:r>
      <w:bookmarkStart w:id="0" w:name="_GoBack"/>
      <w:proofErr w:type="spellStart"/>
      <w:r w:rsidRPr="001174ED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з ЦВП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вираженої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дисрегуляції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судинного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тонусу,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обумовленої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збільшенням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вмісту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ендотеліну-1 при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одночасному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зниженні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метаболітів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оксиду азоту. Як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відомо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, оксид азоту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властивості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антиоксиданту,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вазоділататору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перешкоджає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агрегації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тромбоцитів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. Не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дивлячись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174ED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1174ED">
        <w:rPr>
          <w:rFonts w:ascii="Times New Roman" w:hAnsi="Times New Roman" w:cs="Times New Roman"/>
          <w:sz w:val="28"/>
          <w:szCs w:val="28"/>
        </w:rPr>
        <w:t>іджень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патогенезу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церебральних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дотепер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ця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проблема не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вирішена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1174ED">
        <w:rPr>
          <w:rFonts w:ascii="Times New Roman" w:hAnsi="Times New Roman" w:cs="Times New Roman"/>
          <w:sz w:val="28"/>
          <w:szCs w:val="28"/>
        </w:rPr>
        <w:t>Психоемоційні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стресові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ситуації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екстрагенітальних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вмісту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біологічно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активних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речовин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, стану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ендотелію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організмі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вагітної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сприяти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виникненню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ЦВП,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недостатньо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вивчені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існуюча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медикаментозна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направлена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вже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ліквідацію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гострого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мозкового</w:t>
      </w:r>
      <w:proofErr w:type="spellEnd"/>
      <w:r w:rsidRPr="001174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74ED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1174ED">
        <w:rPr>
          <w:rFonts w:ascii="Times New Roman" w:hAnsi="Times New Roman" w:cs="Times New Roman"/>
          <w:sz w:val="28"/>
          <w:szCs w:val="28"/>
          <w:lang w:val="uk-UA"/>
        </w:rPr>
        <w:t>.</w:t>
      </w:r>
      <w:bookmarkEnd w:id="0"/>
      <w:proofErr w:type="gramEnd"/>
    </w:p>
    <w:sectPr w:rsidR="00ED3986" w:rsidRPr="001174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45DB"/>
    <w:rsid w:val="00037F34"/>
    <w:rsid w:val="001174ED"/>
    <w:rsid w:val="003D45DB"/>
    <w:rsid w:val="00D73244"/>
    <w:rsid w:val="00ED3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525</Words>
  <Characters>2997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3515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dcterms:created xsi:type="dcterms:W3CDTF">2020-06-20T18:20:00Z</dcterms:created>
  <dcterms:modified xsi:type="dcterms:W3CDTF">2020-06-21T15:58:00Z</dcterms:modified>
</cp:coreProperties>
</file>