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C03" w:rsidRPr="00BD66A1" w:rsidRDefault="00776C03" w:rsidP="00776C03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BD66A1">
        <w:rPr>
          <w:rFonts w:ascii="Times New Roman" w:hAnsi="Times New Roman"/>
          <w:b/>
          <w:sz w:val="28"/>
          <w:szCs w:val="28"/>
        </w:rPr>
        <w:t xml:space="preserve">КЛИНИКО-ДИАГНОСТИЧЕСКАЯ РОЛЬ ЛИПОПРОТЕИНА А В РАЗВИТИИ </w:t>
      </w:r>
      <w:proofErr w:type="gramStart"/>
      <w:r w:rsidRPr="00BD66A1">
        <w:rPr>
          <w:rFonts w:ascii="Times New Roman" w:hAnsi="Times New Roman"/>
          <w:b/>
          <w:sz w:val="28"/>
          <w:szCs w:val="28"/>
        </w:rPr>
        <w:t>СЕРДЕЧНО-СОСУДИСТЫХ</w:t>
      </w:r>
      <w:proofErr w:type="gramEnd"/>
      <w:r w:rsidRPr="00BD66A1">
        <w:rPr>
          <w:rFonts w:ascii="Times New Roman" w:hAnsi="Times New Roman"/>
          <w:b/>
          <w:sz w:val="28"/>
          <w:szCs w:val="28"/>
        </w:rPr>
        <w:t xml:space="preserve"> ЗАБОЛЕВАНИЙ</w:t>
      </w:r>
    </w:p>
    <w:p w:rsidR="00776C03" w:rsidRPr="00BD66A1" w:rsidRDefault="00776C03" w:rsidP="00776C03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BD66A1">
        <w:rPr>
          <w:rFonts w:ascii="Times New Roman" w:hAnsi="Times New Roman"/>
          <w:b/>
          <w:sz w:val="28"/>
          <w:szCs w:val="28"/>
        </w:rPr>
        <w:t xml:space="preserve">Лукьянова Е.М., Горбач Т.В., Павлова Е.А. </w:t>
      </w:r>
    </w:p>
    <w:p w:rsidR="00776C03" w:rsidRPr="00BD66A1" w:rsidRDefault="00776C03" w:rsidP="00776C03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 w:rsidRPr="00BD66A1">
        <w:rPr>
          <w:rFonts w:ascii="Times New Roman" w:hAnsi="Times New Roman"/>
          <w:i/>
          <w:sz w:val="28"/>
          <w:szCs w:val="28"/>
        </w:rPr>
        <w:t>Харьковский национальный медицинский университет</w:t>
      </w:r>
    </w:p>
    <w:p w:rsidR="00776C03" w:rsidRPr="00BD66A1" w:rsidRDefault="00776C03" w:rsidP="00776C03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776C03" w:rsidRPr="00BD66A1" w:rsidRDefault="00776C03" w:rsidP="00776C0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D66A1">
        <w:rPr>
          <w:rFonts w:ascii="Times New Roman" w:hAnsi="Times New Roman"/>
          <w:sz w:val="28"/>
          <w:szCs w:val="28"/>
          <w:lang w:val="uk-UA"/>
        </w:rPr>
        <w:t>Се</w:t>
      </w:r>
      <w:proofErr w:type="spellStart"/>
      <w:r w:rsidRPr="00BD66A1">
        <w:rPr>
          <w:rFonts w:ascii="Times New Roman" w:hAnsi="Times New Roman"/>
          <w:sz w:val="28"/>
          <w:szCs w:val="28"/>
        </w:rPr>
        <w:t>рдечно</w:t>
      </w:r>
      <w:proofErr w:type="spellEnd"/>
      <w:r w:rsidRPr="00BD66A1">
        <w:rPr>
          <w:rFonts w:ascii="Times New Roman" w:hAnsi="Times New Roman"/>
          <w:sz w:val="28"/>
          <w:szCs w:val="28"/>
        </w:rPr>
        <w:t>-сосудистые заболевания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66A1">
        <w:rPr>
          <w:rFonts w:ascii="Times New Roman" w:hAnsi="Times New Roman"/>
          <w:sz w:val="28"/>
          <w:szCs w:val="28"/>
        </w:rPr>
        <w:t xml:space="preserve">(ССЗ) остаются основной причиной смертности не только в Украине, но и во всем мире. Учеными разрабатывается много профилактических мероприятий, направленных на снижение </w:t>
      </w:r>
      <w:proofErr w:type="gramStart"/>
      <w:r w:rsidRPr="00BD66A1">
        <w:rPr>
          <w:rFonts w:ascii="Times New Roman" w:hAnsi="Times New Roman"/>
          <w:sz w:val="28"/>
          <w:szCs w:val="28"/>
        </w:rPr>
        <w:t>сердечно-сосудистых</w:t>
      </w:r>
      <w:proofErr w:type="gramEnd"/>
      <w:r w:rsidRPr="00BD66A1">
        <w:rPr>
          <w:rFonts w:ascii="Times New Roman" w:hAnsi="Times New Roman"/>
          <w:sz w:val="28"/>
          <w:szCs w:val="28"/>
        </w:rPr>
        <w:t xml:space="preserve"> катастроф. В связи с тем, что основной причиной развития инфаркта миокарда является </w:t>
      </w:r>
      <w:proofErr w:type="spellStart"/>
      <w:r w:rsidRPr="00BD66A1">
        <w:rPr>
          <w:rFonts w:ascii="Times New Roman" w:hAnsi="Times New Roman"/>
          <w:sz w:val="28"/>
          <w:szCs w:val="28"/>
        </w:rPr>
        <w:t>атеротромбоз</w:t>
      </w:r>
      <w:proofErr w:type="spellEnd"/>
      <w:r w:rsidRPr="00BD66A1">
        <w:rPr>
          <w:rFonts w:ascii="Times New Roman" w:hAnsi="Times New Roman"/>
          <w:sz w:val="28"/>
          <w:szCs w:val="28"/>
        </w:rPr>
        <w:t xml:space="preserve">, все лекарственные профилактические меры направлены на стабилизацию атеросклеротической бляшки (назначение </w:t>
      </w:r>
      <w:proofErr w:type="spellStart"/>
      <w:r w:rsidRPr="00BD66A1">
        <w:rPr>
          <w:rFonts w:ascii="Times New Roman" w:hAnsi="Times New Roman"/>
          <w:sz w:val="28"/>
          <w:szCs w:val="28"/>
        </w:rPr>
        <w:t>статинов</w:t>
      </w:r>
      <w:proofErr w:type="spellEnd"/>
      <w:r w:rsidRPr="00BD66A1">
        <w:rPr>
          <w:rFonts w:ascii="Times New Roman" w:hAnsi="Times New Roman"/>
          <w:sz w:val="28"/>
          <w:szCs w:val="28"/>
        </w:rPr>
        <w:t xml:space="preserve">) и </w:t>
      </w:r>
      <w:proofErr w:type="spellStart"/>
      <w:r w:rsidRPr="00BD66A1">
        <w:rPr>
          <w:rFonts w:ascii="Times New Roman" w:hAnsi="Times New Roman"/>
          <w:sz w:val="28"/>
          <w:szCs w:val="28"/>
        </w:rPr>
        <w:t>антитромбоцитарную</w:t>
      </w:r>
      <w:proofErr w:type="spellEnd"/>
      <w:r w:rsidRPr="00BD66A1">
        <w:rPr>
          <w:rFonts w:ascii="Times New Roman" w:hAnsi="Times New Roman"/>
          <w:sz w:val="28"/>
          <w:szCs w:val="28"/>
        </w:rPr>
        <w:t xml:space="preserve"> терапию.</w:t>
      </w:r>
    </w:p>
    <w:p w:rsidR="00776C03" w:rsidRPr="00BD66A1" w:rsidRDefault="00776C03" w:rsidP="00776C0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D66A1">
        <w:rPr>
          <w:rFonts w:ascii="Times New Roman" w:hAnsi="Times New Roman"/>
          <w:sz w:val="28"/>
          <w:szCs w:val="28"/>
        </w:rPr>
        <w:t xml:space="preserve">Однако, еще в 2003 году </w:t>
      </w:r>
      <w:proofErr w:type="spellStart"/>
      <w:r w:rsidRPr="00BD66A1">
        <w:rPr>
          <w:rFonts w:ascii="Times New Roman" w:hAnsi="Times New Roman"/>
          <w:sz w:val="28"/>
          <w:szCs w:val="28"/>
        </w:rPr>
        <w:t>Khot</w:t>
      </w:r>
      <w:proofErr w:type="spellEnd"/>
      <w:r w:rsidRPr="00BD66A1">
        <w:rPr>
          <w:rFonts w:ascii="Times New Roman" w:hAnsi="Times New Roman"/>
          <w:sz w:val="28"/>
          <w:szCs w:val="28"/>
        </w:rPr>
        <w:t xml:space="preserve"> UN 1 , </w:t>
      </w:r>
      <w:proofErr w:type="spellStart"/>
      <w:r w:rsidRPr="00BD66A1">
        <w:rPr>
          <w:rFonts w:ascii="Times New Roman" w:hAnsi="Times New Roman"/>
          <w:sz w:val="28"/>
          <w:szCs w:val="28"/>
        </w:rPr>
        <w:t>Khot</w:t>
      </w:r>
      <w:proofErr w:type="spellEnd"/>
      <w:r w:rsidRPr="00BD66A1">
        <w:rPr>
          <w:rFonts w:ascii="Times New Roman" w:hAnsi="Times New Roman"/>
          <w:sz w:val="28"/>
          <w:szCs w:val="28"/>
        </w:rPr>
        <w:t xml:space="preserve"> MB и др., проанализировав 14 </w:t>
      </w:r>
      <w:proofErr w:type="spellStart"/>
      <w:r w:rsidRPr="00BD66A1">
        <w:rPr>
          <w:rFonts w:ascii="Times New Roman" w:hAnsi="Times New Roman"/>
          <w:sz w:val="28"/>
          <w:szCs w:val="28"/>
        </w:rPr>
        <w:t>рандомизированных</w:t>
      </w:r>
      <w:proofErr w:type="spellEnd"/>
      <w:r w:rsidRPr="00BD66A1">
        <w:rPr>
          <w:rFonts w:ascii="Times New Roman" w:hAnsi="Times New Roman"/>
          <w:sz w:val="28"/>
          <w:szCs w:val="28"/>
        </w:rPr>
        <w:t xml:space="preserve"> исследований по поводу ишемической болезни сердца, выявили, что 20% всех </w:t>
      </w:r>
      <w:proofErr w:type="gramStart"/>
      <w:r w:rsidRPr="00BD66A1">
        <w:rPr>
          <w:rFonts w:ascii="Times New Roman" w:hAnsi="Times New Roman"/>
          <w:sz w:val="28"/>
          <w:szCs w:val="28"/>
        </w:rPr>
        <w:t>сердечно-сосудистых</w:t>
      </w:r>
      <w:proofErr w:type="gramEnd"/>
      <w:r w:rsidRPr="00BD66A1">
        <w:rPr>
          <w:rFonts w:ascii="Times New Roman" w:hAnsi="Times New Roman"/>
          <w:sz w:val="28"/>
          <w:szCs w:val="28"/>
        </w:rPr>
        <w:t xml:space="preserve"> событий происходит при отсутствии какого-либо из основных факторов сердечно-сосудистого риска и 50% острых нарушений мозгового кровообращения и коронарных приступов возникает при нормальной холестеринемии. Нормальные уровни общего холестерина, ЛПНЛ, ЛПВП не обязательно свидетельствуют о том, что атеросклероза нет (</w:t>
      </w:r>
      <w:proofErr w:type="spellStart"/>
      <w:r w:rsidRPr="00BD66A1">
        <w:rPr>
          <w:rFonts w:ascii="Times New Roman" w:hAnsi="Times New Roman"/>
          <w:sz w:val="28"/>
          <w:szCs w:val="28"/>
        </w:rPr>
        <w:t>Вельков</w:t>
      </w:r>
      <w:proofErr w:type="spellEnd"/>
      <w:r w:rsidRPr="00BD66A1">
        <w:rPr>
          <w:rFonts w:ascii="Times New Roman" w:hAnsi="Times New Roman"/>
          <w:sz w:val="28"/>
          <w:szCs w:val="28"/>
        </w:rPr>
        <w:t xml:space="preserve"> В.В., 2009).</w:t>
      </w:r>
    </w:p>
    <w:p w:rsidR="00776C03" w:rsidRPr="00BD66A1" w:rsidRDefault="00776C03" w:rsidP="00776C0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BD66A1">
        <w:rPr>
          <w:rFonts w:ascii="Times New Roman" w:hAnsi="Times New Roman"/>
          <w:sz w:val="28"/>
          <w:szCs w:val="28"/>
        </w:rPr>
        <w:t xml:space="preserve">В течение последних 10 лет ученые хотят внедрить в клинические рекомендации определение липопротеина / ЛП (а) в крови (количественными и качественными (определение молекулярной массы) методиками). </w:t>
      </w:r>
      <w:proofErr w:type="gramStart"/>
      <w:r w:rsidRPr="00BD66A1">
        <w:rPr>
          <w:rFonts w:ascii="Times New Roman" w:hAnsi="Times New Roman"/>
          <w:sz w:val="28"/>
          <w:szCs w:val="28"/>
        </w:rPr>
        <w:t xml:space="preserve">ЛП (а)  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представляет собой модифицированную частицу ЛПНП с дополнительным специфическим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аполипопротеином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/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Апо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(a),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ковалентно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присоединенным к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аполипопротеину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B-100 ЛПНП с помощью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дисульфидной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связи.</w:t>
      </w:r>
      <w:proofErr w:type="gram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 Повышенный уровень ЛП (а) в плазме является генетически определенным, независимым, причинным фактором риска </w:t>
      </w:r>
      <w:proofErr w:type="gram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сердечно-сосудистых</w:t>
      </w:r>
      <w:proofErr w:type="gram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заболеваний (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Evelyn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Orsó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, 2017). Существует 34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изоформы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ЛП (а), строение которых зависит от молекулярной массы, размеров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Ап</w:t>
      </w:r>
      <w:proofErr w:type="gram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о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(</w:t>
      </w:r>
      <w:proofErr w:type="gram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а), количества «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kringle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» доменов.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Апо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(а) секретируется в плазму из печени и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катаболизируется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в почках. Чем меньше размер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Ап</w:t>
      </w:r>
      <w:proofErr w:type="gram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о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(</w:t>
      </w:r>
      <w:proofErr w:type="gram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а), тем выше уровень ЛП(а) в плазме. В бляшках накапливаются мелкие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изоформы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Л</w:t>
      </w:r>
      <w:proofErr w:type="gram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П(</w:t>
      </w:r>
      <w:proofErr w:type="gram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а), что усугубляет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атерогенез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и воспаление в сосудах. Также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kringle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-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IV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домены Л</w:t>
      </w:r>
      <w:proofErr w:type="gram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П(</w:t>
      </w:r>
      <w:proofErr w:type="gram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а) конкурируют с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плазминогеном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, что снижает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фибринолиз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и увеличивает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тромбогенез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(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Hartmann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et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al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>., 2006).</w:t>
      </w:r>
    </w:p>
    <w:p w:rsidR="00776C03" w:rsidRPr="00BD66A1" w:rsidRDefault="00776C03" w:rsidP="00776C0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Известно, что у людей, страдающих хронической болезнью почек (1-5 стадии), диабетической нефропатией, нефротическим синдромом уровни, сахарным диабетом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типа ЛП (а) значительно повышены (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Kronenberg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F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et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al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>., 2004), (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Kollerits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et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al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., 2006). Кроме того, у лиц с сахарным диабетом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II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типа повышение уровня Л</w:t>
      </w:r>
      <w:proofErr w:type="gram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П(</w:t>
      </w:r>
      <w:proofErr w:type="gram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а) является фактором риска возникновения и прогрессирования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ретинопатии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(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Suzuki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et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al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., 2002). Активно изучается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антиангиогенные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и противоопухолевые функции Л</w:t>
      </w:r>
      <w:proofErr w:type="gram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П(</w:t>
      </w:r>
      <w:proofErr w:type="gram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а), однако противоречивые данные последних исследований требуют дальнейшего выяснения данного вопроса (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Evelyn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Orsó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, 2017).</w:t>
      </w:r>
    </w:p>
    <w:p w:rsidR="00776C03" w:rsidRDefault="00776C03" w:rsidP="00776C0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BD66A1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Следовательно, Л</w:t>
      </w:r>
      <w:proofErr w:type="gram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П(</w:t>
      </w:r>
      <w:proofErr w:type="gram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а) можно использовать как предиктор заболеваний коронарных артерий, периферических сосудов, ишемических инсультов, аневризмы брюшной аорты (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Jones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GT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et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al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., 2007).  Данный показатель следует определять при наличии отягощенного семейного анамнеза,  диагностированных ССЗ  при отсутствии факторов риска, неэффективности (снижение липидов)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статинотерапии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, кардиохирургических операциях, почечных заболеваниях, сахарном диабете, а также при высоких уровнях ЛПНЛ и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Апо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(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>) для выяснения генетической опосредованности (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Tsimikas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et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D66A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al</w:t>
      </w:r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., 2006). </w:t>
      </w:r>
    </w:p>
    <w:p w:rsidR="00776C03" w:rsidRPr="00BD66A1" w:rsidRDefault="00776C03" w:rsidP="00776C0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К сожалению, препараты, влияющие на уровень Л</w:t>
      </w:r>
      <w:proofErr w:type="gram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П(</w:t>
      </w:r>
      <w:proofErr w:type="gram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а), не известны.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Ингибиторование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печеночного фермента PCSK9 </w:t>
      </w:r>
      <w:proofErr w:type="spell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моноклональными</w:t>
      </w:r>
      <w:proofErr w:type="spell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 xml:space="preserve"> антителами  снижает уровень ЛПНП, однако воздействие данных биопрепарата на Л</w:t>
      </w:r>
      <w:proofErr w:type="gramStart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П(</w:t>
      </w:r>
      <w:proofErr w:type="gramEnd"/>
      <w:r w:rsidRPr="00BD66A1">
        <w:rPr>
          <w:rFonts w:ascii="Times New Roman" w:hAnsi="Times New Roman"/>
          <w:sz w:val="28"/>
          <w:szCs w:val="28"/>
          <w:shd w:val="clear" w:color="auto" w:fill="FFFFFF"/>
        </w:rPr>
        <w:t>а) мало изучены.</w:t>
      </w:r>
    </w:p>
    <w:p w:rsidR="00776C03" w:rsidRPr="0052566A" w:rsidRDefault="00776C03" w:rsidP="00776C03">
      <w:pPr>
        <w:spacing w:after="0" w:line="240" w:lineRule="auto"/>
        <w:jc w:val="both"/>
        <w:rPr>
          <w:rFonts w:ascii="Times New Roman" w:hAnsi="Times New Roman"/>
          <w:b/>
          <w:color w:val="1D1D1D"/>
          <w:sz w:val="28"/>
          <w:szCs w:val="28"/>
          <w:lang w:val="uk-UA"/>
        </w:rPr>
      </w:pPr>
    </w:p>
    <w:p w:rsidR="00776C03" w:rsidRPr="00BB1B25" w:rsidRDefault="00776C03" w:rsidP="00776C03">
      <w:pPr>
        <w:spacing w:after="0" w:line="240" w:lineRule="auto"/>
        <w:ind w:firstLine="709"/>
        <w:jc w:val="center"/>
        <w:outlineLvl w:val="0"/>
        <w:rPr>
          <w:rFonts w:ascii="Times New Roman" w:hAnsi="Times New Roman"/>
          <w:b/>
          <w:bCs/>
          <w:color w:val="000000"/>
          <w:kern w:val="36"/>
          <w:sz w:val="28"/>
          <w:szCs w:val="28"/>
          <w:lang w:val="uk-UA" w:eastAsia="ru-RU"/>
        </w:rPr>
      </w:pPr>
      <w:r w:rsidRPr="00BB1B25">
        <w:rPr>
          <w:rFonts w:ascii="Times New Roman" w:hAnsi="Times New Roman"/>
          <w:b/>
          <w:bCs/>
          <w:color w:val="000000"/>
          <w:kern w:val="36"/>
          <w:sz w:val="28"/>
          <w:szCs w:val="28"/>
          <w:lang w:val="uk-UA" w:eastAsia="ru-RU"/>
        </w:rPr>
        <w:t>ЛАБОРАТОРНЕ ДОСЛІДЖЕННЯ РІДИНИ З ВЕЛИКИХ СУГЛОБІВ ПІСЛЯ ЕНДОПРОТЕЗУВАННЯ ДЛЯ РАННЬОЇ ДІАГНОСТИКИ ПЕРІПРОТЕЗНОЇ ІНФЕКЦІЇ</w:t>
      </w:r>
    </w:p>
    <w:p w:rsidR="00776C03" w:rsidRPr="00BB1B25" w:rsidRDefault="00776C03" w:rsidP="00776C03">
      <w:pPr>
        <w:spacing w:after="0" w:line="240" w:lineRule="auto"/>
        <w:ind w:firstLine="709"/>
        <w:jc w:val="center"/>
        <w:outlineLvl w:val="0"/>
        <w:rPr>
          <w:rFonts w:ascii="Times New Roman" w:hAnsi="Times New Roman"/>
          <w:b/>
          <w:bCs/>
          <w:color w:val="000000"/>
          <w:kern w:val="36"/>
          <w:sz w:val="28"/>
          <w:szCs w:val="28"/>
          <w:lang w:val="uk-UA" w:eastAsia="ru-RU"/>
        </w:rPr>
      </w:pPr>
      <w:proofErr w:type="spellStart"/>
      <w:r w:rsidRPr="00BB1B25">
        <w:rPr>
          <w:rFonts w:ascii="Times New Roman" w:hAnsi="Times New Roman"/>
          <w:b/>
          <w:bCs/>
          <w:color w:val="000000"/>
          <w:kern w:val="36"/>
          <w:sz w:val="28"/>
          <w:szCs w:val="28"/>
          <w:lang w:val="uk-UA" w:eastAsia="ru-RU"/>
        </w:rPr>
        <w:t>Марущак</w:t>
      </w:r>
      <w:proofErr w:type="spellEnd"/>
      <w:r w:rsidRPr="00BB1B25">
        <w:rPr>
          <w:rFonts w:ascii="Times New Roman" w:hAnsi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О.П.,</w:t>
      </w:r>
      <w:r>
        <w:rPr>
          <w:rFonts w:ascii="Times New Roman" w:hAnsi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</w:t>
      </w:r>
      <w:r w:rsidRPr="00BB1B25">
        <w:rPr>
          <w:rFonts w:ascii="Times New Roman" w:hAnsi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Копил Ю.В., </w:t>
      </w:r>
      <w:proofErr w:type="spellStart"/>
      <w:r w:rsidRPr="00BB1B25">
        <w:rPr>
          <w:rFonts w:ascii="Times New Roman" w:hAnsi="Times New Roman"/>
          <w:b/>
          <w:bCs/>
          <w:color w:val="000000"/>
          <w:kern w:val="36"/>
          <w:sz w:val="28"/>
          <w:szCs w:val="28"/>
          <w:lang w:val="uk-UA" w:eastAsia="ru-RU"/>
        </w:rPr>
        <w:t>Ткачева</w:t>
      </w:r>
      <w:proofErr w:type="spellEnd"/>
      <w:r w:rsidRPr="00BB1B25">
        <w:rPr>
          <w:rFonts w:ascii="Times New Roman" w:hAnsi="Times New Roman"/>
          <w:b/>
          <w:bCs/>
          <w:color w:val="000000"/>
          <w:kern w:val="36"/>
          <w:sz w:val="28"/>
          <w:szCs w:val="28"/>
          <w:lang w:val="uk-UA" w:eastAsia="ru-RU"/>
        </w:rPr>
        <w:t xml:space="preserve"> Ю.Л</w:t>
      </w:r>
      <w:r w:rsidRPr="00C00117">
        <w:rPr>
          <w:rFonts w:ascii="Times New Roman" w:hAnsi="Times New Roman"/>
          <w:b/>
          <w:bCs/>
          <w:kern w:val="36"/>
          <w:sz w:val="28"/>
          <w:szCs w:val="28"/>
          <w:lang w:val="uk-UA" w:eastAsia="ru-RU"/>
        </w:rPr>
        <w:t>.</w:t>
      </w:r>
    </w:p>
    <w:p w:rsidR="00776C03" w:rsidRDefault="00776C03" w:rsidP="00776C03">
      <w:pPr>
        <w:spacing w:after="0" w:line="240" w:lineRule="auto"/>
        <w:ind w:firstLine="709"/>
        <w:jc w:val="center"/>
        <w:outlineLvl w:val="0"/>
        <w:rPr>
          <w:rFonts w:ascii="Times New Roman" w:hAnsi="Times New Roman"/>
          <w:bCs/>
          <w:i/>
          <w:color w:val="000000"/>
          <w:kern w:val="36"/>
          <w:sz w:val="28"/>
          <w:szCs w:val="28"/>
          <w:lang w:val="uk-UA" w:eastAsia="ru-RU"/>
        </w:rPr>
      </w:pPr>
      <w:r w:rsidRPr="00BB1B25">
        <w:rPr>
          <w:rFonts w:ascii="Times New Roman" w:hAnsi="Times New Roman"/>
          <w:bCs/>
          <w:i/>
          <w:color w:val="000000"/>
          <w:kern w:val="36"/>
          <w:sz w:val="28"/>
          <w:szCs w:val="28"/>
          <w:lang w:val="uk-UA" w:eastAsia="ru-RU"/>
        </w:rPr>
        <w:t xml:space="preserve">ДУ «Інститут патології хребта та суглобів </w:t>
      </w:r>
    </w:p>
    <w:p w:rsidR="00776C03" w:rsidRPr="00BB1B25" w:rsidRDefault="00776C03" w:rsidP="00776C03">
      <w:pPr>
        <w:spacing w:after="0" w:line="240" w:lineRule="auto"/>
        <w:ind w:firstLine="709"/>
        <w:jc w:val="center"/>
        <w:outlineLvl w:val="0"/>
        <w:rPr>
          <w:rFonts w:ascii="Times New Roman" w:hAnsi="Times New Roman"/>
          <w:bCs/>
          <w:i/>
          <w:color w:val="000000"/>
          <w:kern w:val="36"/>
          <w:sz w:val="28"/>
          <w:szCs w:val="28"/>
          <w:lang w:val="uk-UA" w:eastAsia="ru-RU"/>
        </w:rPr>
      </w:pPr>
      <w:r w:rsidRPr="00BB1B25">
        <w:rPr>
          <w:rFonts w:ascii="Times New Roman" w:hAnsi="Times New Roman"/>
          <w:bCs/>
          <w:i/>
          <w:color w:val="000000"/>
          <w:kern w:val="36"/>
          <w:sz w:val="28"/>
          <w:szCs w:val="28"/>
          <w:lang w:val="uk-UA" w:eastAsia="ru-RU"/>
        </w:rPr>
        <w:t xml:space="preserve">ім. проф. М.І. </w:t>
      </w:r>
      <w:proofErr w:type="spellStart"/>
      <w:r w:rsidRPr="00BB1B25">
        <w:rPr>
          <w:rFonts w:ascii="Times New Roman" w:hAnsi="Times New Roman"/>
          <w:bCs/>
          <w:i/>
          <w:color w:val="000000"/>
          <w:kern w:val="36"/>
          <w:sz w:val="28"/>
          <w:szCs w:val="28"/>
          <w:lang w:val="uk-UA" w:eastAsia="ru-RU"/>
        </w:rPr>
        <w:t>Ситенка</w:t>
      </w:r>
      <w:proofErr w:type="spellEnd"/>
      <w:r w:rsidRPr="00BB1B25">
        <w:rPr>
          <w:rFonts w:ascii="Times New Roman" w:hAnsi="Times New Roman"/>
          <w:bCs/>
          <w:i/>
          <w:color w:val="000000"/>
          <w:kern w:val="36"/>
          <w:sz w:val="28"/>
          <w:szCs w:val="28"/>
          <w:lang w:val="uk-UA" w:eastAsia="ru-RU"/>
        </w:rPr>
        <w:t xml:space="preserve"> НАМН України»</w:t>
      </w:r>
    </w:p>
    <w:p w:rsidR="00776C03" w:rsidRDefault="00776C03" w:rsidP="00776C03">
      <w:pPr>
        <w:spacing w:after="0" w:line="240" w:lineRule="auto"/>
        <w:ind w:firstLine="709"/>
        <w:jc w:val="center"/>
        <w:outlineLvl w:val="0"/>
        <w:rPr>
          <w:rFonts w:ascii="Times New Roman" w:hAnsi="Times New Roman"/>
          <w:bCs/>
          <w:color w:val="000000"/>
          <w:kern w:val="36"/>
          <w:sz w:val="28"/>
          <w:szCs w:val="28"/>
          <w:lang w:val="uk-UA" w:eastAsia="ru-RU"/>
        </w:rPr>
      </w:pPr>
    </w:p>
    <w:p w:rsidR="00776C03" w:rsidRPr="00A34BC8" w:rsidRDefault="00776C03" w:rsidP="00776C03">
      <w:pPr>
        <w:spacing w:after="0" w:line="240" w:lineRule="auto"/>
        <w:ind w:firstLine="709"/>
        <w:jc w:val="both"/>
        <w:outlineLvl w:val="0"/>
        <w:rPr>
          <w:rFonts w:ascii="Times New Roman" w:hAnsi="Times New Roman"/>
          <w:bCs/>
          <w:color w:val="000000"/>
          <w:kern w:val="36"/>
          <w:sz w:val="28"/>
          <w:szCs w:val="28"/>
          <w:lang w:val="uk-UA" w:eastAsia="ru-RU"/>
        </w:rPr>
      </w:pPr>
      <w:r w:rsidRPr="00A34BC8">
        <w:rPr>
          <w:rFonts w:ascii="Times New Roman" w:hAnsi="Times New Roman"/>
          <w:b/>
          <w:iCs/>
          <w:color w:val="000000"/>
          <w:sz w:val="28"/>
          <w:szCs w:val="28"/>
          <w:lang w:val="uk-UA"/>
        </w:rPr>
        <w:t>Актуальність.</w:t>
      </w:r>
      <w:r>
        <w:rPr>
          <w:rFonts w:ascii="Times New Roman" w:hAnsi="Times New Roman"/>
          <w:b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Періпротезна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інфекція є одним із найбільш важких ускладнень після тотального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ендопротезування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кульшових та колінних суглобів, тому визначення кількості лейкоцитів у синовіальній рідині при діагностиці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періпротезної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інфекції може зменшити кількість сумнівних результатів, які потребують додаткових досліджень.</w:t>
      </w:r>
    </w:p>
    <w:p w:rsidR="00776C03" w:rsidRDefault="00776C03" w:rsidP="00776C03">
      <w:pPr>
        <w:spacing w:after="0" w:line="240" w:lineRule="auto"/>
        <w:ind w:firstLine="709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4BC8">
        <w:rPr>
          <w:rFonts w:ascii="Times New Roman" w:hAnsi="Times New Roman"/>
          <w:b/>
          <w:iCs/>
          <w:color w:val="000000"/>
          <w:sz w:val="28"/>
          <w:szCs w:val="28"/>
          <w:lang w:val="uk-UA"/>
        </w:rPr>
        <w:t xml:space="preserve">Мета </w:t>
      </w:r>
      <w:r w:rsidRPr="00A34BC8">
        <w:rPr>
          <w:rFonts w:ascii="Times New Roman" w:hAnsi="Times New Roman"/>
          <w:b/>
          <w:color w:val="000000"/>
          <w:sz w:val="28"/>
          <w:szCs w:val="28"/>
          <w:lang w:val="uk-UA"/>
        </w:rPr>
        <w:t>дослідження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проведення клініко-мікроскопічного і біохімічного дослідження рідини, одержаної з колінних та кульшових суглобів після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ендопротезування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з подальшим визначенням діагностичної чутливості лабораторних показників для ранньої діагностики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періпротезної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інфекції.</w:t>
      </w:r>
    </w:p>
    <w:p w:rsidR="00776C03" w:rsidRDefault="00776C03" w:rsidP="00776C03">
      <w:pPr>
        <w:spacing w:after="0" w:line="240" w:lineRule="auto"/>
        <w:ind w:firstLine="709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4BC8">
        <w:rPr>
          <w:rFonts w:ascii="Times New Roman" w:hAnsi="Times New Roman"/>
          <w:b/>
          <w:iCs/>
          <w:color w:val="000000"/>
          <w:sz w:val="28"/>
          <w:szCs w:val="28"/>
          <w:lang w:val="uk-UA"/>
        </w:rPr>
        <w:t>Матеріал і методи.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Дослідження виконувалось на 53 пацієнтах, яким було проведено 61 оперативне втручання на колінному і кульшовому суглобах.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Ендопротезування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колінного (n=41) і кульшового (n=14) суглобів,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дебридмент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(n=6), з них – первинних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ендопротезувань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42, ревізійних – 13, з них 16 чоловіків та 37 жінок, вік хворих – від 35 до 79 років. Всіх хворих було розділено на три групи: І група – пацієнти, яким було діагностовано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періпротезну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інфекцію в термін до 4 тижнів після операції (n=7); ІІ група – пацієнти, в яких інфекцію було діагностовано при звернені в клініку, але післяопераційний період перебігав без ускладнень (n=8); ІІІ група – пацієнти, у яких був нормальний перебіг післяопераційного періоду (n=46). Одержану з колінних та кульшових суглобів рідину досліджували за наступними показниками: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цитоз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, процент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нейтрофілів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, лімфоцитів,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синовіоцитів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макрофагів, вміст загального білка,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глікопротеїнів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хондроїтинсульфатів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, глюкози,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гіалуронової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ки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слоти, С-реактивного білка</w:t>
      </w:r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інтерлейкінів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(ІЛ-1 та ІЛ-6)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A91A5B" w:rsidRPr="00776C03" w:rsidRDefault="00A91A5B">
      <w:pPr>
        <w:rPr>
          <w:lang w:val="uk-UA"/>
        </w:rPr>
      </w:pPr>
      <w:bookmarkStart w:id="0" w:name="_GoBack"/>
      <w:bookmarkEnd w:id="0"/>
    </w:p>
    <w:sectPr w:rsidR="00A91A5B" w:rsidRPr="00776C03" w:rsidSect="000B4A0B">
      <w:footerReference w:type="default" r:id="rId7"/>
      <w:pgSz w:w="11906" w:h="16838"/>
      <w:pgMar w:top="720" w:right="851" w:bottom="1134" w:left="1622" w:header="709" w:footer="709" w:gutter="0"/>
      <w:pgNumType w:start="5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04E3" w:rsidRDefault="00D804E3" w:rsidP="000B4A0B">
      <w:pPr>
        <w:spacing w:after="0" w:line="240" w:lineRule="auto"/>
      </w:pPr>
      <w:r>
        <w:separator/>
      </w:r>
    </w:p>
  </w:endnote>
  <w:endnote w:type="continuationSeparator" w:id="0">
    <w:p w:rsidR="00D804E3" w:rsidRDefault="00D804E3" w:rsidP="000B4A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3312883"/>
      <w:docPartObj>
        <w:docPartGallery w:val="Page Numbers (Bottom of Page)"/>
        <w:docPartUnique/>
      </w:docPartObj>
    </w:sdtPr>
    <w:sdtContent>
      <w:p w:rsidR="000B4A0B" w:rsidRDefault="000B4A0B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56</w:t>
        </w:r>
        <w:r>
          <w:fldChar w:fldCharType="end"/>
        </w:r>
      </w:p>
    </w:sdtContent>
  </w:sdt>
  <w:p w:rsidR="000B4A0B" w:rsidRDefault="000B4A0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04E3" w:rsidRDefault="00D804E3" w:rsidP="000B4A0B">
      <w:pPr>
        <w:spacing w:after="0" w:line="240" w:lineRule="auto"/>
      </w:pPr>
      <w:r>
        <w:separator/>
      </w:r>
    </w:p>
  </w:footnote>
  <w:footnote w:type="continuationSeparator" w:id="0">
    <w:p w:rsidR="00D804E3" w:rsidRDefault="00D804E3" w:rsidP="000B4A0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13A1"/>
    <w:rsid w:val="000B4A0B"/>
    <w:rsid w:val="000F62AB"/>
    <w:rsid w:val="003E051A"/>
    <w:rsid w:val="00520601"/>
    <w:rsid w:val="00645497"/>
    <w:rsid w:val="006C7FC5"/>
    <w:rsid w:val="006E593C"/>
    <w:rsid w:val="00776C03"/>
    <w:rsid w:val="0081219E"/>
    <w:rsid w:val="008313A1"/>
    <w:rsid w:val="0088252C"/>
    <w:rsid w:val="00A10E7D"/>
    <w:rsid w:val="00A91A5B"/>
    <w:rsid w:val="00B92641"/>
    <w:rsid w:val="00C37AEF"/>
    <w:rsid w:val="00CF5D2B"/>
    <w:rsid w:val="00D804E3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C03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4A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B4A0B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0B4A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B4A0B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C03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4A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B4A0B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0B4A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B4A0B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812</Words>
  <Characters>4633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2018-12-11T11:20:00Z</dcterms:created>
  <dcterms:modified xsi:type="dcterms:W3CDTF">2018-12-11T11:20:00Z</dcterms:modified>
</cp:coreProperties>
</file>