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spacing w:line="240" w:lineRule="auto"/>
        <w:ind w:left="0" w:right="7.204724409448886" w:firstLine="360"/>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ПАТОФІЗІОЛОГІЯ ЕНДОМЕТРІОЗО-ЗАЛЕЖНОЇ ІНФЕРТИЛЬНОСТІ</w:t>
      </w:r>
    </w:p>
    <w:p w:rsidR="00000000" w:rsidDel="00000000" w:rsidP="00000000" w:rsidRDefault="00000000" w:rsidRPr="00000000" w14:paraId="00000002">
      <w:pPr>
        <w:spacing w:line="240" w:lineRule="auto"/>
        <w:ind w:left="0" w:right="7.204724409448886" w:firstLine="360"/>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Стукалкіна Д.С., Письменна О.Т.</w:t>
      </w:r>
    </w:p>
    <w:p w:rsidR="00000000" w:rsidDel="00000000" w:rsidP="00000000" w:rsidRDefault="00000000" w:rsidRPr="00000000" w14:paraId="00000003">
      <w:pPr>
        <w:spacing w:line="240" w:lineRule="auto"/>
        <w:ind w:left="0" w:right="7.204724409448886" w:firstLine="360"/>
        <w:jc w:val="center"/>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i w:val="1"/>
          <w:sz w:val="28"/>
          <w:szCs w:val="28"/>
          <w:rtl w:val="0"/>
        </w:rPr>
        <w:t xml:space="preserve">Харківський національний медичний університет</w:t>
      </w:r>
    </w:p>
    <w:p w:rsidR="00000000" w:rsidDel="00000000" w:rsidP="00000000" w:rsidRDefault="00000000" w:rsidRPr="00000000" w14:paraId="00000004">
      <w:pPr>
        <w:spacing w:line="240" w:lineRule="auto"/>
        <w:ind w:left="0" w:right="7.204724409448886" w:firstLine="360"/>
        <w:jc w:val="center"/>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i w:val="1"/>
          <w:sz w:val="28"/>
          <w:szCs w:val="28"/>
          <w:rtl w:val="0"/>
        </w:rPr>
        <w:t xml:space="preserve">М. Харків, Україна</w:t>
      </w:r>
    </w:p>
    <w:p w:rsidR="00000000" w:rsidDel="00000000" w:rsidP="00000000" w:rsidRDefault="00000000" w:rsidRPr="00000000" w14:paraId="00000005">
      <w:pPr>
        <w:spacing w:line="240" w:lineRule="auto"/>
        <w:ind w:left="0" w:right="7.204724409448886" w:firstLine="360"/>
        <w:jc w:val="center"/>
        <w:rPr>
          <w:rFonts w:ascii="Times New Roman" w:cs="Times New Roman" w:eastAsia="Times New Roman" w:hAnsi="Times New Roman"/>
          <w:sz w:val="28"/>
          <w:szCs w:val="28"/>
        </w:rPr>
      </w:pPr>
      <w:hyperlink r:id="rId6">
        <w:r w:rsidDel="00000000" w:rsidR="00000000" w:rsidRPr="00000000">
          <w:rPr>
            <w:rFonts w:ascii="Times New Roman" w:cs="Times New Roman" w:eastAsia="Times New Roman" w:hAnsi="Times New Roman"/>
            <w:color w:val="1155cc"/>
            <w:sz w:val="28"/>
            <w:szCs w:val="28"/>
            <w:u w:val="single"/>
            <w:rtl w:val="0"/>
          </w:rPr>
          <w:t xml:space="preserve">distukalkina@gmail.com</w:t>
        </w:r>
      </w:hyperlink>
      <w:r w:rsidDel="00000000" w:rsidR="00000000" w:rsidRPr="00000000">
        <w:rPr>
          <w:rtl w:val="0"/>
        </w:rPr>
      </w:r>
    </w:p>
    <w:p w:rsidR="00000000" w:rsidDel="00000000" w:rsidP="00000000" w:rsidRDefault="00000000" w:rsidRPr="00000000" w14:paraId="00000006">
      <w:pPr>
        <w:spacing w:line="240" w:lineRule="auto"/>
        <w:ind w:left="0" w:right="7.204724409448886" w:firstLine="360"/>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7">
      <w:pPr>
        <w:spacing w:line="240" w:lineRule="auto"/>
        <w:ind w:left="0" w:right="7.204724409448886" w:firstLine="360"/>
        <w:jc w:val="both"/>
        <w:rPr>
          <w:rFonts w:ascii="Times New Roman" w:cs="Times New Roman" w:eastAsia="Times New Roman" w:hAnsi="Times New Roman"/>
          <w:color w:val="1c1d1e"/>
          <w:sz w:val="28"/>
          <w:szCs w:val="28"/>
          <w:highlight w:val="white"/>
        </w:rPr>
      </w:pPr>
      <w:r w:rsidDel="00000000" w:rsidR="00000000" w:rsidRPr="00000000">
        <w:rPr>
          <w:rFonts w:ascii="Times New Roman" w:cs="Times New Roman" w:eastAsia="Times New Roman" w:hAnsi="Times New Roman"/>
          <w:color w:val="1c1d1e"/>
          <w:sz w:val="28"/>
          <w:szCs w:val="28"/>
          <w:highlight w:val="white"/>
          <w:rtl w:val="0"/>
        </w:rPr>
        <w:t xml:space="preserve">Ендометріоз є хронічним запальним захворюванням у жінок репродуктивного віку і може спричинити як біль, так і безпліддя. Розрахункова загальна поширеність ендометріозу в популяційних дослідженнях коливається від 0,8% до 6%, що є заниженними значеннями через високу вартість лапароскопічної діагностики; однак у субфертильних жінок поширеність, здається, значно вища, коливається від 20% до 50%, але зі значними коливаннями у віці пацієнтів. У великому когортному дослідженні жінок репродуктивного віку ризик безпліддя збільшився вдвічі у жінок &lt;35 років з ендометріозом порівняно з жінками без захворювання. Крім того, ендометріоз є частою причиною безпліддя як сам по собі, так і разом з іншими факторами, що зменшують фертильність. Тим не менше, патофізіологічні зміни в оточенні очеревини (як один з механізмів) внаслідок ретроградного менструального току тісніше пов'язані з безпліддям, ніж ендометріома та глибоко інфільтруючий ендометріоз, тому вони становлять більший інтерес для досліджень.</w:t>
      </w:r>
    </w:p>
    <w:p w:rsidR="00000000" w:rsidDel="00000000" w:rsidP="00000000" w:rsidRDefault="00000000" w:rsidRPr="00000000" w14:paraId="00000008">
      <w:pPr>
        <w:spacing w:line="240" w:lineRule="auto"/>
        <w:ind w:left="0" w:right="7.204724409448886" w:firstLine="360"/>
        <w:jc w:val="both"/>
        <w:rPr>
          <w:rFonts w:ascii="Times New Roman" w:cs="Times New Roman" w:eastAsia="Times New Roman" w:hAnsi="Times New Roman"/>
          <w:color w:val="1c1d1e"/>
          <w:sz w:val="28"/>
          <w:szCs w:val="28"/>
          <w:highlight w:val="white"/>
        </w:rPr>
      </w:pPr>
      <w:r w:rsidDel="00000000" w:rsidR="00000000" w:rsidRPr="00000000">
        <w:rPr>
          <w:rFonts w:ascii="Times New Roman" w:cs="Times New Roman" w:eastAsia="Times New Roman" w:hAnsi="Times New Roman"/>
          <w:color w:val="1c1d1e"/>
          <w:sz w:val="28"/>
          <w:szCs w:val="28"/>
          <w:highlight w:val="white"/>
          <w:rtl w:val="0"/>
        </w:rPr>
        <w:t xml:space="preserve"> У черевній порожнині менструальний рефлюкс визначає запальну реакцію, фізіологічна роль якої полягає в очищенні ектопічних клітин і тканин. Нейтрофіли, фагоцитарні лейкоцити та хемотаксичні лейкоцити залучаються з кровообігу, де фізіологічно спостерігається посилений приплив клітин, отриманих з кісткового мозку, перед початком менструації. Приблизно 70-80% - це макрофаги CD14 +, 20% - природні клітини-кілери (NK-клітини) CD56 +, а 10% - Т-клітини CD3 +. Вважається, що ця система перевантажена у жінок з ендометріозом. Коротші інтервали та триваліші менструальні періоди з сильною кровотечією, які часто спостерігаються у жінок з ендометріозом, можуть призвести до збільшення кількості</w:t>
      </w:r>
      <w:r w:rsidDel="00000000" w:rsidR="00000000" w:rsidRPr="00000000">
        <w:rPr>
          <w:rFonts w:ascii="Times New Roman" w:cs="Times New Roman" w:eastAsia="Times New Roman" w:hAnsi="Times New Roman"/>
          <w:color w:val="1c1d1e"/>
          <w:sz w:val="28"/>
          <w:szCs w:val="28"/>
          <w:highlight w:val="white"/>
          <w:rtl w:val="0"/>
        </w:rPr>
        <w:t xml:space="preserve"> ендометрі</w:t>
      </w:r>
      <w:r w:rsidDel="00000000" w:rsidR="00000000" w:rsidRPr="00000000">
        <w:rPr>
          <w:rFonts w:ascii="Times New Roman" w:cs="Times New Roman" w:eastAsia="Times New Roman" w:hAnsi="Times New Roman"/>
          <w:color w:val="1c1d1e"/>
          <w:sz w:val="28"/>
          <w:szCs w:val="28"/>
          <w:highlight w:val="white"/>
          <w:rtl w:val="0"/>
        </w:rPr>
        <w:t xml:space="preserve">альних клітин, зібраних у черевній порожнині, що переповнює клітинну систему очищення. Більші фрагменти тканини ендометрію можуть забезпечити захист від ферментативної та фагоцитарної активності клітинам, що знаходяться в черевній порожнині і продовжують виробляти ангіогенні фактори через тривалу гіпоксію. Більше того, надзвичайна здатність очищати очеревину через надмірний рефлюксний ендометрій може пояснити більшу поширеність деяких анатомічних дефектів, зареєстрованих у жінок з ендометріозом, таких як вади розвитку матки, які запобігають або порушують нормальну антеградну менструацію або визначають підвищений ризик інфертильності та дисфункціональні ретроградні скорочення.</w:t>
      </w:r>
    </w:p>
    <w:p w:rsidR="00000000" w:rsidDel="00000000" w:rsidP="00000000" w:rsidRDefault="00000000" w:rsidRPr="00000000" w14:paraId="00000009">
      <w:pPr>
        <w:spacing w:line="240" w:lineRule="auto"/>
        <w:ind w:left="0" w:right="7.204724409448886" w:firstLine="360"/>
        <w:jc w:val="both"/>
        <w:rPr>
          <w:rFonts w:ascii="Times New Roman" w:cs="Times New Roman" w:eastAsia="Times New Roman" w:hAnsi="Times New Roman"/>
          <w:color w:val="222222"/>
          <w:sz w:val="28"/>
          <w:szCs w:val="28"/>
          <w:highlight w:val="white"/>
        </w:rPr>
      </w:pPr>
      <w:r w:rsidDel="00000000" w:rsidR="00000000" w:rsidRPr="00000000">
        <w:rPr>
          <w:rFonts w:ascii="Times New Roman" w:cs="Times New Roman" w:eastAsia="Times New Roman" w:hAnsi="Times New Roman"/>
          <w:color w:val="222222"/>
          <w:sz w:val="28"/>
          <w:szCs w:val="28"/>
          <w:highlight w:val="white"/>
          <w:rtl w:val="0"/>
        </w:rPr>
        <w:t xml:space="preserve"> Нездатність видалити фрагменти</w:t>
      </w:r>
      <w:r w:rsidDel="00000000" w:rsidR="00000000" w:rsidRPr="00000000">
        <w:rPr>
          <w:rFonts w:ascii="Times New Roman" w:cs="Times New Roman" w:eastAsia="Times New Roman" w:hAnsi="Times New Roman"/>
          <w:color w:val="222222"/>
          <w:sz w:val="28"/>
          <w:szCs w:val="28"/>
          <w:highlight w:val="white"/>
          <w:rtl w:val="0"/>
        </w:rPr>
        <w:t xml:space="preserve"> </w:t>
      </w:r>
      <w:r w:rsidDel="00000000" w:rsidR="00000000" w:rsidRPr="00000000">
        <w:rPr>
          <w:rFonts w:ascii="Times New Roman" w:cs="Times New Roman" w:eastAsia="Times New Roman" w:hAnsi="Times New Roman"/>
          <w:color w:val="222222"/>
          <w:sz w:val="28"/>
          <w:szCs w:val="28"/>
          <w:highlight w:val="white"/>
          <w:rtl w:val="0"/>
        </w:rPr>
        <w:t xml:space="preserve">менструального рефлюксу з черевної порожнини викликає надмірне місцеве запалення з подальшою стійкою активацією макрофагів, які можуть виділяти змінений патерн цитокінів та хемокінів. Факти свідчать, що кількість та рівень активності перитонеальних макрофагів вищі у жінок з ендометріозом, але їх цитотоксична сила знижена. Порівняно з фізіологією, макрофаги в очеревині уражених жінок не руйнуються після завершення своїх функцій через надмірну експресію антиапоптотичного білка Bcl-2, який захищає їх від апоптозу. Повідомлялося про дисбаланс перитонеальних макрофагів серед макрофагів M1 та M2 як в евтопічному, так і в ектопічному ендометрії з підвищеною регуляцією типу M2. Порівняно з макрофагами М1, які продукують запальні цитокіни та усувають мікроорганізми та дефектні клітини, макрофаги М2 модулюють адаптивну імунну відповідь, збивають клітинні пошкодження, викликають відновлення тканин та індукують ангіогенез. На цій основі макрофаги М2 повинні відігравати ключову роль у розвитку ендометріозу. Крім того, менша кількість прозапальних цитокінів, що модулюють активацію макрофагів (сімейство IL-6, IL-13 та IL-10), вироблялися та виділялися в еутопічному ендометрії жінок з ендометріозом порівняно з ендометрієм жінок контрольної групи, зменшення їх цитотоксичної здатності в ендометрії. Дослідження повідомляють, що прозапальні цитокіни профілю Th1 переважають на ранніх стадіях, тоді як вони змінюються на профіль Th2 на пізніх стадіях, надаючи імунодепресивний ефект та активізуючи механізми відновлення пошкоджень тканин. Це узгоджується з даними, що повідомляють про знижену активність цитотоксичних Т-клітин, відносне зменшення кількості клітин Th1 та більш високе співвідношення CD4/CD8 у жінок, хворих на ендометріоз, порівняно зі здоровою групою. Більше того, у хворих жінок спостерігалося як збільшення кількості, так і активація В-клітин, що пов'язано з вищим продукуванням антитіл та більшою кількістю регуляторних Т-клітин. Передбачається, що ця змінена запальна реакція може сприяти виживанню та імплантації ектопічного ендометрію за допомогою ремоделювання позаклітинного матриксу та ангіогенезу, а також може спричинити метаплазію очеревини, особливо надмірну експресію IL-1, IL-8, TNF-α. Зокрема, підвищена концентрація інтерлейкіну-1β, IL-8, IL-10 та фактора некрозу пухлини-α у фолікулах, прилеглих до ендометріоми, пов'язана зі зниженою реакцією яєчників. Рівень IL-6 у перитонеальній рідині у жінок з ендометріозом підвищений, і цей цитокін може інгібувати рухливість сперматозоїдів, а медіатори запалення перитонеальної рідини можуть сприяти пошкодженню ДНК сперми. Крім того, окислювальний стрес, простагландини та цитокіни можуть перешкоджати взаємодії ооцитів і сперми, погіршувати розвиток ембріонів та перешкоджати імплантації.</w:t>
      </w:r>
    </w:p>
    <w:p w:rsidR="00000000" w:rsidDel="00000000" w:rsidP="00000000" w:rsidRDefault="00000000" w:rsidRPr="00000000" w14:paraId="0000000A">
      <w:pPr>
        <w:spacing w:line="240" w:lineRule="auto"/>
        <w:ind w:left="0" w:right="7.204724409448886" w:firstLine="360"/>
        <w:jc w:val="both"/>
        <w:rPr>
          <w:rFonts w:ascii="Times New Roman" w:cs="Times New Roman" w:eastAsia="Times New Roman" w:hAnsi="Times New Roman"/>
          <w:color w:val="222222"/>
          <w:sz w:val="28"/>
          <w:szCs w:val="28"/>
          <w:highlight w:val="white"/>
        </w:rPr>
      </w:pPr>
      <w:r w:rsidDel="00000000" w:rsidR="00000000" w:rsidRPr="00000000">
        <w:rPr>
          <w:rFonts w:ascii="Times New Roman" w:cs="Times New Roman" w:eastAsia="Times New Roman" w:hAnsi="Times New Roman"/>
          <w:color w:val="222222"/>
          <w:sz w:val="28"/>
          <w:szCs w:val="28"/>
          <w:highlight w:val="white"/>
          <w:rtl w:val="0"/>
        </w:rPr>
        <w:t xml:space="preserve">   Цікаво, що досі незрозуміло, чи є змінене перитонеальне мікросередовище саме причиною або наслідком ендометріозу. Саме тому це питання потребує більшої уваги до себе, так як краще розуміння патофізіологічних процесів може призвести до більш ефективної діагностики та лікування, що в свою чергу, впливатиме на зниження відсотку інфертильності через ендометріоз.</w:t>
      </w:r>
    </w:p>
    <w:p w:rsidR="00000000" w:rsidDel="00000000" w:rsidP="00000000" w:rsidRDefault="00000000" w:rsidRPr="00000000" w14:paraId="0000000B">
      <w:pPr>
        <w:ind w:left="0" w:right="7.204724409448886" w:firstLine="0"/>
        <w:rPr/>
      </w:pPr>
      <w:r w:rsidDel="00000000" w:rsidR="00000000" w:rsidRPr="00000000">
        <w:rPr>
          <w:rtl w:val="0"/>
        </w:rPr>
      </w:r>
    </w:p>
    <w:sectPr>
      <w:pgSz w:h="16834" w:w="11909" w:orient="portrait"/>
      <w:pgMar w:bottom="1440" w:top="1440" w:left="1133.8582677165355" w:right="1132.2047244094488"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 w:name="Times New Roman"/>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sz w:val="22"/>
        <w:szCs w:val="22"/>
        <w:lang w:val="ru"/>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spacing w:after="120" w:before="400" w:lineRule="auto"/>
    </w:pPr>
    <w:rPr>
      <w:sz w:val="40"/>
      <w:szCs w:val="40"/>
    </w:rPr>
  </w:style>
  <w:style w:type="paragraph" w:styleId="Heading2">
    <w:name w:val="heading 2"/>
    <w:basedOn w:val="Normal"/>
    <w:next w:val="Normal"/>
    <w:pPr>
      <w:keepNext w:val="1"/>
      <w:keepLines w:val="1"/>
      <w:spacing w:after="120" w:before="360" w:lineRule="auto"/>
    </w:pPr>
    <w:rPr>
      <w:b w:val="0"/>
      <w:sz w:val="32"/>
      <w:szCs w:val="32"/>
    </w:rPr>
  </w:style>
  <w:style w:type="paragraph" w:styleId="Heading3">
    <w:name w:val="heading 3"/>
    <w:basedOn w:val="Normal"/>
    <w:next w:val="Normal"/>
    <w:pPr>
      <w:keepNext w:val="1"/>
      <w:keepLines w:val="1"/>
      <w:spacing w:after="80" w:before="320" w:lineRule="auto"/>
    </w:pPr>
    <w:rPr>
      <w:b w:val="0"/>
      <w:color w:val="434343"/>
      <w:sz w:val="28"/>
      <w:szCs w:val="28"/>
    </w:rPr>
  </w:style>
  <w:style w:type="paragraph" w:styleId="Heading4">
    <w:name w:val="heading 4"/>
    <w:basedOn w:val="Normal"/>
    <w:next w:val="Normal"/>
    <w:pPr>
      <w:keepNext w:val="1"/>
      <w:keepLines w:val="1"/>
      <w:spacing w:after="80" w:before="280" w:lineRule="auto"/>
    </w:pPr>
    <w:rPr>
      <w:color w:val="666666"/>
      <w:sz w:val="24"/>
      <w:szCs w:val="24"/>
    </w:rPr>
  </w:style>
  <w:style w:type="paragraph" w:styleId="Heading5">
    <w:name w:val="heading 5"/>
    <w:basedOn w:val="Normal"/>
    <w:next w:val="Normal"/>
    <w:pPr>
      <w:keepNext w:val="1"/>
      <w:keepLines w:val="1"/>
      <w:spacing w:after="80" w:before="240" w:lineRule="auto"/>
    </w:pPr>
    <w:rPr>
      <w:color w:val="666666"/>
      <w:sz w:val="22"/>
      <w:szCs w:val="22"/>
    </w:rPr>
  </w:style>
  <w:style w:type="paragraph" w:styleId="Heading6">
    <w:name w:val="heading 6"/>
    <w:basedOn w:val="Normal"/>
    <w:next w:val="Normal"/>
    <w:pPr>
      <w:keepNext w:val="1"/>
      <w:keepLines w:val="1"/>
      <w:spacing w:after="80" w:before="240" w:lineRule="auto"/>
    </w:pPr>
    <w:rPr>
      <w:i w:val="1"/>
      <w:color w:val="666666"/>
      <w:sz w:val="22"/>
      <w:szCs w:val="22"/>
    </w:rPr>
  </w:style>
  <w:style w:type="paragraph" w:styleId="Title">
    <w:name w:val="Title"/>
    <w:basedOn w:val="Normal"/>
    <w:next w:val="Normal"/>
    <w:pPr>
      <w:keepNext w:val="1"/>
      <w:keepLines w:val="1"/>
      <w:spacing w:after="60" w:before="0" w:lineRule="auto"/>
    </w:pPr>
    <w:rPr>
      <w:sz w:val="52"/>
      <w:szCs w:val="52"/>
    </w:rPr>
  </w:style>
  <w:style w:type="paragraph" w:styleId="Subtitle">
    <w:name w:val="Subtitle"/>
    <w:basedOn w:val="Normal"/>
    <w:next w:val="Normal"/>
    <w:pPr>
      <w:keepNext w:val="1"/>
      <w:keepLines w:val="1"/>
      <w:spacing w:after="320" w:before="0" w:lineRule="auto"/>
    </w:pPr>
    <w:rPr>
      <w:rFonts w:ascii="Arial" w:cs="Arial" w:eastAsia="Arial" w:hAnsi="Arial"/>
      <w:i w:val="0"/>
      <w:color w:val="666666"/>
      <w:sz w:val="30"/>
      <w:szCs w:val="30"/>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hyperlink" Target="mailto:distukalkina@gmail.co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