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3117" w:rsidRDefault="00882452" w:rsidP="0088245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882452">
        <w:rPr>
          <w:rFonts w:ascii="Times New Roman" w:hAnsi="Times New Roman"/>
          <w:b/>
          <w:color w:val="000000"/>
          <w:sz w:val="24"/>
          <w:szCs w:val="24"/>
        </w:rPr>
        <w:t xml:space="preserve">ФУНКЦИОНАЛЬНЫЕ НАРУШЕНИЯ БИЛИАРНОГО ТРАКТА У ДЕТЕЙ: ОСОБЕННОСТИ КЛИНИЧЕСКОГО </w:t>
      </w:r>
      <w:proofErr w:type="gramStart"/>
      <w:r w:rsidRPr="00882452">
        <w:rPr>
          <w:rFonts w:ascii="Times New Roman" w:hAnsi="Times New Roman"/>
          <w:b/>
          <w:color w:val="000000"/>
          <w:sz w:val="24"/>
          <w:szCs w:val="24"/>
        </w:rPr>
        <w:t>ТЕЧЕНИЯ  И</w:t>
      </w:r>
      <w:proofErr w:type="gramEnd"/>
      <w:r w:rsidRPr="00882452">
        <w:rPr>
          <w:rFonts w:ascii="Times New Roman" w:hAnsi="Times New Roman"/>
          <w:b/>
          <w:color w:val="000000"/>
          <w:sz w:val="24"/>
          <w:szCs w:val="24"/>
        </w:rPr>
        <w:t xml:space="preserve"> ТЕРАПИИ</w:t>
      </w:r>
    </w:p>
    <w:p w:rsidR="00882452" w:rsidRDefault="00882452" w:rsidP="00882452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882452">
        <w:rPr>
          <w:rFonts w:ascii="Times New Roman" w:hAnsi="Times New Roman"/>
          <w:i/>
          <w:sz w:val="24"/>
          <w:szCs w:val="24"/>
        </w:rPr>
        <w:t xml:space="preserve">Одинец Ю.В., </w:t>
      </w:r>
      <w:proofErr w:type="spellStart"/>
      <w:r w:rsidRPr="00882452">
        <w:rPr>
          <w:rFonts w:ascii="Times New Roman" w:hAnsi="Times New Roman"/>
          <w:i/>
          <w:sz w:val="24"/>
          <w:szCs w:val="24"/>
        </w:rPr>
        <w:t>Цыбульник</w:t>
      </w:r>
      <w:proofErr w:type="spellEnd"/>
      <w:r w:rsidRPr="00882452">
        <w:rPr>
          <w:rFonts w:ascii="Times New Roman" w:hAnsi="Times New Roman"/>
          <w:i/>
          <w:sz w:val="24"/>
          <w:szCs w:val="24"/>
        </w:rPr>
        <w:t xml:space="preserve"> М. С.</w:t>
      </w:r>
      <w:proofErr w:type="gramStart"/>
      <w:r w:rsidRPr="00882452">
        <w:rPr>
          <w:rFonts w:ascii="Times New Roman" w:hAnsi="Times New Roman"/>
          <w:i/>
          <w:sz w:val="24"/>
          <w:szCs w:val="24"/>
        </w:rPr>
        <w:t>,  Головачева</w:t>
      </w:r>
      <w:proofErr w:type="gramEnd"/>
      <w:r w:rsidRPr="00882452">
        <w:rPr>
          <w:rFonts w:ascii="Times New Roman" w:hAnsi="Times New Roman"/>
          <w:i/>
          <w:sz w:val="24"/>
          <w:szCs w:val="24"/>
        </w:rPr>
        <w:t xml:space="preserve"> В.А.</w:t>
      </w:r>
      <w:bookmarkStart w:id="0" w:name="_GoBack"/>
      <w:bookmarkEnd w:id="0"/>
    </w:p>
    <w:p w:rsidR="00AE3117" w:rsidRPr="00882452" w:rsidRDefault="00AE3117" w:rsidP="00882452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882452">
        <w:rPr>
          <w:rFonts w:ascii="Times New Roman" w:hAnsi="Times New Roman"/>
          <w:sz w:val="24"/>
          <w:szCs w:val="24"/>
        </w:rPr>
        <w:t>Харьковский национальный медицинский университет</w:t>
      </w:r>
    </w:p>
    <w:p w:rsidR="00AE3117" w:rsidRPr="00882452" w:rsidRDefault="00AE3117" w:rsidP="00882452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882452">
        <w:rPr>
          <w:rFonts w:ascii="Times New Roman" w:hAnsi="Times New Roman"/>
          <w:sz w:val="24"/>
          <w:szCs w:val="24"/>
        </w:rPr>
        <w:t>Кафедра педиатрии №2</w:t>
      </w:r>
    </w:p>
    <w:p w:rsidR="00882452" w:rsidRPr="00882452" w:rsidRDefault="00882452" w:rsidP="00882452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AE3117" w:rsidRPr="00882452" w:rsidRDefault="00AE3117" w:rsidP="00882452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b/>
          <w:color w:val="000000"/>
          <w:sz w:val="24"/>
          <w:szCs w:val="24"/>
        </w:rPr>
        <w:t>Актуальность темы: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 Заболевания органов пищеварительной системы у детей занимают одно из ведущих мест в структуре соматической патологии детского возраста. </w:t>
      </w:r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Проводимые на Украине исследования свидетельствуют о преобладании функциональных расстройств желудочно-кишечного тракта у детей. </w:t>
      </w:r>
      <w:r w:rsidRPr="00882452">
        <w:rPr>
          <w:rStyle w:val="hl"/>
          <w:rFonts w:ascii="Times New Roman" w:hAnsi="Times New Roman"/>
          <w:color w:val="000000"/>
          <w:sz w:val="24"/>
          <w:szCs w:val="24"/>
        </w:rPr>
        <w:t>К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линические симптомы, входящие в перечень клинических признаков функциональных расстройств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тракта, имеют низкую диагностическую чувствительность, и не являются патогномоничными. Несвоевременная диагностика и неадекватная коррекция нарушений могут привести к формированию и прогрессированию целого ряда заболеваний органического характера. </w:t>
      </w:r>
    </w:p>
    <w:p w:rsidR="00AE3117" w:rsidRPr="00882452" w:rsidRDefault="00AE3117" w:rsidP="00882452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b/>
          <w:color w:val="000000"/>
          <w:sz w:val="24"/>
          <w:szCs w:val="24"/>
        </w:rPr>
        <w:t xml:space="preserve">Цель исследования: 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Выявить особенности клиники и течения функциональных расстройств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 у детей различных возрастных категорий.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82452">
        <w:rPr>
          <w:rFonts w:ascii="Times New Roman" w:hAnsi="Times New Roman"/>
          <w:b/>
          <w:color w:val="000000"/>
          <w:sz w:val="24"/>
          <w:szCs w:val="24"/>
        </w:rPr>
        <w:t xml:space="preserve">Методы и материалы: 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Под наблюдением находились 52 ребенка с функциональными нарушениями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 в возрасте от 6 до 17 лет, которые обследовались и получали терапию в условиях педиатрического отделения КУОЗ «Харьковская городская клиническая детская больница №16». Диагноз верифицирован и формулировался согласно приказу МОЗ Украины №59 от 29.01.2013 г. «Про </w:t>
      </w:r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>затвердження уніфікованих клінічних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Start"/>
      <w:r w:rsidRPr="00882452">
        <w:rPr>
          <w:rFonts w:ascii="Times New Roman" w:hAnsi="Times New Roman"/>
          <w:color w:val="000000"/>
          <w:sz w:val="24"/>
          <w:szCs w:val="24"/>
        </w:rPr>
        <w:t>протокол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>ів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  медичної</w:t>
      </w:r>
      <w:proofErr w:type="gramEnd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 допомоги дітям із захворюваннями органів травлення</w:t>
      </w:r>
      <w:r w:rsidRPr="00882452">
        <w:rPr>
          <w:rFonts w:ascii="Times New Roman" w:hAnsi="Times New Roman"/>
          <w:color w:val="000000"/>
          <w:sz w:val="24"/>
          <w:szCs w:val="24"/>
        </w:rPr>
        <w:t>»</w:t>
      </w:r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>.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Оценивались следующие показатели: возраст и пол пациентов, данные анамнеза жизни, клиническая картина заболевания, результаты лабораторных методов исследования (клинический анализ крови и мочи, функциональные пробы печени,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протеинограмма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острофазовые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показатели крови, мочевина крови,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креатинин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крови, мочевая кислота крови, амилаза крови и мочи, анализ крови на маркеры вирусных гепатитов В,С; анализ крови на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лямблиоз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описторхоз; микроскопическое исследование желчи,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копрограмма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кал на скрытую кровь, кал на я/г, кал на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лямблиоз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>, соскоб на э/б); данные инструментальных методов исследования (УЗИ органов брюшной полости на аппарате ультразвуковой диагностики ULTIMA PA EXPERT (фирма «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Радмир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» г. Харьков) и фракционное дуоденальное зондирование с введением </w:t>
      </w:r>
      <w:r w:rsidRPr="00882452">
        <w:rPr>
          <w:rFonts w:ascii="Times New Roman" w:hAnsi="Times New Roman"/>
          <w:color w:val="000000"/>
          <w:sz w:val="24"/>
          <w:szCs w:val="24"/>
          <w:lang w:val="en-US"/>
        </w:rPr>
        <w:t>Sol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.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  <w:lang w:val="en-US"/>
        </w:rPr>
        <w:t>MgSO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  <w:vertAlign w:val="subscript"/>
        </w:rPr>
        <w:t>4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 33% 30 мл через зонд. 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b/>
          <w:sz w:val="24"/>
          <w:szCs w:val="24"/>
        </w:rPr>
        <w:t>Результаты и их обсуждение:</w:t>
      </w:r>
      <w:r w:rsidRPr="00882452">
        <w:rPr>
          <w:rFonts w:ascii="Times New Roman" w:hAnsi="Times New Roman"/>
          <w:sz w:val="24"/>
          <w:szCs w:val="24"/>
        </w:rPr>
        <w:t xml:space="preserve"> Группу исследования составили 52 пациента в возрасте от 6 до 17 лет. </w:t>
      </w:r>
      <w:r w:rsidRPr="00882452">
        <w:rPr>
          <w:rFonts w:ascii="Times New Roman" w:hAnsi="Times New Roman"/>
          <w:color w:val="000000"/>
          <w:sz w:val="24"/>
          <w:szCs w:val="24"/>
        </w:rPr>
        <w:t>В зависимости от возраста</w:t>
      </w:r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 все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 дети были разделены на 3 возрастные группы</w:t>
      </w:r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: 1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>группа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 от 6 до 9 лет, 2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>группа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 от 10 до 13 лет, 3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>группа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 от 14 до 17 лет. Н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аибольшая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заболеваемость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зарегестрирована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во 2-ой возрастной группе – 22 (42%) больных, затем в 3-ей группе – 18 (35%) больных, наименьшая заболеваемость наблюдается в 1-ой возрастной группе – 12 (23%) больных.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>При изучении процентного соотношения женского и мужского пола в структуре заболеваемости и по возрастным группам выявлено, что во всех возрастных группах чаще болеют девочки:</w:t>
      </w:r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В 1-ой возрастной группе 7 (58%) девочек и 5 (42%) мальчиков, во 2-ой возрастной группе 13 (54%) девочек и 10 (46%) мальчиков, в 3-ей возрастной группе показатели составляют 9 (56%) и 8 (44%) соответственно. 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При анализе анамнестических данных выявлено: 29% больных находились на грудном вскармливании; 31% больных находились на искусственном вскармливании и 41% больных находились на смешанном вскармливании. 33% обследуемых детей родились в сроке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гестации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до 37 недель, из них 18% родились в сроке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гестации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до 35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нед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24% имели массу при рождении менее </w:t>
      </w:r>
      <w:smartTag w:uri="urn:schemas-microsoft-com:office:smarttags" w:element="metricconverter">
        <w:smartTagPr>
          <w:attr w:name="ProductID" w:val="2500 г"/>
        </w:smartTagPr>
        <w:r w:rsidRPr="00882452">
          <w:rPr>
            <w:rFonts w:ascii="Times New Roman" w:hAnsi="Times New Roman"/>
            <w:color w:val="000000"/>
            <w:sz w:val="24"/>
            <w:szCs w:val="24"/>
          </w:rPr>
          <w:t>2500 г</w:t>
        </w:r>
      </w:smartTag>
      <w:r w:rsidRPr="00882452">
        <w:rPr>
          <w:rFonts w:ascii="Times New Roman" w:hAnsi="Times New Roman"/>
          <w:color w:val="000000"/>
          <w:sz w:val="24"/>
          <w:szCs w:val="24"/>
        </w:rPr>
        <w:t xml:space="preserve">; остальные 67% детей родились доношенными. У 26% больных в возрасте до 3 лет отмечалась аллергия на пищевые продукты, проявления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атопического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дерматита; из них у 42% отягощен семейный анамнез по аллергическим заболеваниям. 83% детей питаются нерегулярно, у 44% детей отсутствует полноценный завтрак, 52% детей регулярно употребляют газированные напитки, сладости, копчености; </w:t>
      </w:r>
      <w:r w:rsidRPr="00882452">
        <w:rPr>
          <w:rFonts w:ascii="Times New Roman" w:hAnsi="Times New Roman"/>
          <w:color w:val="000000"/>
          <w:sz w:val="24"/>
          <w:szCs w:val="24"/>
        </w:rPr>
        <w:lastRenderedPageBreak/>
        <w:t>в то же время у 69% детей присутствуют в еженедельном рационе рыба, нежирное мясо и овощи.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При анализе сопутствующей патологии выявлено, что у 23% детей имеет место хронический гастродуоденит, у 17% вторичная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кардиопатия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у 19%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дизметаболическая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нефропатия, у 35% хронический тонзиллит. 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Ведущими симптомами функциональных расстройств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 у обследованных детей являются: боли в животе (94% больных), которые сопровождаются болезненностью при пальпации (81% больных), слабоположительными пузырными симптомами (12% больных) и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гепатомегалией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(13% больных</w:t>
      </w:r>
      <w:proofErr w:type="gramStart"/>
      <w:r w:rsidRPr="00882452">
        <w:rPr>
          <w:rFonts w:ascii="Times New Roman" w:hAnsi="Times New Roman"/>
          <w:color w:val="000000"/>
          <w:sz w:val="24"/>
          <w:szCs w:val="24"/>
        </w:rPr>
        <w:t>);  снижение</w:t>
      </w:r>
      <w:proofErr w:type="gramEnd"/>
      <w:r w:rsidRPr="00882452">
        <w:rPr>
          <w:rFonts w:ascii="Times New Roman" w:hAnsi="Times New Roman"/>
          <w:color w:val="000000"/>
          <w:sz w:val="24"/>
          <w:szCs w:val="24"/>
        </w:rPr>
        <w:t xml:space="preserve"> аппетита (92% больных), тошнота (73% больных), а также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астеноневротический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синдром (65% больных). Сравнительно мало </w:t>
      </w:r>
      <w:proofErr w:type="gramStart"/>
      <w:r w:rsidRPr="00882452">
        <w:rPr>
          <w:rFonts w:ascii="Times New Roman" w:hAnsi="Times New Roman"/>
          <w:color w:val="000000"/>
          <w:sz w:val="24"/>
          <w:szCs w:val="24"/>
        </w:rPr>
        <w:t>детей  предъявляют</w:t>
      </w:r>
      <w:proofErr w:type="gramEnd"/>
      <w:r w:rsidRPr="00882452">
        <w:rPr>
          <w:rFonts w:ascii="Times New Roman" w:hAnsi="Times New Roman"/>
          <w:color w:val="000000"/>
          <w:sz w:val="24"/>
          <w:szCs w:val="24"/>
        </w:rPr>
        <w:t xml:space="preserve"> жалобы на рвоту (17% больных) и горечь во рту (13% больных). 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Во всех возрастных группах чаще преобладают жалобы на боли в животе и снижение аппетита; такие симптомы как тошнота и рвота чаще наблюдаются в 1-ой группе, у 83% и 48% больных соответственно.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Астеноневротический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синдром чаще проявляется в 3-ей группе - 83% больных, показатели 1-ой и 2-ой групп примерно одинаковы и составляют 58% и 55% больных соответственно. Болезненность при пальпации живота больше наблюдается во 2-ой (86% больных) и 3-ей группе (83% больных) и менее выражена в 1-ой группе (67% больных). Слабоположительные пузырные симптомы наблюдаются сравнительно редко и составляют 14% во 2-ой возрастной группе, 11% в 3-ей группе и 8% в 1-ой группе. Увеличение печени чаще всего наблюдается в 1-ой возрастной группе – у 42% больных.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Боли в животе отмечаются у 94% обследуемых детей, локализация болей 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эпигастральной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области – у 63% больных, в области правого подреберья – у 37% больных. Среди детей 1-ой возрастной группы преобладают боли в правой подреберной области – у 75% больных, дети 2-ой и 3-ей возрастных групп чаще жалуются на боли 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эпигастральной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области, 67% и 88% соответственно. У детей 1-ой возрастной группы преобладают жалобы на боли в животе тупого, ноющего характера (отмечаются у 100% больных), что может косвенно свидетельствовать о преобладании симпатической регуляции и гипотоническом варианте дискинезии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тракта. Дети 3-ей возрастной группы чаще предъявляют жалобы на острые, приступообразные боли в животе (отмечаются у 81% больных), что может говорить о преобладании парасимпатической регуляции и гипертоническом типе дискинезии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тракта. У детей 2-ой возрастной группы показатели примерно одинаковы и составляют 52% и 48% соответственно. Иррадиация болей отмечается у детей 1-ой и 2-ой возрастных групп, показатели одинаковы и составляют по 33%, в 3-ей возрастной группе иррадиация болей не отмечается. Боли в животе чаще сопровождаются тошнотой и/или рвотой у детей 1-ой и 2-ой возрастной групп, у 83% больных и у 81% больных соответственно, в 3-ей возрастной группе боли в животе сопровождаются тошнотой/рвотой у 56% больных (Табл. 1).</w:t>
      </w:r>
    </w:p>
    <w:p w:rsidR="00AE3117" w:rsidRPr="00882452" w:rsidRDefault="00AE3117" w:rsidP="00882452">
      <w:pPr>
        <w:spacing w:after="0" w:line="240" w:lineRule="auto"/>
        <w:contextualSpacing/>
        <w:rPr>
          <w:rFonts w:ascii="Times New Roman" w:hAnsi="Times New Roman"/>
          <w:b/>
          <w:color w:val="000000"/>
          <w:sz w:val="24"/>
          <w:szCs w:val="24"/>
        </w:rPr>
      </w:pPr>
      <w:r w:rsidRPr="00882452">
        <w:rPr>
          <w:rFonts w:ascii="Times New Roman" w:hAnsi="Times New Roman"/>
          <w:b/>
          <w:color w:val="000000"/>
          <w:sz w:val="24"/>
          <w:szCs w:val="24"/>
        </w:rPr>
        <w:t xml:space="preserve">Таблица 1: Характеристика болевого синдрома у детей с функциональными расстройствами </w:t>
      </w:r>
      <w:proofErr w:type="spellStart"/>
      <w:r w:rsidRPr="00882452">
        <w:rPr>
          <w:rFonts w:ascii="Times New Roman" w:hAnsi="Times New Roman"/>
          <w:b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b/>
          <w:color w:val="000000"/>
          <w:sz w:val="24"/>
          <w:szCs w:val="24"/>
        </w:rPr>
        <w:t xml:space="preserve"> тракта</w:t>
      </w:r>
    </w:p>
    <w:tbl>
      <w:tblPr>
        <w:tblW w:w="9796" w:type="dxa"/>
        <w:tblInd w:w="-34" w:type="dxa"/>
        <w:tblLayout w:type="fixed"/>
        <w:tblLook w:val="00A0" w:firstRow="1" w:lastRow="0" w:firstColumn="1" w:lastColumn="0" w:noHBand="0" w:noVBand="0"/>
      </w:tblPr>
      <w:tblGrid>
        <w:gridCol w:w="2425"/>
        <w:gridCol w:w="978"/>
        <w:gridCol w:w="865"/>
        <w:gridCol w:w="977"/>
        <w:gridCol w:w="866"/>
        <w:gridCol w:w="977"/>
        <w:gridCol w:w="865"/>
        <w:gridCol w:w="1134"/>
        <w:gridCol w:w="709"/>
      </w:tblGrid>
      <w:tr w:rsidR="00AE3117" w:rsidRPr="00882452" w:rsidTr="00882452">
        <w:trPr>
          <w:trHeight w:val="1200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ru-RU"/>
              </w:rPr>
              <w:t>Характер болей в животе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Общее кол-во детей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%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 группа (6-9 лет)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%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 группа (10-13 лет)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 группа (14-17 лет)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%</w:t>
            </w:r>
          </w:p>
        </w:tc>
      </w:tr>
      <w:tr w:rsidR="00AE3117" w:rsidRPr="00882452" w:rsidTr="00882452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Боли в животе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94%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100%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95%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89%</w:t>
            </w:r>
          </w:p>
        </w:tc>
      </w:tr>
      <w:tr w:rsidR="00AE3117" w:rsidRPr="00882452" w:rsidTr="00882452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В правой подреберной области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37%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75%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33%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12%</w:t>
            </w:r>
          </w:p>
        </w:tc>
      </w:tr>
      <w:tr w:rsidR="00AE3117" w:rsidRPr="00882452" w:rsidTr="00882452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В </w:t>
            </w:r>
            <w:proofErr w:type="spellStart"/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эпигастральной</w:t>
            </w:r>
            <w:proofErr w:type="spellEnd"/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области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63%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25%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67%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88%</w:t>
            </w:r>
          </w:p>
        </w:tc>
      </w:tr>
      <w:tr w:rsidR="00AE3117" w:rsidRPr="00882452" w:rsidTr="00882452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Острые, </w:t>
            </w: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приступообразные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23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47%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48%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81%</w:t>
            </w:r>
          </w:p>
        </w:tc>
      </w:tr>
      <w:tr w:rsidR="00AE3117" w:rsidRPr="00882452" w:rsidTr="00882452">
        <w:trPr>
          <w:trHeight w:val="3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lastRenderedPageBreak/>
              <w:t>Тупые, ноющие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53%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100%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52%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19%</w:t>
            </w:r>
          </w:p>
        </w:tc>
      </w:tr>
      <w:tr w:rsidR="00AE3117" w:rsidRPr="00882452" w:rsidTr="00882452">
        <w:trPr>
          <w:trHeight w:val="9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Иррадиация в спину и/или правую подлопаточную область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22%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33%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33%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0%</w:t>
            </w:r>
          </w:p>
        </w:tc>
      </w:tr>
      <w:tr w:rsidR="00AE3117" w:rsidRPr="00882452" w:rsidTr="00882452">
        <w:trPr>
          <w:trHeight w:val="60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Сопровождаются тошнотой и/или рвотой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73%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83%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117" w:rsidRPr="00882452" w:rsidRDefault="00AE3117" w:rsidP="00882452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882452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56%</w:t>
            </w:r>
          </w:p>
        </w:tc>
      </w:tr>
    </w:tbl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В клиническом анализе крови и мочи,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протеинограмме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у всех обследуемых не выявляется патологических изменений. Мочевина,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креатинин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крови,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острофазовые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показатели крови в пределах нормы во всех возрастных группах. Повышенный уровень мочевой кислоты крови выявляется у 14% больных. У 15% больных отмечается незначительное повышение АЛТ; повышение щелочной фосфатазы и тимоловой пробы выявляется у 21% и 4% больных соответственно. Повышенный уровень общего билирубина отмечается у 10% больных, из них у 100% билирубин повышен за счет прямой фракции. Все отклонения от нормы данных показателей незначительны и не позволяют судить о наличии и выраженности патологического процесса. Исследование уровня α-амилазы крови и мочи проводилось по показаниям 23 (44%) больным и не выявило патологических изменений. Обследование на вирусные гепатиты В и С проводилось по показаниям 32 (62%) больным, положительных результатов не обнаружено.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Сероологические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исследования крови на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лямблиоз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описторхоз проводились 15 (29%) больным, из них у 4 (20%) выявляются положительные титры антител к лямблиям, не обнаружено положительных результатов при обследовании на описторхоз. 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копрограме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у 21% обследуемых детей отмечаются явления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дисбиоза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у 23% детей повышено содержание нейтрального жира, что косвенно может свидетельствовать о снижении ферментативной функции поджелудочной железы. Анализ кала на скрытую кровь, яйца глист, а также соскоб на энтеробиоз отрицательный у всех обследуемых детей. У 73% больных при проведении ультразвукового исследования определяется аномалия развития желчного пузыря, в 92% случаев имеет место перегиб желчного пузыря. Расширение общего желчного протока выявляется у 25% больных, практически в равной степени среди всех возрастных групп. Микролиты в желчном пузыре выявляются у 6% больных, 0% в первой возрастной группе, 5% и 11% во 2-ой и 3-ей группах соответственно. Фракционное дуоденальное зондирование с микроскопией желчи проводилось 27 (52%) больным.  Из них при микроскопии желчи у 11% наблюдается отклонение от нормы в цвете порций А, В, С; у 7% обследуемых наблюдается снижение прозрачности в порциях А, В, С; у 100% обследуемых уровень лейкоцитов в желчи не превышает </w:t>
      </w:r>
      <w:proofErr w:type="gramStart"/>
      <w:r w:rsidRPr="00882452">
        <w:rPr>
          <w:rFonts w:ascii="Times New Roman" w:hAnsi="Times New Roman"/>
          <w:color w:val="000000"/>
          <w:sz w:val="24"/>
          <w:szCs w:val="24"/>
        </w:rPr>
        <w:t>норму,  ни</w:t>
      </w:r>
      <w:proofErr w:type="gramEnd"/>
      <w:r w:rsidRPr="00882452">
        <w:rPr>
          <w:rFonts w:ascii="Times New Roman" w:hAnsi="Times New Roman"/>
          <w:color w:val="000000"/>
          <w:sz w:val="24"/>
          <w:szCs w:val="24"/>
        </w:rPr>
        <w:t xml:space="preserve"> у одного больного не выявлено лямблий/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описторхидов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в порциях желчи. У 30% обследуемых отмечается пониженное количество желчи в порции В, а также укорочение времени </w:t>
      </w:r>
      <w:r w:rsidRPr="00882452">
        <w:rPr>
          <w:rFonts w:ascii="Times New Roman" w:hAnsi="Times New Roman"/>
          <w:color w:val="000000"/>
          <w:sz w:val="24"/>
          <w:szCs w:val="24"/>
          <w:lang w:val="en-US"/>
        </w:rPr>
        <w:t>IV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 фазы, что может свидетельствовать о спазме сфинктера желчного пузыря.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Всем больным был назначен режим питания с дробными приемами пищи 5-6 раз в день; диета с </w:t>
      </w:r>
      <w:r w:rsidRPr="008824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исключением газированных напитков, копченых, жирных и жареных блюд и приправ, </w:t>
      </w:r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>продуктов, усиливающих процессы брожения и гниения в кишечнике;</w:t>
      </w:r>
      <w:r w:rsidRPr="008824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обогащением пищевыми волокнами, продуктами, содержащими фосфолипиды, овощами и фруктами. Коррекция диеты проводилась в зависимости от типа дисфункции у каждого конкретного больного.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В терапии больные с гипокинетически-гипотоническим типом дисфункции получали по показаниям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холеретики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(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холосас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урсохол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галстена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)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прокинетики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(метоклопрамид,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домперидон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>), ферменты (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креон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),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гепатопротекторы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(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укрлив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карсил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>), минеральные воды, курс физиотерапии.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lastRenderedPageBreak/>
        <w:t xml:space="preserve">Больные с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гиперкинетически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-гипертоническим типом дисфункции получали по показаниям седативные препараты (глицин, валериана), спазмолитики (но-шпа, папаверин,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мебеверин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),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холеретики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(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холосас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урсохол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галстена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),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гепатопротекторы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(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укрлив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галстена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>), ферменты (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креон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), минеральные воды, курс физиотерапии.  </w:t>
      </w:r>
    </w:p>
    <w:p w:rsidR="00AE3117" w:rsidRPr="00882452" w:rsidRDefault="00AE3117" w:rsidP="00882452">
      <w:pPr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>В зависимости от тяжести состояния, выраженности клинических проявлений, типа дисфункции и наличия сопутствующей патологии 37% больным была назначена диета в сочетании с физиотерапией (</w:t>
      </w:r>
      <w:proofErr w:type="gramStart"/>
      <w:r w:rsidRPr="00882452">
        <w:rPr>
          <w:rFonts w:ascii="Times New Roman" w:hAnsi="Times New Roman"/>
          <w:color w:val="000000"/>
          <w:sz w:val="24"/>
          <w:szCs w:val="24"/>
        </w:rPr>
        <w:t>электрофорез  на</w:t>
      </w:r>
      <w:proofErr w:type="gramEnd"/>
      <w:r w:rsidRPr="00882452">
        <w:rPr>
          <w:rFonts w:ascii="Times New Roman" w:hAnsi="Times New Roman"/>
          <w:color w:val="000000"/>
          <w:sz w:val="24"/>
          <w:szCs w:val="24"/>
        </w:rPr>
        <w:t xml:space="preserve"> область желчного пузыря), 39% больных получали до 2-х препаратов в сопроводительной терапии, 25% больных получали более 2 препаратов в терапии. 98% больных были выписаны с улучшением, что свидетельствует о хорошем ответе на проводимую терапию.</w:t>
      </w:r>
    </w:p>
    <w:p w:rsidR="00AE3117" w:rsidRPr="00882452" w:rsidRDefault="00AE3117" w:rsidP="00882452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Fonts w:ascii="Times New Roman" w:hAnsi="Times New Roman"/>
          <w:b/>
          <w:color w:val="000000"/>
          <w:sz w:val="24"/>
          <w:szCs w:val="24"/>
        </w:rPr>
        <w:t xml:space="preserve">Выводы: 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Независимо от возраста, функциональными нарушениями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 чаще страдают лица женского пола. </w:t>
      </w:r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Не выявлено четкой корреляции между характером вскармливания на первом году жизни, степенью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>доношенности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, наличием аллергических проявлений в анамнезе и вероятностью развития функциональных расстройств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тракта, тем не менее, 33% наблюдаемых детей родились недоношенными, 72% детей находились на искусственном и смешанном вскармливании в течение первого полугодия жизни, у 26% имели место аллергические проявления в анамнезе. 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Ведущими симптомами функциональных нарушений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 являются: боли/дискомфорт в животе, снижение аппетита, тошнота,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астеноневротический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синдром. Преобладание симпатической или парасимпатической нервной регуляции влияет на тонус сфинктеров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тракта, а, следовательно, на развитие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гипо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- или гипертонического варианта дискинезии, в связи с чем возможно внедрение в практику оценки исходного вегетативного статуса у таких больных. Характер питания существенно влияет на развитие функциональных нарушений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тракта, а также гастроэнтерологических заболеваний в целом, в связи с чем необходимо популяризировать рациональное здоровое питание, в первую очередь, среди детского населения. Детальный анализ жалоб, характер болевого синдрома при функциональных нарушениях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 позволяют провести дифференциальную диагностику и поставить правильный предварительный диагноз. Диагностика функциональных расстройств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тракта, в первую очередь, предусматривает исключение органических заболеваний.  </w:t>
      </w:r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Результаты лабораторных методов исследования при функциональных нарушениях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тракта чаще находятся в пределах возрастной нормы. 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Главными составляющими комплексной терапии функциональных расстройств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 являются препараты, нормализующие тонус сфинктерной системы и влияющие на реологию желчи. Соблюдение рациональной диеты существенно способствует избавлению от симптомов заболевания.</w:t>
      </w:r>
    </w:p>
    <w:p w:rsidR="00AE3117" w:rsidRPr="00882452" w:rsidRDefault="00882452" w:rsidP="0088245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Список л</w:t>
      </w:r>
      <w:r w:rsidR="00AE3117" w:rsidRPr="00882452">
        <w:rPr>
          <w:rFonts w:ascii="Times New Roman" w:hAnsi="Times New Roman"/>
          <w:b/>
          <w:sz w:val="24"/>
          <w:szCs w:val="24"/>
        </w:rPr>
        <w:t>итератур</w:t>
      </w:r>
      <w:r>
        <w:rPr>
          <w:rFonts w:ascii="Times New Roman" w:hAnsi="Times New Roman"/>
          <w:b/>
          <w:sz w:val="24"/>
          <w:szCs w:val="24"/>
        </w:rPr>
        <w:t>ы</w:t>
      </w:r>
    </w:p>
    <w:p w:rsidR="00AE3117" w:rsidRPr="00882452" w:rsidRDefault="00AE3117" w:rsidP="00882452">
      <w:pPr>
        <w:pStyle w:val="a3"/>
        <w:numPr>
          <w:ilvl w:val="0"/>
          <w:numId w:val="7"/>
        </w:numPr>
        <w:spacing w:after="0" w:line="240" w:lineRule="auto"/>
        <w:ind w:left="0"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Style w:val="a5"/>
          <w:rFonts w:ascii="Times New Roman" w:hAnsi="Times New Roman"/>
          <w:i w:val="0"/>
          <w:color w:val="000000"/>
          <w:sz w:val="24"/>
          <w:szCs w:val="24"/>
        </w:rPr>
        <w:t>Белоусов Ю.В. 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Гастроэнтерология детского возраста. — Харьков: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Консум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>, 2000. – 528 с.</w:t>
      </w:r>
    </w:p>
    <w:p w:rsidR="00AE3117" w:rsidRPr="00882452" w:rsidRDefault="00AE3117" w:rsidP="00882452">
      <w:pPr>
        <w:pStyle w:val="a3"/>
        <w:numPr>
          <w:ilvl w:val="0"/>
          <w:numId w:val="7"/>
        </w:numPr>
        <w:spacing w:after="0" w:line="240" w:lineRule="auto"/>
        <w:ind w:left="0"/>
        <w:jc w:val="both"/>
        <w:rPr>
          <w:rFonts w:ascii="Times New Roman" w:hAnsi="Times New Roman"/>
          <w:color w:val="000000"/>
          <w:sz w:val="24"/>
          <w:szCs w:val="24"/>
        </w:rPr>
      </w:pPr>
      <w:r w:rsidRPr="00882452">
        <w:rPr>
          <w:rStyle w:val="a5"/>
          <w:rFonts w:ascii="Times New Roman" w:hAnsi="Times New Roman"/>
          <w:i w:val="0"/>
          <w:color w:val="000000"/>
          <w:sz w:val="24"/>
          <w:szCs w:val="24"/>
        </w:rPr>
        <w:t>Белоусов Ю.В.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 Педиатрическая гастроэнтерология: Новейший справочник. – М.: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Эксмо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>, 2006. – 703 с.</w:t>
      </w:r>
    </w:p>
    <w:p w:rsidR="00AE3117" w:rsidRPr="00882452" w:rsidRDefault="00AE3117" w:rsidP="00882452">
      <w:pPr>
        <w:pStyle w:val="a3"/>
        <w:numPr>
          <w:ilvl w:val="0"/>
          <w:numId w:val="7"/>
        </w:numPr>
        <w:spacing w:after="0" w:line="240" w:lineRule="auto"/>
        <w:ind w:left="0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Шабалов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Н.П., ред. Детская гастроэнтерология: руководство для врачей. 2-е изд. М.: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МЕДпресс-информ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>; 2011. – 736 с.</w:t>
      </w:r>
    </w:p>
    <w:p w:rsidR="00AE3117" w:rsidRPr="00882452" w:rsidRDefault="00AE3117" w:rsidP="00882452">
      <w:pPr>
        <w:pStyle w:val="a3"/>
        <w:numPr>
          <w:ilvl w:val="0"/>
          <w:numId w:val="7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Лукьяненко О.Ю., Пантелеева Т.И. Дисфункция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 у детей: традиционные подходы и новые постулаты</w:t>
      </w:r>
      <w:r w:rsidRPr="00882452">
        <w:rPr>
          <w:rFonts w:ascii="Times New Roman" w:hAnsi="Times New Roman"/>
          <w:bCs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// https://cyberleninka.ru/article/n/disfunktsiya-biliarnogo-trakta-u-detey-traditsionnye-pohody-i-novye-postulaty</w:t>
      </w:r>
    </w:p>
    <w:p w:rsidR="00AE3117" w:rsidRPr="00882452" w:rsidRDefault="00AE3117" w:rsidP="00882452">
      <w:pPr>
        <w:pStyle w:val="a3"/>
        <w:numPr>
          <w:ilvl w:val="0"/>
          <w:numId w:val="7"/>
        </w:numPr>
        <w:spacing w:after="0" w:line="240" w:lineRule="auto"/>
        <w:ind w:left="0"/>
        <w:jc w:val="both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  <w:r w:rsidRPr="00882452">
        <w:rPr>
          <w:rStyle w:val="a5"/>
          <w:rFonts w:ascii="Times New Roman" w:hAnsi="Times New Roman"/>
          <w:i w:val="0"/>
          <w:color w:val="231F20"/>
          <w:sz w:val="24"/>
          <w:szCs w:val="24"/>
          <w:shd w:val="clear" w:color="auto" w:fill="FFFFFF"/>
        </w:rPr>
        <w:t>Яковенко Э. П., Яковенко А. В., Агафонова Н. А., Прянишникова А. С., Иванов А. Н., Попова Е. В., Григорьева Ю. В.</w:t>
      </w:r>
      <w:r w:rsidRPr="00882452"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> Абдоминальные боли: механизмы формирования, рациональный подход к выбору терапии // Болезни органов пищеварения, 2009. -  № 2. - С. 47–49.</w:t>
      </w:r>
    </w:p>
    <w:p w:rsidR="00AE3117" w:rsidRPr="00882452" w:rsidRDefault="00AE3117" w:rsidP="00882452">
      <w:pPr>
        <w:pStyle w:val="a3"/>
        <w:numPr>
          <w:ilvl w:val="0"/>
          <w:numId w:val="7"/>
        </w:numPr>
        <w:spacing w:after="0" w:line="240" w:lineRule="auto"/>
        <w:ind w:left="0"/>
        <w:jc w:val="both"/>
        <w:rPr>
          <w:rFonts w:ascii="Times New Roman" w:hAnsi="Times New Roman"/>
          <w:color w:val="231F20"/>
          <w:sz w:val="24"/>
          <w:szCs w:val="24"/>
          <w:lang w:eastAsia="ru-RU"/>
        </w:rPr>
      </w:pPr>
      <w:proofErr w:type="spellStart"/>
      <w:r w:rsidRPr="00882452">
        <w:rPr>
          <w:rFonts w:ascii="Times New Roman" w:hAnsi="Times New Roman"/>
          <w:iCs/>
          <w:color w:val="231F20"/>
          <w:sz w:val="24"/>
          <w:szCs w:val="24"/>
          <w:lang w:eastAsia="ru-RU"/>
        </w:rPr>
        <w:t>Минушкин</w:t>
      </w:r>
      <w:proofErr w:type="spellEnd"/>
      <w:r w:rsidRPr="00882452">
        <w:rPr>
          <w:rFonts w:ascii="Times New Roman" w:hAnsi="Times New Roman"/>
          <w:iCs/>
          <w:color w:val="231F20"/>
          <w:sz w:val="24"/>
          <w:szCs w:val="24"/>
          <w:lang w:eastAsia="ru-RU"/>
        </w:rPr>
        <w:t xml:space="preserve"> О. Н., Масловский Л. В.</w:t>
      </w:r>
      <w:r w:rsidRPr="00882452">
        <w:rPr>
          <w:rFonts w:ascii="Times New Roman" w:hAnsi="Times New Roman"/>
          <w:color w:val="231F20"/>
          <w:sz w:val="24"/>
          <w:szCs w:val="24"/>
          <w:lang w:eastAsia="ru-RU"/>
        </w:rPr>
        <w:t xml:space="preserve"> Диагностика и лечение функциональных расстройств </w:t>
      </w:r>
      <w:proofErr w:type="spellStart"/>
      <w:r w:rsidRPr="00882452">
        <w:rPr>
          <w:rFonts w:ascii="Times New Roman" w:hAnsi="Times New Roman"/>
          <w:color w:val="231F20"/>
          <w:sz w:val="24"/>
          <w:szCs w:val="24"/>
          <w:lang w:eastAsia="ru-RU"/>
        </w:rPr>
        <w:t>биллиарного</w:t>
      </w:r>
      <w:proofErr w:type="spellEnd"/>
      <w:r w:rsidRPr="00882452">
        <w:rPr>
          <w:rFonts w:ascii="Times New Roman" w:hAnsi="Times New Roman"/>
          <w:color w:val="231F20"/>
          <w:sz w:val="24"/>
          <w:szCs w:val="24"/>
          <w:lang w:eastAsia="ru-RU"/>
        </w:rPr>
        <w:t xml:space="preserve"> тракта // Гастроэнтерология Санкт-Петербурга. - 2010. - № 2–3. - С. 27–32.</w:t>
      </w:r>
    </w:p>
    <w:p w:rsidR="00AE3117" w:rsidRPr="00882452" w:rsidRDefault="00AE3117" w:rsidP="00882452">
      <w:pPr>
        <w:pStyle w:val="a3"/>
        <w:numPr>
          <w:ilvl w:val="0"/>
          <w:numId w:val="7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lastRenderedPageBreak/>
        <w:t>Урсова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Н.И.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Дисфункциональные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расстройства 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</w:rPr>
        <w:t>билиарного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</w:rPr>
        <w:t xml:space="preserve"> тракта у детей, критерии диагностики и коррекции. // https://cyberleninka.ru/article/n/funktsionalnye-rasstroystva-biliarnogo-trakta-u-detey</w:t>
      </w:r>
    </w:p>
    <w:p w:rsidR="00AE3117" w:rsidRPr="00882452" w:rsidRDefault="00AE3117" w:rsidP="00882452">
      <w:pPr>
        <w:pStyle w:val="a3"/>
        <w:numPr>
          <w:ilvl w:val="0"/>
          <w:numId w:val="7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882452">
        <w:rPr>
          <w:rFonts w:ascii="Times New Roman" w:hAnsi="Times New Roman"/>
          <w:color w:val="000000"/>
          <w:sz w:val="24"/>
          <w:szCs w:val="24"/>
        </w:rPr>
        <w:t xml:space="preserve">Приказ МОЗ Украины №59 от 29.01.2013 г. «Про </w:t>
      </w:r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>затвердження уніфікованих клінічних</w:t>
      </w:r>
      <w:r w:rsidRPr="00882452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Start"/>
      <w:r w:rsidRPr="00882452">
        <w:rPr>
          <w:rFonts w:ascii="Times New Roman" w:hAnsi="Times New Roman"/>
          <w:color w:val="000000"/>
          <w:sz w:val="24"/>
          <w:szCs w:val="24"/>
        </w:rPr>
        <w:t>протокол</w:t>
      </w:r>
      <w:proofErr w:type="spellStart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>ів</w:t>
      </w:r>
      <w:proofErr w:type="spellEnd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  медичної</w:t>
      </w:r>
      <w:proofErr w:type="gramEnd"/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 xml:space="preserve"> допомоги дітям із захворюваннями органів травлення</w:t>
      </w:r>
      <w:r w:rsidRPr="00882452">
        <w:rPr>
          <w:rFonts w:ascii="Times New Roman" w:hAnsi="Times New Roman"/>
          <w:color w:val="000000"/>
          <w:sz w:val="24"/>
          <w:szCs w:val="24"/>
        </w:rPr>
        <w:t>»</w:t>
      </w:r>
      <w:r w:rsidRPr="00882452">
        <w:rPr>
          <w:rFonts w:ascii="Times New Roman" w:hAnsi="Times New Roman"/>
          <w:color w:val="000000"/>
          <w:sz w:val="24"/>
          <w:szCs w:val="24"/>
          <w:lang w:val="uk-UA"/>
        </w:rPr>
        <w:t>.</w:t>
      </w:r>
    </w:p>
    <w:p w:rsidR="00AE3117" w:rsidRDefault="00AE3117" w:rsidP="00882452">
      <w:pPr>
        <w:spacing w:after="0" w:line="240" w:lineRule="auto"/>
        <w:rPr>
          <w:sz w:val="24"/>
          <w:szCs w:val="24"/>
        </w:rPr>
      </w:pPr>
    </w:p>
    <w:p w:rsidR="00AE3117" w:rsidRDefault="00AE3117" w:rsidP="00882452">
      <w:pPr>
        <w:spacing w:after="0" w:line="240" w:lineRule="auto"/>
        <w:jc w:val="both"/>
        <w:rPr>
          <w:color w:val="000000"/>
          <w:sz w:val="24"/>
          <w:szCs w:val="24"/>
        </w:rPr>
      </w:pPr>
    </w:p>
    <w:sectPr w:rsidR="00AE3117" w:rsidSect="000F7D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altName w:val="Tahoma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3C26D5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hybridMultilevel"/>
    <w:tmpl w:val="FC34020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0000003"/>
    <w:multiLevelType w:val="hybridMultilevel"/>
    <w:tmpl w:val="A85E9AA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0000004"/>
    <w:multiLevelType w:val="hybridMultilevel"/>
    <w:tmpl w:val="AE36FD2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0000005"/>
    <w:multiLevelType w:val="hybridMultilevel"/>
    <w:tmpl w:val="0FBAD3B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6"/>
    <w:multiLevelType w:val="hybridMultilevel"/>
    <w:tmpl w:val="3DA8DDD4"/>
    <w:lvl w:ilvl="0" w:tplc="CC70A48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0000007"/>
    <w:multiLevelType w:val="hybridMultilevel"/>
    <w:tmpl w:val="72C096D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0000008"/>
    <w:multiLevelType w:val="hybridMultilevel"/>
    <w:tmpl w:val="272AC9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0000009"/>
    <w:multiLevelType w:val="hybridMultilevel"/>
    <w:tmpl w:val="DEA2A7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FB6BBD"/>
    <w:multiLevelType w:val="hybridMultilevel"/>
    <w:tmpl w:val="13C835A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6"/>
  </w:num>
  <w:num w:numId="3">
    <w:abstractNumId w:val="0"/>
  </w:num>
  <w:num w:numId="4">
    <w:abstractNumId w:val="8"/>
  </w:num>
  <w:num w:numId="5">
    <w:abstractNumId w:val="4"/>
  </w:num>
  <w:num w:numId="6">
    <w:abstractNumId w:val="5"/>
  </w:num>
  <w:num w:numId="7">
    <w:abstractNumId w:val="1"/>
  </w:num>
  <w:num w:numId="8">
    <w:abstractNumId w:val="7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F7DA5"/>
    <w:rsid w:val="000F7DA5"/>
    <w:rsid w:val="00882452"/>
    <w:rsid w:val="00A956C8"/>
    <w:rsid w:val="00AE3117"/>
    <w:rsid w:val="00C00007"/>
    <w:rsid w:val="00FC7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76FC2CD"/>
  <w15:docId w15:val="{9F6467AD-1FFB-4915-8BA8-6790BDF707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SimSu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7DA5"/>
    <w:pPr>
      <w:spacing w:after="200" w:line="276" w:lineRule="auto"/>
    </w:pPr>
    <w:rPr>
      <w:rFonts w:cs="Times New Roman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F7DA5"/>
    <w:pPr>
      <w:ind w:left="720"/>
      <w:contextualSpacing/>
    </w:pPr>
  </w:style>
  <w:style w:type="paragraph" w:styleId="a4">
    <w:name w:val="Normal (Web)"/>
    <w:basedOn w:val="a"/>
    <w:uiPriority w:val="99"/>
    <w:rsid w:val="000F7DA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Emphasis"/>
    <w:basedOn w:val="a0"/>
    <w:uiPriority w:val="99"/>
    <w:qFormat/>
    <w:rsid w:val="000F7DA5"/>
    <w:rPr>
      <w:rFonts w:cs="Times New Roman"/>
      <w:i/>
      <w:iCs/>
    </w:rPr>
  </w:style>
  <w:style w:type="character" w:customStyle="1" w:styleId="hl">
    <w:name w:val="hl"/>
    <w:basedOn w:val="a0"/>
    <w:uiPriority w:val="99"/>
    <w:rsid w:val="000F7DA5"/>
    <w:rPr>
      <w:rFonts w:cs="Times New Roman"/>
    </w:rPr>
  </w:style>
  <w:style w:type="character" w:styleId="a6">
    <w:name w:val="Strong"/>
    <w:basedOn w:val="a0"/>
    <w:uiPriority w:val="99"/>
    <w:qFormat/>
    <w:rsid w:val="000F7DA5"/>
    <w:rPr>
      <w:rFonts w:cs="Times New Roman"/>
      <w:b/>
      <w:bCs/>
    </w:rPr>
  </w:style>
  <w:style w:type="paragraph" w:styleId="a7">
    <w:name w:val="Balloon Text"/>
    <w:basedOn w:val="a"/>
    <w:link w:val="a8"/>
    <w:uiPriority w:val="99"/>
    <w:rsid w:val="000F7D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locked/>
    <w:rsid w:val="000F7DA5"/>
    <w:rPr>
      <w:rFonts w:ascii="Tahoma" w:eastAsia="Times New Roman" w:hAnsi="Tahoma" w:cs="Tahoma"/>
      <w:sz w:val="16"/>
      <w:szCs w:val="16"/>
    </w:rPr>
  </w:style>
  <w:style w:type="paragraph" w:styleId="a9">
    <w:name w:val="caption"/>
    <w:basedOn w:val="a"/>
    <w:next w:val="a"/>
    <w:uiPriority w:val="99"/>
    <w:qFormat/>
    <w:rsid w:val="000F7DA5"/>
    <w:rPr>
      <w:b/>
      <w:bCs/>
      <w:sz w:val="20"/>
      <w:szCs w:val="20"/>
    </w:rPr>
  </w:style>
  <w:style w:type="character" w:styleId="aa">
    <w:name w:val="Hyperlink"/>
    <w:basedOn w:val="a0"/>
    <w:uiPriority w:val="99"/>
    <w:rsid w:val="000F7DA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5</Pages>
  <Words>2163</Words>
  <Characters>12331</Characters>
  <Application>Microsoft Office Word</Application>
  <DocSecurity>0</DocSecurity>
  <Lines>102</Lines>
  <Paragraphs>28</Paragraphs>
  <ScaleCrop>false</ScaleCrop>
  <Company>home</Company>
  <LinksUpToDate>false</LinksUpToDate>
  <CharactersWithSpaces>14466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E&amp;N</cp:lastModifiedBy>
  <cp:revision>4</cp:revision>
  <dcterms:created xsi:type="dcterms:W3CDTF">2018-03-01T04:32:00Z</dcterms:created>
  <dcterms:modified xsi:type="dcterms:W3CDTF">2018-03-07T07:49:00Z</dcterms:modified>
</cp:coreProperties>
</file>