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213F6" w:rsidRPr="00A213F6" w:rsidRDefault="00A213F6" w:rsidP="00A213F6">
      <w:pPr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A213F6">
        <w:rPr>
          <w:rFonts w:ascii="Times New Roman" w:hAnsi="Times New Roman" w:cs="Times New Roman"/>
          <w:b/>
          <w:bCs/>
          <w:sz w:val="28"/>
          <w:szCs w:val="28"/>
        </w:rPr>
        <w:t>ОЦІНКА СТАДІЙ АПОПТОЗУ ЛІМФОЦИТІВ</w:t>
      </w:r>
    </w:p>
    <w:p w:rsidR="00A213F6" w:rsidRPr="00A213F6" w:rsidRDefault="00A213F6" w:rsidP="00A213F6">
      <w:pPr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A213F6">
        <w:rPr>
          <w:rFonts w:ascii="Times New Roman" w:hAnsi="Times New Roman" w:cs="Times New Roman"/>
          <w:b/>
          <w:bCs/>
          <w:sz w:val="28"/>
          <w:szCs w:val="28"/>
        </w:rPr>
        <w:t>У ДІТЕЙ СТАРШОГО ВІКУ З ГОСТРОЇ</w:t>
      </w:r>
    </w:p>
    <w:p w:rsidR="00A213F6" w:rsidRPr="00A213F6" w:rsidRDefault="00A213F6" w:rsidP="00A213F6">
      <w:pPr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A213F6">
        <w:rPr>
          <w:rFonts w:ascii="Times New Roman" w:hAnsi="Times New Roman" w:cs="Times New Roman"/>
          <w:b/>
          <w:bCs/>
          <w:sz w:val="28"/>
          <w:szCs w:val="28"/>
        </w:rPr>
        <w:t>І ХРОНІЧНОЇ ФОРМАМИ ПІЄЛОНЕФРИТУ</w:t>
      </w:r>
    </w:p>
    <w:p w:rsidR="00A213F6" w:rsidRPr="00A213F6" w:rsidRDefault="00A213F6" w:rsidP="00A213F6">
      <w:pPr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NewRoman" w:hAnsi="Times New Roman" w:cs="Times New Roman"/>
          <w:sz w:val="28"/>
          <w:szCs w:val="28"/>
        </w:rPr>
      </w:pP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Мішина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М.М.</w:t>
      </w:r>
      <w:r w:rsidRPr="00A741C7">
        <w:rPr>
          <w:rFonts w:ascii="Times New Roman" w:eastAsia="TimesNewRoman" w:hAnsi="Times New Roman" w:cs="Times New Roman"/>
          <w:sz w:val="28"/>
          <w:szCs w:val="28"/>
          <w:vertAlign w:val="superscript"/>
        </w:rPr>
        <w:t>1</w:t>
      </w:r>
      <w:r w:rsidRPr="00A213F6">
        <w:rPr>
          <w:rFonts w:ascii="Times New Roman" w:eastAsia="TimesNewRoman" w:hAnsi="Times New Roman" w:cs="Times New Roman"/>
          <w:sz w:val="28"/>
          <w:szCs w:val="28"/>
        </w:rPr>
        <w:t>, Марченко І.А.</w:t>
      </w:r>
      <w:r w:rsidRPr="00A741C7">
        <w:rPr>
          <w:rFonts w:ascii="Times New Roman" w:eastAsia="TimesNewRoman" w:hAnsi="Times New Roman" w:cs="Times New Roman"/>
          <w:sz w:val="28"/>
          <w:szCs w:val="28"/>
          <w:vertAlign w:val="superscript"/>
        </w:rPr>
        <w:t>1</w:t>
      </w:r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Бабічук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Л.О.</w:t>
      </w:r>
      <w:r w:rsidRPr="00A741C7">
        <w:rPr>
          <w:rFonts w:ascii="Times New Roman" w:eastAsia="TimesNewRoman" w:hAnsi="Times New Roman" w:cs="Times New Roman"/>
          <w:sz w:val="28"/>
          <w:szCs w:val="28"/>
          <w:vertAlign w:val="superscript"/>
        </w:rPr>
        <w:t>3</w:t>
      </w:r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Бабічук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Г.А.</w:t>
      </w:r>
      <w:r w:rsidRPr="00A741C7">
        <w:rPr>
          <w:rFonts w:ascii="Times New Roman" w:eastAsia="TimesNewRoman" w:hAnsi="Times New Roman" w:cs="Times New Roman"/>
          <w:sz w:val="28"/>
          <w:szCs w:val="28"/>
          <w:vertAlign w:val="superscript"/>
        </w:rPr>
        <w:t>3</w:t>
      </w:r>
      <w:r w:rsidRPr="00A213F6">
        <w:rPr>
          <w:rFonts w:ascii="Times New Roman" w:eastAsia="TimesNewRoman" w:hAnsi="Times New Roman" w:cs="Times New Roman"/>
          <w:sz w:val="28"/>
          <w:szCs w:val="28"/>
        </w:rPr>
        <w:t>,</w:t>
      </w:r>
    </w:p>
    <w:p w:rsidR="00A213F6" w:rsidRPr="00A213F6" w:rsidRDefault="00A213F6" w:rsidP="00A213F6">
      <w:pPr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NewRoman" w:hAnsi="Times New Roman" w:cs="Times New Roman"/>
          <w:sz w:val="28"/>
          <w:szCs w:val="28"/>
        </w:rPr>
      </w:pP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Макєєва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Н.І.</w:t>
      </w:r>
      <w:r w:rsidRPr="00A741C7">
        <w:rPr>
          <w:rFonts w:ascii="Times New Roman" w:eastAsia="TimesNewRoman" w:hAnsi="Times New Roman" w:cs="Times New Roman"/>
          <w:sz w:val="28"/>
          <w:szCs w:val="28"/>
          <w:vertAlign w:val="superscript"/>
        </w:rPr>
        <w:t>2</w:t>
      </w:r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Мозгова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Ю.А.</w:t>
      </w:r>
      <w:r w:rsidRPr="00A741C7">
        <w:rPr>
          <w:rFonts w:ascii="Times New Roman" w:eastAsia="TimesNewRoman" w:hAnsi="Times New Roman" w:cs="Times New Roman"/>
          <w:sz w:val="28"/>
          <w:szCs w:val="28"/>
          <w:vertAlign w:val="superscript"/>
        </w:rPr>
        <w:t>1</w:t>
      </w:r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Головачова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В.О.</w:t>
      </w:r>
      <w:r w:rsidRPr="00A741C7">
        <w:rPr>
          <w:rFonts w:ascii="Times New Roman" w:eastAsia="TimesNewRoman" w:hAnsi="Times New Roman" w:cs="Times New Roman"/>
          <w:sz w:val="28"/>
          <w:szCs w:val="28"/>
          <w:vertAlign w:val="superscript"/>
        </w:rPr>
        <w:t>2</w:t>
      </w:r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Мішин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Ю.М.</w:t>
      </w:r>
      <w:r w:rsidRPr="00A741C7">
        <w:rPr>
          <w:rFonts w:ascii="Times New Roman" w:eastAsia="TimesNewRoman" w:hAnsi="Times New Roman" w:cs="Times New Roman"/>
          <w:sz w:val="28"/>
          <w:szCs w:val="28"/>
          <w:vertAlign w:val="superscript"/>
        </w:rPr>
        <w:t>2</w:t>
      </w:r>
    </w:p>
    <w:p w:rsidR="00A213F6" w:rsidRPr="00A213F6" w:rsidRDefault="00A213F6" w:rsidP="00A213F6">
      <w:pPr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NewRoman" w:hAnsi="Times New Roman" w:cs="Times New Roman"/>
          <w:sz w:val="28"/>
          <w:szCs w:val="28"/>
        </w:rPr>
      </w:pP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Харківський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національний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медичний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університет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Україна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Харків</w:t>
      </w:r>
      <w:proofErr w:type="spellEnd"/>
    </w:p>
    <w:p w:rsidR="00A213F6" w:rsidRPr="00A213F6" w:rsidRDefault="00A213F6" w:rsidP="00A213F6">
      <w:pPr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NewRoman" w:hAnsi="Times New Roman" w:cs="Times New Roman"/>
          <w:sz w:val="28"/>
          <w:szCs w:val="28"/>
        </w:rPr>
      </w:pPr>
      <w:r w:rsidRPr="00A741C7">
        <w:rPr>
          <w:rFonts w:ascii="Times New Roman" w:eastAsia="TimesNewRoman" w:hAnsi="Times New Roman" w:cs="Times New Roman"/>
          <w:sz w:val="28"/>
          <w:szCs w:val="28"/>
          <w:vertAlign w:val="superscript"/>
        </w:rPr>
        <w:t>1</w:t>
      </w:r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Кафедра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мікробіології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вірусології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та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імунології</w:t>
      </w:r>
      <w:proofErr w:type="spellEnd"/>
    </w:p>
    <w:p w:rsidR="00A213F6" w:rsidRPr="00A213F6" w:rsidRDefault="00A213F6" w:rsidP="00A213F6">
      <w:pPr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NewRoman" w:hAnsi="Times New Roman" w:cs="Times New Roman"/>
          <w:sz w:val="28"/>
          <w:szCs w:val="28"/>
        </w:rPr>
      </w:pP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ім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. проф. Д.П.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Гриньова</w:t>
      </w:r>
      <w:proofErr w:type="spellEnd"/>
    </w:p>
    <w:p w:rsidR="00A213F6" w:rsidRPr="00A213F6" w:rsidRDefault="00A213F6" w:rsidP="00A213F6">
      <w:pPr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NewRoman" w:hAnsi="Times New Roman" w:cs="Times New Roman"/>
          <w:sz w:val="28"/>
          <w:szCs w:val="28"/>
        </w:rPr>
      </w:pPr>
      <w:r w:rsidRPr="00A741C7">
        <w:rPr>
          <w:rFonts w:ascii="Times New Roman" w:eastAsia="TimesNewRoman" w:hAnsi="Times New Roman" w:cs="Times New Roman"/>
          <w:sz w:val="28"/>
          <w:szCs w:val="28"/>
          <w:vertAlign w:val="superscript"/>
        </w:rPr>
        <w:t>2</w:t>
      </w:r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Кафедра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педіатрії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№2</w:t>
      </w:r>
    </w:p>
    <w:p w:rsidR="00A213F6" w:rsidRDefault="00A213F6" w:rsidP="00A213F6">
      <w:pPr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NewRoman" w:hAnsi="Times New Roman" w:cs="Times New Roman"/>
          <w:sz w:val="28"/>
          <w:szCs w:val="28"/>
        </w:rPr>
      </w:pPr>
      <w:r w:rsidRPr="00A741C7">
        <w:rPr>
          <w:rFonts w:ascii="Times New Roman" w:eastAsia="TimesNewRoman" w:hAnsi="Times New Roman" w:cs="Times New Roman"/>
          <w:sz w:val="28"/>
          <w:szCs w:val="28"/>
          <w:vertAlign w:val="superscript"/>
        </w:rPr>
        <w:t xml:space="preserve">3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Інститут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проблем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кріобіології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та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кріомедицини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НАН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України</w:t>
      </w:r>
      <w:proofErr w:type="spellEnd"/>
    </w:p>
    <w:p w:rsidR="00A213F6" w:rsidRPr="00A213F6" w:rsidRDefault="00A213F6" w:rsidP="00A213F6">
      <w:pPr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" w:hAnsi="Times New Roman" w:cs="Times New Roman"/>
          <w:sz w:val="28"/>
          <w:szCs w:val="28"/>
        </w:rPr>
      </w:pPr>
    </w:p>
    <w:p w:rsidR="00A213F6" w:rsidRPr="00A213F6" w:rsidRDefault="00A213F6" w:rsidP="00A213F6">
      <w:pPr>
        <w:suppressAutoHyphens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r w:rsidRPr="00A213F6">
        <w:rPr>
          <w:rFonts w:ascii="Times New Roman" w:hAnsi="Times New Roman" w:cs="Times New Roman"/>
          <w:b/>
          <w:bCs/>
          <w:sz w:val="28"/>
          <w:szCs w:val="28"/>
        </w:rPr>
        <w:t>Вступ</w:t>
      </w:r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.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Актуальність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проблеми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виникнення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гострого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та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перебігу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хронічного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пієлонефритів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у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дітей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старшого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віку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обумовлена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його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високою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поширеністю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збільшенням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випадків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інапарантних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форм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перебігу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захворювання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схильністю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gramStart"/>
      <w:r w:rsidRPr="00A213F6">
        <w:rPr>
          <w:rFonts w:ascii="Times New Roman" w:eastAsia="TimesNewRoman" w:hAnsi="Times New Roman" w:cs="Times New Roman"/>
          <w:sz w:val="28"/>
          <w:szCs w:val="28"/>
        </w:rPr>
        <w:t>до рецидиву</w:t>
      </w:r>
      <w:proofErr w:type="gramEnd"/>
      <w:r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рідкими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випадками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повного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одужання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. Тому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успішне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лікування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і</w:t>
      </w:r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профілактика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різних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форм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пієлонефриту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неможливі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без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ретельного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вивчення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чинників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що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сприяють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формуванню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і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прогресуванню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захворювання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, одним з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яких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є стан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апоптозу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нейтрофілів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>.</w:t>
      </w:r>
    </w:p>
    <w:p w:rsidR="00A213F6" w:rsidRPr="00A213F6" w:rsidRDefault="00A213F6" w:rsidP="00A213F6">
      <w:pPr>
        <w:suppressAutoHyphens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r w:rsidRPr="00A213F6">
        <w:rPr>
          <w:rFonts w:ascii="Times New Roman" w:hAnsi="Times New Roman" w:cs="Times New Roman"/>
          <w:b/>
          <w:bCs/>
          <w:sz w:val="28"/>
          <w:szCs w:val="28"/>
        </w:rPr>
        <w:t xml:space="preserve">Мета </w:t>
      </w:r>
      <w:proofErr w:type="spellStart"/>
      <w:r w:rsidRPr="00A213F6">
        <w:rPr>
          <w:rFonts w:ascii="Times New Roman" w:hAnsi="Times New Roman" w:cs="Times New Roman"/>
          <w:b/>
          <w:bCs/>
          <w:sz w:val="28"/>
          <w:szCs w:val="28"/>
        </w:rPr>
        <w:t>дослідження</w:t>
      </w:r>
      <w:proofErr w:type="spellEnd"/>
      <w:r w:rsidRPr="00A213F6">
        <w:rPr>
          <w:rFonts w:ascii="Times New Roman" w:hAnsi="Times New Roman" w:cs="Times New Roman"/>
          <w:b/>
          <w:bCs/>
          <w:sz w:val="28"/>
          <w:szCs w:val="28"/>
        </w:rPr>
        <w:t xml:space="preserve">. </w:t>
      </w:r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Мета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дослідження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– провести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аналіз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стадій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апоптозу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нейтрофілів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у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дітей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старшого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віку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з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гострим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та</w:t>
      </w:r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хронічним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пієлонефритом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>.</w:t>
      </w:r>
    </w:p>
    <w:p w:rsidR="00A213F6" w:rsidRPr="00A213F6" w:rsidRDefault="00A213F6" w:rsidP="00A213F6">
      <w:pPr>
        <w:suppressAutoHyphens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proofErr w:type="spellStart"/>
      <w:r w:rsidRPr="00A213F6">
        <w:rPr>
          <w:rFonts w:ascii="Times New Roman" w:hAnsi="Times New Roman" w:cs="Times New Roman"/>
          <w:b/>
          <w:bCs/>
          <w:sz w:val="28"/>
          <w:szCs w:val="28"/>
        </w:rPr>
        <w:t>Матеріали</w:t>
      </w:r>
      <w:proofErr w:type="spellEnd"/>
      <w:r w:rsidRPr="00A213F6">
        <w:rPr>
          <w:rFonts w:ascii="Times New Roman" w:hAnsi="Times New Roman" w:cs="Times New Roman"/>
          <w:b/>
          <w:bCs/>
          <w:sz w:val="28"/>
          <w:szCs w:val="28"/>
        </w:rPr>
        <w:t xml:space="preserve"> і </w:t>
      </w:r>
      <w:proofErr w:type="spellStart"/>
      <w:r w:rsidRPr="00A213F6">
        <w:rPr>
          <w:rFonts w:ascii="Times New Roman" w:hAnsi="Times New Roman" w:cs="Times New Roman"/>
          <w:b/>
          <w:bCs/>
          <w:sz w:val="28"/>
          <w:szCs w:val="28"/>
        </w:rPr>
        <w:t>методи</w:t>
      </w:r>
      <w:proofErr w:type="spellEnd"/>
      <w:r w:rsidRPr="00A213F6">
        <w:rPr>
          <w:rFonts w:ascii="Times New Roman" w:hAnsi="Times New Roman" w:cs="Times New Roman"/>
          <w:b/>
          <w:bCs/>
          <w:sz w:val="28"/>
          <w:szCs w:val="28"/>
        </w:rPr>
        <w:t xml:space="preserve">.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Оцінку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стадій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апоптозу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клітин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проводили за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допомогою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методу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проточної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цитофлюорометрії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з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одночасним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внесенням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до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зразку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маркерів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NewRoman" w:hAnsi="Times New Roman" w:cs="Times New Roman"/>
          <w:sz w:val="28"/>
          <w:szCs w:val="28"/>
        </w:rPr>
        <w:t>Annexin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V FITC, </w:t>
      </w:r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CD45 PE і 7-AAD (7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аміноактиноміцин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D). Для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цього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до 50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мкл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цільної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крові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додавали 5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мкл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Annexin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V і по 10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мкл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CD45 PE та</w:t>
      </w:r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7-AAD,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перемішували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й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інкубували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протягом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15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хв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за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кімнатної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температури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в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темряві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.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Зразки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аналізували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на проточному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цитофлуориметрі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«FACS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Calibur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» («BD», США). Для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мінімізації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похибки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в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зразках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аналізували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20000 CD45+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подій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(CD45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позитивні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клітини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).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Результати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вимірювання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оцінювали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за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допомогою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програмного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забезпечення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«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CELLQuest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Pro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>» («BD»). Даний метод</w:t>
      </w:r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дозволяє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ідентифікувати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чотири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різних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стана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клітин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: 1 –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живі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клітини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(AnnexinV-7AAD--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клітини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); 2 –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клітини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що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знаходяться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на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початковій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стадії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апоптозу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(AnnexinV+7AAD--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клітини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>); 3 –</w:t>
      </w:r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мертві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клітини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які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знаходяться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на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стадії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пізнього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апоптозу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/некрозу (AnnexinV+7AAD+); 4 –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мертві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некротичні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клітини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(AnnexinV-7AAD+).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Статистична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обробка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проводилась за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допомогою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програми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«STATISTICA 9.0».</w:t>
      </w:r>
    </w:p>
    <w:p w:rsidR="00A213F6" w:rsidRPr="00A213F6" w:rsidRDefault="00A213F6" w:rsidP="00A213F6">
      <w:pPr>
        <w:suppressAutoHyphens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proofErr w:type="spellStart"/>
      <w:r w:rsidRPr="00A213F6">
        <w:rPr>
          <w:rFonts w:ascii="Times New Roman" w:hAnsi="Times New Roman" w:cs="Times New Roman"/>
          <w:b/>
          <w:bCs/>
          <w:sz w:val="28"/>
          <w:szCs w:val="28"/>
        </w:rPr>
        <w:t>Результати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.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Досліджено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розвиток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апоптозу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нейтрофілів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у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дітей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(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вікової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категорії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8–18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років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)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хворих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на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гострий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та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хро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нічний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пієлонефрит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що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знаходилися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на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лікуванні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у КЗОЗ</w:t>
      </w:r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МКДЛ №16 м.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Харкова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Україна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.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Захворювання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на гостий та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хронічний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пієлонефрит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були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зумовлені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A213F6">
        <w:rPr>
          <w:rFonts w:ascii="Times New Roman" w:hAnsi="Times New Roman" w:cs="Times New Roman"/>
          <w:i/>
          <w:iCs/>
          <w:sz w:val="28"/>
          <w:szCs w:val="28"/>
          <w:lang w:val="en-US"/>
        </w:rPr>
        <w:t>E</w:t>
      </w:r>
      <w:r w:rsidRPr="00A213F6">
        <w:rPr>
          <w:rFonts w:ascii="Times New Roman" w:hAnsi="Times New Roman" w:cs="Times New Roman"/>
          <w:i/>
          <w:iCs/>
          <w:sz w:val="28"/>
          <w:szCs w:val="28"/>
        </w:rPr>
        <w:t xml:space="preserve">. </w:t>
      </w:r>
      <w:proofErr w:type="spellStart"/>
      <w:r w:rsidRPr="00A213F6">
        <w:rPr>
          <w:rFonts w:ascii="Times New Roman" w:hAnsi="Times New Roman" w:cs="Times New Roman"/>
          <w:i/>
          <w:iCs/>
          <w:sz w:val="28"/>
          <w:szCs w:val="28"/>
          <w:lang w:val="en-US"/>
        </w:rPr>
        <w:t>faecalis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r w:rsidRPr="00A213F6">
        <w:rPr>
          <w:rFonts w:ascii="Times New Roman" w:hAnsi="Times New Roman" w:cs="Times New Roman"/>
          <w:i/>
          <w:iCs/>
          <w:sz w:val="28"/>
          <w:szCs w:val="28"/>
          <w:lang w:val="en-US"/>
        </w:rPr>
        <w:t>E</w:t>
      </w:r>
      <w:r w:rsidRPr="00A213F6">
        <w:rPr>
          <w:rFonts w:ascii="Times New Roman" w:hAnsi="Times New Roman" w:cs="Times New Roman"/>
          <w:i/>
          <w:iCs/>
          <w:sz w:val="28"/>
          <w:szCs w:val="28"/>
        </w:rPr>
        <w:t xml:space="preserve">. </w:t>
      </w:r>
      <w:r w:rsidRPr="00A213F6">
        <w:rPr>
          <w:rFonts w:ascii="Times New Roman" w:hAnsi="Times New Roman" w:cs="Times New Roman"/>
          <w:i/>
          <w:iCs/>
          <w:sz w:val="28"/>
          <w:szCs w:val="28"/>
          <w:lang w:val="en-US"/>
        </w:rPr>
        <w:t>coli</w:t>
      </w:r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r w:rsidRPr="00A213F6">
        <w:rPr>
          <w:rFonts w:ascii="Times New Roman" w:hAnsi="Times New Roman" w:cs="Times New Roman"/>
          <w:i/>
          <w:iCs/>
          <w:sz w:val="28"/>
          <w:szCs w:val="28"/>
          <w:lang w:val="en-US"/>
        </w:rPr>
        <w:t>Proteus</w:t>
      </w:r>
      <w:r w:rsidRPr="00A213F6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A213F6">
        <w:rPr>
          <w:rFonts w:ascii="Times New Roman" w:hAnsi="Times New Roman" w:cs="Times New Roman"/>
          <w:i/>
          <w:iCs/>
          <w:sz w:val="28"/>
          <w:szCs w:val="28"/>
          <w:lang w:val="en-US"/>
        </w:rPr>
        <w:t>spp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., </w:t>
      </w:r>
      <w:r w:rsidRPr="00A213F6">
        <w:rPr>
          <w:rFonts w:ascii="Times New Roman" w:hAnsi="Times New Roman" w:cs="Times New Roman"/>
          <w:i/>
          <w:iCs/>
          <w:sz w:val="28"/>
          <w:szCs w:val="28"/>
          <w:lang w:val="en-US"/>
        </w:rPr>
        <w:t>K</w:t>
      </w:r>
      <w:r w:rsidRPr="00A213F6">
        <w:rPr>
          <w:rFonts w:ascii="Times New Roman" w:hAnsi="Times New Roman" w:cs="Times New Roman"/>
          <w:i/>
          <w:iCs/>
          <w:sz w:val="28"/>
          <w:szCs w:val="28"/>
        </w:rPr>
        <w:t xml:space="preserve">. </w:t>
      </w:r>
      <w:proofErr w:type="spellStart"/>
      <w:r w:rsidRPr="00A213F6">
        <w:rPr>
          <w:rFonts w:ascii="Times New Roman" w:hAnsi="Times New Roman" w:cs="Times New Roman"/>
          <w:i/>
          <w:iCs/>
          <w:sz w:val="28"/>
          <w:szCs w:val="28"/>
          <w:lang w:val="en-US"/>
        </w:rPr>
        <w:t>pneumoniae</w:t>
      </w:r>
      <w:proofErr w:type="spellEnd"/>
      <w:r w:rsidRPr="00A213F6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та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їх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асоціаціями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>.</w:t>
      </w:r>
    </w:p>
    <w:p w:rsidR="00A213F6" w:rsidRPr="00A213F6" w:rsidRDefault="00A213F6" w:rsidP="00A213F6">
      <w:pPr>
        <w:suppressAutoHyphens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Всі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випадки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захворювань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були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розподілені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на 2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групи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>: до</w:t>
      </w:r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першої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групи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увійшли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випадки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що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були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викликані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монокультурою, до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другої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–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змішаною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культурою</w:t>
      </w:r>
      <w:r>
        <w:rPr>
          <w:rFonts w:ascii="Times New Roman" w:eastAsia="TimesNewRoman" w:hAnsi="Times New Roman" w:cs="Times New Roman"/>
          <w:sz w:val="28"/>
          <w:szCs w:val="28"/>
        </w:rPr>
        <w:t xml:space="preserve">.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Встановлено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що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розподіл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по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групам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не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відповідав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закону</w:t>
      </w:r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A213F6">
        <w:rPr>
          <w:rFonts w:ascii="Times New Roman" w:eastAsia="TimesNewRoman" w:hAnsi="Times New Roman" w:cs="Times New Roman"/>
          <w:sz w:val="28"/>
          <w:szCs w:val="28"/>
        </w:rPr>
        <w:t>Гаусса.</w:t>
      </w:r>
    </w:p>
    <w:p w:rsidR="00A213F6" w:rsidRPr="00A213F6" w:rsidRDefault="00A213F6" w:rsidP="00A213F6">
      <w:pPr>
        <w:suppressAutoHyphens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Було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проведено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статистичний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дисперсійний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аналіз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який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показав,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що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статистичні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відмінності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між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показниками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апоптозу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нейтрофілів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та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lastRenderedPageBreak/>
        <w:t>мікроорганізмами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які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викликали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гостру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та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хронічну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форми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пієлонефриту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(монокультура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або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змішана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інфекція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)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значущі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лише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для 1 та 2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стадії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апоптозу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(F=9,78; </w:t>
      </w:r>
      <w:proofErr w:type="gramStart"/>
      <w:r w:rsidRPr="00A213F6">
        <w:rPr>
          <w:rFonts w:ascii="Times New Roman" w:eastAsia="TimesNewRoman" w:hAnsi="Times New Roman" w:cs="Times New Roman"/>
          <w:sz w:val="28"/>
          <w:szCs w:val="28"/>
        </w:rPr>
        <w:t>p&lt;</w:t>
      </w:r>
      <w:proofErr w:type="gramEnd"/>
      <w:r w:rsidRPr="00A213F6">
        <w:rPr>
          <w:rFonts w:ascii="Times New Roman" w:eastAsia="TimesNewRoman" w:hAnsi="Times New Roman" w:cs="Times New Roman"/>
          <w:sz w:val="28"/>
          <w:szCs w:val="28"/>
        </w:rPr>
        <w:t>0,05 для</w:t>
      </w:r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1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стадії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та F=12,72; p&lt;0,05) та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статистично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не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значущі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для 3 та</w:t>
      </w:r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4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стадії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(F=1,41; p&gt;0,05 для 3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стадії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та F=2,10; p&gt;0,05 для 4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стадії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>).</w:t>
      </w:r>
    </w:p>
    <w:p w:rsidR="00A213F6" w:rsidRDefault="00A213F6" w:rsidP="00A213F6">
      <w:pPr>
        <w:suppressAutoHyphens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proofErr w:type="spellStart"/>
      <w:r w:rsidRPr="00A213F6">
        <w:rPr>
          <w:rFonts w:ascii="Times New Roman" w:hAnsi="Times New Roman" w:cs="Times New Roman"/>
          <w:b/>
          <w:bCs/>
          <w:sz w:val="28"/>
          <w:szCs w:val="28"/>
        </w:rPr>
        <w:t>Висновки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: в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результаті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проведеного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дослідження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встановлено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що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показники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1 та 2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стадії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апоптозу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у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пацієнтів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з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пієлонефритом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викликаним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монокультурою,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були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нижчими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тобто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живих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клітин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та тих,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що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знаходяться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на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початкових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стадіях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апоптозу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було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менше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ніж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при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пієлонефритах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викликаних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змішаною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інфекцією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.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Такої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відповідності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не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спостерігалось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у 3 та 4 (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незворотніх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)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стадіях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апоптозу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. </w:t>
      </w:r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Дана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відповідність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потребує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подальшого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213F6">
        <w:rPr>
          <w:rFonts w:ascii="Times New Roman" w:eastAsia="TimesNewRoman" w:hAnsi="Times New Roman" w:cs="Times New Roman"/>
          <w:sz w:val="28"/>
          <w:szCs w:val="28"/>
        </w:rPr>
        <w:t>вивчення</w:t>
      </w:r>
      <w:proofErr w:type="spellEnd"/>
      <w:r w:rsidRPr="00A213F6">
        <w:rPr>
          <w:rFonts w:ascii="Times New Roman" w:eastAsia="TimesNewRoman" w:hAnsi="Times New Roman" w:cs="Times New Roman"/>
          <w:sz w:val="28"/>
          <w:szCs w:val="28"/>
        </w:rPr>
        <w:t>.</w:t>
      </w:r>
    </w:p>
    <w:p w:rsidR="00022274" w:rsidRPr="00A213F6" w:rsidRDefault="00022274" w:rsidP="00A213F6">
      <w:pPr>
        <w:suppressAutoHyphens/>
        <w:spacing w:after="0"/>
        <w:jc w:val="both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sectPr w:rsidR="00022274" w:rsidRPr="00A213F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NewRoman">
    <w:altName w:val="MS Gothic"/>
    <w:panose1 w:val="00000000000000000000"/>
    <w:charset w:val="80"/>
    <w:family w:val="auto"/>
    <w:notTrueType/>
    <w:pitch w:val="default"/>
    <w:sig w:usb0="00000000" w:usb1="08070000" w:usb2="00000010" w:usb3="00000000" w:csb0="00020001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EE4"/>
    <w:rsid w:val="00022274"/>
    <w:rsid w:val="009C3EE4"/>
    <w:rsid w:val="00A213F6"/>
    <w:rsid w:val="00A741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FCE545"/>
  <w15:chartTrackingRefBased/>
  <w15:docId w15:val="{CC7236BE-FCF5-40F0-98B7-7C08F32868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521</Words>
  <Characters>2976</Characters>
  <Application>Microsoft Office Word</Application>
  <DocSecurity>0</DocSecurity>
  <Lines>24</Lines>
  <Paragraphs>6</Paragraphs>
  <ScaleCrop>false</ScaleCrop>
  <Company/>
  <LinksUpToDate>false</LinksUpToDate>
  <CharactersWithSpaces>3491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Администратор</dc:creator>
  <cp:keywords/>
  <dc:description/>
  <cp:lastModifiedBy>Администратор</cp:lastModifiedBy>
  <cp:revision>3</cp:revision>
  <dcterms:created xsi:type="dcterms:W3CDTF">2019-11-13T18:29:00Z</dcterms:created>
  <dcterms:modified xsi:type="dcterms:W3CDTF">2019-11-13T18:35:00Z</dcterms:modified>
</cp:coreProperties>
</file>