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2260" w:rsidRDefault="00B42260" w:rsidP="00B4226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Семенюк М.А.</w:t>
      </w:r>
    </w:p>
    <w:p w:rsidR="00B42260" w:rsidRDefault="00B42260" w:rsidP="00B4226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ВЗАИМОСВЯЗЬ УРОВНЯ  МСР-1 И ТЯЖЕСТИ ТЕЧЕНИЯ </w:t>
      </w:r>
    </w:p>
    <w:p w:rsidR="00B42260" w:rsidRDefault="00B42260" w:rsidP="00B4226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БРОНХИАЛЬНОЙ АСТМЫ У ДЕТЕЙ</w:t>
      </w:r>
    </w:p>
    <w:p w:rsidR="00B42260" w:rsidRDefault="00B42260" w:rsidP="00B4226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университет, кафедра педиатрии №2, г.Харьков, Украина</w:t>
      </w:r>
    </w:p>
    <w:p w:rsidR="00B42260" w:rsidRDefault="00B42260" w:rsidP="00B4226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Научный руководитель: к.мед.н. Алексеева Н.П.</w:t>
      </w:r>
    </w:p>
    <w:p w:rsidR="00B42260" w:rsidRDefault="00B42260" w:rsidP="00B422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42260" w:rsidRDefault="00B42260" w:rsidP="00B422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развитии воспаления как ключевого механизма патогенеза бронхиальной астмы, важная роль принадлежит клеткам иммунной системы и медиаторам воспаления. </w:t>
      </w:r>
    </w:p>
    <w:p w:rsidR="00B42260" w:rsidRDefault="00B42260" w:rsidP="00B422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Цель исследования</w:t>
      </w:r>
      <w:r>
        <w:rPr>
          <w:rFonts w:ascii="Times New Roman" w:hAnsi="Times New Roman" w:cs="Times New Roman"/>
          <w:sz w:val="28"/>
          <w:szCs w:val="28"/>
        </w:rPr>
        <w:t xml:space="preserve">. Изучить содержание МСР-1 в крови детей с бронхиальной астмой (БА) в зависимости от тяжести течения заболевания. </w:t>
      </w:r>
    </w:p>
    <w:p w:rsidR="00B42260" w:rsidRDefault="00B42260" w:rsidP="00B422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Материалы и методы</w:t>
      </w:r>
      <w:r>
        <w:rPr>
          <w:rFonts w:ascii="Times New Roman" w:hAnsi="Times New Roman" w:cs="Times New Roman"/>
          <w:sz w:val="28"/>
          <w:szCs w:val="28"/>
        </w:rPr>
        <w:t xml:space="preserve">. Под наблюдением находилось 40 детей больных БА, из них 29 мальчиков и 11 девочек. Средний возраст обследованных составил 11,1±4,2 лет. В зависимости от тяжести течения БА больные были разделены на 3 группы: в 1-ю группу включены 20 детей  с легким персистирующим течением, во 2-ю группу - 9 пациентов с течением БА средней степени тяжести, 3-ю группу составили  11 больных  с тяжелым течением заболевания.  В группу контроля  включены 17 практически здоровых детей, которые были сопоставимы по полу и возрасту.  Концентрацию МСР-1 в сыворотке крови определяли методом твердофазного иммуноферментного анализа </w:t>
      </w:r>
      <w:r>
        <w:rPr>
          <w:rFonts w:ascii="Times New Roman" w:hAnsi="Times New Roman" w:cs="Times New Roman"/>
          <w:sz w:val="28"/>
          <w:szCs w:val="28"/>
          <w:lang w:val="en-US"/>
        </w:rPr>
        <w:t>ELISA</w:t>
      </w:r>
      <w:r w:rsidRPr="00B4226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B4226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использованием набора </w:t>
      </w:r>
      <w:r>
        <w:rPr>
          <w:rFonts w:ascii="Times New Roman" w:hAnsi="Times New Roman" w:cs="Times New Roman"/>
          <w:sz w:val="28"/>
          <w:szCs w:val="28"/>
          <w:lang w:val="en-US"/>
        </w:rPr>
        <w:t>Bender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Medsystems</w:t>
      </w:r>
      <w:r w:rsidRPr="00B4226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(Австрия) МСР-1. Результаты обработаны при помощи пакета программ </w:t>
      </w:r>
      <w:r>
        <w:rPr>
          <w:rFonts w:ascii="Times New Roman" w:hAnsi="Times New Roman" w:cs="Times New Roman"/>
          <w:sz w:val="28"/>
          <w:szCs w:val="28"/>
          <w:lang w:val="en-US"/>
        </w:rPr>
        <w:t>Statistica</w:t>
      </w:r>
      <w:r>
        <w:rPr>
          <w:rFonts w:ascii="Times New Roman" w:hAnsi="Times New Roman" w:cs="Times New Roman"/>
          <w:sz w:val="28"/>
          <w:szCs w:val="28"/>
        </w:rPr>
        <w:t xml:space="preserve"> 6.0 </w:t>
      </w:r>
      <w:r>
        <w:rPr>
          <w:rFonts w:ascii="Times New Roman" w:hAnsi="Times New Roman" w:cs="Times New Roman"/>
          <w:sz w:val="28"/>
          <w:szCs w:val="28"/>
          <w:lang w:val="en-US"/>
        </w:rPr>
        <w:t>Microsoft</w:t>
      </w:r>
      <w:r>
        <w:rPr>
          <w:rFonts w:ascii="Times New Roman" w:hAnsi="Times New Roman" w:cs="Times New Roman"/>
          <w:sz w:val="28"/>
          <w:szCs w:val="28"/>
        </w:rPr>
        <w:t xml:space="preserve"> с использованием </w:t>
      </w:r>
      <w:r>
        <w:rPr>
          <w:rFonts w:ascii="Times New Roman" w:hAnsi="Times New Roman" w:cs="Times New Roman"/>
          <w:sz w:val="28"/>
          <w:szCs w:val="28"/>
          <w:lang w:val="en-US"/>
        </w:rPr>
        <w:t>descriptive</w:t>
      </w:r>
      <w:r w:rsidRPr="00B4226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statistics</w:t>
      </w:r>
      <w:r w:rsidRPr="00B4226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 определением </w:t>
      </w:r>
      <w:r>
        <w:rPr>
          <w:rFonts w:ascii="Times New Roman" w:hAnsi="Times New Roman" w:cs="Times New Roman"/>
          <w:sz w:val="28"/>
          <w:szCs w:val="28"/>
          <w:lang w:val="en-US"/>
        </w:rPr>
        <w:t>Mean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Lower</w:t>
      </w:r>
      <w:r>
        <w:rPr>
          <w:rFonts w:ascii="Times New Roman" w:hAnsi="Times New Roman" w:cs="Times New Roman"/>
          <w:sz w:val="28"/>
          <w:szCs w:val="28"/>
        </w:rPr>
        <w:t xml:space="preserve"> &amp; </w:t>
      </w:r>
      <w:r>
        <w:rPr>
          <w:rFonts w:ascii="Times New Roman" w:hAnsi="Times New Roman" w:cs="Times New Roman"/>
          <w:sz w:val="28"/>
          <w:szCs w:val="28"/>
          <w:lang w:val="en-US"/>
        </w:rPr>
        <w:t>Upper</w:t>
      </w:r>
      <w:r w:rsidRPr="00B4226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quartiles</w:t>
      </w:r>
      <w:r>
        <w:rPr>
          <w:rFonts w:ascii="Times New Roman" w:hAnsi="Times New Roman" w:cs="Times New Roman"/>
          <w:sz w:val="28"/>
          <w:szCs w:val="28"/>
        </w:rPr>
        <w:t xml:space="preserve">. Достоверность различий оценивали непараметрическими методами с использованием </w:t>
      </w:r>
      <w:r>
        <w:rPr>
          <w:rFonts w:ascii="Times New Roman" w:hAnsi="Times New Roman" w:cs="Times New Roman"/>
          <w:sz w:val="28"/>
          <w:szCs w:val="28"/>
          <w:lang w:val="en-US"/>
        </w:rPr>
        <w:t>Mann</w:t>
      </w: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Whitney</w:t>
      </w:r>
      <w:r w:rsidRPr="00B4226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u w:val="single"/>
          <w:lang w:val="en-US"/>
        </w:rPr>
        <w:t>U</w:t>
      </w:r>
      <w:r w:rsidRPr="00B4226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test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B42260" w:rsidRDefault="00B42260" w:rsidP="00B422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Результаты исследования и обсуждение</w:t>
      </w:r>
      <w:r>
        <w:rPr>
          <w:rFonts w:ascii="Times New Roman" w:hAnsi="Times New Roman" w:cs="Times New Roman"/>
          <w:sz w:val="28"/>
          <w:szCs w:val="28"/>
        </w:rPr>
        <w:t xml:space="preserve">. В результате исследования выявлено, что наиболее высокая концентрация МСР-1 была определена у больных 1-й группы  –  868,07 пм/мл (797,29; 954,41). У пациентов 2-ой группы уровень МСР-1 был ниже, чем у пациентов 1-ой группы и составил 784,94 пм/мл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(648,22; 905,17),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>
        <w:rPr>
          <w:rFonts w:ascii="Times New Roman" w:hAnsi="Times New Roman" w:cs="Times New Roman"/>
          <w:sz w:val="28"/>
          <w:szCs w:val="28"/>
        </w:rPr>
        <w:t>&gt;0,05. Дети в 3-ей группе имели наиболее низкое содержание МСР-1 в сыворотке крови - 707,69 пм/мл (</w:t>
      </w:r>
      <w:r w:rsidRPr="00B4226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583,22; 825,68), что было достоверно ниже, чем у больных 1-ой группы - 868,07 пм/мл (797,29</w:t>
      </w:r>
      <w:r w:rsidR="0078678E">
        <w:rPr>
          <w:rFonts w:ascii="Times New Roman" w:hAnsi="Times New Roman" w:cs="Times New Roman"/>
          <w:sz w:val="28"/>
          <w:szCs w:val="28"/>
        </w:rPr>
        <w:t xml:space="preserve">; </w:t>
      </w:r>
      <w:r>
        <w:rPr>
          <w:rFonts w:ascii="Times New Roman" w:hAnsi="Times New Roman" w:cs="Times New Roman"/>
          <w:sz w:val="28"/>
          <w:szCs w:val="28"/>
        </w:rPr>
        <w:t xml:space="preserve">954,41), 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>
        <w:rPr>
          <w:rFonts w:ascii="Times New Roman" w:hAnsi="Times New Roman" w:cs="Times New Roman"/>
          <w:sz w:val="28"/>
          <w:szCs w:val="28"/>
        </w:rPr>
        <w:t>&lt;0,02. Следует отметить, что во всех исследуемых когортах пациентов с БА отмечено достоверное увеличение уровня хемокина МСР-1 в сравнении с группой контроля 373,12 пм/мл (353,80</w:t>
      </w:r>
      <w:r w:rsidR="0078678E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400,00), р&lt;0,05.  Анализ результатов определения МСР-1 и показателей  иммунной системы больных БА не выявил значимых взаимосвязей. Была установлена прямая корреляция с показателями Т-лимфоцитов</w:t>
      </w:r>
      <w:r w:rsidR="0078678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CD</w:t>
      </w:r>
      <w:r>
        <w:rPr>
          <w:rFonts w:ascii="Times New Roman" w:hAnsi="Times New Roman" w:cs="Times New Roman"/>
          <w:sz w:val="28"/>
          <w:szCs w:val="28"/>
        </w:rPr>
        <w:t>3)</w:t>
      </w:r>
      <w:r w:rsidR="0078678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</w:t>
      </w:r>
      <w:r>
        <w:rPr>
          <w:rFonts w:ascii="Times New Roman" w:hAnsi="Times New Roman" w:cs="Times New Roman"/>
          <w:sz w:val="28"/>
          <w:szCs w:val="28"/>
        </w:rPr>
        <w:t xml:space="preserve">=0,84 </w:t>
      </w:r>
      <w:r w:rsidR="0078678E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>
        <w:rPr>
          <w:rFonts w:ascii="Times New Roman" w:hAnsi="Times New Roman" w:cs="Times New Roman"/>
          <w:sz w:val="28"/>
          <w:szCs w:val="28"/>
        </w:rPr>
        <w:t>&lt;0,02)  у детей 2-ой группы, обратная связь (</w:t>
      </w:r>
      <w:r>
        <w:rPr>
          <w:rFonts w:ascii="Times New Roman" w:hAnsi="Times New Roman" w:cs="Times New Roman"/>
          <w:sz w:val="28"/>
          <w:szCs w:val="28"/>
          <w:lang w:val="en-US"/>
        </w:rPr>
        <w:t>r</w:t>
      </w:r>
      <w:r>
        <w:rPr>
          <w:rFonts w:ascii="Times New Roman" w:hAnsi="Times New Roman" w:cs="Times New Roman"/>
          <w:sz w:val="28"/>
          <w:szCs w:val="28"/>
        </w:rPr>
        <w:t xml:space="preserve">=-0,23) с уровнем </w:t>
      </w:r>
      <w:r>
        <w:rPr>
          <w:rFonts w:ascii="Times New Roman" w:hAnsi="Times New Roman" w:cs="Times New Roman"/>
          <w:sz w:val="28"/>
          <w:szCs w:val="28"/>
          <w:lang w:val="en-US"/>
        </w:rPr>
        <w:t>IgE</w:t>
      </w:r>
      <w:r>
        <w:rPr>
          <w:rFonts w:ascii="Times New Roman" w:hAnsi="Times New Roman" w:cs="Times New Roman"/>
          <w:sz w:val="28"/>
          <w:szCs w:val="28"/>
        </w:rPr>
        <w:t xml:space="preserve">. С уровнем моноцитов в периферической крови у обследованных всех групп корреляции обнаружено не было. </w:t>
      </w:r>
    </w:p>
    <w:p w:rsidR="00B42260" w:rsidRDefault="00B42260" w:rsidP="00B422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Заключение</w:t>
      </w:r>
      <w:r>
        <w:rPr>
          <w:rFonts w:ascii="Times New Roman" w:hAnsi="Times New Roman" w:cs="Times New Roman"/>
          <w:sz w:val="28"/>
          <w:szCs w:val="28"/>
        </w:rPr>
        <w:t xml:space="preserve">. У детей с БА отмечается повышение уровня МСР-1, что свидетельствует об участии этого хемокина в формировании воспалительного процесса. Высокое значение МСР-1 у больных с легким персистирующим течением БА может быть маркером активации защитных сил, а снижение его по мере нарастания тяжести, возможно, отражает прогрессирование воспаления с формированием ремоделирования бронхиального дерева с элементами необратимых склеротических изменений. </w:t>
      </w:r>
    </w:p>
    <w:p w:rsidR="00B42260" w:rsidRDefault="00B42260" w:rsidP="00B42260"/>
    <w:p w:rsidR="009A6069" w:rsidRDefault="009A6069"/>
    <w:sectPr w:rsidR="009A6069" w:rsidSect="00B4226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5B43"/>
    <w:rsid w:val="000663A0"/>
    <w:rsid w:val="006114C4"/>
    <w:rsid w:val="0078678E"/>
    <w:rsid w:val="009A6069"/>
    <w:rsid w:val="00B42260"/>
    <w:rsid w:val="00D55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22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22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002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446</Words>
  <Characters>2543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CCCP</Company>
  <LinksUpToDate>false</LinksUpToDate>
  <CharactersWithSpaces>2984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</dc:creator>
  <cp:lastModifiedBy>I</cp:lastModifiedBy>
  <cp:revision>2</cp:revision>
  <dcterms:created xsi:type="dcterms:W3CDTF">2016-02-28T15:09:00Z</dcterms:created>
  <dcterms:modified xsi:type="dcterms:W3CDTF">2016-02-28T15:09:00Z</dcterms:modified>
</cp:coreProperties>
</file>