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F75" w:rsidRPr="009E4F75" w:rsidRDefault="009E4F75" w:rsidP="009E4F75">
      <w:pPr>
        <w:spacing w:after="0" w:line="330" w:lineRule="atLeast"/>
        <w:jc w:val="center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Андросов Є.Д.</w:t>
      </w:r>
      <w:r w:rsidRPr="009E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uk-UA"/>
        </w:rPr>
        <w:t>1</w:t>
      </w:r>
      <w:r w:rsidRPr="009E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, Резуненко Ю.К.</w:t>
      </w:r>
      <w:r w:rsidRPr="009E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uk-UA"/>
        </w:rPr>
        <w:t>1</w:t>
      </w:r>
      <w:r w:rsidRPr="009E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, Жерновая М.Є.</w:t>
      </w:r>
      <w:r w:rsidRPr="009E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uk-UA"/>
        </w:rPr>
        <w:t>2</w:t>
      </w:r>
      <w:r w:rsidRPr="009E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, Бачинський Р.О.</w:t>
      </w:r>
      <w:r w:rsidRPr="009E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uk-UA"/>
        </w:rPr>
        <w:t>1</w:t>
      </w:r>
      <w:r w:rsidRPr="009E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, Ткаченко А.С.</w:t>
      </w:r>
      <w:r w:rsidRPr="009E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vertAlign w:val="superscript"/>
          <w:lang w:val="en-US" w:eastAsia="uk-UA"/>
        </w:rPr>
        <w:t>1</w:t>
      </w:r>
    </w:p>
    <w:p w:rsidR="009E4F75" w:rsidRPr="009E4F75" w:rsidRDefault="009E4F75" w:rsidP="009E4F75">
      <w:pPr>
        <w:spacing w:after="0" w:line="330" w:lineRule="atLeast"/>
        <w:jc w:val="center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val="en-US" w:eastAsia="uk-UA"/>
        </w:rPr>
        <w:t>1</w:t>
      </w:r>
      <w:r w:rsidRPr="009E4F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Харківський національний медичний університет (м. Харків)</w:t>
      </w:r>
    </w:p>
    <w:p w:rsidR="009E4F75" w:rsidRPr="009E4F75" w:rsidRDefault="009E4F75" w:rsidP="009E4F75">
      <w:pPr>
        <w:spacing w:after="0" w:line="330" w:lineRule="atLeast"/>
        <w:jc w:val="center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perscript"/>
          <w:lang w:val="en-US" w:eastAsia="uk-UA"/>
        </w:rPr>
        <w:t>2</w:t>
      </w:r>
      <w:r w:rsidRPr="009E4F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Луганський державний медичний університет</w:t>
      </w:r>
      <w:r w:rsidRPr="009E4F75">
        <w:rPr>
          <w:rFonts w:ascii="Times New Roman" w:eastAsia="Times New Roman" w:hAnsi="Times New Roman" w:cs="Times New Roman"/>
          <w:i/>
          <w:iCs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(м. Рубіжне)</w:t>
      </w:r>
    </w:p>
    <w:p w:rsidR="009E4F75" w:rsidRPr="009E4F75" w:rsidRDefault="009E4F75" w:rsidP="009E4F75">
      <w:pPr>
        <w:spacing w:after="0" w:line="330" w:lineRule="atLeast"/>
        <w:jc w:val="center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</w:p>
    <w:p w:rsidR="009E4F75" w:rsidRPr="009E4F75" w:rsidRDefault="009E4F75" w:rsidP="009E4F75">
      <w:pPr>
        <w:spacing w:after="0" w:line="330" w:lineRule="atLeast"/>
        <w:jc w:val="center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СТАН</w:t>
      </w:r>
      <w:r w:rsidRPr="009E4F75">
        <w:rPr>
          <w:rFonts w:ascii="Times New Roman" w:eastAsia="Times New Roman" w:hAnsi="Times New Roman" w:cs="Times New Roman"/>
          <w:b/>
          <w:bCs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-ОКИСЛЮВАЛЬНИХ ПРОЦЕСІВ У ЩУРІВ ПІД ВПЛИВОМ СУБТОКСИЧНИХ ДОЗ ПОЛІОКСИПРОПІЛЕНГЛІКОЛЮ МОЛЕКУЛЯРНОЇ МАСИ 500</w:t>
      </w:r>
    </w:p>
    <w:p w:rsidR="009E4F75" w:rsidRPr="009E4F75" w:rsidRDefault="009E4F75" w:rsidP="009E4F75">
      <w:pPr>
        <w:spacing w:after="0" w:line="330" w:lineRule="atLeast"/>
        <w:jc w:val="center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</w:p>
    <w:p w:rsidR="009E4F75" w:rsidRPr="009E4F75" w:rsidRDefault="009E4F75" w:rsidP="009E4F75">
      <w:pPr>
        <w:spacing w:after="0" w:line="330" w:lineRule="atLeast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       </w:t>
      </w:r>
      <w:r w:rsidRPr="009E4F75">
        <w:rPr>
          <w:rFonts w:ascii="Times New Roman" w:eastAsia="Times New Roman" w:hAnsi="Times New Roman" w:cs="Times New Roman"/>
          <w:b/>
          <w:bCs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Вступ</w:t>
      </w:r>
    </w:p>
    <w:p w:rsidR="009E4F75" w:rsidRPr="009E4F75" w:rsidRDefault="009E4F75" w:rsidP="009E4F75">
      <w:pPr>
        <w:spacing w:after="0" w:line="330" w:lineRule="atLeast"/>
        <w:ind w:firstLine="709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умовах зростаючого антропогенного хімічного навантаження на біосферу актуальною проблемою залишається діагностика гомеостатичної функції організму при донозологічній оцінці структурно-метаболічних порушень, які формуються внаслідок шкідливої дії субтоксичних доз ксенобіотиків. Необхідність визначення патохімічних механізмів розвитку патологічних станів дає можливість для розробки профілактичних заходів і впровадження антидотної терапії. На думку багатьох авторів, значна частина хімічних забруднювачів стимулює вільнорадикальні процеси, перекисне окислення ліпідів і формує розвиток мембранної патології [1, 2]. При цьому, тривала субтоксична дія ксенобіотиків призводить до виснаження системи антирадикального й антиперекисного захисту, що спонукає структурно-метаболічні порушення в біологічних мембранах клітини: ендоплазматичній мережі, плазматичній, мітохондріальній, лізосомальній, ядерній та ін. [3, 4]. Відомо, що найбільш активними структурно-функціональними одиницями в генерації оксидативних процесів виступають мікросомальна гідроксилююча монооксигеназна система гепатоцитів і мітохондріальний дихальний електороннотранспортний ланцюг, які в умовах токсифікації здатні утворювати активні форми кисню й стимулювати накопичення вільних радикалів, перекисів, гідроперекисів. Не виключено, що тривала субтоксична дія нового ксенобіотика – поліоксипропіленгліколю молекулярної маси 500 здатна формувати в організмі розвиток оксидативних процесів і мембранну патологію. Необхідність вивчення впливу поліоксипропіленгліколю на оксидативні процеси обумовлена великими обсягами виробництва, широким застосуванням у різних галузях народного господарства й відсутністю прогностичної характеристики потенційної безпеки для теплокровних тварин та обґрунтування патохімічних механізмів структурно-метаболічних порушень.</w:t>
      </w:r>
    </w:p>
    <w:p w:rsidR="009E4F75" w:rsidRPr="009E4F75" w:rsidRDefault="009E4F75" w:rsidP="009E4F75">
      <w:pPr>
        <w:spacing w:after="0" w:line="330" w:lineRule="atLeast"/>
        <w:ind w:firstLine="709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uk-UA"/>
        </w:rPr>
        <w:t>Метою роботи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було вивчення впливу поліоксипропіленгліколю молекулярної маси 500 на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вміст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оксиду азоту і (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)-окислювальні процеси під впливом тривалої субтоксичної дії в умовах підгострого токсикологічного експерименту.</w:t>
      </w:r>
    </w:p>
    <w:p w:rsidR="009E4F75" w:rsidRPr="009E4F75" w:rsidRDefault="009E4F75" w:rsidP="009E4F75">
      <w:pPr>
        <w:spacing w:after="0" w:line="330" w:lineRule="atLeast"/>
        <w:ind w:firstLine="709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Матеріали </w:t>
      </w:r>
      <w:r w:rsidRPr="009E4F75">
        <w:rPr>
          <w:rFonts w:ascii="Times New Roman" w:eastAsia="Times New Roman" w:hAnsi="Times New Roman" w:cs="Times New Roman"/>
          <w:b/>
          <w:bCs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та методи дослідження</w:t>
      </w:r>
    </w:p>
    <w:p w:rsidR="009E4F75" w:rsidRPr="009E4F75" w:rsidRDefault="009E4F75" w:rsidP="009E4F75">
      <w:pPr>
        <w:spacing w:after="0" w:line="330" w:lineRule="atLeast"/>
        <w:ind w:firstLine="709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роботі був застосований поліоксипропіленгліколь молекулярної маси 500 з регламентованими фізико-хімічними властивостями, що має товарну назву «Лапрол» – Л-502-2-10. Даний ксенобіотик за агрегатним станом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являє собою в’язку,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прозору рідину, добре розчинну у воді,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спиртах, 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бензолі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толуолі. Експериментальна частина роботи була виконана на 40 статевозрілих щурах популяції Вістар масою 180–190 г. Тварини розподілялися на 4 групи: три дослідні й одна контрольна, у кожній по 10 щурів. Відповідно до програми дослідження щоденно, вранці за допомогою металевого зонда щури перорально отримували водні розчини ксенобіотика в 1/10, 1/100 й 1/1000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середньолетальної дози (ДЛ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50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 Контрольній групі вводилися відповідні об’єми питної води. Тривалість підгострої токсифікації становила 60 діб. При виконанні роботи дотримувалися біоетики й принципів «Європейської конвенції про захист хребетних тварин, які використовуються для експериментальних та інших наукових цілей» (Страсбург, 1986). На основі параметрів гострої токсичності Л-502-2-10 відноситься до помірно токсичних сполук, яким не властиві кумуляція, статева й видова чутливість. ДЛ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50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Л-502-2-10 була встановлена на рівнях 1,83 і 2,13 г/кг маси тварин, відповідно для щурів і мишей [5]. Стан окислювальної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О-синтазної системи вивчали у відповідності з методичними рекомендаціями «Діагностика ендотеліальної функції – оцінка вазоактивного пулу оксиду азоту». – МОЗ України, Київ, 2007. – 20 с. При цьому, визначали в сироватці крові вміст нітритів (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 нітратів (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3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-нітрозотіолу й активності ендотеліальної (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eNOS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 та індуцибельної (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iNOS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-синтази.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 метою оцінки стану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-залежних механізмів у крові визначали вміст метгемоглобіну за М.С. Кушаковським [6]. У гомогенатах печінки визначали вміст циклічного гуанозинмонофосфату (цГМФ) за допомогою стандартних радіоімунних наборів реагентів фірми «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Amersham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» (Великобританія), у гепатоцитах – активність гуанілатциклази (ГЦ) відповідно до методичних вказівок [7] і фософодіестарази (ФДЕ) – відповідно до методичних вказівок [8]. У мембранних фракціях мікросом ендоплазматичного ретикулуму гепатоцитів визначали поглинання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45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Са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2+</w:t>
      </w:r>
      <w:r w:rsidRPr="009E4F75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[9]. У сироватцікрові тварин визначали вміст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L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-аргініну й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L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-цитруліну за допомогою автоматичного аналізатору амінокислот ААА-339. Отримані результати були опрацьовані методами варіаційної статистики з використанням критерію Стьюдента-Фішера.</w:t>
      </w:r>
    </w:p>
    <w:p w:rsidR="009E4F75" w:rsidRPr="009E4F75" w:rsidRDefault="009E4F75" w:rsidP="009E4F75">
      <w:pPr>
        <w:spacing w:after="0" w:line="330" w:lineRule="atLeast"/>
        <w:ind w:firstLine="709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Результати дослідження та їх обговорення</w:t>
      </w:r>
    </w:p>
    <w:p w:rsidR="009E4F75" w:rsidRPr="009E4F75" w:rsidRDefault="009E4F75" w:rsidP="009E4F75">
      <w:pPr>
        <w:spacing w:after="0" w:line="330" w:lineRule="atLeast"/>
        <w:ind w:firstLine="709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Результати дослідження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-залежних окислювальних процесів, що виникали в щурів під впливом субтоксичних доз Л-502-2-10, свідчили про їх активацію в порівнянні з групою контрольних тварин (Табл. 1). Ці зміни характеризувалися суттєвим підвищенням рівня в крові метгемоглобіну. Найбільш висока його концентрація спостерігалась у щурів, які були токсифіковані 1/10 ДЛ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50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Так, рівні окисленого гемоглобіну підвищувалися в 7,37 і 3,9 рази, відповідно під впливом 1/10 й 1/100 ДЛ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50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В 1/1000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50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«Лапрол» не впливав на цей показник у порівнянні з групою контролю. Відомо, що в механізмах утворення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приймає участь протеїногенна амінокислота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L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-аргінін. Продуктом її обміну є непротеїногенна амінокислота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L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-цитрулін. Дослідження в плазмі крові цих субстратів виявили підвищення вмісту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L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-цитруліну на 94,86% й 53,28%, а також зниження концентрації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L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-аргініну на 56,15% й 47,12%, відповідно під впливом 1/10 й 1/100 ДЛ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50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Ці дані дають можливість судити про активацію ферментативного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-синтазного окислення гуанідинової групи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L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-аргініну й 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утворення проміжного продукту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L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-гідроксиаргініну, а на наступному етапі –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L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-цитруліну й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вільнорадикальній формі [10]. Мішенню дії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 ГЦ, яка призводить до утворення цГМФ, через який і здійснюється реалізація ефектів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Аналіз показав підвищення в печінці активності ГЦ на 145,31% й 99,21% та вмісту</w:t>
      </w:r>
    </w:p>
    <w:p w:rsidR="009E4F75" w:rsidRPr="009E4F75" w:rsidRDefault="009E4F75" w:rsidP="009E4F75">
      <w:pPr>
        <w:spacing w:after="0" w:line="330" w:lineRule="atLeast"/>
        <w:ind w:firstLine="709"/>
        <w:jc w:val="right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Таблиця 1</w:t>
      </w:r>
    </w:p>
    <w:p w:rsidR="009E4F75" w:rsidRPr="009E4F75" w:rsidRDefault="009E4F75" w:rsidP="009E4F75">
      <w:pPr>
        <w:spacing w:after="0" w:line="330" w:lineRule="atLeast"/>
        <w:jc w:val="center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Результати оцінки впливу Л-502-2-10 на</w:t>
      </w:r>
      <w:r w:rsidRPr="009E4F75">
        <w:rPr>
          <w:rFonts w:ascii="Times New Roman" w:eastAsia="Times New Roman" w:hAnsi="Times New Roman" w:cs="Times New Roman"/>
          <w:b/>
          <w:bCs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-окислювальні процеси в умовах тривалої субтоксичної дії</w:t>
      </w:r>
    </w:p>
    <w:tbl>
      <w:tblPr>
        <w:tblW w:w="9639" w:type="dxa"/>
        <w:tblInd w:w="-5" w:type="dxa"/>
        <w:tblCellMar>
          <w:left w:w="0" w:type="dxa"/>
          <w:right w:w="0" w:type="dxa"/>
        </w:tblCellMar>
        <w:tblLook w:val="04A0"/>
      </w:tblPr>
      <w:tblGrid>
        <w:gridCol w:w="2552"/>
        <w:gridCol w:w="1701"/>
        <w:gridCol w:w="1843"/>
        <w:gridCol w:w="1842"/>
        <w:gridCol w:w="1701"/>
      </w:tblGrid>
      <w:tr w:rsidR="009E4F75" w:rsidRPr="009E4F75" w:rsidTr="009E4F75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Показники</w:t>
            </w:r>
          </w:p>
        </w:tc>
        <w:tc>
          <w:tcPr>
            <w:tcW w:w="7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Групи спостереження (</w:t>
            </w: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M</w:t>
            </w: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±</w:t>
            </w: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m</w:t>
            </w: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), ДЛ</w:t>
            </w: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uk-UA"/>
              </w:rPr>
              <w:t>50</w:t>
            </w:r>
          </w:p>
        </w:tc>
      </w:tr>
      <w:tr w:rsidR="009E4F75" w:rsidRPr="009E4F75" w:rsidTr="009E4F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4F75" w:rsidRPr="009E4F75" w:rsidRDefault="009E4F75" w:rsidP="009E4F75">
            <w:pPr>
              <w:spacing w:after="0" w:line="240" w:lineRule="auto"/>
              <w:rPr>
                <w:rFonts w:ascii="Calibri" w:eastAsia="Times New Roman" w:hAnsi="Calibri" w:cs="Times New Roman"/>
                <w:lang w:eastAsia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ind w:right="-184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Контроль</w:t>
            </w:r>
          </w:p>
          <w:p w:rsidR="009E4F75" w:rsidRPr="009E4F75" w:rsidRDefault="009E4F75" w:rsidP="009E4F75">
            <w:pPr>
              <w:spacing w:after="0" w:line="240" w:lineRule="auto"/>
              <w:ind w:right="-184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 </w:t>
            </w: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n</w:t>
            </w: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=10)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1/10</w:t>
            </w:r>
          </w:p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</w:t>
            </w: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n</w:t>
            </w: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=10)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1/100</w:t>
            </w:r>
          </w:p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(</w:t>
            </w: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n</w:t>
            </w: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=10)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1/1000</w:t>
            </w:r>
          </w:p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(n</w:t>
            </w: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=10)</w:t>
            </w:r>
          </w:p>
        </w:tc>
      </w:tr>
      <w:tr w:rsidR="009E4F75" w:rsidRPr="009E4F75" w:rsidTr="009E4F75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Метгемоглобін</w:t>
            </w: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1,32±0,16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9,73±0,84*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5,16±0,62*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1,43±0,18</w:t>
            </w:r>
          </w:p>
        </w:tc>
      </w:tr>
      <w:tr w:rsidR="009E4F75" w:rsidRPr="009E4F75" w:rsidTr="009E4F75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L</w:t>
            </w: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-цитрулін</w:t>
            </w: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14,6±1,12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28,45±1,57*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22,38±1,43*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15,67±1,14</w:t>
            </w:r>
          </w:p>
        </w:tc>
      </w:tr>
      <w:tr w:rsidR="009E4F75" w:rsidRPr="009E4F75" w:rsidTr="009E4F75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L</w:t>
            </w: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-аргінін</w:t>
            </w: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23,58±1,43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10,34±0,88*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12,47±1,15*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24,40±1,63</w:t>
            </w:r>
          </w:p>
        </w:tc>
      </w:tr>
      <w:tr w:rsidR="009E4F75" w:rsidRPr="009E4F75" w:rsidTr="009E4F75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цГМФ,</w:t>
            </w:r>
          </w:p>
          <w:p w:rsidR="009E4F75" w:rsidRPr="009E4F75" w:rsidRDefault="009E4F75" w:rsidP="009E4F75">
            <w:pPr>
              <w:spacing w:after="0" w:line="240" w:lineRule="auto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нмоль/г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114,6±7,54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209,3±10,6*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178,56±8,7*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119,6±6,84</w:t>
            </w:r>
          </w:p>
        </w:tc>
      </w:tr>
      <w:tr w:rsidR="009E4F75" w:rsidRPr="009E4F75" w:rsidTr="009E4F75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ГЦ, нмоль цГМФ /хв·мг білка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1,28±0,03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3,14±0,26*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2,55±0,18*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1,30±0,04</w:t>
            </w:r>
          </w:p>
        </w:tc>
      </w:tr>
      <w:tr w:rsidR="009E4F75" w:rsidRPr="009E4F75" w:rsidTr="009E4F75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ФДЕ, нмоль/хв·мг білка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1,22±0,15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2,96±0,23*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2,43±0,21*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1,27±0,13</w:t>
            </w:r>
          </w:p>
        </w:tc>
      </w:tr>
      <w:tr w:rsidR="009E4F75" w:rsidRPr="009E4F75" w:rsidTr="009E4F75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Поглинання </w:t>
            </w: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45</w:t>
            </w: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Са</w:t>
            </w: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2+</w:t>
            </w: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імп/хв·мг білка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2945,6±60,4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5874,3±72,5*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5468,8±65,7*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2986,7±80,5</w:t>
            </w:r>
          </w:p>
        </w:tc>
      </w:tr>
      <w:tr w:rsidR="009E4F75" w:rsidRPr="009E4F75" w:rsidTr="009E4F75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NO</w:t>
            </w: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uk-UA"/>
              </w:rPr>
              <w:t>2</w:t>
            </w: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11,7±0,98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26,5±1,37*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19,6±1,22*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12,3±1,14</w:t>
            </w:r>
          </w:p>
        </w:tc>
      </w:tr>
      <w:tr w:rsidR="009E4F75" w:rsidRPr="009E4F75" w:rsidTr="009E4F75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NO</w:t>
            </w: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uk-UA"/>
              </w:rPr>
              <w:t>3</w:t>
            </w: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-а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21,65±1,43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42,58±2,16*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33,24±1,85*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22,55±1,47</w:t>
            </w:r>
          </w:p>
        </w:tc>
      </w:tr>
      <w:tr w:rsidR="009E4F75" w:rsidRPr="009E4F75" w:rsidTr="009E4F75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S</w:t>
            </w: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-нітрозотіол</w:t>
            </w: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uk-UA"/>
              </w:rPr>
              <w:t>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0,34±0,05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0,65±0,07*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0,53±0,06*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0,33±0,04</w:t>
            </w:r>
          </w:p>
        </w:tc>
      </w:tr>
      <w:tr w:rsidR="009E4F75" w:rsidRPr="009E4F75" w:rsidTr="009E4F75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е</w:t>
            </w: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NOS</w:t>
            </w: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</w:p>
          <w:p w:rsidR="009E4F75" w:rsidRPr="009E4F75" w:rsidRDefault="009E4F75" w:rsidP="009E4F75">
            <w:pPr>
              <w:spacing w:after="0" w:line="240" w:lineRule="auto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ммоль/хв·мг білка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0,53±0,07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0,97±0,08*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0,84±0,07*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0,52±0,06</w:t>
            </w:r>
          </w:p>
        </w:tc>
      </w:tr>
      <w:tr w:rsidR="009E4F75" w:rsidRPr="009E4F75" w:rsidTr="009E4F75"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>iNOS</w:t>
            </w: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</w:t>
            </w:r>
          </w:p>
          <w:p w:rsidR="009E4F75" w:rsidRPr="009E4F75" w:rsidRDefault="009E4F75" w:rsidP="009E4F75">
            <w:pPr>
              <w:spacing w:after="0" w:line="240" w:lineRule="auto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ммоль/хв·мг білка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0,22±0,03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0,78±0,06*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0,63±0,05*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4F75" w:rsidRPr="009E4F75" w:rsidRDefault="009E4F75" w:rsidP="009E4F7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uk-UA"/>
              </w:rPr>
            </w:pPr>
            <w:r w:rsidRPr="009E4F75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0,21±0,02</w:t>
            </w:r>
          </w:p>
        </w:tc>
      </w:tr>
    </w:tbl>
    <w:p w:rsidR="009E4F75" w:rsidRPr="009E4F75" w:rsidRDefault="009E4F75" w:rsidP="009E4F75">
      <w:pPr>
        <w:spacing w:line="253" w:lineRule="atLeast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Примітка: * – різниця вірогідна р &lt; 0,05, а - мкмоль/л</w:t>
      </w:r>
    </w:p>
    <w:p w:rsidR="009E4F75" w:rsidRPr="009E4F75" w:rsidRDefault="009E4F75" w:rsidP="009E4F75">
      <w:pPr>
        <w:spacing w:after="0" w:line="330" w:lineRule="atLeast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цГМФ на 82,63% й 55,81%, відповідно під впливом «Лапрола» в 1/10 й 1/100 ДЛ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50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Катаболізм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здійснюється через утворення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3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а цГМФ метаболізується відповідно ФДЕ до ГМФ.</w:t>
      </w:r>
      <w:r w:rsidRPr="009E4F75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Результати дослідження показали, що Л-502-2-10 підвищував у печінці активність ФДЕ на 147,62% й 99,18%, атакож вміст у сироватці крові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на 126,49% й 67,52%,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3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на 96,67% й 53,53%, відповідно під впливом ксенобіотика в 1/10 й 1/100 ДЛ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50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Отримані дані вказують на значну продукцію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3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 токсифікованих тварин. Це забезпечує можливість залучатися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реакцій з гемоглобіном або через взаємодію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val="en-US"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 супероксид-аніоном та утворенням пероксинітриту (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ONOO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).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</w:t>
      </w:r>
      <w:r w:rsidRPr="009E4F75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3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мають високу спорідненість і можуть залучатися до реакції з гемовою групою гемоглобіну, як і з іншими гемовмісними білками й ферментами, утворюючи при цьому метгемоглобін. Цей механізм є найбільш імовірним в умовах токсифікації тварин Л-502-2-10 і накопичення при цьому метгемоглобіну, що свідчить про цитотоксичну дію ксенобіотика в 1/10 й 1/100 ДЛ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50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Поряд з тим відомо, що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відіграє універсальну роль модулятора багатьох фізіологічних функцій серцево-судинної, центральної нервової, імунної, м’язової, дихальної, травної й інших систем організму [11].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val="en-US"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відповідає за тонус судин, міжклітинну комунікацію, модуляцію 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нейротрансмісії, рівень імунотоксичності, секрецію гормонів, медіаторів [10, 11]. Ця молекула може бути пагубною як для клітин, включаючи ракові, так і для внутрішньоклітинних патогенних мікроорганізмів. Було встановлено, що цитотоксичність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є результатом утворення великої кількості цих молекул, які ініціюють апоптоз [12, 13]. Подвійність дії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проявляється в здатності захищати клітини від апоптозних сигналів і визивати апоптоз. Буде чи ні молекула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володіти цитотоксичними властивостями, залежить від типу клітин, фази їх розвитку, біоелектричного потенціалу, локальної концентрації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val="en-US"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 інших активних форм кисню [11]. Вільний радикал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клітинах швидко взаємодіє з киснем, супероксидним аніон-радикалом кисню й металами гемових і негемових білків, внаслідок чого в клітині утворюються нітрозильні комплекси гемового й негемового заліза [10]. Безпосередньо з сульфгідрильними групами білків взаємодіє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+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9E4F75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який утворюється з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після відновлення з металами. Внаслідок цього в клітинах, при достатній кількості тіолів, під впливом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здійснюється нітрозилювання й зміна активності металовмісних білків, які мають активні цистеїнові центри [11, 12]. При утворенні великої кількості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він під впливом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-синтази може взаємодіяти з супероксидним аніоном, утворюючи другу активну форму кисню –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ONOO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яка здатна вступати в реакцію відновлення з глутатіоном і вуглекислим газом. У цьому випадку утворюється нітрозопероксикарбонат (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ONO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CO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 який легко визиває хімічну модифікацію реактивних залишків тирозину в білках, що супроводжується зміною їх активності. Окрім цього, токсичний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ONOO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здатний неінзиматично продукувати гідроксильні токсичні радикали (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OH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 включаючи таким чином молекулу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 процес утворення активних форм кисню [10, 11], які володіють властивістю окислювати білки, ліпіди й нуклеїнові кислоти. Результати дослідження показали, що Л-502-2-10 після 60 добової токсифікації щурів підвищував вміст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-нітрозотіолу на 91,17% й 55,88%, а також активність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NOS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val="en-US"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83,01% й 58,49% та і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NOS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254,54% й 186,36%. Ці дані вказують, що поліоксипропіленгліколь молекулярної маси 500 в 1/10 і 1/100 ДЛ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50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активує оксидативні процеси, які супроводжуються накопиченням активних форм кисню, продуктів нітрозилювання, зміною функціональної активності клітин, що віддзеркалює розвиток цитотоксичних ефектів. Відомо, що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iNOS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яка продукує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для захисту організму, може призводити до розвитку цитотоксичних ефектів. Результати дослідження виявили значне підвищення активності цього ферменту під впливом як 1/10, так і 1/100ДЛ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50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 тлі накопичення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val="en-US"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й інших активних форм кисню, що може виступати провідним фактором апоптозу. Активація апоптозу клітин підтверджувалася підвищенням поглинання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45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Ca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2+</w:t>
      </w:r>
      <w:r w:rsidRPr="009E4F75">
        <w:rPr>
          <w:rFonts w:ascii="Times New Roman" w:eastAsia="Times New Roman" w:hAnsi="Times New Roman" w:cs="Times New Roman"/>
          <w:color w:val="000000"/>
          <w:sz w:val="28"/>
          <w:vertAlign w:val="superscript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мікросомами гепатоцитів (див. табл.) на 99,42% й 85,65%, відповідно в тварин, токсифікованих 1/10 й 1/100 ДЛ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50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9E4F75" w:rsidRPr="009E4F75" w:rsidRDefault="009E4F75" w:rsidP="009E4F75">
      <w:pPr>
        <w:spacing w:after="0" w:line="330" w:lineRule="atLeast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    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Висновки</w:t>
      </w:r>
    </w:p>
    <w:p w:rsidR="009E4F75" w:rsidRPr="009E4F75" w:rsidRDefault="009E4F75" w:rsidP="009E4F75">
      <w:pPr>
        <w:spacing w:after="0" w:line="330" w:lineRule="atLeast"/>
        <w:ind w:firstLine="708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Таким чином, результати дослідження свідчать, що Л-502-2-10 в субтоксичних дозах (1/10 й 1/100 ДЛ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50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), за умов тривалої дії в підгострому експерименті на щурах, здатний накопичувати в організмі високі рівні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ONOO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ONO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CO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2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uk-UA"/>
        </w:rPr>
        <w:t>-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та інших активних кисневих радикалів, які спроможні окислювати білки, ліпіди, нуклеїнові кислоти, біологічні мембрани 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lastRenderedPageBreak/>
        <w:t>й ініціювати апоптоз клітин, що може виступати одним із провідних патохімічних механізмів формування структурно-метаболічних порушень. Недіючою дозою при тривалому впливі ксенобіотика на організм була 1/1000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ДЛ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vertAlign w:val="subscript"/>
          <w:lang w:eastAsia="uk-UA"/>
        </w:rPr>
        <w:t>50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9E4F75" w:rsidRPr="009E4F75" w:rsidRDefault="009E4F75" w:rsidP="009E4F75">
      <w:pPr>
        <w:spacing w:after="0" w:line="330" w:lineRule="atLeast"/>
        <w:ind w:firstLine="709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Література:</w:t>
      </w:r>
    </w:p>
    <w:p w:rsidR="009E4F75" w:rsidRPr="009E4F75" w:rsidRDefault="009E4F75" w:rsidP="009E4F75">
      <w:pPr>
        <w:spacing w:after="0" w:line="330" w:lineRule="atLeast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 Щербань Н.Г. Биохимические аспекты экологической патологии, связанной с химическим загрязнением поверхностных источников водоснабжения /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Н.Г. Щербань, В.И. Жуков, В.В. Мясоедов [и др.]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Харьков: «Раритеты Украины», 2011. – 176 с.</w:t>
      </w:r>
    </w:p>
    <w:p w:rsidR="009E4F75" w:rsidRPr="009E4F75" w:rsidRDefault="009E4F75" w:rsidP="009E4F75">
      <w:pPr>
        <w:spacing w:after="0" w:line="330" w:lineRule="atLeast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2. Щербань Н.Г. Оценка рисков здоровья населения от опасных отходов (Биохимические аспекты) / Щербань Н.Г. Жуков В.И., Мясоедов В.В. – Харьков: «Апостроф», 2010. – 156 с.</w:t>
      </w:r>
    </w:p>
    <w:p w:rsidR="009E4F75" w:rsidRPr="009E4F75" w:rsidRDefault="009E4F75" w:rsidP="009E4F75">
      <w:pPr>
        <w:spacing w:after="0" w:line="330" w:lineRule="atLeast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3. Жуков В.И., Зайцева О.В., Пивень В.И. Фториды: биологическая роль и механизм действия / Жуков В.И., Зайцева О.В., Пивень В.И. – Белгород: «Белвитамины», 2006. – 220 с.</w:t>
      </w:r>
    </w:p>
    <w:p w:rsidR="009E4F75" w:rsidRPr="009E4F75" w:rsidRDefault="009E4F75" w:rsidP="009E4F75">
      <w:pPr>
        <w:spacing w:after="0" w:line="330" w:lineRule="atLeast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4. Жуков В.И. Детергенты – модуляторы радиомиметических эффектов / [Жуков В.И., Мясоедов В.В., Козин Ю.И. и др.] – Белгород: «Белвитамины», 2000. – 357 с.</w:t>
      </w:r>
    </w:p>
    <w:p w:rsidR="009E4F75" w:rsidRPr="009E4F75" w:rsidRDefault="009E4F75" w:rsidP="009E4F75">
      <w:pPr>
        <w:spacing w:after="0" w:line="330" w:lineRule="atLeast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5. Жуков В.И., Попова Л.Д., Зайцева О.В., Кратенко Р.И. и др. Простые и макроциклические эфиры: Научные основы охраны водных объектов / [Жуков В.И., Попова Л.Д., Зайцева О.В., Кратенко Р.И. и др.]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– Харьков: «Торнадо», 2000. – 438 с.</w:t>
      </w:r>
    </w:p>
    <w:p w:rsidR="009E4F75" w:rsidRPr="009E4F75" w:rsidRDefault="009E4F75" w:rsidP="009E4F75">
      <w:pPr>
        <w:spacing w:after="0" w:line="330" w:lineRule="atLeast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6. Кушаковский М.С. Клинические формы повреждения гемоглобина / Кушаковский М.С. – Ленинград: Медицина, 1968. – 33 с.</w:t>
      </w:r>
    </w:p>
    <w:p w:rsidR="009E4F75" w:rsidRPr="009E4F75" w:rsidRDefault="009E4F75" w:rsidP="009E4F75">
      <w:pPr>
        <w:spacing w:after="0" w:line="330" w:lineRule="atLeast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7. Чирков Ю.Ю. Гуанилатциклаза тромбоцитов крови человека / Ю.Ю. Чирков, И.А. Тищук, Н.Н. Белушкина, И.С. Северина // Биохимия. – 1987. – Т. 52, Вып. 6. – С. 956–963.</w:t>
      </w:r>
    </w:p>
    <w:p w:rsidR="009E4F75" w:rsidRPr="009E4F75" w:rsidRDefault="009E4F75" w:rsidP="009E4F75">
      <w:pPr>
        <w:spacing w:after="0" w:line="330" w:lineRule="atLeast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8. Kuo J.F., Shoji M., Brackett N.L., Helfman D.M. // J. Cycl. Nucl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Res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– 1978. –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Vol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4. –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P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463–474. </w:t>
      </w:r>
    </w:p>
    <w:p w:rsidR="009E4F75" w:rsidRPr="009E4F75" w:rsidRDefault="009E4F75" w:rsidP="009E4F75">
      <w:pPr>
        <w:spacing w:after="0" w:line="330" w:lineRule="atLeast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9. Кравцов Г.М. Транспорт кальция в синаптосомы и субклеточные фракции головного мозга: влияние опиоидных пептидов / Г.М. Кравцов, Г.Г. Райский, С.Н. Орлов // Биохимия. – 1982. – Т. 44, Вып. 12. – С. 2006–2014.</w:t>
      </w:r>
    </w:p>
    <w:p w:rsidR="009E4F75" w:rsidRPr="009E4F75" w:rsidRDefault="009E4F75" w:rsidP="009E4F75">
      <w:pPr>
        <w:spacing w:after="0" w:line="330" w:lineRule="atLeast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10.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Жуков В.І.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-залежні механізми токсичності синтетичних детергентів / В.І. Жуков,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В.В. М’ясоєдов // Вісник проблем біології і медицини. – 2002. – Вип. 2. – С.12–22.</w:t>
      </w:r>
    </w:p>
    <w:p w:rsidR="009E4F75" w:rsidRPr="009E4F75" w:rsidRDefault="009E4F75" w:rsidP="009E4F75">
      <w:pPr>
        <w:spacing w:after="0" w:line="330" w:lineRule="atLeast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11. Гуревич К.Г. Оксид азота: биосинтез, механизмы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действия, функция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К.Г. Гуревич, Н.Л. Шимановский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// Вопросы биологии, медицины и фармацевтической химии. – 2000. – №4. – С. 16–21.</w:t>
      </w:r>
    </w:p>
    <w:p w:rsidR="009E4F75" w:rsidRPr="009E4F75" w:rsidRDefault="009E4F75" w:rsidP="009E4F75">
      <w:pPr>
        <w:spacing w:after="0" w:line="330" w:lineRule="atLeast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12. Зайцева О.В. Состояние активности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NO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-синтазы и содержание оксида азота у больных псориазом / О.В. Зайцева, В.И. Жуков, Е.А. Броше //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Вісник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проблем біології і медицини.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 2002.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№ 1.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–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С.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80–85.</w:t>
      </w:r>
    </w:p>
    <w:p w:rsidR="009E4F75" w:rsidRPr="009E4F75" w:rsidRDefault="009E4F75" w:rsidP="009E4F75">
      <w:pPr>
        <w:spacing w:after="0" w:line="330" w:lineRule="atLeast"/>
        <w:jc w:val="both"/>
        <w:rPr>
          <w:rFonts w:ascii="Calibri" w:eastAsia="Times New Roman" w:hAnsi="Calibri" w:cs="Times New Roman"/>
          <w:color w:val="000000"/>
          <w:lang w:eastAsia="uk-UA"/>
        </w:rPr>
      </w:pP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13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.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val="en-US"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Moncada S.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val="en-US"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Mechanisms of disease: the L-arginine – nitric oxide pathway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val="en-US"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/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S.</w:t>
      </w:r>
      <w:r w:rsidRPr="009E4F75">
        <w:rPr>
          <w:rFonts w:ascii="Times New Roman" w:eastAsia="Times New Roman" w:hAnsi="Times New Roman" w:cs="Times New Roman"/>
          <w:color w:val="000000"/>
          <w:sz w:val="28"/>
          <w:lang w:val="en-US" w:eastAsia="uk-UA"/>
        </w:rPr>
        <w:t> </w:t>
      </w:r>
      <w:r w:rsidRPr="009E4F7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Moncada, A. Higgs // New Engl. J. Med. – 1993. – Vol. 329. – P. 2002–2012.</w:t>
      </w:r>
    </w:p>
    <w:p w:rsidR="003E436C" w:rsidRDefault="003E436C"/>
    <w:sectPr w:rsidR="003E436C" w:rsidSect="003E436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/>
  <w:rsids>
    <w:rsidRoot w:val="009E4F75"/>
    <w:rsid w:val="003E436C"/>
    <w:rsid w:val="00785AE8"/>
    <w:rsid w:val="009E4F75"/>
    <w:rsid w:val="00C321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E4F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0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9027</Words>
  <Characters>5146</Characters>
  <Application>Microsoft Office Word</Application>
  <DocSecurity>0</DocSecurity>
  <Lines>42</Lines>
  <Paragraphs>28</Paragraphs>
  <ScaleCrop>false</ScaleCrop>
  <Company>Krokoz™</Company>
  <LinksUpToDate>false</LinksUpToDate>
  <CharactersWithSpaces>14145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2015-12-17T08:06:00Z</dcterms:created>
  <dcterms:modified xsi:type="dcterms:W3CDTF">2015-12-17T08:06:00Z</dcterms:modified>
</cp:coreProperties>
</file>