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  <w:sz w:val="24"/>
          <w:szCs w:val="24"/>
          <w:lang w:val="en-US"/>
        </w:rPr>
      </w:pPr>
      <w:r w:rsidRPr="005B1604">
        <w:rPr>
          <w:rFonts w:ascii="Arial-BoldItalicMT" w:hAnsi="Arial-BoldItalicMT" w:cs="Arial-BoldItalicMT"/>
          <w:b/>
          <w:bCs/>
          <w:i/>
          <w:iCs/>
          <w:color w:val="000000"/>
          <w:sz w:val="24"/>
          <w:szCs w:val="24"/>
          <w:lang w:val="en-US"/>
        </w:rPr>
        <w:t xml:space="preserve">Yuliya Fedulenkova, </w:t>
      </w:r>
      <w:r w:rsidRPr="005B1604">
        <w:rPr>
          <w:rFonts w:ascii="Arial-ItalicMT" w:hAnsi="Arial-ItalicMT" w:cs="Arial-ItalicMT"/>
          <w:i/>
          <w:iCs/>
          <w:color w:val="000000"/>
          <w:sz w:val="24"/>
          <w:szCs w:val="24"/>
          <w:lang w:val="en-US"/>
        </w:rPr>
        <w:t>Kharkiv National Medical University,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  <w:sz w:val="24"/>
          <w:szCs w:val="24"/>
          <w:lang w:val="en-US"/>
        </w:rPr>
      </w:pPr>
      <w:r w:rsidRPr="005B1604">
        <w:rPr>
          <w:rFonts w:ascii="Arial-ItalicMT" w:hAnsi="Arial-ItalicMT" w:cs="Arial-ItalicMT"/>
          <w:i/>
          <w:iCs/>
          <w:color w:val="000000"/>
          <w:sz w:val="24"/>
          <w:szCs w:val="24"/>
          <w:lang w:val="en-US"/>
        </w:rPr>
        <w:t>Department of Radiology and Radiation Medicine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color w:val="000000"/>
          <w:sz w:val="32"/>
          <w:szCs w:val="32"/>
          <w:lang w:val="en-US"/>
        </w:rPr>
      </w:pPr>
      <w:r w:rsidRPr="005B1604">
        <w:rPr>
          <w:rFonts w:ascii="Arial-BoldItalicMT" w:hAnsi="Arial-BoldItalicMT" w:cs="Arial-BoldItalicMT"/>
          <w:b/>
          <w:bCs/>
          <w:i/>
          <w:iCs/>
          <w:color w:val="000000"/>
          <w:sz w:val="32"/>
          <w:szCs w:val="32"/>
          <w:lang w:val="en-US"/>
        </w:rPr>
        <w:t>Clinical significance of ultrasonography in evaluation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color w:val="000000"/>
          <w:sz w:val="32"/>
          <w:szCs w:val="32"/>
          <w:lang w:val="en-US"/>
        </w:rPr>
      </w:pPr>
      <w:proofErr w:type="gramStart"/>
      <w:r w:rsidRPr="005B1604">
        <w:rPr>
          <w:rFonts w:ascii="Arial-BoldItalicMT" w:hAnsi="Arial-BoldItalicMT" w:cs="Arial-BoldItalicMT"/>
          <w:b/>
          <w:bCs/>
          <w:i/>
          <w:iCs/>
          <w:color w:val="000000"/>
          <w:sz w:val="32"/>
          <w:szCs w:val="32"/>
          <w:lang w:val="en-US"/>
        </w:rPr>
        <w:t>of</w:t>
      </w:r>
      <w:proofErr w:type="gramEnd"/>
      <w:r w:rsidRPr="005B1604">
        <w:rPr>
          <w:rFonts w:ascii="Arial-BoldItalicMT" w:hAnsi="Arial-BoldItalicMT" w:cs="Arial-BoldItalicMT"/>
          <w:b/>
          <w:bCs/>
          <w:i/>
          <w:iCs/>
          <w:color w:val="000000"/>
          <w:sz w:val="32"/>
          <w:szCs w:val="32"/>
          <w:lang w:val="en-US"/>
        </w:rPr>
        <w:t xml:space="preserve"> morphofunctional state of liver and portohepatolienal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color w:val="000000"/>
          <w:sz w:val="32"/>
          <w:szCs w:val="32"/>
          <w:lang w:val="en-US"/>
        </w:rPr>
      </w:pPr>
      <w:proofErr w:type="gramStart"/>
      <w:r w:rsidRPr="005B1604">
        <w:rPr>
          <w:rFonts w:ascii="Arial-BoldItalicMT" w:hAnsi="Arial-BoldItalicMT" w:cs="Arial-BoldItalicMT"/>
          <w:b/>
          <w:bCs/>
          <w:i/>
          <w:iCs/>
          <w:color w:val="000000"/>
          <w:sz w:val="32"/>
          <w:szCs w:val="32"/>
          <w:lang w:val="en-US"/>
        </w:rPr>
        <w:t>bloodstream</w:t>
      </w:r>
      <w:proofErr w:type="gramEnd"/>
      <w:r w:rsidRPr="005B1604">
        <w:rPr>
          <w:rFonts w:ascii="Arial-BoldItalicMT" w:hAnsi="Arial-BoldItalicMT" w:cs="Arial-BoldItalicMT"/>
          <w:b/>
          <w:bCs/>
          <w:i/>
          <w:iCs/>
          <w:color w:val="000000"/>
          <w:sz w:val="32"/>
          <w:szCs w:val="32"/>
          <w:lang w:val="en-US"/>
        </w:rPr>
        <w:t xml:space="preserve"> in chronic diffuse liver diseases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5B1604">
        <w:rPr>
          <w:rFonts w:ascii="Arial-BoldMT" w:hAnsi="Arial-BoldMT" w:cs="Arial-BoldMT"/>
          <w:b/>
          <w:bCs/>
          <w:color w:val="000000"/>
          <w:sz w:val="24"/>
          <w:szCs w:val="24"/>
          <w:lang w:val="en-US"/>
        </w:rPr>
        <w:t xml:space="preserve">Abstract: </w:t>
      </w:r>
      <w:r w:rsidRPr="005B1604">
        <w:rPr>
          <w:rFonts w:ascii="Arial" w:hAnsi="Arial" w:cs="Arial"/>
          <w:color w:val="000000"/>
          <w:sz w:val="24"/>
          <w:szCs w:val="24"/>
          <w:lang w:val="en-US"/>
        </w:rPr>
        <w:t>In randomized three-phase prospective cohort controlled research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which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included 2564 persons with chronic diffuse liver diseases (1865 cases of fatty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liver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disease, 462 cases of chronic hepatitis, 100 cases of liver cirrhosis) and 137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healthy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controls, the clinical significance of ultrasonography in quantitative evaluation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of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liver parenchyma morphofunctional state and portohepatolienal bloodstream in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patients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with chronic diffuse liver diseases was estimated. Twenty-seven ultrasound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and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two additional, derived from laboratory tests index parameters were testified for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the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grounding to be included into diagnosis-prognostic algorithm for patients with this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pathology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, which has been developed, validated and recommended for practical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application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. Further perspectives </w:t>
      </w: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are related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to fundamental logico-statistical analysis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of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the data for development of mathematic model of pathologic process and its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application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to practical health care service.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5B1604">
        <w:rPr>
          <w:rFonts w:ascii="Arial-BoldItalicMT" w:hAnsi="Arial-BoldItalicMT" w:cs="Arial-BoldItalicMT"/>
          <w:b/>
          <w:bCs/>
          <w:i/>
          <w:iCs/>
          <w:color w:val="000000"/>
          <w:sz w:val="24"/>
          <w:szCs w:val="24"/>
          <w:lang w:val="en-US"/>
        </w:rPr>
        <w:t xml:space="preserve">Keywords: </w:t>
      </w:r>
      <w:r w:rsidRPr="005B1604">
        <w:rPr>
          <w:rFonts w:ascii="Arial" w:hAnsi="Arial" w:cs="Arial"/>
          <w:color w:val="000000"/>
          <w:sz w:val="24"/>
          <w:szCs w:val="24"/>
          <w:lang w:val="en-US"/>
        </w:rPr>
        <w:t>Fatty liver disease, chronic hepatitis, liver cirrhosis, ultrasound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diagnosis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, prognosis.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5B1604">
        <w:rPr>
          <w:rFonts w:ascii="Arial" w:hAnsi="Arial" w:cs="Arial"/>
          <w:color w:val="000000"/>
          <w:sz w:val="24"/>
          <w:szCs w:val="24"/>
          <w:lang w:val="en-US"/>
        </w:rPr>
        <w:t>Chronic diffuse liver diseases cause not only significant medical problem,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promoting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portal hypertension, hepatocellular failure, oncological diseases etc. [1],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but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also social and economical, associated with loss of ability to work in active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population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; particularly, mortality due to liver cirrhosis in European countries vary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from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100 to 400 per 1 million of male population and from 40 to 150 per 1 million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among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females [2, 3, 4, 5].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5B1604">
        <w:rPr>
          <w:rFonts w:ascii="Arial" w:hAnsi="Arial" w:cs="Arial"/>
          <w:color w:val="000000"/>
          <w:sz w:val="24"/>
          <w:szCs w:val="24"/>
          <w:lang w:val="en-US"/>
        </w:rPr>
        <w:t>In last decade is an impetuous development of chronic diffuse liver disease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takes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place. Technical progress, improvement of hardware and software have made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it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possible to significantly go forward in understanding of etiology and pathogenesis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of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hepatobiliary pathology, noticeably improve treatment results. In many respects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these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changes became possible only due to introduction and development of new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color w:val="FFFFFF"/>
          <w:sz w:val="24"/>
          <w:szCs w:val="24"/>
          <w:lang w:val="en-US"/>
        </w:rPr>
      </w:pPr>
      <w:r w:rsidRPr="005B1604">
        <w:rPr>
          <w:rFonts w:ascii="MinionPro-It" w:hAnsi="MinionPro-It" w:cs="MinionPro-It"/>
          <w:i/>
          <w:iCs/>
          <w:color w:val="FFFFFF"/>
          <w:sz w:val="24"/>
          <w:szCs w:val="24"/>
          <w:lang w:val="en-US"/>
        </w:rPr>
        <w:t xml:space="preserve">Asian Journal of Scientific a </w:t>
      </w:r>
      <w:r w:rsidRPr="005B1604">
        <w:rPr>
          <w:rFonts w:ascii="MinionPro-It" w:hAnsi="MinionPro-It" w:cs="MinionPro-It"/>
          <w:i/>
          <w:iCs/>
          <w:color w:val="000000"/>
          <w:sz w:val="32"/>
          <w:szCs w:val="32"/>
          <w:lang w:val="en-US"/>
        </w:rPr>
        <w:t xml:space="preserve">998 </w:t>
      </w:r>
      <w:r w:rsidRPr="005B1604">
        <w:rPr>
          <w:rFonts w:ascii="MinionPro-It" w:hAnsi="MinionPro-It" w:cs="MinionPro-It"/>
          <w:i/>
          <w:iCs/>
          <w:color w:val="FFFFFF"/>
          <w:sz w:val="24"/>
          <w:szCs w:val="24"/>
          <w:lang w:val="en-US"/>
        </w:rPr>
        <w:t>nd Educational Research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highly-technological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methods of radiation (visual) diagnosis in general and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ultrasonography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– as well [6, 7].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5B1604">
        <w:rPr>
          <w:rFonts w:ascii="Arial" w:hAnsi="Arial" w:cs="Arial"/>
          <w:color w:val="000000"/>
          <w:sz w:val="24"/>
          <w:szCs w:val="24"/>
          <w:lang w:val="en-US"/>
        </w:rPr>
        <w:t>Results of radiological diagnostic methods are widely used in order to build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prognostic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models and calculate a prognosis in each certain clinical case about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functional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compensation of liver, presence of indications for radical intervention etc.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[8]. </w:t>
      </w: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Both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mathematical [9, 10, 11, 12] and virtual [13], dimentional models based on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morphological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investigation of liver come in handy and give an opportunity to more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exactly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and objectively evaluate changes which develop in vivo, formulate an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individual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prognosis for a patient.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5B1604">
        <w:rPr>
          <w:rFonts w:ascii="Arial" w:hAnsi="Arial" w:cs="Arial"/>
          <w:color w:val="000000"/>
          <w:sz w:val="24"/>
          <w:szCs w:val="24"/>
          <w:lang w:val="en-US"/>
        </w:rPr>
        <w:t>Despite the availability of wide spectrum of other modern non-invasive and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low-invasive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radiation methods of diagnosis for chronic diffuse liver diseases,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ultrasonography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does not lose its topicality and is the leader of practical application in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public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health service. Undoubted perspective is characteristic for methods which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base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not only on immediate primary results of investigation, but on results of their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further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objectivization using mathematical modeling and building of prognostic model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of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the pathological process. Reasonability of ultrasonography application for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diagnosis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of chronic diffuse liver diseases is related to its following characteristics: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non-invasive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[14], safe [15], easily done [16], relatively cheap and capable to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simultaneous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evaluation of comorbid pathology [17], also in dynamics, reproductible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and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precise, standardized [18], easily combined with other methods [19, 20], capable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lastRenderedPageBreak/>
        <w:t>for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further improvement, including contrast-enhance.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5B1604">
        <w:rPr>
          <w:rFonts w:ascii="Arial" w:hAnsi="Arial" w:cs="Arial"/>
          <w:color w:val="000000"/>
          <w:sz w:val="24"/>
          <w:szCs w:val="24"/>
          <w:lang w:val="en-US"/>
        </w:rPr>
        <w:t>While, some limitation of ultrasonography in diagnosis of chronic diffuse liver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diseases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takes place in medical practice [21, 22]. This problem </w:t>
      </w: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may be solved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by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improvement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of ultrasonography diagnosis approach with automation of image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analysis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[23], introduction of index parameters etc.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5B1604">
        <w:rPr>
          <w:rFonts w:ascii="Arial" w:hAnsi="Arial" w:cs="Arial"/>
          <w:color w:val="000000"/>
          <w:sz w:val="24"/>
          <w:szCs w:val="24"/>
          <w:lang w:val="en-US"/>
        </w:rPr>
        <w:t>Thus, despite general success of ultrasonography in diagnosis of chronic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diffuse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liver diseases, till nowadays improving of this approach remains vital.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5B1604">
        <w:rPr>
          <w:rFonts w:ascii="Arial-BoldMT" w:hAnsi="Arial-BoldMT" w:cs="Arial-BoldMT"/>
          <w:b/>
          <w:bCs/>
          <w:color w:val="000000"/>
          <w:sz w:val="24"/>
          <w:szCs w:val="24"/>
          <w:lang w:val="en-US"/>
        </w:rPr>
        <w:t xml:space="preserve">Aim </w:t>
      </w:r>
      <w:r w:rsidRPr="005B1604">
        <w:rPr>
          <w:rFonts w:ascii="Arial" w:hAnsi="Arial" w:cs="Arial"/>
          <w:color w:val="000000"/>
          <w:sz w:val="24"/>
          <w:szCs w:val="24"/>
          <w:lang w:val="en-US"/>
        </w:rPr>
        <w:t>of research – optimization of diagnosis of chronic diffuse liver disease by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improving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of ultrasonographic approach with evaluation of diagnostic power and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information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capacity of its parameters.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5B1604">
        <w:rPr>
          <w:rFonts w:ascii="Arial-BoldMT" w:hAnsi="Arial-BoldMT" w:cs="Arial-BoldMT"/>
          <w:b/>
          <w:bCs/>
          <w:color w:val="000000"/>
          <w:sz w:val="24"/>
          <w:szCs w:val="24"/>
          <w:lang w:val="en-US"/>
        </w:rPr>
        <w:t xml:space="preserve">Materials and methods. </w:t>
      </w:r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On </w:t>
      </w: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first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phase an estimation of diagnostic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capabilities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(values) of ultrasonography in chronic diffuse liver diseases was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performed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. It included investigation of 103 cases of chronic diffuse liver disease: fatty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liver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disease (n=63), chronic hepatitis (n=12), liver cirrhosis (n=28), cases with intact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color w:val="000000"/>
          <w:sz w:val="32"/>
          <w:szCs w:val="32"/>
          <w:lang w:val="en-US"/>
        </w:rPr>
      </w:pPr>
      <w:r w:rsidRPr="005B1604">
        <w:rPr>
          <w:rFonts w:ascii="MinionPro-It" w:hAnsi="MinionPro-It" w:cs="MinionPro-It"/>
          <w:i/>
          <w:iCs/>
          <w:color w:val="FFFFFF"/>
          <w:sz w:val="24"/>
          <w:szCs w:val="24"/>
          <w:lang w:val="en-US"/>
        </w:rPr>
        <w:t xml:space="preserve">Asian Journal of Scientific and Educational Research </w:t>
      </w:r>
      <w:r w:rsidRPr="005B1604">
        <w:rPr>
          <w:rFonts w:ascii="MinionPro-It" w:hAnsi="MinionPro-It" w:cs="MinionPro-It"/>
          <w:i/>
          <w:iCs/>
          <w:color w:val="000000"/>
          <w:sz w:val="32"/>
          <w:szCs w:val="32"/>
          <w:lang w:val="en-US"/>
        </w:rPr>
        <w:t>999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liver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(control group, n=2). This phase </w:t>
      </w: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was conducted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on the base of Kharkiv Regional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5B1604">
        <w:rPr>
          <w:rFonts w:ascii="Arial" w:hAnsi="Arial" w:cs="Arial"/>
          <w:color w:val="000000"/>
          <w:sz w:val="24"/>
          <w:szCs w:val="24"/>
          <w:lang w:val="en-US"/>
        </w:rPr>
        <w:t>Clinical Hospital – Center of Emergency Medical Care and Disaster Medicine in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5B1604">
        <w:rPr>
          <w:rFonts w:ascii="Arial" w:hAnsi="Arial" w:cs="Arial"/>
          <w:color w:val="000000"/>
          <w:sz w:val="24"/>
          <w:szCs w:val="24"/>
          <w:lang w:val="en-US"/>
        </w:rPr>
        <w:t>2012–2013 with the aim of evaluation of accordance of ultrasonographic data with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results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of liver autopsy (both n=105).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Second phase </w:t>
      </w: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was aimed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on development of a diagnosis-prognostic algorithm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of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ultrasonography application and profound instrumental-laboratory tests (apart of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ultrasound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– anamnestic and physical data collection, complete blood count and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biochemical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blood tests) were performed. Two hundred fifty three persons, including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patients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with fatty liver disease (n=142), chronic hepatitis (n=43), liver cirrhosis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5B1604">
        <w:rPr>
          <w:rFonts w:ascii="Arial" w:hAnsi="Arial" w:cs="Arial"/>
          <w:color w:val="000000"/>
          <w:sz w:val="24"/>
          <w:szCs w:val="24"/>
          <w:lang w:val="en-US"/>
        </w:rPr>
        <w:t>(n=27), and 50 healthy people shared this phase of the research. It has been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conducted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in clinical hospital of Grigoriev Institute of Medical Radiology of National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5B1604">
        <w:rPr>
          <w:rFonts w:ascii="Arial" w:hAnsi="Arial" w:cs="Arial"/>
          <w:color w:val="000000"/>
          <w:sz w:val="24"/>
          <w:szCs w:val="24"/>
          <w:lang w:val="en-US"/>
        </w:rPr>
        <w:t>Academy of Medical Science of Ukraine in 2013–2014. All participants underwent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detailed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repetitious instrumental and laboratory investigations. In this cohort male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and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female age medians did not significantly differ.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5B1604">
        <w:rPr>
          <w:rFonts w:ascii="Arial" w:hAnsi="Arial" w:cs="Arial"/>
          <w:color w:val="000000"/>
          <w:sz w:val="24"/>
          <w:szCs w:val="24"/>
          <w:lang w:val="en-US"/>
        </w:rPr>
        <w:t>Third phase was most large in the research as aimed on evaluation of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ultrasonography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capabilities in prospective evaluation of chronic diffuse liver disease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course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by validization of developed diagnosis-prognostic algorithm for pathologic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process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severity evaluation and course prediction, and also building a mathematic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model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of pathologic process. In order to reach the goal, 2206 persons were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examined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, including patients with fatty liver disease (n=1660), chronic hepatitis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5B1604">
        <w:rPr>
          <w:rFonts w:ascii="Arial" w:hAnsi="Arial" w:cs="Arial"/>
          <w:color w:val="000000"/>
          <w:sz w:val="24"/>
          <w:szCs w:val="24"/>
          <w:lang w:val="en-US"/>
        </w:rPr>
        <w:t>(n=416), liver cirrhosis (n=45), control healthy individuals (n=85). This phase of the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research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was performed on the base of LTD Medical Diagnostic Center «Expert-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5B1604">
        <w:rPr>
          <w:rFonts w:ascii="Arial" w:hAnsi="Arial" w:cs="Arial"/>
          <w:color w:val="000000"/>
          <w:sz w:val="24"/>
          <w:szCs w:val="24"/>
          <w:lang w:val="en-US"/>
        </w:rPr>
        <w:t>Kharkov» in 2013–2014. Age median was 56.1 (47.1; 64.1) years, 55.0 (44.3; 64.2)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years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in men, 56.4 (47.7; 64.1) years in women (difference is reliable by </w:t>
      </w:r>
      <w:r>
        <w:rPr>
          <w:rFonts w:ascii="Arial" w:hAnsi="Arial" w:cs="Arial"/>
          <w:color w:val="000000"/>
          <w:sz w:val="24"/>
          <w:szCs w:val="24"/>
        </w:rPr>
        <w:t>р</w:t>
      </w:r>
      <w:r w:rsidRPr="005B1604">
        <w:rPr>
          <w:rFonts w:ascii="Arial" w:hAnsi="Arial" w:cs="Arial"/>
          <w:color w:val="000000"/>
          <w:sz w:val="24"/>
          <w:szCs w:val="24"/>
          <w:lang w:val="en-US"/>
        </w:rPr>
        <w:t>=0,053).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Ultrasound investigation </w:t>
      </w: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was performed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with Xario SSA 660A system (Toshiba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Medical Systems, Japan). Pathomorphological investigation </w:t>
      </w: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has been conducted</w:t>
      </w:r>
      <w:proofErr w:type="gramEnd"/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according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to standard protocols with evaluation, where applicable, of liver steatosis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[24] </w:t>
      </w: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and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liver fibrosis intensity degree [25], level of activity (Knodell R. G., 1981).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5B1604">
        <w:rPr>
          <w:rFonts w:ascii="Arial" w:hAnsi="Arial" w:cs="Arial"/>
          <w:color w:val="000000"/>
          <w:sz w:val="24"/>
          <w:szCs w:val="24"/>
          <w:lang w:val="en-US"/>
        </w:rPr>
        <w:t>Nonparametric methods of statistical analysis were applied [26]. Median (M</w:t>
      </w:r>
      <w:r>
        <w:rPr>
          <w:rFonts w:ascii="Arial" w:hAnsi="Arial" w:cs="Arial"/>
          <w:color w:val="000000"/>
          <w:sz w:val="24"/>
          <w:szCs w:val="24"/>
        </w:rPr>
        <w:t>е</w:t>
      </w:r>
      <w:r w:rsidRPr="005B1604">
        <w:rPr>
          <w:rFonts w:ascii="Arial" w:hAnsi="Arial" w:cs="Arial"/>
          <w:color w:val="000000"/>
          <w:sz w:val="24"/>
          <w:szCs w:val="24"/>
          <w:lang w:val="en-US"/>
        </w:rPr>
        <w:t>) and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interquartile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interval with representing lower, 25 %, quartile (LQ) and upper, 75 %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quartile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(UQ) were calulated, result was expressed by Me (LQ; UQ) way for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shortness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. Kruskal-Wallis ANOVA &amp; median test method, Mann-Whitney U-criterion,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5B1604">
        <w:rPr>
          <w:rFonts w:ascii="Arial" w:hAnsi="Arial" w:cs="Arial"/>
          <w:color w:val="000000"/>
          <w:sz w:val="24"/>
          <w:szCs w:val="24"/>
          <w:lang w:val="en-US"/>
        </w:rPr>
        <w:t>Wilcoxon method, correlation by Spearman, Fisher angular transformation were used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where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applicable. Comparative analysis in groups of separate diagnostic criteria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color w:val="FFFFFF"/>
          <w:sz w:val="24"/>
          <w:szCs w:val="24"/>
          <w:lang w:val="en-US"/>
        </w:rPr>
      </w:pPr>
      <w:r w:rsidRPr="005B1604">
        <w:rPr>
          <w:rFonts w:ascii="MinionPro-It" w:hAnsi="MinionPro-It" w:cs="MinionPro-It"/>
          <w:i/>
          <w:iCs/>
          <w:color w:val="FFFFFF"/>
          <w:sz w:val="24"/>
          <w:szCs w:val="24"/>
          <w:lang w:val="en-US"/>
        </w:rPr>
        <w:t xml:space="preserve">Asian Journal of Scientific a </w:t>
      </w:r>
      <w:r w:rsidRPr="005B1604">
        <w:rPr>
          <w:rFonts w:ascii="MinionPro-It" w:hAnsi="MinionPro-It" w:cs="MinionPro-It"/>
          <w:i/>
          <w:iCs/>
          <w:color w:val="000000"/>
          <w:sz w:val="32"/>
          <w:szCs w:val="32"/>
          <w:lang w:val="en-US"/>
        </w:rPr>
        <w:t xml:space="preserve">1000 </w:t>
      </w:r>
      <w:r w:rsidRPr="005B1604">
        <w:rPr>
          <w:rFonts w:ascii="MinionPro-It" w:hAnsi="MinionPro-It" w:cs="MinionPro-It"/>
          <w:i/>
          <w:iCs/>
          <w:color w:val="FFFFFF"/>
          <w:sz w:val="24"/>
          <w:szCs w:val="24"/>
          <w:lang w:val="en-US"/>
        </w:rPr>
        <w:t>nd Educational Research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distribution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using ANOVA and Wald sequential analysis (Wald A., 1947) in its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lastRenderedPageBreak/>
        <w:t>interpretation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for medical diagnosis (Genkin A. A., 1962; Gubler E. V., 1978) by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ranging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of parameters by their differential-diagnostic information capacity allowed to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define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diagnostic value, prognostic significance and influence power of factors on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parameters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divergence in clinical groups and prognostic coefficients. Only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independent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prognostic parameters were included in the algorithm. In cases when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correlation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strengths between factors was more than |0,70|, one of factors was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excluded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from list of parapeters. Ranking of parameters by influence strengths,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evaluation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of prognostic and information capacity of parameters allowed to choose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the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most reliable parameters. At the last phase, mathematic modeling using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discriminant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analysis and building of artificial virtual neural networks with their further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training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was performed.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5B1604">
        <w:rPr>
          <w:rFonts w:ascii="Arial-BoldMT" w:hAnsi="Arial-BoldMT" w:cs="Arial-BoldMT"/>
          <w:b/>
          <w:bCs/>
          <w:color w:val="000000"/>
          <w:sz w:val="24"/>
          <w:szCs w:val="24"/>
          <w:lang w:val="en-US"/>
        </w:rPr>
        <w:t xml:space="preserve">Results and discussion. </w:t>
      </w:r>
      <w:r w:rsidRPr="005B1604">
        <w:rPr>
          <w:rFonts w:ascii="Arial" w:hAnsi="Arial" w:cs="Arial"/>
          <w:color w:val="000000"/>
          <w:sz w:val="24"/>
          <w:szCs w:val="24"/>
          <w:lang w:val="en-US"/>
        </w:rPr>
        <w:t>In 1</w:t>
      </w:r>
      <w:r w:rsidRPr="005B1604">
        <w:rPr>
          <w:rFonts w:ascii="Arial" w:hAnsi="Arial" w:cs="Arial"/>
          <w:color w:val="000000"/>
          <w:sz w:val="16"/>
          <w:szCs w:val="16"/>
          <w:lang w:val="en-US"/>
        </w:rPr>
        <w:t xml:space="preserve">st </w:t>
      </w:r>
      <w:r w:rsidRPr="005B1604">
        <w:rPr>
          <w:rFonts w:ascii="Arial" w:hAnsi="Arial" w:cs="Arial"/>
          <w:color w:val="000000"/>
          <w:sz w:val="24"/>
          <w:szCs w:val="24"/>
          <w:lang w:val="en-US"/>
        </w:rPr>
        <w:t>phase the age median was 62 (46; 71) years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without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significant gender differences, while gender comparisons in different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nosologic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groups showed the age difference (</w:t>
      </w:r>
      <w:r>
        <w:rPr>
          <w:rFonts w:ascii="Arial" w:hAnsi="Arial" w:cs="Arial"/>
          <w:color w:val="000000"/>
          <w:sz w:val="24"/>
          <w:szCs w:val="24"/>
        </w:rPr>
        <w:t>р</w:t>
      </w:r>
      <w:r w:rsidRPr="005B1604">
        <w:rPr>
          <w:rFonts w:ascii="Arial" w:hAnsi="Arial" w:cs="Arial"/>
          <w:color w:val="000000"/>
          <w:sz w:val="24"/>
          <w:szCs w:val="24"/>
          <w:lang w:val="en-US"/>
        </w:rPr>
        <w:t>=0.0001) – the oldest in fatty liver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disease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group, 64.0 (60.0; 73.0) years; youngest in chronic hepatitis group, 41.6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5B1604">
        <w:rPr>
          <w:rFonts w:ascii="Arial" w:hAnsi="Arial" w:cs="Arial"/>
          <w:color w:val="000000"/>
          <w:sz w:val="24"/>
          <w:szCs w:val="24"/>
          <w:lang w:val="en-US"/>
        </w:rPr>
        <w:t>(31.0; 52.5) years; intermediate in liver cirrhosis group, 52.0 (41.5; 65.5) years. Age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comparison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in different nosologic groups in further phases showed above mentioned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5B1604">
        <w:rPr>
          <w:rFonts w:ascii="Arial" w:hAnsi="Arial" w:cs="Arial"/>
          <w:color w:val="000000"/>
          <w:sz w:val="24"/>
          <w:szCs w:val="24"/>
          <w:lang w:val="en-US"/>
        </w:rPr>
        <w:t>(</w:t>
      </w: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in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1</w:t>
      </w:r>
      <w:r w:rsidRPr="005B1604">
        <w:rPr>
          <w:rFonts w:ascii="Arial" w:hAnsi="Arial" w:cs="Arial"/>
          <w:color w:val="000000"/>
          <w:sz w:val="16"/>
          <w:szCs w:val="16"/>
          <w:lang w:val="en-US"/>
        </w:rPr>
        <w:t xml:space="preserve">st </w:t>
      </w:r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phase) differences in general and among women (both </w:t>
      </w:r>
      <w:r>
        <w:rPr>
          <w:rFonts w:ascii="Arial" w:hAnsi="Arial" w:cs="Arial"/>
          <w:color w:val="000000"/>
          <w:sz w:val="24"/>
          <w:szCs w:val="24"/>
        </w:rPr>
        <w:t>р</w:t>
      </w:r>
      <w:r w:rsidRPr="005B1604">
        <w:rPr>
          <w:rFonts w:ascii="Arial" w:hAnsi="Arial" w:cs="Arial"/>
          <w:color w:val="000000"/>
          <w:sz w:val="24"/>
          <w:szCs w:val="24"/>
          <w:lang w:val="en-US"/>
        </w:rPr>
        <w:t>&lt;0.001).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5B1604">
        <w:rPr>
          <w:rFonts w:ascii="Arial" w:hAnsi="Arial" w:cs="Arial"/>
          <w:color w:val="000000"/>
          <w:sz w:val="24"/>
          <w:szCs w:val="24"/>
          <w:lang w:val="en-US"/>
        </w:rPr>
        <w:t>Pathomorphological verification of ultrasonography results in evaluation of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disease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character in patients with chronic diffuse liver diseases revealed 1.9 %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probability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of false-positive ultrasound diagnosis of this pathology, diagnostic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capacity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of 14–97 % (with central value of 56 %).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5B1604">
        <w:rPr>
          <w:rFonts w:ascii="Arial" w:hAnsi="Arial" w:cs="Arial"/>
          <w:color w:val="000000"/>
          <w:sz w:val="24"/>
          <w:szCs w:val="24"/>
          <w:lang w:val="en-US"/>
        </w:rPr>
        <w:t>Using results of profound clinical, instrumental and laboratory investigation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including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frequency of separate ultrasonography parameters and prognostic value of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each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of criterion the screening algorithm was elaborated in order to predicting of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complication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risk. It has table form, which includes demographic-antropometric (age,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gender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, body mass index), sonographic (liver size, characteristics of capsule,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parenchyma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, ascites, hepatic vein circulation, caudal to right lobe transverse size,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degree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of steatosis, congestion index, modified hepatic index, hepatic vascular index,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index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of arterial perfusion, portolienal venous index, pulsatory index of spleen artery,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platelets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to spleen diameter ratio, right lobe width to albumins ratio) parameters,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appropriate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prognostic coefficients and prognostic result evaluation scale. By each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parameter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its presence or absence has to be evaluated, corresponding prognostic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color w:val="000000"/>
          <w:sz w:val="32"/>
          <w:szCs w:val="32"/>
          <w:lang w:val="en-US"/>
        </w:rPr>
      </w:pPr>
      <w:r w:rsidRPr="005B1604">
        <w:rPr>
          <w:rFonts w:ascii="MinionPro-It" w:hAnsi="MinionPro-It" w:cs="MinionPro-It"/>
          <w:i/>
          <w:iCs/>
          <w:color w:val="FFFFFF"/>
          <w:sz w:val="24"/>
          <w:szCs w:val="24"/>
          <w:lang w:val="en-US"/>
        </w:rPr>
        <w:t xml:space="preserve">Asian Journal of Scientific and Educational Research </w:t>
      </w:r>
      <w:r w:rsidRPr="005B1604">
        <w:rPr>
          <w:rFonts w:ascii="MinionPro-It" w:hAnsi="MinionPro-It" w:cs="MinionPro-It"/>
          <w:i/>
          <w:iCs/>
          <w:color w:val="000000"/>
          <w:sz w:val="32"/>
          <w:szCs w:val="32"/>
          <w:lang w:val="en-US"/>
        </w:rPr>
        <w:t>1001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coefficients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are to be summarized. By achievement of threshold sum of coefficients a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risk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group was stated by using the scale: if equal or less than -19.8, risk is minimal; if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more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than -19,8 and less than 19.8, risk is uncertain; if equal or more than 19.8, risk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is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high.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For each of three diseases canonic discriminant functions </w:t>
      </w: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were built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. Predicted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appliance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to groups of low, uncertain, high progression risk in fatty liver disease was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5B1604">
        <w:rPr>
          <w:rFonts w:ascii="Arial" w:hAnsi="Arial" w:cs="Arial"/>
          <w:color w:val="000000"/>
          <w:sz w:val="24"/>
          <w:szCs w:val="24"/>
          <w:lang w:val="en-US"/>
        </w:rPr>
        <w:t>78.9 %, 69.3 %, 99.7 % accordingly; in chronic hepatitis – 63.7 %, 61.1 %, 93.2 %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accordingly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; in liver cirrhosis – 93.1 %, 64.8 %, 99.7 %.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5B1604">
        <w:rPr>
          <w:rFonts w:ascii="Arial" w:hAnsi="Arial" w:cs="Arial"/>
          <w:color w:val="000000"/>
          <w:sz w:val="24"/>
          <w:szCs w:val="24"/>
          <w:lang w:val="en-US"/>
        </w:rPr>
        <w:t>Neural networks (three-level perceptron with descending number of nodes)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were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built, trained and sensitivity, specificity evaluated. After training the square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below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ROC-curve to each of risk groups became increased &gt; 80 %.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r w:rsidRPr="005B1604">
        <w:rPr>
          <w:rFonts w:ascii="Arial-BoldMT" w:hAnsi="Arial-BoldMT" w:cs="Arial-BoldMT"/>
          <w:b/>
          <w:bCs/>
          <w:color w:val="000000"/>
          <w:sz w:val="24"/>
          <w:szCs w:val="24"/>
          <w:lang w:val="en-US"/>
        </w:rPr>
        <w:t xml:space="preserve">Conclusions. </w:t>
      </w:r>
      <w:r w:rsidRPr="005B1604">
        <w:rPr>
          <w:rFonts w:ascii="Arial" w:hAnsi="Arial" w:cs="Arial"/>
          <w:color w:val="000000"/>
          <w:sz w:val="24"/>
          <w:szCs w:val="24"/>
          <w:lang w:val="en-US"/>
        </w:rPr>
        <w:t>1. Prospective randomized three-phase populational (on 3</w:t>
      </w:r>
      <w:r w:rsidRPr="005B1604">
        <w:rPr>
          <w:rFonts w:ascii="Arial" w:hAnsi="Arial" w:cs="Arial"/>
          <w:color w:val="000000"/>
          <w:sz w:val="16"/>
          <w:szCs w:val="16"/>
          <w:lang w:val="en-US"/>
        </w:rPr>
        <w:t>rd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phase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) research has proved the clinical significance of ultrasonography in evaluation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of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morphofunctional state of liver and portohepatolienal bloodstream in chronic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diffuse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liver diseases (fatty liver, chronic hepatitis, liver cirrhosis).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2. Diagnosis-prognostic </w:t>
      </w: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algorithm which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includes anthropodemographic,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clinical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and ultrasonographic parameters has been elaborated, intending on forecast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of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risk of unfavourable course of chronic diffuse liver diseases.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5B1604">
        <w:rPr>
          <w:rFonts w:ascii="Arial" w:hAnsi="Arial" w:cs="Arial"/>
          <w:color w:val="000000"/>
          <w:sz w:val="24"/>
          <w:szCs w:val="24"/>
          <w:lang w:val="en-US"/>
        </w:rPr>
        <w:lastRenderedPageBreak/>
        <w:t xml:space="preserve">3. Predicting value of ultrasonography </w:t>
      </w: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has been boosted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by discriminant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mathematic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model development, artificial virtual neural networks application.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5B1604">
        <w:rPr>
          <w:rFonts w:ascii="Arial" w:hAnsi="Arial" w:cs="Arial"/>
          <w:color w:val="000000"/>
          <w:sz w:val="24"/>
          <w:szCs w:val="24"/>
          <w:lang w:val="en-US"/>
        </w:rPr>
        <w:t>4. Longitude multicenter study of proposed approach in diagnosis of chronic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diffuse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liver disease using non-invasive ultrasonography and evaluation of treatment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5B1604">
        <w:rPr>
          <w:rFonts w:ascii="Arial" w:hAnsi="Arial" w:cs="Arial"/>
          <w:color w:val="000000"/>
          <w:sz w:val="24"/>
          <w:szCs w:val="24"/>
          <w:lang w:val="en-US"/>
        </w:rPr>
        <w:t>efficacy</w:t>
      </w:r>
      <w:proofErr w:type="gramEnd"/>
      <w:r w:rsidRPr="005B1604">
        <w:rPr>
          <w:rFonts w:ascii="Arial" w:hAnsi="Arial" w:cs="Arial"/>
          <w:color w:val="000000"/>
          <w:sz w:val="24"/>
          <w:szCs w:val="24"/>
          <w:lang w:val="en-US"/>
        </w:rPr>
        <w:t xml:space="preserve"> might be further perspectives of the research.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  <w:lang w:val="en-US"/>
        </w:rPr>
      </w:pPr>
      <w:r w:rsidRPr="005B1604">
        <w:rPr>
          <w:rFonts w:ascii="Arial-BoldMT" w:hAnsi="Arial-BoldMT" w:cs="Arial-BoldMT"/>
          <w:b/>
          <w:bCs/>
          <w:color w:val="000000"/>
          <w:sz w:val="24"/>
          <w:szCs w:val="24"/>
          <w:lang w:val="en-US"/>
        </w:rPr>
        <w:t>References: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5B1604">
        <w:rPr>
          <w:rFonts w:ascii="Arial" w:hAnsi="Arial" w:cs="Arial"/>
          <w:color w:val="000000"/>
          <w:sz w:val="24"/>
          <w:szCs w:val="24"/>
          <w:lang w:val="en-US"/>
        </w:rPr>
        <w:t>1. Hepatology 2015 / S. Mauss, T. Berg, J. Rockstroh [et al.]. — Sydney: Flying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5B1604">
        <w:rPr>
          <w:rFonts w:ascii="Arial" w:hAnsi="Arial" w:cs="Arial"/>
          <w:color w:val="000000"/>
          <w:sz w:val="24"/>
          <w:szCs w:val="24"/>
          <w:lang w:val="en-US"/>
        </w:rPr>
        <w:t>Publisher, 2015. — 655 p. — Link: http://flyingpublisher.com/9005.php.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5B1604">
        <w:rPr>
          <w:rFonts w:ascii="Arial" w:hAnsi="Arial" w:cs="Arial"/>
          <w:color w:val="000000"/>
          <w:sz w:val="24"/>
          <w:szCs w:val="24"/>
          <w:lang w:val="en-US"/>
        </w:rPr>
        <w:t>2. Byrne C. D. NAFLD: A multisystem disease / C. D. Byrne, G. Targher // J. Hepatol.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5B1604">
        <w:rPr>
          <w:rFonts w:ascii="Arial" w:hAnsi="Arial" w:cs="Arial"/>
          <w:color w:val="000000"/>
          <w:sz w:val="24"/>
          <w:szCs w:val="24"/>
          <w:lang w:val="en-US"/>
        </w:rPr>
        <w:t>— 2015. — Vol. 62, No. 1, Suppl. — P. S47–S64.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5B1604">
        <w:rPr>
          <w:rFonts w:ascii="Arial" w:hAnsi="Arial" w:cs="Arial"/>
          <w:color w:val="000000"/>
          <w:sz w:val="24"/>
          <w:szCs w:val="24"/>
          <w:lang w:val="en-US"/>
        </w:rPr>
        <w:t>3. Mathurin P. Trends in the management and burden of alcoholic liver disease /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5B1604">
        <w:rPr>
          <w:rFonts w:ascii="Arial" w:hAnsi="Arial" w:cs="Arial"/>
          <w:color w:val="000000"/>
          <w:sz w:val="24"/>
          <w:szCs w:val="24"/>
          <w:lang w:val="en-US"/>
        </w:rPr>
        <w:t>P. Mathurin, R. Bataller // J. Hepatol. — 2015. — Vol. 62, No. 1, Suppl. — P. 38–46.</w:t>
      </w:r>
    </w:p>
    <w:p w:rsidR="005B1604" w:rsidRPr="005B1604" w:rsidRDefault="005B1604" w:rsidP="005B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5B1604">
        <w:rPr>
          <w:rFonts w:ascii="Arial" w:hAnsi="Arial" w:cs="Arial"/>
          <w:color w:val="000000"/>
          <w:sz w:val="24"/>
          <w:szCs w:val="24"/>
          <w:lang w:val="en-US"/>
        </w:rPr>
        <w:t>4. Stickel F. Alcoholic cirrhosis and hepatocellular carcinoma / F. Stickel // Adv.</w:t>
      </w:r>
    </w:p>
    <w:p w:rsidR="00493F38" w:rsidRPr="005B1604" w:rsidRDefault="005B1604" w:rsidP="005B1604">
      <w:pPr>
        <w:rPr>
          <w:lang w:val="en-US"/>
        </w:rPr>
      </w:pPr>
      <w:r w:rsidRPr="005B1604">
        <w:rPr>
          <w:rFonts w:ascii="Arial" w:hAnsi="Arial" w:cs="Arial"/>
          <w:color w:val="000000"/>
          <w:sz w:val="24"/>
          <w:szCs w:val="24"/>
          <w:lang w:val="en-US"/>
        </w:rPr>
        <w:t>Exp. Med. Biol. — 2015. — Vol. 815. — P. 113–130.</w:t>
      </w:r>
      <w:bookmarkStart w:id="0" w:name="_GoBack"/>
      <w:bookmarkEnd w:id="0"/>
    </w:p>
    <w:sectPr w:rsidR="00493F38" w:rsidRPr="005B1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nionPro-It">
    <w:altName w:val="MS Gothic"/>
    <w:panose1 w:val="00000000000000000000"/>
    <w:charset w:val="CC"/>
    <w:family w:val="roman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604"/>
    <w:rsid w:val="00493F38"/>
    <w:rsid w:val="005B1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BFEE6A-7E6C-4694-AF57-680525213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1884</Words>
  <Characters>10741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</dc:creator>
  <cp:keywords/>
  <dc:description/>
  <cp:lastModifiedBy>YAN</cp:lastModifiedBy>
  <cp:revision>1</cp:revision>
  <dcterms:created xsi:type="dcterms:W3CDTF">2016-06-24T14:08:00Z</dcterms:created>
  <dcterms:modified xsi:type="dcterms:W3CDTF">2016-06-24T14:10:00Z</dcterms:modified>
</cp:coreProperties>
</file>